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bdsx-20230331.htm"/>
      <w:bookmarkStart w:id="1" w:name="ksbdsx20230331"/>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0"/>
              <w:ind w:left="0" w:right="0" w:hanging="0"/>
              <w:jc w:val="left"/>
              <w:rPr/>
            </w:pPr>
            <w:r>
              <w:rPr/>
              <w:t>☐</w:t>
            </w:r>
          </w:p>
        </w:tc>
        <w:tc>
          <w:tcPr>
            <w:tcW w:w="9874" w:type="dxa"/>
            <w:tcBorders/>
            <w:vAlign w:val="center"/>
          </w:tcPr>
          <w:p>
            <w:pPr>
              <w:pStyle w:val="TableContents"/>
              <w:bidi w:val="0"/>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001-39659</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sz w:val="36"/>
        </w:rPr>
      </w:pPr>
      <w:r>
        <w:rPr>
          <w:rFonts w:ascii="Times New Roman;serif" w:hAnsi="Times New Roman;serif"/>
          <w:b/>
          <w:sz w:val="36"/>
        </w:rPr>
        <w:t>B</w:t>
      </w:r>
      <w:r>
        <w:rPr>
          <w:rFonts w:ascii="Times New Roman;serif" w:hAnsi="Times New Roman;serif"/>
          <w:b/>
          <w:sz w:val="28"/>
        </w:rPr>
        <w:t>IODESIX</w:t>
      </w:r>
      <w:r>
        <w:rPr>
          <w:rFonts w:ascii="Times New Roman;serif" w:hAnsi="Times New Roman;serif"/>
          <w:b/>
          <w:sz w:val="36"/>
        </w:rPr>
        <w:t>, I</w:t>
      </w:r>
      <w:r>
        <w:rPr>
          <w:rFonts w:ascii="Times New Roman;serif" w:hAnsi="Times New Roman;serif"/>
          <w:b/>
          <w:sz w:val="28"/>
        </w:rPr>
        <w:t>NC</w:t>
      </w:r>
      <w:r>
        <w:rPr>
          <w:rFonts w:ascii="Times New Roman;serif" w:hAnsi="Times New Roman;serif"/>
          <w:b/>
          <w:sz w:val="36"/>
        </w:rPr>
        <w:t>.</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3752" w:type="dxa"/>
        <w:jc w:val="left"/>
        <w:tblInd w:w="0" w:type="dxa"/>
        <w:tblLayout w:type="fixed"/>
        <w:tblCellMar>
          <w:top w:w="28" w:type="dxa"/>
          <w:left w:w="28" w:type="dxa"/>
          <w:bottom w:w="28" w:type="dxa"/>
          <w:right w:w="28" w:type="dxa"/>
        </w:tblCellMar>
      </w:tblPr>
      <w:tblGrid>
        <w:gridCol w:w="2506"/>
        <w:gridCol w:w="1246"/>
      </w:tblGrid>
      <w:tr>
        <w:trPr/>
        <w:tc>
          <w:tcPr>
            <w:tcW w:w="25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20-3986492</w:t>
            </w:r>
          </w:p>
        </w:tc>
      </w:tr>
      <w:tr>
        <w:trPr/>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16"/>
              </w:rPr>
              <w:t>2970 Wilderness Place,</w:t>
            </w:r>
            <w:r>
              <w:rPr>
                <w:rFonts w:ascii="Times New Roman" w:hAnsi="Times New Roman"/>
                <w:sz w:val="20"/>
              </w:rPr>
              <w:t xml:space="preserve"> </w:t>
            </w:r>
            <w:r>
              <w:rPr>
                <w:rFonts w:ascii="Times New Roman;serif" w:hAnsi="Times New Roman;serif"/>
                <w:b/>
                <w:sz w:val="16"/>
              </w:rPr>
              <w:t>Suite 100</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16"/>
              </w:rPr>
              <w:t>Boulder, Colorado</w:t>
            </w:r>
            <w:r>
              <w:rPr>
                <w:rFonts w:ascii="Times New Roman" w:hAnsi="Times New Roman"/>
                <w:sz w:val="20"/>
              </w:rPr>
              <w:t> </w:t>
            </w:r>
            <w:r>
              <w:rPr>
                <w:rFonts w:ascii="Times New Roman;serif" w:hAnsi="Times New Roman;serif"/>
                <w:b/>
                <w:sz w:val="16"/>
              </w:rPr>
              <w:t>80301</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80301</w:t>
            </w:r>
          </w:p>
        </w:tc>
      </w:tr>
      <w:tr>
        <w:trPr/>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(303) 417-0500</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601" w:type="dxa"/>
            <w:tcBorders/>
            <w:vAlign w:val="center"/>
          </w:tcPr>
          <w:p>
            <w:pPr>
              <w:pStyle w:val="TableContents"/>
              <w:bidi w:val="0"/>
              <w:spacing w:before="2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46" w:type="dxa"/>
            <w:tcBorders/>
            <w:vAlign w:val="center"/>
          </w:tcPr>
          <w:p>
            <w:pPr>
              <w:pStyle w:val="TableContents"/>
              <w:bidi w:val="0"/>
              <w:spacing w:before="20" w:after="0"/>
              <w:ind w:left="0" w:right="0" w:hanging="0"/>
              <w:jc w:val="center"/>
              <w:rPr/>
            </w:pPr>
            <w:r>
              <w:rPr/>
              <w:t> </w:t>
            </w:r>
          </w:p>
        </w:tc>
        <w:tc>
          <w:tcPr>
            <w:tcW w:w="826" w:type="dxa"/>
            <w:tcBorders/>
            <w:vAlign w:val="center"/>
          </w:tcPr>
          <w:p>
            <w:pPr>
              <w:pStyle w:val="TableContents"/>
              <w:bidi w:val="0"/>
              <w:spacing w:before="20" w:after="0"/>
              <w:ind w:left="0" w:right="0" w:hanging="0"/>
              <w:jc w:val="center"/>
              <w:rPr>
                <w:rFonts w:ascii="Times New Roman;serif" w:hAnsi="Times New Roman;serif"/>
                <w:b w:val="false"/>
                <w:sz w:val="20"/>
              </w:rPr>
            </w:pPr>
            <w:r>
              <w:rPr>
                <w:rFonts w:ascii="Times New Roman;serif" w:hAnsi="Times New Roman;serif"/>
                <w:b w:val="false"/>
                <w:sz w:val="20"/>
              </w:rPr>
              <w:t>BDSX</w:t>
            </w:r>
          </w:p>
        </w:tc>
        <w:tc>
          <w:tcPr>
            <w:tcW w:w="146" w:type="dxa"/>
            <w:tcBorders/>
            <w:vAlign w:val="center"/>
          </w:tcPr>
          <w:p>
            <w:pPr>
              <w:pStyle w:val="TableContents"/>
              <w:bidi w:val="0"/>
              <w:spacing w:before="20" w:after="0"/>
              <w:ind w:left="0" w:right="0" w:hanging="0"/>
              <w:jc w:val="center"/>
              <w:rPr/>
            </w:pPr>
            <w:r>
              <w:rPr/>
              <w:t> </w:t>
            </w:r>
          </w:p>
        </w:tc>
        <w:tc>
          <w:tcPr>
            <w:tcW w:w="3316" w:type="dxa"/>
            <w:tcBorders/>
            <w:vAlign w:val="center"/>
          </w:tcPr>
          <w:p>
            <w:pPr>
              <w:pStyle w:val="TableContents"/>
              <w:bidi w:val="0"/>
              <w:spacing w:before="20" w:after="0"/>
              <w:ind w:left="0" w:right="0" w:hanging="0"/>
              <w:jc w:val="center"/>
              <w:rPr>
                <w:rFonts w:ascii="Times New Roman;serif" w:hAnsi="Times New Roman;serif"/>
                <w:b w:val="false"/>
                <w:sz w:val="20"/>
              </w:rPr>
            </w:pPr>
            <w:r>
              <w:rPr>
                <w:rFonts w:ascii="Times New Roman;serif" w:hAnsi="Times New Roman;serif"/>
                <w:b w:val="false"/>
                <w:sz w:val="20"/>
              </w:rPr>
              <w:t>The NASDAQ Global Market</w:t>
            </w:r>
          </w:p>
        </w:tc>
      </w:tr>
    </w:tbl>
    <w:p>
      <w:pPr>
        <w:pStyle w:val="TextBody"/>
        <w:bidi w:val="0"/>
        <w:spacing w:before="0" w:after="0"/>
        <w:jc w:val="left"/>
        <w:rPr/>
      </w:pPr>
      <w:r>
        <w:rPr/>
        <w:t> </w:t>
      </w:r>
    </w:p>
    <w:p>
      <w:pPr>
        <w:pStyle w:val="TextBody"/>
        <w:bidi w:val="0"/>
        <w:spacing w:before="100" w:after="0"/>
        <w:jc w:val="both"/>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100" w:after="0"/>
        <w:jc w:val="both"/>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100" w:after="0"/>
        <w:jc w:val="both"/>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172"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both"/>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120" w:after="0"/>
        <w:jc w:val="both"/>
        <w:rPr>
          <w:rFonts w:ascii="Times New Roman;serif" w:hAnsi="Times New Roman;serif"/>
          <w:b w:val="false"/>
          <w:sz w:val="18"/>
        </w:rPr>
      </w:pPr>
      <w:r>
        <w:rPr>
          <w:rFonts w:ascii="Times New Roman;serif" w:hAnsi="Times New Roman;serif"/>
          <w:b w:val="false"/>
          <w:sz w:val="18"/>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120" w:after="0"/>
        <w:jc w:val="both"/>
        <w:rPr>
          <w:rFonts w:ascii="Times New Roman" w:hAnsi="Times New Roman"/>
          <w:sz w:val="20"/>
        </w:rPr>
      </w:pPr>
      <w:r>
        <w:rPr>
          <w:rFonts w:ascii="Times New Roman;serif" w:hAnsi="Times New Roman;serif"/>
          <w:b w:val="false"/>
          <w:sz w:val="18"/>
        </w:rPr>
        <w:t>As of May 4, 2023, the Registrant had 78,457,943</w:t>
      </w:r>
      <w:r>
        <w:rPr>
          <w:rFonts w:ascii="Times New Roman" w:hAnsi="Times New Roman"/>
          <w:sz w:val="20"/>
        </w:rPr>
        <w:t xml:space="preserve"> </w:t>
      </w:r>
      <w:r>
        <w:rPr>
          <w:rFonts w:ascii="Times New Roman;serif" w:hAnsi="Times New Roman;serif"/>
          <w:b w:val="false"/>
          <w:sz w:val="18"/>
        </w:rPr>
        <w:t>shares of common stock, $0.001 par value per share, outstanding.</w:t>
      </w:r>
    </w:p>
    <w:p>
      <w:pPr>
        <w:pStyle w:val="TextBody"/>
        <w:pBdr>
          <w:bottom w:val="double" w:sz="6" w:space="1" w:color="000000"/>
        </w:pBdr>
        <w:bidi w:val="0"/>
        <w:spacing w:before="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9558" w:type="dxa"/>
        <w:jc w:val="left"/>
        <w:tblInd w:w="0" w:type="dxa"/>
        <w:tblLayout w:type="fixed"/>
        <w:tblCellMar>
          <w:top w:w="28" w:type="dxa"/>
          <w:left w:w="28" w:type="dxa"/>
          <w:bottom w:w="28" w:type="dxa"/>
          <w:right w:w="28" w:type="dxa"/>
        </w:tblCellMar>
      </w:tblPr>
      <w:tblGrid>
        <w:gridCol w:w="886"/>
        <w:gridCol w:w="8161"/>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81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balance_sheets_unaudited">
              <w:r>
                <w:rPr>
                  <w:rStyle w:val="InternetLink"/>
                  <w:rFonts w:ascii="Times New Roman;serif" w:hAnsi="Times New Roman;serif"/>
                  <w:b w:val="false"/>
                  <w:sz w:val="20"/>
                  <w:u w:val="single"/>
                </w:rPr>
                <w:t>Condensed Balance Sheets as of March 31, 2023 and December 31, 2022</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operations">
              <w:r>
                <w:rPr>
                  <w:rStyle w:val="InternetLink"/>
                  <w:rFonts w:ascii="Times New Roman;serif" w:hAnsi="Times New Roman;serif"/>
                  <w:b w:val="false"/>
                  <w:sz w:val="20"/>
                  <w:u w:val="single"/>
                </w:rPr>
                <w:t>Condensed Statements of Operations for the Three Months Ended March 31, 2023 and 2022</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changes_in_converti">
              <w:r>
                <w:rPr>
                  <w:rStyle w:val="InternetLink"/>
                  <w:rFonts w:ascii="Times New Roman;serif" w:hAnsi="Times New Roman;serif"/>
                  <w:b w:val="false"/>
                  <w:sz w:val="20"/>
                  <w:u w:val="single"/>
                </w:rPr>
                <w:t>Condensed Statements Stockholders' Equity for the Three Months Ended March 31, 2023 and 2022</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cash_flows_unaudite">
              <w:r>
                <w:rPr>
                  <w:rStyle w:val="InternetLink"/>
                  <w:rFonts w:ascii="Times New Roman;serif" w:hAnsi="Times New Roman;serif"/>
                  <w:b w:val="false"/>
                  <w:sz w:val="20"/>
                  <w:u w:val="single"/>
                </w:rPr>
                <w:t>Condensed Statements of Cash Flows for the Three Months Ended March 31, 2023 and 2022</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financial_statements">
              <w:r>
                <w:rPr>
                  <w:rStyle w:val="InternetLink"/>
                  <w:rFonts w:ascii="Times New Roman;serif" w:hAnsi="Times New Roman;serif"/>
                  <w:b w:val="false"/>
                  <w:sz w:val="20"/>
                  <w:u w:val="single"/>
                </w:rPr>
                <w:t>Notes to Condensed Financial Statements</w:t>
              </w:r>
            </w:hyperlink>
            <w:r>
              <w:rPr>
                <w:rFonts w:ascii="Times New Roman" w:hAnsi="Times New Roman"/>
                <w:sz w:val="20"/>
              </w:rPr>
              <w:t xml:space="preserve">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1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2022, which was filed on March 6, 2023.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2022, regarding, among other things: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inability to achieve or sustain profitability;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unaudited financial statements include a statement that there is a substantial doubt about our ability to continue as a going concern and a continuation of negative financial trends could result in our inability to continue as a going concern;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attain significant market acceptance among payers, providers, clinics, patients, and biopharmaceutical companies for our diagnostic tests;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difficulties managing our growth, which could disrupt our operations;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failure to retain sales and marketing personnel, and failure to increase our sales and marketing capabilities or develop broad awareness of our diagnostic tests to generate revenue growth;</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failure to maintain our current relationships, or enter into new relationships, with biopharmaceutical companies;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significant fluctuation in our operating results, causing our operating results to fall below expectations or any guidance we provide;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product performance and reliability to maintain and grow our business;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third-party suppliers, including courier services, contract manufacturers and single source suppliers, making us vulnerable to supply problems and price fluctuations;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of a pandemic, epidemic, or outbreak of an infectious disease in the United States (U.S.) or worldwide, including the COVID-19 pandemic on our business;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natural or man-made disasters and other similar events negatively impacting our business, financial condition, and results of operations;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failure to offer high-quality support for our diagnostic tests, which may adversely affect our relationships with providers and negatively impact our reputation among patients and providers;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inability to continue to innovate and improve our diagnostic tests and services we offer;</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security or data privacy breaches or other unauthorized or improper access;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significant disruptions in our information technology systems;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incurrence of substantial liabilities and limiting or halting the marketing and sale of our diagnostic tests due to product liability lawsuits;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inability to compete successfully with competition from many sources, including larger companies;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performance issues, service interruptions or price increases by our shipping carriers and warehousing providers;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cost-containment efforts of our customers, purchasing groups and integrated delivery networks having a material adverse effect on our sales and profitability;</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potential effects of litigation and other proceedings;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general economic and financial market conditions;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attract and retain key personnel;</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current and future debt financing placing restrictions on our operating and financial flexibility;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need to raise additional capital to fund our existing operations, develop our platform, commercialize new diagnostic tests, or expand our operations;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acquisition of other businesses, which could require significant management attention;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uncertainty of the insurance coverage and reimbursement status of newly approved diagnostic tests;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future healthcare reform measures that could hinder or prevent the commercial success of our diagnostic tests;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compliance with anti-corruption, anti-bribery, anti-money laundering and similar laws;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compliance with healthcare fraud and abuse laws;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future product recalls;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legal proceedings initiated by third parties alleging that we are infringing, misappropriating, or otherwise violating their intellectual property rights, the outcome of which would be uncertain;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volatility of the trading price of our common stock;</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inaccurate estimates or judgments relating to our critical accounting policies, which could cause our operating results to fall below the expectations of securities analysts and investors;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other risks, uncertainties and factors, including those set forth under "Risk Factors".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bidi w:val="0"/>
        <w:spacing w:before="20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 (Unaudited).</w:t>
      </w:r>
    </w:p>
    <w:p>
      <w:pPr>
        <w:pStyle w:val="TextBody"/>
        <w:bidi w:val="0"/>
        <w:spacing w:before="20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4" w:name="condensed_balance_sheets_unaudited"/>
      <w:bookmarkEnd w:id="4"/>
      <w:r>
        <w:rPr>
          <w:rFonts w:ascii="Times New Roman;serif" w:hAnsi="Times New Roman;serif"/>
          <w:b/>
          <w:sz w:val="20"/>
        </w:rPr>
        <w:t>Condensed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079"/>
        <w:gridCol w:w="146"/>
        <w:gridCol w:w="282"/>
        <w:gridCol w:w="1125"/>
        <w:gridCol w:w="166"/>
        <w:gridCol w:w="146"/>
        <w:gridCol w:w="334"/>
        <w:gridCol w:w="1334"/>
        <w:gridCol w:w="593"/>
      </w:tblGrid>
      <w:tr>
        <w:trPr/>
        <w:tc>
          <w:tcPr>
            <w:tcW w:w="6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0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7" w:type="dxa"/>
            <w:gridSpan w:val="6"/>
            <w:tcBorders/>
            <w:vAlign w:val="center"/>
          </w:tcPr>
          <w:p>
            <w:pPr>
              <w:pStyle w:val="TableContents"/>
              <w:bidi w:val="0"/>
              <w:spacing w:before="0" w:after="0"/>
              <w:ind w:left="0" w:right="0" w:hanging="0"/>
              <w:jc w:val="center"/>
              <w:rPr/>
            </w:pPr>
            <w:r>
              <w:rPr/>
              <w:t> </w:t>
            </w:r>
          </w:p>
        </w:tc>
        <w:tc>
          <w:tcPr>
            <w:tcW w:w="593" w:type="dxa"/>
            <w:tcBorders/>
            <w:vAlign w:val="center"/>
          </w:tcPr>
          <w:p>
            <w:pPr>
              <w:pStyle w:val="TableContents"/>
              <w:bidi w:val="0"/>
              <w:spacing w:before="0" w:after="0"/>
              <w:ind w:left="0" w:right="0" w:hanging="0"/>
              <w:jc w:val="center"/>
              <w:rPr/>
            </w:pPr>
            <w:r>
              <w:rPr/>
              <w:t> </w:t>
            </w:r>
          </w:p>
        </w:tc>
      </w:tr>
      <w:tr>
        <w:trPr/>
        <w:tc>
          <w:tcPr>
            <w:tcW w:w="607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612" w:type="dxa"/>
            <w:gridSpan w:val="8"/>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593" w:type="dxa"/>
            <w:tcBorders/>
            <w:vAlign w:val="center"/>
          </w:tcPr>
          <w:p>
            <w:pPr>
              <w:pStyle w:val="TableContents"/>
              <w:bidi w:val="0"/>
              <w:spacing w:before="0" w:after="0"/>
              <w:ind w:left="0" w:right="0" w:hanging="0"/>
              <w:jc w:val="center"/>
              <w:rPr/>
            </w:pPr>
            <w:r>
              <w:rPr/>
              <w:t> </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4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both"/>
              <w:rPr/>
            </w:pPr>
            <w:r>
              <w:rPr/>
              <w:t> </w:t>
            </w:r>
          </w:p>
        </w:tc>
        <w:tc>
          <w:tcPr>
            <w:tcW w:w="166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43,088</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doubtful accounts of $200</w:t>
            </w:r>
            <w:r>
              <w:rPr>
                <w:rFonts w:ascii="Times New Roman" w:hAnsi="Times New Roman"/>
                <w:sz w:val="20"/>
              </w:rPr>
              <w:t> </w:t>
            </w:r>
            <w:r>
              <w:rPr>
                <w:rFonts w:ascii="Times New Roman;serif" w:hAnsi="Times New Roman;serif"/>
                <w:b w:val="false"/>
                <w:sz w:val="20"/>
              </w:rPr>
              <w:t>and $118</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5,065</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7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53,334</w:t>
            </w:r>
          </w:p>
        </w:tc>
        <w:tc>
          <w:tcPr>
            <w:tcW w:w="593" w:type="dxa"/>
            <w:tcBorders/>
            <w:vAlign w:val="center"/>
          </w:tcPr>
          <w:p>
            <w:pPr>
              <w:pStyle w:val="TableContents"/>
              <w:bidi w:val="0"/>
              <w:spacing w:before="0" w:after="0"/>
              <w:ind w:left="0" w:right="0" w:hanging="0"/>
              <w:jc w:val="left"/>
              <w:rPr/>
            </w:pPr>
            <w:r>
              <w:rPr/>
              <w:t> </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w:t>
              <w:noBreakHyphen/>
              <w:t>current assets</w:t>
            </w:r>
          </w:p>
        </w:tc>
        <w:tc>
          <w:tcPr>
            <w:tcW w:w="146" w:type="dxa"/>
            <w:tcBorders/>
            <w:vAlign w:val="center"/>
          </w:tcPr>
          <w:p>
            <w:pPr>
              <w:pStyle w:val="TableContents"/>
              <w:bidi w:val="0"/>
              <w:spacing w:before="0" w:after="0"/>
              <w:ind w:left="0" w:right="0" w:hanging="0"/>
              <w:jc w:val="left"/>
              <w:rPr/>
            </w:pPr>
            <w:r>
              <w:rPr/>
              <w:t> </w:t>
            </w:r>
          </w:p>
        </w:tc>
        <w:tc>
          <w:tcPr>
            <w:tcW w:w="14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5,848</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9,797</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2,973</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15,031</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5,923</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7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non</w:t>
              <w:noBreakHyphen/>
              <w:t>current assets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39,572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92,906</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7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0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8" w:type="dxa"/>
            <w:gridSpan w:val="2"/>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left"/>
              <w:rPr/>
            </w:pPr>
            <w:r>
              <w:rPr/>
              <w:t> </w:t>
            </w:r>
          </w:p>
        </w:tc>
      </w:tr>
      <w:tr>
        <w:trPr/>
        <w:tc>
          <w:tcPr>
            <w:tcW w:w="9612" w:type="dxa"/>
            <w:gridSpan w:val="8"/>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Liabilities and Stockholders' Equity</w:t>
            </w:r>
          </w:p>
        </w:tc>
        <w:tc>
          <w:tcPr>
            <w:tcW w:w="593" w:type="dxa"/>
            <w:tcBorders/>
            <w:vAlign w:val="center"/>
          </w:tcPr>
          <w:p>
            <w:pPr>
              <w:pStyle w:val="TableContents"/>
              <w:bidi w:val="0"/>
              <w:spacing w:before="0" w:after="0"/>
              <w:ind w:left="0" w:right="0" w:hanging="0"/>
              <w:jc w:val="center"/>
              <w:rPr/>
            </w:pPr>
            <w:r>
              <w:rPr/>
              <w:t> </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4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both"/>
              <w:rPr/>
            </w:pPr>
            <w:r>
              <w:rPr/>
              <w:t> </w:t>
            </w:r>
          </w:p>
        </w:tc>
        <w:tc>
          <w:tcPr>
            <w:tcW w:w="166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1,685</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8,218</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1,543</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contingent consideration</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10,341</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notes payable</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7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22,839</w:t>
            </w:r>
          </w:p>
        </w:tc>
        <w:tc>
          <w:tcPr>
            <w:tcW w:w="593" w:type="dxa"/>
            <w:tcBorders/>
            <w:vAlign w:val="center"/>
          </w:tcPr>
          <w:p>
            <w:pPr>
              <w:pStyle w:val="TableContents"/>
              <w:bidi w:val="0"/>
              <w:spacing w:before="0" w:after="0"/>
              <w:ind w:left="0" w:right="0" w:hanging="0"/>
              <w:jc w:val="left"/>
              <w:rPr/>
            </w:pPr>
            <w:r>
              <w:rPr/>
              <w:t> </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w:t>
              <w:noBreakHyphen/>
              <w:t>current liabilities</w:t>
            </w:r>
          </w:p>
        </w:tc>
        <w:tc>
          <w:tcPr>
            <w:tcW w:w="146" w:type="dxa"/>
            <w:tcBorders/>
            <w:vAlign w:val="center"/>
          </w:tcPr>
          <w:p>
            <w:pPr>
              <w:pStyle w:val="TableContents"/>
              <w:bidi w:val="0"/>
              <w:spacing w:before="0" w:after="0"/>
              <w:ind w:left="0" w:right="0" w:hanging="0"/>
              <w:jc w:val="left"/>
              <w:rPr/>
            </w:pPr>
            <w:r>
              <w:rPr/>
              <w:t> </w:t>
            </w:r>
          </w:p>
        </w:tc>
        <w:tc>
          <w:tcPr>
            <w:tcW w:w="14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w:t>
              <w:noBreakHyphen/>
              <w:t>term notes payable, net of current portion</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25,004</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5,254</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18,645</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7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non</w:t>
              <w:noBreakHyphen/>
              <w:t>current liabilities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49,461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72,300</w:t>
            </w:r>
          </w:p>
        </w:tc>
        <w:tc>
          <w:tcPr>
            <w:tcW w:w="593" w:type="dxa"/>
            <w:tcBorders/>
            <w:vAlign w:val="center"/>
          </w:tcPr>
          <w:p>
            <w:pPr>
              <w:pStyle w:val="TableContents"/>
              <w:bidi w:val="0"/>
              <w:spacing w:before="0" w:after="0"/>
              <w:ind w:left="0" w:right="0" w:hanging="0"/>
              <w:jc w:val="left"/>
              <w:rPr/>
            </w:pPr>
            <w:r>
              <w:rPr/>
              <w:t> </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vAlign w:val="center"/>
          </w:tcPr>
          <w:p>
            <w:pPr>
              <w:pStyle w:val="TableContents"/>
              <w:bidi w:val="0"/>
              <w:spacing w:before="0" w:after="0"/>
              <w:ind w:left="0" w:right="0" w:hanging="0"/>
              <w:jc w:val="left"/>
              <w:rPr/>
            </w:pPr>
            <w:r>
              <w:rPr/>
              <w:t> </w:t>
            </w:r>
          </w:p>
        </w:tc>
        <w:tc>
          <w:tcPr>
            <w:tcW w:w="14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4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8"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07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5,000,000</w:t>
            </w:r>
            <w:r>
              <w:rPr>
                <w:rFonts w:ascii="Times New Roman" w:hAnsi="Times New Roman"/>
                <w:sz w:val="20"/>
              </w:rPr>
              <w:t> </w:t>
            </w:r>
            <w:r>
              <w:rPr>
                <w:rFonts w:ascii="Times New Roman;serif" w:hAnsi="Times New Roman;serif"/>
                <w:b w:val="false"/>
                <w:sz w:val="20"/>
              </w:rPr>
              <w:t xml:space="preserve">authorized; </w:t>
              <w:br/>
              <w:t>    0</w:t>
            </w:r>
            <w:r>
              <w:rPr>
                <w:rFonts w:ascii="Times New Roman" w:hAnsi="Times New Roman"/>
                <w:sz w:val="20"/>
              </w:rPr>
              <w:t> </w:t>
            </w:r>
            <w:r>
              <w:rPr>
                <w:rFonts w:ascii="Times New Roman;serif" w:hAnsi="Times New Roman;serif"/>
                <w:b w:val="false"/>
                <w:sz w:val="20"/>
              </w:rPr>
              <w:t>(2023 and 2022) issued and outstanding</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200,000,000</w:t>
            </w:r>
            <w:r>
              <w:rPr>
                <w:rFonts w:ascii="Times New Roman" w:hAnsi="Times New Roman"/>
                <w:sz w:val="20"/>
              </w:rPr>
              <w:t> </w:t>
            </w:r>
            <w:r>
              <w:rPr>
                <w:rFonts w:ascii="Times New Roman;serif" w:hAnsi="Times New Roman;serif"/>
                <w:b w:val="false"/>
                <w:sz w:val="20"/>
              </w:rPr>
              <w:t xml:space="preserve">authorized; </w:t>
              <w:br/>
              <w:t>    77,979,376</w:t>
            </w:r>
            <w:r>
              <w:rPr>
                <w:rFonts w:ascii="Times New Roman" w:hAnsi="Times New Roman"/>
                <w:sz w:val="20"/>
              </w:rPr>
              <w:t> </w:t>
            </w:r>
            <w:r>
              <w:rPr>
                <w:rFonts w:ascii="Times New Roman;serif" w:hAnsi="Times New Roman;serif"/>
                <w:b w:val="false"/>
                <w:sz w:val="20"/>
              </w:rPr>
              <w:t>(2023) and 77,614,358</w:t>
            </w:r>
            <w:r>
              <w:rPr>
                <w:rFonts w:ascii="Times New Roman" w:hAnsi="Times New Roman"/>
                <w:sz w:val="20"/>
              </w:rPr>
              <w:t> </w:t>
            </w:r>
            <w:r>
              <w:rPr>
                <w:rFonts w:ascii="Times New Roman;serif" w:hAnsi="Times New Roman;serif"/>
                <w:b w:val="false"/>
                <w:sz w:val="20"/>
              </w:rPr>
              <w:t>(2022) shares issued and outstanding</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w:t>
              <w:noBreakHyphen/>
              <w:t>in capital</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pPr>
            <w:r>
              <w:rPr/>
              <w:t> </w:t>
            </w:r>
          </w:p>
        </w:tc>
        <w:tc>
          <w:tcPr>
            <w:tcW w:w="13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387,948</w:t>
            </w:r>
          </w:p>
        </w:tc>
        <w:tc>
          <w:tcPr>
            <w:tcW w:w="593" w:type="dxa"/>
            <w:tcBorders/>
            <w:vAlign w:val="center"/>
          </w:tcPr>
          <w:p>
            <w:pPr>
              <w:pStyle w:val="TableContents"/>
              <w:bidi w:val="0"/>
              <w:spacing w:before="0" w:after="0"/>
              <w:ind w:left="0" w:right="0" w:firstLine="200"/>
              <w:jc w:val="left"/>
              <w:rPr/>
            </w:pPr>
            <w:r>
              <w:rPr/>
              <w:t> </w:t>
            </w:r>
          </w:p>
        </w:tc>
      </w:tr>
      <w:tr>
        <w:trPr/>
        <w:tc>
          <w:tcPr>
            <w:tcW w:w="60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(386,122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(367,420</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20,606</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92,906</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5" w:name="condensed_statements_operations"/>
      <w:bookmarkEnd w:id="5"/>
      <w:r>
        <w:rPr>
          <w:rFonts w:ascii="Times New Roman;serif" w:hAnsi="Times New Roman;serif"/>
          <w:b/>
          <w:sz w:val="20"/>
        </w:rPr>
        <w:t>Condensed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data)</w:t>
      </w:r>
    </w:p>
    <w:p>
      <w:pPr>
        <w:pStyle w:val="TextBody"/>
        <w:bidi w:val="0"/>
        <w:spacing w:before="0" w:after="0"/>
        <w:jc w:val="center"/>
        <w:rPr/>
      </w:pPr>
      <w:r>
        <w:rPr/>
        <w:t> </w:t>
      </w:r>
    </w:p>
    <w:tbl>
      <w:tblPr>
        <w:tblW w:w="7996" w:type="dxa"/>
        <w:jc w:val="left"/>
        <w:tblInd w:w="0" w:type="dxa"/>
        <w:tblLayout w:type="fixed"/>
        <w:tblCellMar>
          <w:top w:w="28" w:type="dxa"/>
          <w:left w:w="28" w:type="dxa"/>
          <w:bottom w:w="28" w:type="dxa"/>
          <w:right w:w="28" w:type="dxa"/>
        </w:tblCellMar>
      </w:tblPr>
      <w:tblGrid>
        <w:gridCol w:w="4651"/>
        <w:gridCol w:w="146"/>
        <w:gridCol w:w="266"/>
        <w:gridCol w:w="931"/>
        <w:gridCol w:w="210"/>
        <w:gridCol w:w="184"/>
        <w:gridCol w:w="266"/>
        <w:gridCol w:w="931"/>
        <w:gridCol w:w="4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9,056</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6,548</w:t>
            </w:r>
          </w:p>
        </w:tc>
        <w:tc>
          <w:tcPr>
            <w:tcW w:w="41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Direct costs and expenses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3,169</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3,235</w:t>
            </w:r>
          </w:p>
        </w:tc>
        <w:tc>
          <w:tcPr>
            <w:tcW w:w="4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3,251</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3,206</w:t>
            </w:r>
          </w:p>
        </w:tc>
        <w:tc>
          <w:tcPr>
            <w:tcW w:w="4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marketing, general and administrative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18,989</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14,487</w:t>
            </w:r>
          </w:p>
        </w:tc>
        <w:tc>
          <w:tcPr>
            <w:tcW w:w="4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loss on intangible assets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25,429</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(16,373</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(14,461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283"/>
              <w:ind w:left="0" w:right="0" w:hanging="0"/>
              <w:jc w:val="left"/>
              <w:rPr>
                <w:sz w:val="4"/>
                <w:szCs w:val="4"/>
              </w:rPr>
            </w:pPr>
            <w:r>
              <w:rPr>
                <w:sz w:val="4"/>
                <w:szCs w:val="4"/>
              </w:rPr>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283"/>
              <w:ind w:left="0" w:right="0" w:hanging="0"/>
              <w:jc w:val="left"/>
              <w:rPr>
                <w:sz w:val="4"/>
                <w:szCs w:val="4"/>
              </w:rPr>
            </w:pPr>
            <w:r>
              <w:rPr>
                <w:sz w:val="4"/>
                <w:szCs w:val="4"/>
              </w:rPr>
            </w:r>
          </w:p>
        </w:tc>
        <w:tc>
          <w:tcPr>
            <w:tcW w:w="411"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(2,329</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(18,702</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77,765</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31,070</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6" w:name="condensed_statements_changes_in_converti"/>
      <w:bookmarkEnd w:id="6"/>
      <w:r>
        <w:rPr>
          <w:rFonts w:ascii="Times New Roman;serif" w:hAnsi="Times New Roman;serif"/>
          <w:b/>
          <w:sz w:val="20"/>
        </w:rPr>
        <w:t>Condensed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055"/>
        <w:gridCol w:w="146"/>
        <w:gridCol w:w="146"/>
        <w:gridCol w:w="676"/>
        <w:gridCol w:w="146"/>
        <w:gridCol w:w="146"/>
        <w:gridCol w:w="295"/>
        <w:gridCol w:w="486"/>
        <w:gridCol w:w="146"/>
        <w:gridCol w:w="146"/>
        <w:gridCol w:w="276"/>
        <w:gridCol w:w="1032"/>
        <w:gridCol w:w="166"/>
        <w:gridCol w:w="146"/>
        <w:gridCol w:w="243"/>
        <w:gridCol w:w="973"/>
        <w:gridCol w:w="166"/>
        <w:gridCol w:w="146"/>
        <w:gridCol w:w="323"/>
        <w:gridCol w:w="1133"/>
        <w:gridCol w:w="213"/>
      </w:tblGrid>
      <w:tr>
        <w:trPr/>
        <w:tc>
          <w:tcPr>
            <w:tcW w:w="3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8"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 Paid</w:t>
              <w:noBreakHyphen/>
              <w:t>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5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Stockholders'</w:t>
            </w:r>
          </w:p>
        </w:tc>
        <w:tc>
          <w:tcPr>
            <w:tcW w:w="213" w:type="dxa"/>
            <w:tcBorders/>
            <w:vAlign w:val="center"/>
          </w:tcPr>
          <w:p>
            <w:pPr>
              <w:pStyle w:val="TableContents"/>
              <w:bidi w:val="0"/>
              <w:spacing w:before="0" w:after="0"/>
              <w:ind w:left="0" w:right="0" w:hanging="0"/>
              <w:jc w:val="center"/>
              <w:rPr/>
            </w:pPr>
            <w:r>
              <w:rPr/>
              <w:t> </w:t>
            </w:r>
          </w:p>
        </w:tc>
      </w:tr>
      <w:tr>
        <w:trPr/>
        <w:tc>
          <w:tcPr>
            <w:tcW w:w="30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5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Balance </w:t>
              <w:noBreakHyphen/>
              <w:t xml:space="preserve">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387,948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(367,420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20,606</w:t>
            </w:r>
          </w:p>
        </w:tc>
        <w:tc>
          <w:tcPr>
            <w:tcW w:w="213"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3" w:type="dxa"/>
            <w:tcBorders/>
            <w:vAlign w:val="center"/>
          </w:tcPr>
          <w:p>
            <w:pPr>
              <w:pStyle w:val="TableContents"/>
              <w:bidi w:val="0"/>
              <w:spacing w:before="0" w:after="0"/>
              <w:ind w:left="0" w:right="0" w:hanging="0"/>
              <w:jc w:val="left"/>
              <w:rPr/>
            </w:pPr>
            <w:r>
              <w:rPr/>
              <w:t> </w:t>
            </w:r>
          </w:p>
        </w:tc>
        <w:tc>
          <w:tcPr>
            <w:tcW w:w="11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3" w:type="dxa"/>
            <w:tcBorders/>
            <w:vAlign w:val="center"/>
          </w:tcPr>
          <w:p>
            <w:pPr>
              <w:pStyle w:val="TableContents"/>
              <w:bidi w:val="0"/>
              <w:spacing w:before="0" w:after="0"/>
              <w:ind w:left="0" w:right="0" w:hanging="0"/>
              <w:jc w:val="left"/>
              <w:rPr/>
            </w:pPr>
            <w:r>
              <w:rPr/>
              <w:t> </w:t>
            </w:r>
          </w:p>
        </w:tc>
        <w:tc>
          <w:tcPr>
            <w:tcW w:w="11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213"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3" w:type="dxa"/>
            <w:tcBorders/>
            <w:vAlign w:val="center"/>
          </w:tcPr>
          <w:p>
            <w:pPr>
              <w:pStyle w:val="TableContents"/>
              <w:bidi w:val="0"/>
              <w:spacing w:before="0" w:after="0"/>
              <w:ind w:left="0" w:right="0" w:hanging="0"/>
              <w:jc w:val="left"/>
              <w:rPr/>
            </w:pPr>
            <w:r>
              <w:rPr/>
              <w:t> </w:t>
            </w:r>
          </w:p>
        </w:tc>
        <w:tc>
          <w:tcPr>
            <w:tcW w:w="11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3"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Release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3" w:type="dxa"/>
            <w:tcBorders/>
            <w:vAlign w:val="center"/>
          </w:tcPr>
          <w:p>
            <w:pPr>
              <w:pStyle w:val="TableContents"/>
              <w:bidi w:val="0"/>
              <w:spacing w:before="0" w:after="0"/>
              <w:ind w:left="0" w:right="0" w:hanging="0"/>
              <w:jc w:val="left"/>
              <w:rPr/>
            </w:pPr>
            <w:r>
              <w:rPr/>
              <w:t> </w:t>
            </w:r>
          </w:p>
        </w:tc>
        <w:tc>
          <w:tcPr>
            <w:tcW w:w="1133"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w:t>
              <w:noBreakHyphen/>
              <w:t>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3" w:type="dxa"/>
            <w:tcBorders/>
            <w:vAlign w:val="center"/>
          </w:tcPr>
          <w:p>
            <w:pPr>
              <w:pStyle w:val="TableContents"/>
              <w:bidi w:val="0"/>
              <w:spacing w:before="0" w:after="0"/>
              <w:ind w:left="0" w:right="0" w:hanging="0"/>
              <w:jc w:val="left"/>
              <w:rPr/>
            </w:pPr>
            <w:r>
              <w:rPr/>
              <w:t> </w:t>
            </w:r>
          </w:p>
        </w:tc>
        <w:tc>
          <w:tcPr>
            <w:tcW w:w="11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2,281</w:t>
            </w:r>
          </w:p>
        </w:tc>
        <w:tc>
          <w:tcPr>
            <w:tcW w:w="213" w:type="dxa"/>
            <w:tcBorders/>
            <w:vAlign w:val="center"/>
          </w:tcPr>
          <w:p>
            <w:pPr>
              <w:pStyle w:val="TableContents"/>
              <w:bidi w:val="0"/>
              <w:spacing w:before="0" w:after="0"/>
              <w:ind w:left="0" w:right="0" w:hanging="0"/>
              <w:jc w:val="left"/>
              <w:rPr/>
            </w:pPr>
            <w:r>
              <w:rPr/>
              <w:t> </w:t>
            </w:r>
          </w:p>
        </w:tc>
      </w:tr>
      <w:tr>
        <w:trPr/>
        <w:tc>
          <w:tcPr>
            <w:tcW w:w="30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5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Balance </w:t>
              <w:noBreakHyphen/>
              <w:t xml:space="preserve">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390,594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(386,122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4,550</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070"/>
        <w:gridCol w:w="146"/>
        <w:gridCol w:w="146"/>
        <w:gridCol w:w="676"/>
        <w:gridCol w:w="146"/>
        <w:gridCol w:w="146"/>
        <w:gridCol w:w="295"/>
        <w:gridCol w:w="486"/>
        <w:gridCol w:w="146"/>
        <w:gridCol w:w="146"/>
        <w:gridCol w:w="277"/>
        <w:gridCol w:w="1034"/>
        <w:gridCol w:w="146"/>
        <w:gridCol w:w="146"/>
        <w:gridCol w:w="243"/>
        <w:gridCol w:w="973"/>
        <w:gridCol w:w="166"/>
        <w:gridCol w:w="146"/>
        <w:gridCol w:w="324"/>
        <w:gridCol w:w="1134"/>
        <w:gridCol w:w="213"/>
      </w:tblGrid>
      <w:tr>
        <w:trPr/>
        <w:tc>
          <w:tcPr>
            <w:tcW w:w="3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7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1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 Paid</w:t>
              <w:noBreakHyphen/>
              <w:t>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58"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Stockholders'</w:t>
            </w:r>
          </w:p>
        </w:tc>
        <w:tc>
          <w:tcPr>
            <w:tcW w:w="213" w:type="dxa"/>
            <w:tcBorders/>
            <w:vAlign w:val="center"/>
          </w:tcPr>
          <w:p>
            <w:pPr>
              <w:pStyle w:val="TableContents"/>
              <w:bidi w:val="0"/>
              <w:spacing w:before="0" w:after="0"/>
              <w:ind w:left="0" w:right="0" w:hanging="0"/>
              <w:jc w:val="center"/>
              <w:rPr/>
            </w:pPr>
            <w:r>
              <w:rPr/>
              <w:t> </w:t>
            </w:r>
          </w:p>
        </w:tc>
      </w:tr>
      <w:tr>
        <w:trPr/>
        <w:tc>
          <w:tcPr>
            <w:tcW w:w="307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Balance </w:t>
              <w:noBreakHyphen/>
              <w:t xml:space="preserve">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(301,973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19,727</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for deferred offering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w:t>
              <w:noBreakHyphen/>
              <w:t>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325,308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(317,559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7,781</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7" w:name="condensed_statements_cash_flows_unaudite"/>
      <w:bookmarkEnd w:id="7"/>
      <w:r>
        <w:rPr>
          <w:rFonts w:ascii="Times New Roman;serif" w:hAnsi="Times New Roman;serif"/>
          <w:b/>
          <w:sz w:val="20"/>
        </w:rPr>
        <w:t>Condensed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tbl>
      <w:tblPr>
        <w:tblW w:w="9981" w:type="dxa"/>
        <w:jc w:val="left"/>
        <w:tblInd w:w="0" w:type="dxa"/>
        <w:tblLayout w:type="fixed"/>
        <w:tblCellMar>
          <w:top w:w="28" w:type="dxa"/>
          <w:left w:w="28" w:type="dxa"/>
          <w:bottom w:w="28" w:type="dxa"/>
          <w:right w:w="28" w:type="dxa"/>
        </w:tblCellMar>
      </w:tblPr>
      <w:tblGrid>
        <w:gridCol w:w="6436"/>
        <w:gridCol w:w="146"/>
        <w:gridCol w:w="266"/>
        <w:gridCol w:w="931"/>
        <w:gridCol w:w="210"/>
        <w:gridCol w:w="184"/>
        <w:gridCol w:w="266"/>
        <w:gridCol w:w="931"/>
        <w:gridCol w:w="61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(18,702</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(15,586</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cash equivalents, and restricted</w:t>
              <w:br/>
              <w: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lease right-of-use assets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Share</w:t>
              <w:noBreakHyphen/>
              <w:t>based compensation expense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2,281</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doubtful accounts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interest, amortization of debt issuance costs and other</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1,357</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Inventory excess and obsolescence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Impairment loss on intangible assets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 and other accrued liabilities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(2,031</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(1,304</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Tenant improvement allowances received</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7,248</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Current and 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and restricted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(7,686</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(13,099</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283"/>
              <w:ind w:left="0" w:right="0" w:firstLine="4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(7,676</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Patent costs and intangible asset acquisition, net</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and restricted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(7,706</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issuance of common stock</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1,599</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contingent consideration</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term loan and notes payable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Repayment of term loan and notes payable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debt issuance costs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offering costs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 financing costs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and restricted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(2,421</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(17,813</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(16,285</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Cash, cash equivalents, and restricted cash </w:t>
              <w:noBreakHyphen/>
              <w:t xml:space="preserve"> beginning of period</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43,174</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32,798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Cash, cash equivalents, and restricted cash </w:t>
              <w:noBreakHyphen/>
              <w:t xml:space="preserve"> end of period</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25,361</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 w:hAnsi="Times New Roman"/>
          <w:sz w:val="20"/>
        </w:rPr>
      </w:pPr>
      <w:r>
        <w:rPr>
          <w:rFonts w:ascii="Times New Roman;serif" w:hAnsi="Times New Roman;serif"/>
          <w:b/>
          <w:sz w:val="20"/>
        </w:rPr>
        <w:t>Statements of Cash Flows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(Continued from the previous page)</w:t>
      </w:r>
    </w:p>
    <w:p>
      <w:pPr>
        <w:pStyle w:val="TextBody"/>
        <w:bidi w:val="0"/>
        <w:spacing w:before="240" w:after="0"/>
        <w:jc w:val="left"/>
        <w:rPr>
          <w:rFonts w:ascii="Times New Roman" w:hAnsi="Times New Roman"/>
          <w:sz w:val="20"/>
        </w:rPr>
      </w:pPr>
      <w:r>
        <w:rPr>
          <w:rFonts w:ascii="Times New Roman;serif" w:hAnsi="Times New Roman;serif"/>
          <w:b/>
          <w:sz w:val="20"/>
        </w:rPr>
        <w:t>Supplemental cash flow information</w:t>
      </w:r>
      <w:r>
        <w:rPr>
          <w:rFonts w:ascii="Times New Roman;serif" w:hAnsi="Times New Roman;serif"/>
          <w:b w:val="false"/>
          <w:sz w:val="20"/>
        </w:rPr>
        <w:t>:</w:t>
      </w:r>
    </w:p>
    <w:tbl>
      <w:tblPr>
        <w:tblW w:w="10205" w:type="dxa"/>
        <w:jc w:val="left"/>
        <w:tblInd w:w="0" w:type="dxa"/>
        <w:tblLayout w:type="fixed"/>
        <w:tblCellMar>
          <w:top w:w="28" w:type="dxa"/>
          <w:left w:w="28" w:type="dxa"/>
          <w:bottom w:w="28" w:type="dxa"/>
          <w:right w:w="28" w:type="dxa"/>
        </w:tblCellMar>
      </w:tblPr>
      <w:tblGrid>
        <w:gridCol w:w="7208"/>
        <w:gridCol w:w="146"/>
        <w:gridCol w:w="302"/>
        <w:gridCol w:w="818"/>
        <w:gridCol w:w="208"/>
        <w:gridCol w:w="208"/>
        <w:gridCol w:w="302"/>
        <w:gridCol w:w="818"/>
        <w:gridCol w:w="195"/>
      </w:tblGrid>
      <w:tr>
        <w:trPr/>
        <w:tc>
          <w:tcPr>
            <w:tcW w:w="7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2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11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issued for deferred offering costs</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8"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95" w:type="dxa"/>
            <w:tcBorders/>
            <w:vAlign w:val="center"/>
          </w:tcPr>
          <w:p>
            <w:pPr>
              <w:pStyle w:val="TableContents"/>
              <w:bidi w:val="0"/>
              <w:spacing w:before="0" w:after="0"/>
              <w:ind w:left="0" w:right="0" w:hanging="0"/>
              <w:jc w:val="left"/>
              <w:rPr/>
            </w:pPr>
            <w:r>
              <w:rPr/>
              <w:t> </w:t>
            </w:r>
          </w:p>
        </w:tc>
      </w:tr>
      <w:tr>
        <w:trPr/>
        <w:tc>
          <w:tcPr>
            <w:tcW w:w="72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offering costs amortized against Additional paid-in capital</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95" w:type="dxa"/>
            <w:tcBorders/>
            <w:vAlign w:val="center"/>
          </w:tcPr>
          <w:p>
            <w:pPr>
              <w:pStyle w:val="TableContents"/>
              <w:bidi w:val="0"/>
              <w:spacing w:before="0" w:after="0"/>
              <w:ind w:left="0" w:right="0" w:hanging="0"/>
              <w:jc w:val="left"/>
              <w:rPr/>
            </w:pPr>
            <w:r>
              <w:rPr/>
              <w:t> </w:t>
            </w:r>
          </w:p>
        </w:tc>
      </w:tr>
      <w:tr>
        <w:trPr/>
        <w:tc>
          <w:tcPr>
            <w:tcW w:w="72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issuance costs included in Accounts payable and other accrued liabilities</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95" w:type="dxa"/>
            <w:tcBorders/>
            <w:vAlign w:val="center"/>
          </w:tcPr>
          <w:p>
            <w:pPr>
              <w:pStyle w:val="TableContents"/>
              <w:bidi w:val="0"/>
              <w:spacing w:before="0" w:after="0"/>
              <w:ind w:left="0" w:right="0" w:hanging="0"/>
              <w:jc w:val="left"/>
              <w:rPr/>
            </w:pPr>
            <w:r>
              <w:rPr/>
              <w:t> </w:t>
            </w:r>
          </w:p>
        </w:tc>
      </w:tr>
      <w:tr>
        <w:trPr/>
        <w:tc>
          <w:tcPr>
            <w:tcW w:w="72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financing costs included in Accounts payable and other accrued liabilities</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95" w:type="dxa"/>
            <w:tcBorders/>
            <w:vAlign w:val="center"/>
          </w:tcPr>
          <w:p>
            <w:pPr>
              <w:pStyle w:val="TableContents"/>
              <w:bidi w:val="0"/>
              <w:spacing w:before="0" w:after="0"/>
              <w:ind w:left="0" w:right="0" w:hanging="0"/>
              <w:jc w:val="left"/>
              <w:rPr/>
            </w:pPr>
            <w:r>
              <w:rPr/>
              <w:t> </w:t>
            </w:r>
          </w:p>
        </w:tc>
      </w:tr>
      <w:tr>
        <w:trPr/>
        <w:tc>
          <w:tcPr>
            <w:tcW w:w="72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obtained in exchange for lease liabilities at adoption of ASC 842</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1,269</w:t>
            </w:r>
          </w:p>
        </w:tc>
        <w:tc>
          <w:tcPr>
            <w:tcW w:w="195" w:type="dxa"/>
            <w:tcBorders/>
            <w:vAlign w:val="center"/>
          </w:tcPr>
          <w:p>
            <w:pPr>
              <w:pStyle w:val="TableContents"/>
              <w:bidi w:val="0"/>
              <w:spacing w:before="0" w:after="0"/>
              <w:ind w:left="0" w:right="0" w:hanging="0"/>
              <w:jc w:val="left"/>
              <w:rPr/>
            </w:pPr>
            <w:r>
              <w:rPr/>
              <w:t> </w:t>
            </w:r>
          </w:p>
        </w:tc>
      </w:tr>
      <w:tr>
        <w:trPr/>
        <w:tc>
          <w:tcPr>
            <w:tcW w:w="72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obtained in exchange for lease liabilities</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1,228</w:t>
            </w:r>
          </w:p>
        </w:tc>
        <w:tc>
          <w:tcPr>
            <w:tcW w:w="195" w:type="dxa"/>
            <w:tcBorders/>
            <w:vAlign w:val="center"/>
          </w:tcPr>
          <w:p>
            <w:pPr>
              <w:pStyle w:val="TableContents"/>
              <w:bidi w:val="0"/>
              <w:spacing w:before="0" w:after="0"/>
              <w:ind w:left="0" w:right="0" w:hanging="0"/>
              <w:jc w:val="left"/>
              <w:rPr/>
            </w:pPr>
            <w:r>
              <w:rPr/>
              <w:t> </w:t>
            </w:r>
          </w:p>
        </w:tc>
      </w:tr>
      <w:tr>
        <w:trPr/>
        <w:tc>
          <w:tcPr>
            <w:tcW w:w="72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right-of-use assets obtained in exchange for lease liabilities</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95" w:type="dxa"/>
            <w:tcBorders/>
            <w:vAlign w:val="center"/>
          </w:tcPr>
          <w:p>
            <w:pPr>
              <w:pStyle w:val="TableContents"/>
              <w:bidi w:val="0"/>
              <w:spacing w:before="0" w:after="0"/>
              <w:ind w:left="0" w:right="0" w:hanging="0"/>
              <w:jc w:val="left"/>
              <w:rPr/>
            </w:pPr>
            <w:r>
              <w:rPr/>
              <w:t> </w:t>
            </w:r>
          </w:p>
        </w:tc>
      </w:tr>
      <w:tr>
        <w:trPr/>
        <w:tc>
          <w:tcPr>
            <w:tcW w:w="72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95" w:type="dxa"/>
            <w:tcBorders/>
            <w:vAlign w:val="center"/>
          </w:tcPr>
          <w:p>
            <w:pPr>
              <w:pStyle w:val="TableContents"/>
              <w:bidi w:val="0"/>
              <w:spacing w:before="0" w:after="0"/>
              <w:ind w:left="0" w:right="0" w:hanging="0"/>
              <w:jc w:val="left"/>
              <w:rPr/>
            </w:pPr>
            <w:r>
              <w:rPr/>
              <w:t> </w:t>
            </w:r>
          </w:p>
        </w:tc>
      </w:tr>
      <w:tr>
        <w:trPr/>
        <w:tc>
          <w:tcPr>
            <w:tcW w:w="72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208"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8" w:name="notes_to_financial_statements"/>
      <w:bookmarkEnd w:id="8"/>
      <w:r>
        <w:rPr>
          <w:rFonts w:ascii="Times New Roman;serif" w:hAnsi="Times New Roman;serif"/>
          <w:b/>
          <w:sz w:val="20"/>
        </w:rPr>
        <w:t>Notes to Unaudited Condensed Financial Statements</w:t>
      </w:r>
    </w:p>
    <w:p>
      <w:pPr>
        <w:pStyle w:val="TextBody"/>
        <w:bidi w:val="0"/>
        <w:spacing w:before="240" w:after="0"/>
        <w:jc w:val="both"/>
        <w:rPr>
          <w:rFonts w:ascii="Times New Roman;serif" w:hAnsi="Times New Roman;serif"/>
          <w:b/>
          <w:sz w:val="20"/>
        </w:rPr>
      </w:pPr>
      <w:r>
        <w:rPr>
          <w:rFonts w:ascii="Times New Roman;serif" w:hAnsi="Times New Roman;serif"/>
          <w:b/>
          <w:sz w:val="20"/>
        </w:rPr>
        <w:t>Note 1 – Organization and Description of Business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Biodesix, Inc. (the “Company”, “Biodesix”, “we” “us” and “our”), formerly Elston Technologies, Inc., was incorporated in Delaware in 2005. The Company’s headquarters are in Colorado and the Company performs its blood-based diagnostic tests in its laboratory facilities, which are located in Boulder, Colorado and De Soto, Kansas. The Company conducts all of its operations within a single legal entity. Biodesix is a leading data-driven diagnostic solutions company leveraging state of the art technologies with its proprietary artificial intelligence platform to discover, develop, and commercialize solutions for clinical unmet needs, with a primary focus in lung disease. The Company develops diagnostic tests addressing important clinical questions by combining multi-omics through the power of artificial intelligence. We derive our revenue from two sources: (i) providing diagnostic testing services associated with (a) blood-based lung tests and (b) Coronavirus Disease 2019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Biodesix offers five Medicare-covered tests for patients with lung diseases. The blood based Nodify Lung® nodule risk assessment testing strategy, consisting of the Nodify XL2® and the Nodify CDT® tests, evaluates the risk of malignancy in incidental pulmonary nodules, enabling physicians to better triage patients to the most appropriate course of action. The blood based IQLung strategy for lung cancer patients integrates the GeneStrat® ddPCR test, the GeneStrat NGS test and the VeriStrat® test to support treatment decisions across all stages of lung cancer.</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also offers three SARS-CoV-2 tests. The Bio-Rad SARS-CoV-2 ddPCR test, the cPASS</w:t>
      </w:r>
      <w:r>
        <w:rPr>
          <w:rFonts w:ascii="Times New Roman;serif" w:hAnsi="Times New Roman;serif"/>
          <w:b w:val="false"/>
          <w:i/>
          <w:sz w:val="20"/>
        </w:rPr>
        <w:t xml:space="preserve"> </w:t>
      </w:r>
      <w:r>
        <w:rPr>
          <w:rFonts w:ascii="Times New Roman;serif" w:hAnsi="Times New Roman;serif"/>
          <w:b w:val="false"/>
          <w:sz w:val="20"/>
        </w:rPr>
        <w:t>neutralization antibody test kit, and the Platelia SARS-CoV-2 Total Ab test have been granted Emergency Use Authorization (EUA) by the Federal Drug Administration (FDA) under Section 564 of the Federal Food, Drug, and Cosmetic Act (FDCA).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The EUA declaration under Section 564 of the FDCA is distinct from and independent of the declaration by the Secretary of HHS of a public health emergency under Section 319 of the Public Health Service Act (the PHS Act). On January 30, 2023, the White House issued a Statement of Administration Policy announcing the President’s intention to allow the Public Health Emergency declaration under Section 319 to expire on May 11, 2023. Because the EUA declaration from the FDA is distinct from the declaration under Section 319 of the PHS Act, the FDA EUA may remain in effect beyond the duration of the Section 319 declaration. We cannot predict how long the EUAs for the SARS-CoV-2 tests will remain in place. In connection with the expected expiration of the Public Health Emergency declaration under Section 319, the Company will no longer provide COVID-19 diagnostic testing services commercially.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addition to diagnostic tests, the Company provides biopharmaceutical companies with services that include diagnostic research, clinical trial testing, and the discovery, development, and commercialization of companion diagnostics. The Company leverages the proprietary and advanced Diagnostic Cortex® AI (Artificial Intelligence) platform, to collaborate with many of the world’s leading biotechnology and pharmaceutical companies to solve complex diagnostic challenges in lung disease.</w:t>
      </w:r>
    </w:p>
    <w:p>
      <w:pPr>
        <w:pStyle w:val="TextBody"/>
        <w:bidi w:val="0"/>
        <w:spacing w:before="120" w:after="0"/>
        <w:jc w:val="both"/>
        <w:rPr>
          <w:rFonts w:ascii="Times New Roman;serif" w:hAnsi="Times New Roman;serif"/>
          <w:b/>
          <w:sz w:val="20"/>
        </w:rPr>
      </w:pPr>
      <w:r>
        <w:rPr>
          <w:rFonts w:ascii="Times New Roman;serif" w:hAnsi="Times New Roman;serif"/>
          <w:b/>
          <w:sz w:val="20"/>
        </w:rPr>
        <w:t>Blood-Based Lung Tests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offers five</w:t>
      </w:r>
      <w:r>
        <w:rPr>
          <w:rFonts w:ascii="Times New Roman" w:hAnsi="Times New Roman"/>
          <w:sz w:val="20"/>
        </w:rPr>
        <w:t xml:space="preserve"> </w:t>
      </w:r>
      <w:r>
        <w:rPr>
          <w:rFonts w:ascii="Times New Roman;serif" w:hAnsi="Times New Roman;serif"/>
          <w:b w:val="false"/>
          <w:sz w:val="20"/>
        </w:rPr>
        <w:t>blood-based lung cancer tests across the lung cancer continuum of care:</w:t>
      </w:r>
    </w:p>
    <w:p>
      <w:pPr>
        <w:pStyle w:val="TextBody"/>
        <w:bidi w:val="0"/>
        <w:spacing w:before="120" w:after="0"/>
        <w:jc w:val="both"/>
        <w:rPr>
          <w:rFonts w:ascii="Times New Roman;serif" w:hAnsi="Times New Roman;serif"/>
          <w:b w:val="false"/>
          <w:i/>
          <w:sz w:val="20"/>
          <w:u w:val="single"/>
        </w:rPr>
      </w:pPr>
      <w:r>
        <w:rPr>
          <w:rFonts w:ascii="Times New Roman;serif" w:hAnsi="Times New Roman;serif"/>
          <w:b w:val="false"/>
          <w:i/>
          <w:sz w:val="20"/>
          <w:u w:val="single"/>
        </w:rPr>
        <w:t>Diagnosis</w:t>
      </w:r>
    </w:p>
    <w:p>
      <w:pPr>
        <w:pStyle w:val="TextBody"/>
        <w:bidi w:val="0"/>
        <w:spacing w:before="120" w:after="0"/>
        <w:jc w:val="both"/>
        <w:rPr/>
      </w:pPr>
      <w:r>
        <w:rPr/>
        <w:t>•</w:t>
      </w:r>
    </w:p>
    <w:p>
      <w:pPr>
        <w:pStyle w:val="TextBody"/>
        <w:bidi w:val="0"/>
        <w:spacing w:before="120" w:after="283"/>
        <w:jc w:val="both"/>
        <w:rPr>
          <w:rFonts w:ascii="Times New Roman;serif" w:hAnsi="Times New Roman;serif"/>
          <w:sz w:val="20"/>
        </w:rPr>
      </w:pPr>
      <w:r>
        <w:rPr>
          <w:rFonts w:ascii="Times New Roman;serif" w:hAnsi="Times New Roman;serif"/>
          <w:b w:val="false"/>
          <w:i/>
          <w:sz w:val="20"/>
        </w:rPr>
        <w:t xml:space="preserve">Nodify XL2 </w:t>
      </w:r>
      <w:r>
        <w:rPr>
          <w:rFonts w:ascii="Times New Roman;serif" w:hAnsi="Times New Roman;serif"/>
          <w:b w:val="false"/>
          <w:sz w:val="20"/>
        </w:rPr>
        <w:t xml:space="preserve">and </w:t>
      </w:r>
      <w:r>
        <w:rPr>
          <w:rFonts w:ascii="Times New Roman;serif" w:hAnsi="Times New Roman;serif"/>
          <w:b w:val="false"/>
          <w:i/>
          <w:sz w:val="20"/>
        </w:rPr>
        <w:t>Nodify CDT</w:t>
      </w:r>
      <w:r>
        <w:rPr>
          <w:rFonts w:ascii="Times New Roman;serif" w:hAnsi="Times New Roman;serif"/>
          <w:sz w:val="20"/>
        </w:rPr>
        <w:t xml:space="preserve"> </w:t>
      </w:r>
      <w:r>
        <w:rPr>
          <w:rFonts w:ascii="Times New Roman;serif" w:hAnsi="Times New Roman;serif"/>
          <w:b w:val="false"/>
          <w:sz w:val="20"/>
        </w:rPr>
        <w:t>tests, marketed as our Nodify Lung Nodule Risk Assessment testing strategy, assess a suspicious lung nodule's risk of lung cancer to help identify the most appropriate treatment pathway. We believe we are the only company to offer two</w:t>
      </w:r>
      <w:r>
        <w:rPr>
          <w:rFonts w:ascii="Times New Roman;serif" w:hAnsi="Times New Roman;serif"/>
          <w:sz w:val="20"/>
        </w:rPr>
        <w:t xml:space="preserve"> </w:t>
      </w:r>
      <w:r>
        <w:rPr>
          <w:rFonts w:ascii="Times New Roman;serif" w:hAnsi="Times New Roman;serif"/>
          <w:b w:val="false"/>
          <w:sz w:val="20"/>
        </w:rPr>
        <w:t>commercial blood-based tests to help physicians reclassify risk of malignancy in patients with suspicious lung nodules.</w:t>
      </w:r>
    </w:p>
    <w:p>
      <w:pPr>
        <w:pStyle w:val="TextBody"/>
        <w:bidi w:val="0"/>
        <w:spacing w:before="120" w:after="0"/>
        <w:jc w:val="both"/>
        <w:rPr>
          <w:rFonts w:ascii="Times New Roman;serif" w:hAnsi="Times New Roman;serif"/>
          <w:b w:val="false"/>
          <w:i/>
          <w:sz w:val="20"/>
          <w:u w:val="single"/>
        </w:rPr>
      </w:pPr>
      <w:r>
        <w:rPr>
          <w:rFonts w:ascii="Times New Roman;serif" w:hAnsi="Times New Roman;serif"/>
          <w:b w:val="false"/>
          <w:i/>
          <w:sz w:val="20"/>
          <w:u w:val="single"/>
        </w:rPr>
        <w:t>Treatment &amp; Monitoring</w:t>
      </w:r>
    </w:p>
    <w:p>
      <w:pPr>
        <w:pStyle w:val="TextBody"/>
        <w:bidi w:val="0"/>
        <w:spacing w:before="120" w:after="0"/>
        <w:jc w:val="both"/>
        <w:rPr/>
      </w:pPr>
      <w:r>
        <w:rPr/>
        <w:t>•</w:t>
      </w:r>
    </w:p>
    <w:p>
      <w:pPr>
        <w:pStyle w:val="TextBody"/>
        <w:bidi w:val="0"/>
        <w:spacing w:before="120" w:after="0"/>
        <w:jc w:val="both"/>
        <w:rPr>
          <w:rFonts w:ascii="Times New Roman;serif" w:hAnsi="Times New Roman;serif"/>
          <w:sz w:val="20"/>
        </w:rPr>
      </w:pPr>
      <w:r>
        <w:rPr>
          <w:rFonts w:ascii="Times New Roman;serif" w:hAnsi="Times New Roman;serif"/>
          <w:b w:val="false"/>
          <w:i/>
          <w:sz w:val="20"/>
        </w:rPr>
        <w:t xml:space="preserve">GeneStrat ddPCR </w:t>
      </w:r>
      <w:r>
        <w:rPr>
          <w:rFonts w:ascii="Times New Roman;serif" w:hAnsi="Times New Roman;serif"/>
          <w:b w:val="false"/>
          <w:sz w:val="20"/>
        </w:rPr>
        <w:t xml:space="preserve">and </w:t>
      </w:r>
      <w:r>
        <w:rPr>
          <w:rFonts w:ascii="Times New Roman;serif" w:hAnsi="Times New Roman;serif"/>
          <w:b w:val="false"/>
          <w:i/>
          <w:sz w:val="20"/>
        </w:rPr>
        <w:t>VeriStrat</w:t>
      </w:r>
      <w:r>
        <w:rPr>
          <w:rFonts w:ascii="Times New Roman;serif" w:hAnsi="Times New Roman;serif"/>
          <w:sz w:val="20"/>
        </w:rPr>
        <w:t xml:space="preserve"> </w:t>
      </w:r>
      <w:r>
        <w:rPr>
          <w:rFonts w:ascii="Times New Roman;serif" w:hAnsi="Times New Roman;serif"/>
          <w:b w:val="false"/>
          <w:sz w:val="20"/>
        </w:rPr>
        <w:t>tests, marketed as part of our IQLung testing strategy, are used following diagnosis of lung cancer to measure the presence of mutations in the tumor and the state of the patient’s immune system to establish the patient’s prognosis and help guide treatment decisions. The GeneStrat ddPCR tumor profiling test and the VeriStrat immune profiling test have a turnaround time of two business days, providing physicians with timely results to facilitate treatment decisions.</w:t>
      </w:r>
    </w:p>
    <w:p>
      <w:pPr>
        <w:pStyle w:val="TextBody"/>
        <w:bidi w:val="0"/>
        <w:spacing w:before="120" w:after="0"/>
        <w:jc w:val="both"/>
        <w:rPr/>
      </w:pPr>
      <w:r>
        <w:rPr/>
        <w:t>•</w:t>
      </w:r>
    </w:p>
    <w:p>
      <w:pPr>
        <w:pStyle w:val="TextBody"/>
        <w:bidi w:val="0"/>
        <w:spacing w:before="120" w:after="283"/>
        <w:jc w:val="both"/>
        <w:rPr>
          <w:rFonts w:ascii="Times New Roman;serif" w:hAnsi="Times New Roman;serif"/>
          <w:sz w:val="20"/>
        </w:rPr>
      </w:pPr>
      <w:r>
        <w:rPr>
          <w:rFonts w:ascii="Times New Roman;serif" w:hAnsi="Times New Roman;serif"/>
          <w:b w:val="false"/>
          <w:i/>
          <w:sz w:val="20"/>
        </w:rPr>
        <w:t xml:space="preserve">GeneStrat NGS </w:t>
      </w:r>
      <w:r>
        <w:rPr>
          <w:rFonts w:ascii="Times New Roman;serif" w:hAnsi="Times New Roman;serif"/>
          <w:b w:val="false"/>
          <w:sz w:val="20"/>
        </w:rPr>
        <w:t xml:space="preserve">(NGS) test, also marketed as part of our IQLung testing strategy, is our blood-based NGS test with results in three business days. The NGS test was launched in November 2021 to a select group of physicians, with national launch in January 2022. The 52-gene panel includes guideline recommended mutations to help physicians treating advanced-stage lung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cancer patients identify targeted therapy mutations in genes, such as EGFR, ALK, KRAS, MET, NTRK, ERBB2, and others, and delivers them in an expedited timeframe so patient treatment can begin sooner.</w:t>
      </w:r>
    </w:p>
    <w:p>
      <w:pPr>
        <w:pStyle w:val="TextBody"/>
        <w:bidi w:val="0"/>
        <w:spacing w:before="120" w:after="0"/>
        <w:jc w:val="both"/>
        <w:rPr>
          <w:rFonts w:ascii="Times New Roman" w:hAnsi="Times New Roman"/>
          <w:sz w:val="20"/>
        </w:rPr>
      </w:pPr>
      <w:r>
        <w:rPr>
          <w:rFonts w:ascii="Times New Roman;serif" w:hAnsi="Times New Roman;serif"/>
          <w:b/>
          <w:sz w:val="20"/>
        </w:rPr>
        <w:t>COVID-19 Tests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We operate and have commercialized the Biodesix WorkSafe testing program, under which the Company offers three</w:t>
      </w:r>
      <w:r>
        <w:rPr>
          <w:rFonts w:ascii="Times New Roman" w:hAnsi="Times New Roman"/>
          <w:sz w:val="20"/>
        </w:rPr>
        <w:t xml:space="preserve"> </w:t>
      </w:r>
      <w:r>
        <w:rPr>
          <w:rFonts w:ascii="Times New Roman;serif" w:hAnsi="Times New Roman;serif"/>
          <w:b w:val="false"/>
          <w:sz w:val="20"/>
        </w:rPr>
        <w:t>SARS-CoV-2 tests:</w:t>
      </w:r>
    </w:p>
    <w:p>
      <w:pPr>
        <w:pStyle w:val="TextBody"/>
        <w:bidi w:val="0"/>
        <w:spacing w:before="120" w:after="0"/>
        <w:jc w:val="both"/>
        <w:rPr/>
      </w:pPr>
      <w:r>
        <w:rPr/>
        <w:t>•</w:t>
      </w:r>
    </w:p>
    <w:p>
      <w:pPr>
        <w:pStyle w:val="TextBody"/>
        <w:bidi w:val="0"/>
        <w:spacing w:before="120" w:after="0"/>
        <w:jc w:val="both"/>
        <w:rPr>
          <w:rFonts w:ascii="Times New Roman;serif" w:hAnsi="Times New Roman;serif"/>
          <w:sz w:val="20"/>
        </w:rPr>
      </w:pPr>
      <w:r>
        <w:rPr>
          <w:rFonts w:ascii="Times New Roman;serif" w:hAnsi="Times New Roman;serif"/>
          <w:b w:val="false"/>
          <w:i/>
          <w:sz w:val="20"/>
        </w:rPr>
        <w:t xml:space="preserve">Bio-Rad SARS-CoV-2 ddPCR </w:t>
      </w:r>
      <w:r>
        <w:rPr>
          <w:rFonts w:ascii="Times New Roman;serif" w:hAnsi="Times New Roman;serif"/>
          <w:b w:val="false"/>
          <w:sz w:val="20"/>
        </w:rPr>
        <w:t>test, which is FDA EUA authorized to be performed by Clinical Laboratory Institute Amendments (CLIA) authorized laboratories that perform high complexity tests. The ddPCR test is designed to detect the presence of current infection by the SARS-CoV-2 virus.</w:t>
      </w:r>
    </w:p>
    <w:p>
      <w:pPr>
        <w:pStyle w:val="TextBody"/>
        <w:bidi w:val="0"/>
        <w:spacing w:before="120" w:after="0"/>
        <w:jc w:val="both"/>
        <w:rPr/>
      </w:pPr>
      <w:r>
        <w:rPr/>
        <w:t>•</w:t>
      </w:r>
    </w:p>
    <w:p>
      <w:pPr>
        <w:pStyle w:val="TextBody"/>
        <w:bidi w:val="0"/>
        <w:spacing w:before="120" w:after="0"/>
        <w:jc w:val="both"/>
        <w:rPr>
          <w:rFonts w:ascii="Times New Roman;serif" w:hAnsi="Times New Roman;serif"/>
          <w:sz w:val="20"/>
        </w:rPr>
      </w:pPr>
      <w:r>
        <w:rPr>
          <w:rFonts w:ascii="Times New Roman;serif" w:hAnsi="Times New Roman;serif"/>
          <w:b w:val="false"/>
          <w:i/>
          <w:sz w:val="20"/>
        </w:rPr>
        <w:t xml:space="preserve">Platelia SARS-CoV-2 Total Ab </w:t>
      </w:r>
      <w:r>
        <w:rPr>
          <w:rFonts w:ascii="Times New Roman;serif" w:hAnsi="Times New Roman;serif"/>
          <w:b w:val="false"/>
          <w:sz w:val="20"/>
        </w:rPr>
        <w:t>test, which is an antibody test, FDA EUA authorized by the FDA, intended for detecting a B-cell immune response to SARS-CoV-2, indicating recent or prior infection.</w:t>
      </w:r>
    </w:p>
    <w:p>
      <w:pPr>
        <w:pStyle w:val="TextBody"/>
        <w:bidi w:val="0"/>
        <w:spacing w:before="120" w:after="0"/>
        <w:jc w:val="both"/>
        <w:rPr/>
      </w:pPr>
      <w:r>
        <w:rPr/>
        <w:t>•</w:t>
      </w:r>
    </w:p>
    <w:p>
      <w:pPr>
        <w:pStyle w:val="TextBody"/>
        <w:bidi w:val="0"/>
        <w:spacing w:before="120" w:after="283"/>
        <w:jc w:val="both"/>
        <w:rPr>
          <w:rFonts w:ascii="Times New Roman;serif" w:hAnsi="Times New Roman;serif"/>
          <w:sz w:val="20"/>
        </w:rPr>
      </w:pPr>
      <w:r>
        <w:rPr>
          <w:rFonts w:ascii="Times New Roman;serif" w:hAnsi="Times New Roman;serif"/>
          <w:b w:val="false"/>
          <w:i/>
          <w:sz w:val="20"/>
        </w:rPr>
        <w:t xml:space="preserve">cPass SARS-CoV-2 Neutralization Antibody </w:t>
      </w:r>
      <w:r>
        <w:rPr>
          <w:rFonts w:ascii="Times New Roman;serif" w:hAnsi="Times New Roman;serif"/>
          <w:b w:val="false"/>
          <w:sz w:val="20"/>
        </w:rPr>
        <w:t>test, which is the first blood-based surrogate neutralizing antibody test with FDA EUA and uses ELISA technology to qualitatively detect circulating neutralizing antibodies to the receptor binding domain (RBD) in the spike protein of SARS-CoV-2 that are produced in response to a previous SARS-CoV-2 infection. This test was commercially introduced in partnership with GenScript Biotech Corporation.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These tests under the Biodesix WorkSafe testing program are utilized by healthcare providers, including hospitals and nursing homes, and are also offered to businesses and educational systems.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January 30, 2023, the White House issued a Statement of Administration Policy announcing the President’s intention to allow the Public Health Emergency declaration under Section 319 to expire on May 11, 2023. In connection with the expected expiration of the Public Health Emergency declaration under Section 319, the Company will no longer provide COVID-19 diagnostic testing services commercially.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 The Company’s testing services are made available through its clinical laboratories.</w:t>
      </w:r>
    </w:p>
    <w:p>
      <w:pPr>
        <w:pStyle w:val="TextBody"/>
        <w:bidi w:val="0"/>
        <w:spacing w:before="240" w:after="0"/>
        <w:jc w:val="both"/>
        <w:rPr>
          <w:rFonts w:ascii="Times New Roman;serif" w:hAnsi="Times New Roman;serif"/>
          <w:b/>
          <w:sz w:val="20"/>
        </w:rPr>
      </w:pPr>
      <w:r>
        <w:rPr>
          <w:rFonts w:ascii="Times New Roman;serif" w:hAnsi="Times New Roman;serif"/>
          <w:b/>
          <w:sz w:val="20"/>
        </w:rPr>
        <w:t>Note 2 – Summary of Significant Accounting Policies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2022.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2022 was derived from the audited financial statements.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Liquidity and Capital Resources</w:t>
      </w:r>
    </w:p>
    <w:p>
      <w:pPr>
        <w:pStyle w:val="TextBody"/>
        <w:bidi w:val="0"/>
        <w:spacing w:before="120" w:after="0"/>
        <w:jc w:val="both"/>
        <w:rPr>
          <w:rFonts w:ascii="Times New Roman" w:hAnsi="Times New Roman"/>
          <w:sz w:val="20"/>
        </w:rPr>
      </w:pPr>
      <w:r>
        <w:rPr>
          <w:rFonts w:ascii="Times New Roman;serif" w:hAnsi="Times New Roman;serif"/>
          <w:b w:val="false"/>
          <w:sz w:val="20"/>
        </w:rPr>
        <w:t>As of March 31, 2023, we maintained cash and cash equivalents of $25.3</w:t>
      </w:r>
      <w:r>
        <w:rPr>
          <w:rFonts w:ascii="Times New Roman" w:hAnsi="Times New Roman"/>
          <w:sz w:val="20"/>
        </w:rPr>
        <w:t xml:space="preserve"> </w:t>
      </w:r>
      <w:r>
        <w:rPr>
          <w:rFonts w:ascii="Times New Roman;serif" w:hAnsi="Times New Roman;serif"/>
          <w:b w:val="false"/>
          <w:sz w:val="20"/>
        </w:rPr>
        <w:t>million and we have $30.0</w:t>
      </w:r>
      <w:r>
        <w:rPr>
          <w:rFonts w:ascii="Times New Roman" w:hAnsi="Times New Roman"/>
          <w:sz w:val="20"/>
        </w:rPr>
        <w:t xml:space="preserve"> </w:t>
      </w:r>
      <w:r>
        <w:rPr>
          <w:rFonts w:ascii="Times New Roman;serif" w:hAnsi="Times New Roman;serif"/>
          <w:b w:val="false"/>
          <w:sz w:val="20"/>
        </w:rPr>
        <w:t xml:space="preserve">million in outstanding aggregate principal amount on our Perceptive Term Loan Facility (see Note </w:t>
      </w:r>
      <w:r>
        <w:rPr>
          <w:rFonts w:ascii="Times New Roman;serif" w:hAnsi="Times New Roman;serif"/>
          <w:b w:val="false"/>
          <w:i/>
          <w:sz w:val="20"/>
        </w:rPr>
        <w:t>6</w:t>
      </w:r>
      <w:r>
        <w:rPr>
          <w:rFonts w:ascii="Times New Roman" w:hAnsi="Times New Roman"/>
          <w:sz w:val="20"/>
        </w:rPr>
        <w:t xml:space="preserve"> – </w:t>
      </w:r>
      <w:r>
        <w:rPr>
          <w:rFonts w:ascii="Times New Roman;serif" w:hAnsi="Times New Roman;serif"/>
          <w:b w:val="false"/>
          <w:i/>
          <w:sz w:val="20"/>
        </w:rPr>
        <w:t>Debt</w:t>
      </w:r>
      <w:r>
        <w:rPr>
          <w:rFonts w:ascii="Times New Roman;serif" w:hAnsi="Times New Roman;serif"/>
          <w:b w:val="false"/>
          <w:sz w:val="20"/>
        </w:rPr>
        <w:t xml:space="preserv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COVID-19 testing, and (ii) providing biopharmaceutical companies with development and testing services. In accordance with Accounting Standards Update 2014-15 (ASC Topic 205-40), </w:t>
      </w:r>
      <w:r>
        <w:rPr>
          <w:rFonts w:ascii="Times New Roman;serif" w:hAnsi="Times New Roman;serif"/>
          <w:b w:val="false"/>
          <w:i/>
          <w:sz w:val="20"/>
        </w:rPr>
        <w:t>Presentation of Financial Statements - Going Concern: Disclosure of Uncertainties about an Entity’s Ability to Continue as a Going Concern</w:t>
      </w:r>
      <w:r>
        <w:rPr>
          <w:rFonts w:ascii="Times New Roman;serif" w:hAnsi="Times New Roman;serif"/>
          <w:b w:val="false"/>
          <w:sz w:val="20"/>
        </w:rPr>
        <w:t>, the Company is required to 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Our ability to meet our obligations as they come due may be impacted by our ability to remain compliant with financial covenants in our Perceptive Term Loan Facility (see Note </w:t>
      </w:r>
      <w:r>
        <w:rPr>
          <w:rFonts w:ascii="Times New Roman;serif" w:hAnsi="Times New Roman;serif"/>
          <w:b w:val="false"/>
          <w:i/>
          <w:sz w:val="20"/>
        </w:rPr>
        <w:t>6</w:t>
      </w:r>
      <w:r>
        <w:rPr>
          <w:rFonts w:ascii="Times New Roman" w:hAnsi="Times New Roman"/>
          <w:sz w:val="20"/>
        </w:rPr>
        <w:t xml:space="preserve"> – </w:t>
      </w:r>
      <w:r>
        <w:rPr>
          <w:rFonts w:ascii="Times New Roman;serif" w:hAnsi="Times New Roman;serif"/>
          <w:b w:val="false"/>
          <w:i/>
          <w:sz w:val="20"/>
        </w:rPr>
        <w:t>Debt</w:t>
      </w:r>
      <w:r>
        <w:rPr>
          <w:rFonts w:ascii="Times New Roman;serif" w:hAnsi="Times New Roman;serif"/>
          <w:b w:val="false"/>
          <w:sz w:val="20"/>
        </w:rPr>
        <w:t>) or to obtain waivers or amendments that impact the related covenants. The Company was in compliance with all restrictive covenants associated with its borrowing and entered into a limited waiver on April 7, 2023, under which the Lender agreed to waive the minimum revenue requirement for the three months ended March 31, 2023 (Limited Waiver).</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Based on our current operating plan, unless we continue to raise additional capital (debt or equity) or obtain a waiver from complying with such financial covenants, we expect that we will be unable to maintain our financial covenants under our existing loan agreement during the next twelve months, which could result in an Event of Default (as defined in the Perceptive Term Loan Facility), causing an acceleration and repayment of the outstanding balances. We have taken steps to improve our liquidity through raising debt and equity capital and amended the agreement with Integrated Diagnostics (Indi) during 2022 to delay near term cash requirements and extend the period of milestone payments. We have also undertaken several proactive measures including, among other things, the reduction of planned capital expenditures and certain operating expenses but we do not expect that these actions alone will be sufficient to maintain our financial covenants. The Perceptive Term Loan Facility requires the Company to recognize revenue in amounts agreed to between the Company and Perceptive as of the last day of each fiscal quarter commencing on the fiscal quarter ending March 31, 2023, subject to the Limited Waiver described above. 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raise additional capital through debt financing, we may be subject to covenants limiting or restricting our ability to take specific actions, such as incurring additional debt, making 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after these financial statements are issued. Our unaudited financial statements have been prepared assuming we will continue as a going concern and do not include any adjustments that might be necessary should we be unable to continue as a going concern.</w:t>
      </w:r>
    </w:p>
    <w:p>
      <w:pPr>
        <w:pStyle w:val="TextBody"/>
        <w:bidi w:val="0"/>
        <w:spacing w:before="120" w:after="0"/>
        <w:jc w:val="both"/>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Concentrations of Credit Risk and Other Uncertainties</w:t>
      </w:r>
    </w:p>
    <w:p>
      <w:pPr>
        <w:pStyle w:val="TextBody"/>
        <w:bidi w:val="0"/>
        <w:spacing w:before="120" w:after="0"/>
        <w:jc w:val="both"/>
        <w:rPr>
          <w:rFonts w:ascii="Times New Roman" w:hAnsi="Times New Roman"/>
          <w:sz w:val="20"/>
        </w:rPr>
      </w:pPr>
      <w:r>
        <w:rPr>
          <w:rFonts w:ascii="Times New Roman;serif" w:hAnsi="Times New Roman;serif"/>
          <w:b w:val="false"/>
          <w:sz w:val="20"/>
        </w:rPr>
        <w:t>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pStyle w:val="TextBody"/>
        <w:bidi w:val="0"/>
        <w:spacing w:before="120" w:after="0"/>
        <w:jc w:val="both"/>
        <w:rPr>
          <w:rFonts w:ascii="Times New Roman" w:hAnsi="Times New Roman"/>
          <w:sz w:val="20"/>
        </w:rPr>
      </w:pPr>
      <w:r>
        <w:rPr>
          <w:rFonts w:ascii="Times New Roman;serif" w:hAnsi="Times New Roman;serif"/>
          <w:b w:val="false"/>
          <w:sz w:val="20"/>
        </w:rPr>
        <w:t>For a discussion of credit risk concentration of accounts receivable as of March 31, 2023 and December 31, 2022, see Note 9</w:t>
      </w:r>
      <w:r>
        <w:rPr>
          <w:rFonts w:ascii="Times New Roman" w:hAnsi="Times New Roman"/>
          <w:sz w:val="20"/>
        </w:rPr>
        <w:t xml:space="preserve"> – </w:t>
      </w:r>
      <w:r>
        <w:rPr>
          <w:rFonts w:ascii="Times New Roman;serif" w:hAnsi="Times New Roman;serif"/>
          <w:b w:val="false"/>
          <w:i/>
          <w:sz w:val="20"/>
        </w:rPr>
        <w:t>Revenue and Accounts Receivable Credit Concentration</w:t>
      </w:r>
      <w:r>
        <w:rPr>
          <w:rFonts w:ascii="Times New Roman;serif" w:hAnsi="Times New Roman;serif"/>
          <w:b w:val="false"/>
          <w:sz w:val="20"/>
        </w:rPr>
        <w:t>.</w:t>
      </w:r>
      <w:r>
        <w:rPr>
          <w:rFonts w:ascii="Times New Roman" w:hAnsi="Times New Roman"/>
          <w:sz w:val="20"/>
        </w:rPr>
        <w:t xml:space="preserve">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Restricted Cash</w:t>
      </w:r>
    </w:p>
    <w:p>
      <w:pPr>
        <w:pStyle w:val="TextBody"/>
        <w:bidi w:val="0"/>
        <w:spacing w:before="120" w:after="0"/>
        <w:jc w:val="both"/>
        <w:rPr>
          <w:rFonts w:ascii="Times New Roman" w:hAnsi="Times New Roman"/>
          <w:sz w:val="20"/>
        </w:rPr>
      </w:pPr>
      <w:r>
        <w:rPr>
          <w:rFonts w:ascii="Times New Roman;serif" w:hAnsi="Times New Roman;serif"/>
          <w:b w:val="false"/>
          <w:sz w:val="20"/>
        </w:rPr>
        <w:t>Restricted cash consists of deposits related to the Company’s corporate credit card. As of March 31, 2023 and December 31, 2022, the Company</w:t>
      </w:r>
      <w:r>
        <w:rPr>
          <w:rFonts w:ascii="Times New Roman" w:hAnsi="Times New Roman"/>
          <w:sz w:val="20"/>
        </w:rPr>
        <w:t xml:space="preserve"> </w:t>
      </w:r>
      <w:r>
        <w:rPr>
          <w:rFonts w:ascii="Times New Roman;serif" w:hAnsi="Times New Roman;serif"/>
          <w:b w:val="false"/>
          <w:sz w:val="20"/>
        </w:rPr>
        <w:t>had $0.1</w:t>
      </w:r>
      <w:r>
        <w:rPr>
          <w:rFonts w:ascii="Times New Roman" w:hAnsi="Times New Roman"/>
          <w:sz w:val="20"/>
        </w:rPr>
        <w:t xml:space="preserve"> </w:t>
      </w:r>
      <w:r>
        <w:rPr>
          <w:rFonts w:ascii="Times New Roman;serif" w:hAnsi="Times New Roman;serif"/>
          <w:b w:val="false"/>
          <w:sz w:val="20"/>
        </w:rPr>
        <w:t>million restricted cash, respectively, which was included in ‘Other current assets</w:t>
      </w:r>
      <w:r>
        <w:rPr>
          <w:rFonts w:ascii="Times New Roman" w:hAnsi="Times New Roman"/>
          <w:sz w:val="20"/>
        </w:rPr>
        <w:t xml:space="preserve">’ </w:t>
      </w:r>
      <w:r>
        <w:rPr>
          <w:rFonts w:ascii="Times New Roman;serif" w:hAnsi="Times New Roman;serif"/>
          <w:b w:val="false"/>
          <w:sz w:val="20"/>
        </w:rPr>
        <w:t>in the accompanying condensed balance sheets.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Inventory</w:t>
      </w:r>
    </w:p>
    <w:p>
      <w:pPr>
        <w:pStyle w:val="TextBody"/>
        <w:bidi w:val="0"/>
        <w:spacing w:before="120" w:after="0"/>
        <w:jc w:val="both"/>
        <w:rPr>
          <w:rFonts w:ascii="Times New Roman" w:hAnsi="Times New Roman"/>
          <w:sz w:val="20"/>
        </w:rPr>
      </w:pPr>
      <w:r>
        <w:rPr>
          <w:rFonts w:ascii="Times New Roman;serif" w:hAnsi="Times New Roman;serif"/>
          <w:b w:val="false"/>
          <w:sz w:val="20"/>
        </w:rPr>
        <w:t>Inventory consists primarily of material supplies, which are consumed in the performance of testing services and charged to ‘Direct costs and expenses’. Inventory is stated at cost and reported within ‘Other current assets’ in the condensed balance sheets and was $1.3</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as of March 31, 2023 and December 31, 2022, respectively. The Company recorded a reserve for excess inventory of $0.1</w:t>
      </w:r>
      <w:r>
        <w:rPr>
          <w:rFonts w:ascii="Times New Roman" w:hAnsi="Times New Roman"/>
          <w:sz w:val="20"/>
        </w:rPr>
        <w:t xml:space="preserve"> </w:t>
      </w:r>
      <w:r>
        <w:rPr>
          <w:rFonts w:ascii="Times New Roman;serif" w:hAnsi="Times New Roman;serif"/>
          <w:b w:val="false"/>
          <w:sz w:val="20"/>
        </w:rPr>
        <w:t>million, primarily associated with the wind down of the COVID-19 testing operation, as of March 31, 2023 and December 31, 2022, respectively. During the three months ended March 31, 2023 and 2022, the Company recorded an insignificant amount</w:t>
      </w:r>
      <w:r>
        <w:rPr>
          <w:rFonts w:ascii="Times New Roman" w:hAnsi="Times New Roman"/>
          <w:sz w:val="20"/>
        </w:rPr>
        <w:t xml:space="preserve"> </w:t>
      </w:r>
      <w:r>
        <w:rPr>
          <w:rFonts w:ascii="Times New Roman;serif" w:hAnsi="Times New Roman;serif"/>
          <w:b w:val="false"/>
          <w:sz w:val="20"/>
        </w:rPr>
        <w:t>and $0.4</w:t>
      </w:r>
      <w:r>
        <w:rPr>
          <w:rFonts w:ascii="Times New Roman" w:hAnsi="Times New Roman"/>
          <w:sz w:val="20"/>
        </w:rPr>
        <w:t xml:space="preserve"> </w:t>
      </w:r>
      <w:r>
        <w:rPr>
          <w:rFonts w:ascii="Times New Roman;serif" w:hAnsi="Times New Roman;serif"/>
          <w:b w:val="false"/>
          <w:sz w:val="20"/>
        </w:rPr>
        <w:t>million, respectively, to the condensed statement of operations for excess and obsolete inventory.</w:t>
      </w:r>
    </w:p>
    <w:p>
      <w:pPr>
        <w:pStyle w:val="TextBody"/>
        <w:bidi w:val="0"/>
        <w:spacing w:before="120" w:after="0"/>
        <w:jc w:val="both"/>
        <w:rPr>
          <w:rFonts w:ascii="Times New Roman;serif" w:hAnsi="Times New Roman;serif"/>
          <w:b/>
          <w:i/>
          <w:sz w:val="20"/>
        </w:rPr>
      </w:pPr>
      <w:r>
        <w:rPr>
          <w:rFonts w:ascii="Times New Roman;serif" w:hAnsi="Times New Roman;serif"/>
          <w:b/>
          <w:i/>
          <w:sz w:val="20"/>
        </w:rPr>
        <w:t>Leases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acts as a lessee under all its lease agreements and holds various real estate leases for its headquarters and laboratory facilities in Boulder, Colorado and De Soto, Kansas and other various copier and storage facility leases.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Company elected the following practical expedients as part of the adoption of ASC 842, </w:t>
      </w:r>
      <w:r>
        <w:rPr>
          <w:rFonts w:ascii="Times New Roman;serif" w:hAnsi="Times New Roman;serif"/>
          <w:b w:val="false"/>
          <w:i/>
          <w:sz w:val="20"/>
        </w:rPr>
        <w:t>Leases</w:t>
      </w:r>
      <w:r>
        <w:rPr>
          <w:rFonts w:ascii="Times New Roman;serif" w:hAnsi="Times New Roman;serif"/>
          <w:b w:val="false"/>
          <w:sz w:val="20"/>
        </w:rPr>
        <w: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Package of practical expedients which allows the Company to carry forward the historical lease classification;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Hindsight practical expedient which allows the Company to use hindsight in determining the lease term, in assessing purchase options, and in assessing impairment of right-of-use (ROU) assets;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Short-term lease practical expedient which allows the Company to capitalize only those leases with an initial term of twelve months or more;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practical expedient to account for lease and non-lease components (such as common area maintenance, utilities, insurance and taxes) as a single lease component for all classes of underlying assets.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Management determines if an arrangement is a lease at inception or upon modification of a contract.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Additional information and disclosures required by this standard are contained in Note 7 </w:t>
      </w:r>
      <w:r>
        <w:rPr>
          <w:rFonts w:ascii="Times New Roman" w:hAnsi="Times New Roman"/>
          <w:sz w:val="20"/>
        </w:rPr>
        <w:t xml:space="preserve">— </w:t>
      </w:r>
      <w:r>
        <w:rPr>
          <w:rFonts w:ascii="Times New Roman;serif" w:hAnsi="Times New Roman;serif"/>
          <w:b w:val="false"/>
          <w:i/>
          <w:sz w:val="20"/>
        </w:rPr>
        <w:t>Leases</w:t>
      </w:r>
      <w:r>
        <w:rPr>
          <w:rFonts w:ascii="Times New Roman;serif" w:hAnsi="Times New Roman;serif"/>
          <w:b w:val="false"/>
          <w:sz w:val="20"/>
        </w:rPr>
        <w:t>.</w:t>
      </w:r>
    </w:p>
    <w:p>
      <w:pPr>
        <w:pStyle w:val="TextBody"/>
        <w:bidi w:val="0"/>
        <w:spacing w:before="120" w:after="0"/>
        <w:jc w:val="both"/>
        <w:rPr>
          <w:rFonts w:ascii="Times New Roman;serif" w:hAnsi="Times New Roman;serif"/>
          <w:b/>
          <w:i/>
          <w:sz w:val="20"/>
        </w:rPr>
      </w:pPr>
      <w:r>
        <w:rPr>
          <w:rFonts w:ascii="Times New Roman;serif" w:hAnsi="Times New Roman;serif"/>
          <w:b/>
          <w:i/>
          <w:sz w:val="20"/>
        </w:rPr>
        <w:t>Other Assets</w:t>
      </w:r>
    </w:p>
    <w:p>
      <w:pPr>
        <w:pStyle w:val="TextBody"/>
        <w:bidi w:val="0"/>
        <w:spacing w:before="120" w:after="0"/>
        <w:jc w:val="both"/>
        <w:rPr>
          <w:rFonts w:ascii="Times New Roman" w:hAnsi="Times New Roman"/>
          <w:sz w:val="20"/>
        </w:rPr>
      </w:pPr>
      <w:r>
        <w:rPr>
          <w:rFonts w:ascii="Times New Roman;serif" w:hAnsi="Times New Roman;serif"/>
          <w:b w:val="false"/>
          <w:sz w:val="20"/>
        </w:rPr>
        <w:t>As of March 31, 2023 and December 31, 2022, the Company has a $5.0</w:t>
      </w:r>
      <w:r>
        <w:rPr>
          <w:rFonts w:ascii="Times New Roman" w:hAnsi="Times New Roman"/>
          <w:sz w:val="20"/>
        </w:rPr>
        <w:t xml:space="preserve"> </w:t>
      </w:r>
      <w:r>
        <w:rPr>
          <w:rFonts w:ascii="Times New Roman;serif" w:hAnsi="Times New Roman;serif"/>
          <w:b w:val="false"/>
          <w:sz w:val="20"/>
        </w:rPr>
        <w:t xml:space="preserve">million cash refundable deposit to secure the performance of the Company’s obligations associated with the operating lease agreement with Centennial Valley Properties I, LLC (see Note 7 – </w:t>
      </w:r>
      <w:r>
        <w:rPr>
          <w:rFonts w:ascii="Times New Roman;serif" w:hAnsi="Times New Roman;serif"/>
          <w:b w:val="false"/>
          <w:i/>
          <w:sz w:val="20"/>
        </w:rPr>
        <w:t>Leases</w:t>
      </w:r>
      <w:r>
        <w:rPr>
          <w:rFonts w:ascii="Times New Roman;serif" w:hAnsi="Times New Roman;serif"/>
          <w:b w:val="false"/>
          <w:sz w:val="20"/>
        </w:rPr>
        <w:t>). The $5.0</w:t>
      </w:r>
      <w:r>
        <w:rPr>
          <w:rFonts w:ascii="Times New Roman" w:hAnsi="Times New Roman"/>
          <w:sz w:val="20"/>
        </w:rPr>
        <w:t xml:space="preserve"> </w:t>
      </w:r>
      <w:r>
        <w:rPr>
          <w:rFonts w:ascii="Times New Roman;serif" w:hAnsi="Times New Roman;serif"/>
          <w:b w:val="false"/>
          <w:sz w:val="20"/>
        </w:rPr>
        <w:t>million refundable deposit is reported within 'Other long-term assets' in the condensed balance sheets.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Fair Value of Financial Instruments</w:t>
      </w:r>
    </w:p>
    <w:p>
      <w:pPr>
        <w:pStyle w:val="TextBody"/>
        <w:bidi w:val="0"/>
        <w:spacing w:before="120" w:after="0"/>
        <w:jc w:val="both"/>
        <w:rPr>
          <w:rFonts w:ascii="Times New Roman" w:hAnsi="Times New Roman"/>
          <w:sz w:val="20"/>
        </w:rPr>
      </w:pPr>
      <w:r>
        <w:rPr>
          <w:rFonts w:ascii="Times New Roman;serif" w:hAnsi="Times New Roman;serif"/>
          <w:b w:val="false"/>
          <w:sz w:val="20"/>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fair value hierarchy. Fair value measurements are categorized within the fair value hierarchy based upon the lowest level of the most significant inputs used to determine fair value.</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three levels of the hierarchy and the related inputs are as follows:</w:t>
      </w:r>
    </w:p>
    <w:tbl>
      <w:tblPr>
        <w:tblW w:w="9013" w:type="dxa"/>
        <w:jc w:val="left"/>
        <w:tblInd w:w="0" w:type="dxa"/>
        <w:tblLayout w:type="fixed"/>
        <w:tblCellMar>
          <w:top w:w="28" w:type="dxa"/>
          <w:left w:w="28" w:type="dxa"/>
          <w:bottom w:w="28" w:type="dxa"/>
          <w:right w:w="28" w:type="dxa"/>
        </w:tblCellMar>
      </w:tblPr>
      <w:tblGrid>
        <w:gridCol w:w="601"/>
        <w:gridCol w:w="146"/>
        <w:gridCol w:w="826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Inputs</w:t>
            </w:r>
          </w:p>
        </w:tc>
      </w:tr>
      <w:tr>
        <w:trPr/>
        <w:tc>
          <w:tcPr>
            <w:tcW w:w="6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Unadjusted quoted prices in active markets for identical assets and liabilities.</w:t>
            </w:r>
          </w:p>
        </w:tc>
      </w:tr>
      <w:tr>
        <w:trPr/>
        <w:tc>
          <w:tcPr>
            <w:tcW w:w="6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Unadjusted quoted prices in active markets for similar assets and liabilities;</w:t>
            </w:r>
          </w:p>
        </w:tc>
      </w:tr>
      <w:tr>
        <w:trPr/>
        <w:tc>
          <w:tcPr>
            <w:tcW w:w="6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Unadjusted quoted prices for identical or similar assets or liabilities in markets that are not active; or</w:t>
            </w:r>
          </w:p>
        </w:tc>
      </w:tr>
      <w:tr>
        <w:trPr/>
        <w:tc>
          <w:tcPr>
            <w:tcW w:w="6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other than quoted prices that are observable for the asset or liability.</w:t>
            </w:r>
          </w:p>
        </w:tc>
      </w:tr>
      <w:tr>
        <w:trPr/>
        <w:tc>
          <w:tcPr>
            <w:tcW w:w="6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Unobservable inputs for the asset or liability.</w:t>
            </w:r>
          </w:p>
        </w:tc>
      </w:tr>
    </w:tbl>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See Note 4 </w:t>
      </w:r>
      <w:r>
        <w:rPr>
          <w:rFonts w:ascii="Times New Roman" w:hAnsi="Times New Roman"/>
          <w:sz w:val="20"/>
        </w:rPr>
        <w:t xml:space="preserve">— </w:t>
      </w:r>
      <w:r>
        <w:rPr>
          <w:rFonts w:ascii="Times New Roman;serif" w:hAnsi="Times New Roman;serif"/>
          <w:b w:val="false"/>
          <w:i/>
          <w:sz w:val="20"/>
        </w:rPr>
        <w:t xml:space="preserve">Fair Value </w:t>
      </w:r>
      <w:r>
        <w:rPr>
          <w:rFonts w:ascii="Times New Roman;serif" w:hAnsi="Times New Roman;serif"/>
          <w:b w:val="false"/>
          <w:sz w:val="20"/>
        </w:rPr>
        <w:t>for further discussion related to estimated fair value measurements.</w:t>
      </w:r>
    </w:p>
    <w:p>
      <w:pPr>
        <w:pStyle w:val="TextBody"/>
        <w:bidi w:val="0"/>
        <w:spacing w:before="240" w:after="0"/>
        <w:jc w:val="both"/>
        <w:rPr>
          <w:rFonts w:ascii="Times New Roman;serif" w:hAnsi="Times New Roman;serif"/>
          <w:b/>
          <w:sz w:val="20"/>
        </w:rPr>
      </w:pPr>
      <w:r>
        <w:rPr>
          <w:rFonts w:ascii="Times New Roman;serif" w:hAnsi="Times New Roman;serif"/>
          <w:b/>
          <w:sz w:val="20"/>
        </w:rPr>
        <w:t>Note 3 - Recent Issued Accounting Standards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Recently adopted accounting standards</w:t>
      </w:r>
    </w:p>
    <w:p>
      <w:pPr>
        <w:pStyle w:val="TextBody"/>
        <w:bidi w:val="0"/>
        <w:spacing w:before="120" w:after="0"/>
        <w:jc w:val="both"/>
        <w:rPr>
          <w:rFonts w:ascii="Times New Roman" w:hAnsi="Times New Roman"/>
          <w:sz w:val="20"/>
        </w:rPr>
      </w:pPr>
      <w:r>
        <w:rPr>
          <w:rFonts w:ascii="Times New Roman;serif" w:hAnsi="Times New Roman;serif"/>
          <w:b w:val="false"/>
          <w:sz w:val="20"/>
        </w:rPr>
        <w:t>In June 2016, the FASB issued ASU No. 2016-13,</w:t>
      </w:r>
      <w:r>
        <w:rPr>
          <w:rFonts w:ascii="Times New Roman" w:hAnsi="Times New Roman"/>
          <w:sz w:val="20"/>
        </w:rPr>
        <w:t xml:space="preserve"> </w:t>
      </w:r>
      <w:r>
        <w:rPr>
          <w:rFonts w:ascii="Times New Roman;serif" w:hAnsi="Times New Roman;serif"/>
          <w:b w:val="false"/>
          <w:i/>
          <w:sz w:val="20"/>
        </w:rPr>
        <w:t xml:space="preserve">Financial Instruments-Credit Losses: Measurement of Credit Losses on Financial Instruments </w:t>
      </w:r>
      <w:r>
        <w:rPr>
          <w:rFonts w:ascii="Times New Roman;serif" w:hAnsi="Times New Roman;serif"/>
          <w:b w:val="false"/>
          <w:sz w:val="20"/>
        </w:rPr>
        <w:t>(ASC Topic 326). This ASU requires measurement and recognition of expected credit losses for financial assets. This guidance became effective for the Company beginning January 1, 2023. The Company evaluated the guidance and determined the overall impact of the adoption had an immaterial impact on</w:t>
      </w:r>
      <w:r>
        <w:rPr>
          <w:rFonts w:ascii="Times New Roman" w:hAnsi="Times New Roman"/>
          <w:sz w:val="20"/>
        </w:rPr>
        <w:t xml:space="preserve"> </w:t>
      </w:r>
      <w:r>
        <w:rPr>
          <w:rFonts w:ascii="Times New Roman;serif" w:hAnsi="Times New Roman;serif"/>
          <w:b w:val="false"/>
          <w:sz w:val="20"/>
        </w:rPr>
        <w:t>our financial statements.</w:t>
      </w:r>
    </w:p>
    <w:p>
      <w:pPr>
        <w:pStyle w:val="TextBody"/>
        <w:bidi w:val="0"/>
        <w:spacing w:before="240" w:after="0"/>
        <w:jc w:val="both"/>
        <w:rPr>
          <w:rFonts w:ascii="Times New Roman" w:hAnsi="Times New Roman"/>
          <w:sz w:val="20"/>
        </w:rPr>
      </w:pPr>
      <w:r>
        <w:rPr>
          <w:rFonts w:ascii="Times New Roman;serif" w:hAnsi="Times New Roman;serif"/>
          <w:b/>
          <w:sz w:val="20"/>
        </w:rPr>
        <w:t>Note 4 - Fair Value</w:t>
      </w:r>
      <w:r>
        <w:rPr>
          <w:rFonts w:ascii="Times New Roman" w:hAnsi="Times New Roman"/>
          <w:sz w:val="20"/>
        </w:rPr>
        <w:t xml:space="preserve">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Recurring Fair Value Measurements</w:t>
      </w:r>
    </w:p>
    <w:p>
      <w:pPr>
        <w:pStyle w:val="TextBody"/>
        <w:bidi w:val="0"/>
        <w:spacing w:before="120" w:after="200"/>
        <w:jc w:val="both"/>
        <w:rPr>
          <w:rFonts w:ascii="Times New Roman" w:hAnsi="Times New Roman"/>
          <w:sz w:val="20"/>
        </w:rPr>
      </w:pPr>
      <w:r>
        <w:rPr>
          <w:rFonts w:ascii="Times New Roman;serif" w:hAnsi="Times New Roman;serif"/>
          <w:b w:val="false"/>
          <w:sz w:val="20"/>
        </w:rPr>
        <w:t>Our borrowing instruments are recorded at their carrying values in the condensed balance sheets, which may differ from their respective fair values. The fair value of borrowings as of March 31, 2023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fair value of outstanding borrowings as of March 31, 2023 approximates the carrying value. The difference between the carrying value and fair value of outstanding borrowings as of December 31, 2022</w:t>
      </w:r>
      <w:r>
        <w:rPr>
          <w:rFonts w:ascii="Times New Roman" w:hAnsi="Times New Roman"/>
          <w:sz w:val="20"/>
        </w:rPr>
        <w:t xml:space="preserve"> </w:t>
      </w:r>
      <w:r>
        <w:rPr>
          <w:rFonts w:ascii="Times New Roman;serif" w:hAnsi="Times New Roman;serif"/>
          <w:b w:val="false"/>
          <w:sz w:val="20"/>
        </w:rPr>
        <w:t>is due to the debt issuance costs and the fair value of the Perceptive Warrant netted against the Perceptive Term Loan Facility. 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12" w:type="dxa"/>
            <w:gridSpan w:val="2"/>
            <w:tcBorders/>
            <w:vAlign w:val="center"/>
          </w:tcPr>
          <w:p>
            <w:pPr>
              <w:pStyle w:val="TableContents"/>
              <w:bidi w:val="0"/>
              <w:spacing w:before="0" w:after="0"/>
              <w:ind w:left="0" w:right="0" w:hanging="0"/>
              <w:jc w:val="left"/>
              <w:rPr/>
            </w:pPr>
            <w:r>
              <w:rPr/>
              <w:t> </w:t>
            </w:r>
          </w:p>
        </w:tc>
        <w:tc>
          <w:tcPr>
            <w:tcW w:w="27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26,785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 xml:space="preserve">The financial liabilities that are measured and recorded at estimated fair value on a recurring basis consist of our contingent consideration associated with our previous acquisition of Indi and the warrant liabilities granted as consideration for the Perceptive Term Loan Facility (see Note 6 - </w:t>
      </w:r>
      <w:r>
        <w:rPr>
          <w:rFonts w:ascii="Times New Roman;serif" w:hAnsi="Times New Roman;serif"/>
          <w:b w:val="false"/>
          <w:i/>
          <w:sz w:val="20"/>
        </w:rPr>
        <w:t>Debt</w:t>
      </w:r>
      <w:r>
        <w:rPr>
          <w:rFonts w:ascii="Times New Roman;serif" w:hAnsi="Times New Roman;serif"/>
          <w:b w:val="false"/>
          <w:sz w:val="20"/>
        </w:rPr>
        <w:t>), which were accounted for as liabilities and remeasured through our condensed statements of operations.</w:t>
      </w:r>
    </w:p>
    <w:p>
      <w:pPr>
        <w:pStyle w:val="TextBody"/>
        <w:bidi w:val="0"/>
        <w:spacing w:before="120" w:after="200"/>
        <w:jc w:val="both"/>
        <w:rPr>
          <w:rFonts w:ascii="Times New Roman;serif" w:hAnsi="Times New Roman;serif"/>
          <w:b w:val="false"/>
          <w:sz w:val="20"/>
        </w:rPr>
      </w:pPr>
      <w:r>
        <w:rPr>
          <w:rFonts w:ascii="Times New Roman;serif" w:hAnsi="Times New Roman;serif"/>
          <w:b w:val="false"/>
          <w:sz w:val="20"/>
        </w:rPr>
        <w:t>The table below presents the reported fair values of contingent consideration and warrant liabilities, which are classified as Level 3 in the fair value hierarchy, as of the dates indicated (in thousands):</w:t>
      </w:r>
    </w:p>
    <w:tbl>
      <w:tblPr>
        <w:tblW w:w="7670" w:type="dxa"/>
        <w:jc w:val="left"/>
        <w:tblInd w:w="0" w:type="dxa"/>
        <w:tblLayout w:type="fixed"/>
        <w:tblCellMar>
          <w:top w:w="28" w:type="dxa"/>
          <w:left w:w="28" w:type="dxa"/>
          <w:bottom w:w="28" w:type="dxa"/>
          <w:right w:w="28" w:type="dxa"/>
        </w:tblCellMar>
      </w:tblPr>
      <w:tblGrid>
        <w:gridCol w:w="3676"/>
        <w:gridCol w:w="146"/>
        <w:gridCol w:w="342"/>
        <w:gridCol w:w="1098"/>
        <w:gridCol w:w="146"/>
        <w:gridCol w:w="146"/>
        <w:gridCol w:w="409"/>
        <w:gridCol w:w="1316"/>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457" w:type="dxa"/>
            <w:gridSpan w:val="6"/>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contingent consideration</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10,341</w:t>
            </w:r>
          </w:p>
        </w:tc>
        <w:tc>
          <w:tcPr>
            <w:tcW w:w="3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18,645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6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contingent consideration</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28,986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67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 liabilities</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following table presents the changes in contingent consideration and warrant liabilities for the dates indicated (in thousands):</w:t>
      </w:r>
    </w:p>
    <w:tbl>
      <w:tblPr>
        <w:tblW w:w="8007" w:type="dxa"/>
        <w:jc w:val="left"/>
        <w:tblInd w:w="0" w:type="dxa"/>
        <w:tblLayout w:type="fixed"/>
        <w:tblCellMar>
          <w:top w:w="28" w:type="dxa"/>
          <w:left w:w="28" w:type="dxa"/>
          <w:bottom w:w="28" w:type="dxa"/>
          <w:right w:w="28" w:type="dxa"/>
        </w:tblCellMar>
      </w:tblPr>
      <w:tblGrid>
        <w:gridCol w:w="3181"/>
        <w:gridCol w:w="146"/>
        <w:gridCol w:w="541"/>
        <w:gridCol w:w="1739"/>
        <w:gridCol w:w="223"/>
        <w:gridCol w:w="196"/>
        <w:gridCol w:w="635"/>
        <w:gridCol w:w="1135"/>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6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w:t>
              <w:br/>
              <w:t>March 31,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Level 3 Rollforward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Contingent Consideration</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17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Warrant Liabilities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balances - January 1, 2023</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28,986</w:t>
            </w:r>
          </w:p>
        </w:tc>
        <w:tc>
          <w:tcPr>
            <w:tcW w:w="22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w:t>
            </w:r>
          </w:p>
        </w:tc>
        <w:tc>
          <w:tcPr>
            <w:tcW w:w="146" w:type="dxa"/>
            <w:tcBorders/>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left"/>
              <w:rPr/>
            </w:pPr>
            <w:r>
              <w:rPr/>
              <w:t> </w:t>
            </w:r>
          </w:p>
        </w:tc>
        <w:tc>
          <w:tcPr>
            <w:tcW w:w="173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pPr>
            <w:r>
              <w:rPr/>
              <w:t> </w:t>
            </w:r>
          </w:p>
        </w:tc>
        <w:tc>
          <w:tcPr>
            <w:tcW w:w="1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w:t>
            </w:r>
          </w:p>
        </w:tc>
        <w:tc>
          <w:tcPr>
            <w:tcW w:w="22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6" w:type="dxa"/>
            <w:tcBorders/>
            <w:vAlign w:val="center"/>
          </w:tcPr>
          <w:p>
            <w:pPr>
              <w:pStyle w:val="TableContents"/>
              <w:bidi w:val="0"/>
              <w:spacing w:before="0" w:after="0"/>
              <w:ind w:left="0" w:right="0" w:hanging="0"/>
              <w:jc w:val="left"/>
              <w:rPr/>
            </w:pPr>
            <w:r>
              <w:rPr/>
              <w:t> </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balances - March 31, 2023</w:t>
            </w:r>
          </w:p>
        </w:tc>
        <w:tc>
          <w:tcPr>
            <w:tcW w:w="146" w:type="dxa"/>
            <w:tcBorders/>
            <w:vAlign w:val="center"/>
          </w:tcPr>
          <w:p>
            <w:pPr>
              <w:pStyle w:val="TableContents"/>
              <w:bidi w:val="0"/>
              <w:spacing w:before="0" w:after="0"/>
              <w:ind w:left="0" w:right="0" w:hanging="0"/>
              <w:jc w:val="left"/>
              <w:rPr/>
            </w:pPr>
            <w:r>
              <w:rPr/>
              <w:t> </w:t>
            </w:r>
          </w:p>
        </w:tc>
        <w:tc>
          <w:tcPr>
            <w:tcW w:w="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28,080</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the changes in contingent consideration as of the date indicated (in thousands):</w:t>
      </w:r>
    </w:p>
    <w:p>
      <w:pPr>
        <w:pStyle w:val="TextBody"/>
        <w:bidi w:val="0"/>
        <w:spacing w:before="0" w:after="0"/>
        <w:jc w:val="both"/>
        <w:rPr/>
      </w:pPr>
      <w:r>
        <w:rPr/>
        <w:t> </w:t>
      </w:r>
    </w:p>
    <w:tbl>
      <w:tblPr>
        <w:tblW w:w="7333" w:type="dxa"/>
        <w:jc w:val="left"/>
        <w:tblInd w:w="0" w:type="dxa"/>
        <w:tblLayout w:type="fixed"/>
        <w:tblCellMar>
          <w:top w:w="28" w:type="dxa"/>
          <w:left w:w="28" w:type="dxa"/>
          <w:bottom w:w="28" w:type="dxa"/>
          <w:right w:w="28" w:type="dxa"/>
        </w:tblCellMar>
      </w:tblPr>
      <w:tblGrid>
        <w:gridCol w:w="3196"/>
        <w:gridCol w:w="146"/>
        <w:gridCol w:w="899"/>
        <w:gridCol w:w="2881"/>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Level 3 Rollforward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March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balances - January 1, 2022</w:t>
            </w:r>
          </w:p>
        </w:tc>
        <w:tc>
          <w:tcPr>
            <w:tcW w:w="1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33,792</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of contingent consideration</w:t>
            </w:r>
          </w:p>
        </w:tc>
        <w:tc>
          <w:tcPr>
            <w:tcW w:w="146" w:type="dxa"/>
            <w:tcBorders/>
            <w:vAlign w:val="center"/>
          </w:tcPr>
          <w:p>
            <w:pPr>
              <w:pStyle w:val="TableContents"/>
              <w:bidi w:val="0"/>
              <w:spacing w:before="0" w:after="0"/>
              <w:ind w:left="0" w:right="0" w:hanging="0"/>
              <w:jc w:val="left"/>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balances - March 31, 2022</w:t>
            </w:r>
          </w:p>
        </w:tc>
        <w:tc>
          <w:tcPr>
            <w:tcW w:w="146" w:type="dxa"/>
            <w:tcBorders/>
            <w:vAlign w:val="center"/>
          </w:tcPr>
          <w:p>
            <w:pPr>
              <w:pStyle w:val="TableContents"/>
              <w:bidi w:val="0"/>
              <w:spacing w:before="0" w:after="0"/>
              <w:ind w:left="0" w:right="0" w:hanging="0"/>
              <w:jc w:val="left"/>
              <w:rPr/>
            </w:pPr>
            <w:r>
              <w:rPr/>
              <w:t> </w:t>
            </w:r>
          </w:p>
        </w:tc>
        <w:tc>
          <w:tcPr>
            <w:tcW w:w="8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30,033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Contingent Consideration</w:t>
      </w:r>
    </w:p>
    <w:p>
      <w:pPr>
        <w:pStyle w:val="TextBody"/>
        <w:bidi w:val="0"/>
        <w:spacing w:before="120" w:after="0"/>
        <w:jc w:val="both"/>
        <w:rPr>
          <w:rFonts w:ascii="Times New Roman" w:hAnsi="Times New Roman"/>
          <w:sz w:val="20"/>
        </w:rPr>
      </w:pPr>
      <w:r>
        <w:rPr>
          <w:rFonts w:ascii="Times New Roman;serif" w:hAnsi="Times New Roman;serif"/>
          <w:b w:val="false"/>
          <w:sz w:val="20"/>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w:t>
      </w:r>
      <w:r>
        <w:rPr>
          <w:rFonts w:ascii="Times New Roman" w:hAnsi="Times New Roman"/>
          <w:sz w:val="20"/>
        </w:rPr>
        <w:t xml:space="preserve"> </w:t>
      </w:r>
      <w:r>
        <w:rPr>
          <w:rFonts w:ascii="Times New Roman;serif" w:hAnsi="Times New Roman;serif"/>
          <w:b w:val="false"/>
          <w:sz w:val="20"/>
        </w:rPr>
        <w:t>gross margin target of $2.0</w:t>
      </w:r>
      <w:r>
        <w:rPr>
          <w:rFonts w:ascii="Times New Roman" w:hAnsi="Times New Roman"/>
          <w:sz w:val="20"/>
        </w:rPr>
        <w:t xml:space="preserve"> </w:t>
      </w:r>
      <w:r>
        <w:rPr>
          <w:rFonts w:ascii="Times New Roman;serif" w:hAnsi="Times New Roman;serif"/>
          <w:b w:val="false"/>
          <w:sz w:val="20"/>
        </w:rPr>
        <w:t>million within the seven-year</w:t>
      </w:r>
      <w:r>
        <w:rPr>
          <w:rFonts w:ascii="Times New Roman" w:hAnsi="Times New Roman"/>
          <w:sz w:val="20"/>
        </w:rPr>
        <w:t xml:space="preserve"> </w:t>
      </w:r>
      <w:r>
        <w:rPr>
          <w:rFonts w:ascii="Times New Roman;serif" w:hAnsi="Times New Roman;serif"/>
          <w:b w:val="false"/>
          <w:sz w:val="20"/>
        </w:rPr>
        <w:t>period after the acquisition date. Under the terms of the original agreement, when the gross margin target was achieved the Company was required to issue 2,520,108</w:t>
      </w:r>
      <w:r>
        <w:rPr>
          <w:rFonts w:ascii="Times New Roman" w:hAnsi="Times New Roman"/>
          <w:sz w:val="20"/>
        </w:rPr>
        <w:t xml:space="preserve"> </w:t>
      </w:r>
      <w:r>
        <w:rPr>
          <w:rFonts w:ascii="Times New Roman;serif" w:hAnsi="Times New Roman;serif"/>
          <w:b w:val="false"/>
          <w:sz w:val="20"/>
        </w:rPr>
        <w:t>shares of common stock. For the six months following the achievement of the gross margin target, Indi had the option to require the Company to redeem these common shares for $37.0</w:t>
      </w:r>
      <w:r>
        <w:rPr>
          <w:rFonts w:ascii="Times New Roman" w:hAnsi="Times New Roman"/>
          <w:sz w:val="20"/>
        </w:rPr>
        <w:t xml:space="preserve"> </w:t>
      </w:r>
      <w:r>
        <w:rPr>
          <w:rFonts w:ascii="Times New Roman;serif" w:hAnsi="Times New Roman;serif"/>
          <w:b w:val="false"/>
          <w:sz w:val="20"/>
        </w:rPr>
        <w:t>million in cash over eight</w:t>
      </w:r>
      <w:r>
        <w:rPr>
          <w:rFonts w:ascii="Times New Roman" w:hAnsi="Times New Roman"/>
          <w:sz w:val="20"/>
        </w:rPr>
        <w:t xml:space="preserve"> </w:t>
      </w:r>
      <w:r>
        <w:rPr>
          <w:rFonts w:ascii="Times New Roman;serif" w:hAnsi="Times New Roman;serif"/>
          <w:b w:val="false"/>
          <w:sz w:val="20"/>
        </w:rPr>
        <w:t>equal quarterly installments. If Indi elected to not exercise its option, the Company had 12 months to repurchase the common stock in two equal and consecutive quarterly cash installments totaling $37.0</w:t>
      </w:r>
      <w:r>
        <w:rPr>
          <w:rFonts w:ascii="Times New Roman;serif" w:hAnsi="Times New Roman;serif"/>
          <w:sz w:val="20"/>
        </w:rPr>
        <w:t xml:space="preserve"> </w:t>
      </w:r>
      <w:r>
        <w:rPr>
          <w:rFonts w:ascii="Times New Roman;serif" w:hAnsi="Times New Roman;serif"/>
          <w:b w:val="false"/>
          <w:sz w:val="20"/>
        </w:rPr>
        <w:t>million.</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achieved the gross margin target of $2.0</w:t>
      </w:r>
      <w:r>
        <w:rPr>
          <w:rFonts w:ascii="Times New Roman" w:hAnsi="Times New Roman"/>
          <w:sz w:val="20"/>
        </w:rPr>
        <w:t xml:space="preserve"> </w:t>
      </w:r>
      <w:r>
        <w:rPr>
          <w:rFonts w:ascii="Times New Roman;serif" w:hAnsi="Times New Roman;serif"/>
          <w:b w:val="false"/>
          <w:sz w:val="20"/>
        </w:rPr>
        <w:t>million for three consecutive months during the three months ended June 30, 2021. The Company entered into an amendment to the original agreement in August 2021 in which all parties agreed to forgo the issuance of common stock and agreed that the Company will in lieu thereof make six quarterly installments of approximately $4.6</w:t>
      </w:r>
      <w:r>
        <w:rPr>
          <w:rFonts w:ascii="Times New Roman" w:hAnsi="Times New Roman"/>
          <w:sz w:val="20"/>
        </w:rPr>
        <w:t xml:space="preserve"> </w:t>
      </w:r>
      <w:r>
        <w:rPr>
          <w:rFonts w:ascii="Times New Roman;serif" w:hAnsi="Times New Roman;serif"/>
          <w:b w:val="false"/>
          <w:sz w:val="20"/>
        </w:rPr>
        <w:t>million each beginning in January 2022 and a final payment of approximately $9.3</w:t>
      </w:r>
      <w:r>
        <w:rPr>
          <w:rFonts w:ascii="Times New Roman" w:hAnsi="Times New Roman"/>
          <w:sz w:val="20"/>
        </w:rPr>
        <w:t xml:space="preserve"> </w:t>
      </w:r>
      <w:r>
        <w:rPr>
          <w:rFonts w:ascii="Times New Roman;serif" w:hAnsi="Times New Roman;serif"/>
          <w:b w:val="false"/>
          <w:sz w:val="20"/>
        </w:rPr>
        <w:t>million in July 2023 for a total of $37.0</w:t>
      </w:r>
      <w:r>
        <w:rPr>
          <w:rFonts w:ascii="Times New Roman" w:hAnsi="Times New Roman"/>
          <w:sz w:val="20"/>
        </w:rPr>
        <w:t xml:space="preserve"> </w:t>
      </w:r>
      <w:r>
        <w:rPr>
          <w:rFonts w:ascii="Times New Roman;serif" w:hAnsi="Times New Roman;serif"/>
          <w:b w:val="false"/>
          <w:sz w:val="20"/>
        </w:rPr>
        <w:t>million (the Milestone Payments, and each individually a Milestone Payment). The aggregate amount of payments owed by the Company under this amendment is the same as if Indi had exercised the put right or the Company had exercised the call right provided for in the original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On April 7, 2022, the Company entered into Amendment No. 3 to the Indi APA in which the parties agreed to restructure the Milestone Payments whereby the Company will make five</w:t>
      </w:r>
      <w:r>
        <w:rPr>
          <w:rFonts w:ascii="Times New Roman" w:hAnsi="Times New Roman"/>
          <w:sz w:val="20"/>
        </w:rPr>
        <w:t xml:space="preserve"> </w:t>
      </w:r>
      <w:r>
        <w:rPr>
          <w:rFonts w:ascii="Times New Roman;serif" w:hAnsi="Times New Roman;serif"/>
          <w:b w:val="false"/>
          <w:sz w:val="20"/>
        </w:rPr>
        <w:t>quarterly installments of $2.0</w:t>
      </w:r>
      <w:r>
        <w:rPr>
          <w:rFonts w:ascii="Times New Roman" w:hAnsi="Times New Roman"/>
          <w:sz w:val="20"/>
        </w:rPr>
        <w:t xml:space="preserve"> </w:t>
      </w:r>
      <w:r>
        <w:rPr>
          <w:rFonts w:ascii="Times New Roman;serif" w:hAnsi="Times New Roman;serif"/>
          <w:b w:val="false"/>
          <w:sz w:val="20"/>
        </w:rPr>
        <w:t>million each beginning in April 2022, three</w:t>
      </w:r>
      <w:r>
        <w:rPr>
          <w:rFonts w:ascii="Times New Roman" w:hAnsi="Times New Roman"/>
          <w:sz w:val="20"/>
        </w:rPr>
        <w:t xml:space="preserve"> </w:t>
      </w:r>
      <w:r>
        <w:rPr>
          <w:rFonts w:ascii="Times New Roman;serif" w:hAnsi="Times New Roman;serif"/>
          <w:b w:val="false"/>
          <w:sz w:val="20"/>
        </w:rPr>
        <w:t>quarterly installments of $3.0</w:t>
      </w:r>
      <w:r>
        <w:rPr>
          <w:rFonts w:ascii="Times New Roman" w:hAnsi="Times New Roman"/>
          <w:sz w:val="20"/>
        </w:rPr>
        <w:t xml:space="preserve"> </w:t>
      </w:r>
      <w:r>
        <w:rPr>
          <w:rFonts w:ascii="Times New Roman;serif" w:hAnsi="Times New Roman;serif"/>
          <w:b w:val="false"/>
          <w:sz w:val="20"/>
        </w:rPr>
        <w:t>million beginning in July 2023, one</w:t>
      </w:r>
      <w:r>
        <w:rPr>
          <w:rFonts w:ascii="Times New Roman" w:hAnsi="Times New Roman"/>
          <w:sz w:val="20"/>
        </w:rPr>
        <w:t xml:space="preserve"> </w:t>
      </w:r>
      <w:r>
        <w:rPr>
          <w:rFonts w:ascii="Times New Roman;serif" w:hAnsi="Times New Roman;serif"/>
          <w:b w:val="false"/>
          <w:sz w:val="20"/>
        </w:rPr>
        <w:t>installment of $5.0</w:t>
      </w:r>
      <w:r>
        <w:rPr>
          <w:rFonts w:ascii="Times New Roman" w:hAnsi="Times New Roman"/>
          <w:sz w:val="20"/>
        </w:rPr>
        <w:t xml:space="preserve"> </w:t>
      </w:r>
      <w:r>
        <w:rPr>
          <w:rFonts w:ascii="Times New Roman;serif" w:hAnsi="Times New Roman;serif"/>
          <w:b w:val="false"/>
          <w:sz w:val="20"/>
        </w:rPr>
        <w:t>million in April 2024, and one installment of approximately $8.4</w:t>
      </w:r>
      <w:r>
        <w:rPr>
          <w:rFonts w:ascii="Times New Roman" w:hAnsi="Times New Roman"/>
          <w:sz w:val="20"/>
        </w:rPr>
        <w:t xml:space="preserve"> </w:t>
      </w:r>
      <w:r>
        <w:rPr>
          <w:rFonts w:ascii="Times New Roman;serif" w:hAnsi="Times New Roman;serif"/>
          <w:b w:val="false"/>
          <w:sz w:val="20"/>
        </w:rPr>
        <w:t>million in July 2024. In addition, the Company agreed to an exit fee of approximately $6.1</w:t>
      </w:r>
      <w:r>
        <w:rPr>
          <w:rFonts w:ascii="Times New Roman" w:hAnsi="Times New Roman"/>
          <w:sz w:val="20"/>
        </w:rPr>
        <w:t xml:space="preserve"> </w:t>
      </w:r>
      <w:r>
        <w:rPr>
          <w:rFonts w:ascii="Times New Roman;serif" w:hAnsi="Times New Roman;serif"/>
          <w:b w:val="false"/>
          <w:sz w:val="20"/>
        </w:rPr>
        <w:t xml:space="preserve">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Facility and commencing January 1, 2024, consent from Perceptive (see Note </w:t>
      </w:r>
      <w:r>
        <w:rPr>
          <w:rFonts w:ascii="Times New Roman;serif" w:hAnsi="Times New Roman;serif"/>
          <w:b w:val="false"/>
          <w:i/>
          <w:sz w:val="20"/>
        </w:rPr>
        <w:t xml:space="preserve">6 </w:t>
      </w:r>
      <w:r>
        <w:rPr>
          <w:rFonts w:ascii="Times New Roman;serif" w:hAnsi="Times New Roman;serif"/>
          <w:b w:val="false"/>
          <w:sz w:val="20"/>
        </w:rPr>
        <w:t xml:space="preserve">- </w:t>
      </w:r>
      <w:r>
        <w:rPr>
          <w:rFonts w:ascii="Times New Roman;serif" w:hAnsi="Times New Roman;serif"/>
          <w:b w:val="false"/>
          <w:i/>
          <w:sz w:val="20"/>
        </w:rPr>
        <w:t>Debt</w:t>
      </w:r>
      <w:r>
        <w:rPr>
          <w:rFonts w:ascii="Times New Roman;serif" w:hAnsi="Times New Roman;serif"/>
          <w:b w:val="false"/>
          <w:sz w:val="20"/>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contingent consideration liability is accounted for at fair value and subject to certain unobservable inputs. The significant unobservable inputs used in the measurement of the fair value include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includes the discount rate since all other inputs became fixed and determinable. Significant increases or decreases in the discount rate could result in a significantly higher or lower fair value measurement.</w:t>
      </w:r>
    </w:p>
    <w:p>
      <w:pPr>
        <w:pStyle w:val="TextBody"/>
        <w:bidi w:val="0"/>
        <w:spacing w:before="120" w:after="0"/>
        <w:jc w:val="both"/>
        <w:rPr>
          <w:rFonts w:ascii="Times New Roman" w:hAnsi="Times New Roman"/>
          <w:sz w:val="20"/>
        </w:rPr>
      </w:pPr>
      <w:r>
        <w:rPr>
          <w:rFonts w:ascii="Times New Roman;serif" w:hAnsi="Times New Roman;serif"/>
          <w:b w:val="false"/>
          <w:sz w:val="20"/>
        </w:rPr>
        <w:t>During the three months ended March 31, 2023 and 2022, the Company recorded $1.1</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respectively, in interest expense due to the passage of time and fixed payment schedule.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Contingent consideration expected to be paid in the next twelve months is recorded in the condensed balance sheets as ‘Current portion of contingent consideration’ while the remaining amount to be paid is recorded as ‘Contingent consideration’ within non-current liabilities. The net change to contingent consideration through the date the gross margin target was achieved is recorded as operating expenses in the condensed statements of operations. Subsequent changes to the contingent consideration following the achievement of the gross margin target are recorded as ‘Interest expense’ in the condensed statements of operations resulting from the passage of time and fixed payment schedule.</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Warrant Liabilities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On November 21, 2022, as consideration for the Perceptive Term Loan Facility (see Note 6 - </w:t>
      </w:r>
      <w:r>
        <w:rPr>
          <w:rFonts w:ascii="Times New Roman;serif" w:hAnsi="Times New Roman;serif"/>
          <w:b w:val="false"/>
          <w:i/>
          <w:sz w:val="20"/>
        </w:rPr>
        <w:t>Debt</w:t>
      </w:r>
      <w:r>
        <w:rPr>
          <w:rFonts w:ascii="Times New Roman;serif" w:hAnsi="Times New Roman;serif"/>
          <w:b w:val="false"/>
          <w:sz w:val="20"/>
        </w:rPr>
        <w:t>), the Company issued a warrant to purchase up to 5,000,000</w:t>
      </w:r>
      <w:r>
        <w:rPr>
          <w:rFonts w:ascii="Times New Roman" w:hAnsi="Times New Roman"/>
          <w:sz w:val="20"/>
        </w:rPr>
        <w:t xml:space="preserve"> </w:t>
      </w:r>
      <w:r>
        <w:rPr>
          <w:rFonts w:ascii="Times New Roman;serif" w:hAnsi="Times New Roman;serif"/>
          <w:b w:val="false"/>
          <w:sz w:val="20"/>
        </w:rPr>
        <w:t xml:space="preserve">shares of the Company's common stock (the Perceptive Warrant), including Initial Warrants (as defined below) and Additional Warrants (as defined below). The Initial Warrants are equity classified (see Note 8 - </w:t>
      </w:r>
      <w:r>
        <w:rPr>
          <w:rFonts w:ascii="Times New Roman;serif" w:hAnsi="Times New Roman;serif"/>
          <w:b w:val="false"/>
          <w:i/>
          <w:sz w:val="20"/>
        </w:rPr>
        <w:t>Equity</w:t>
      </w:r>
      <w:r>
        <w:rPr>
          <w:rFonts w:ascii="Times New Roman;serif" w:hAnsi="Times New Roman;serif"/>
          <w:b w:val="false"/>
          <w:sz w:val="20"/>
        </w:rPr>
        <w:t>) while the Additional Warrants are classified as liabilities within 'Other long-term liabilities' and recognized at fair value. The fair value of the Additional Warrants is determined using a Black-Scholes model and subject to certain unobservable inputs. The significant unobservable inputs used in the measurement of the fair value include the fair value of the Company's common stock, risk-free rate, the volatility of common stock, and the probability of the expected borrowing. Significant increases or decreases in the unobservable inputs could result in a significantly higher or lower fair value measurement. During the three months ended March 31, 2023, the Company recorded a $0.1</w:t>
      </w:r>
      <w:r>
        <w:rPr>
          <w:rFonts w:ascii="Times New Roman" w:hAnsi="Times New Roman"/>
          <w:sz w:val="20"/>
        </w:rPr>
        <w:t xml:space="preserve"> </w:t>
      </w:r>
      <w:r>
        <w:rPr>
          <w:rFonts w:ascii="Times New Roman;serif" w:hAnsi="Times New Roman;serif"/>
          <w:b w:val="false"/>
          <w:sz w:val="20"/>
        </w:rPr>
        <w:t>million gain as a change in fair value through the condensed statement of operations due to changes in unobservable inputs. This is a result of changes in the probability of our ability to draw on Tranche B and C loans.</w:t>
      </w:r>
    </w:p>
    <w:p>
      <w:pPr>
        <w:pStyle w:val="TextBody"/>
        <w:bidi w:val="0"/>
        <w:spacing w:before="240" w:after="0"/>
        <w:jc w:val="both"/>
        <w:rPr>
          <w:rFonts w:ascii="Times New Roman" w:hAnsi="Times New Roman"/>
          <w:sz w:val="20"/>
        </w:rPr>
      </w:pPr>
      <w:r>
        <w:rPr>
          <w:rFonts w:ascii="Times New Roman;serif" w:hAnsi="Times New Roman;serif"/>
          <w:b/>
          <w:sz w:val="20"/>
        </w:rPr>
        <w:t>Note 5 – Supplementary Balance Sheet Information</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Property and equipment consist of the following (in thousands):</w:t>
      </w:r>
    </w:p>
    <w:tbl>
      <w:tblPr>
        <w:tblW w:w="6910" w:type="dxa"/>
        <w:jc w:val="left"/>
        <w:tblInd w:w="0" w:type="dxa"/>
        <w:tblLayout w:type="fixed"/>
        <w:tblCellMar>
          <w:top w:w="28" w:type="dxa"/>
          <w:left w:w="28" w:type="dxa"/>
          <w:bottom w:w="28" w:type="dxa"/>
          <w:right w:w="28" w:type="dxa"/>
        </w:tblCellMar>
      </w:tblPr>
      <w:tblGrid>
        <w:gridCol w:w="3076"/>
        <w:gridCol w:w="146"/>
        <w:gridCol w:w="342"/>
        <w:gridCol w:w="1098"/>
        <w:gridCol w:w="166"/>
        <w:gridCol w:w="146"/>
        <w:gridCol w:w="409"/>
        <w:gridCol w:w="131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7" w:type="dxa"/>
            <w:gridSpan w:val="6"/>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6,035</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Software</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Vehicles</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process</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12,866</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property and equipment, net</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Depreciation expense for the three months ended March 31, 2023 and 2022 was $0.3</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312"/>
        <w:gridCol w:w="934"/>
        <w:gridCol w:w="166"/>
        <w:gridCol w:w="146"/>
        <w:gridCol w:w="290"/>
        <w:gridCol w:w="785"/>
        <w:gridCol w:w="146"/>
        <w:gridCol w:w="146"/>
        <w:gridCol w:w="211"/>
        <w:gridCol w:w="676"/>
        <w:gridCol w:w="146"/>
        <w:gridCol w:w="146"/>
        <w:gridCol w:w="312"/>
        <w:gridCol w:w="934"/>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12"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12"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 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 Carrying Value</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subject to amortization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174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Patents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w:t>
            </w:r>
          </w:p>
        </w:tc>
        <w:tc>
          <w:tcPr>
            <w:tcW w:w="394" w:type="dxa"/>
            <w:tcBorders/>
            <w:vAlign w:val="center"/>
          </w:tcPr>
          <w:p>
            <w:pPr>
              <w:pStyle w:val="TableContents"/>
              <w:bidi w:val="0"/>
              <w:spacing w:before="0" w:after="0"/>
              <w:ind w:left="0" w:right="0" w:firstLine="200"/>
              <w:jc w:val="left"/>
              <w:rPr/>
            </w:pPr>
            <w:r>
              <w:rPr/>
              <w:t> </w:t>
            </w:r>
          </w:p>
        </w:tc>
      </w:tr>
      <w:tr>
        <w:trPr/>
        <w:tc>
          <w:tcPr>
            <w:tcW w:w="174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Purchased technology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8,450</w:t>
            </w:r>
          </w:p>
        </w:tc>
        <w:tc>
          <w:tcPr>
            <w:tcW w:w="394" w:type="dxa"/>
            <w:tcBorders/>
            <w:vAlign w:val="center"/>
          </w:tcPr>
          <w:p>
            <w:pPr>
              <w:pStyle w:val="TableContents"/>
              <w:bidi w:val="0"/>
              <w:spacing w:before="0" w:after="0"/>
              <w:ind w:left="0" w:right="0" w:hanging="0"/>
              <w:jc w:val="left"/>
              <w:rPr/>
            </w:pPr>
            <w:r>
              <w:rPr/>
              <w:t> </w:t>
            </w:r>
          </w:p>
        </w:tc>
      </w:tr>
      <w:tr>
        <w:trPr/>
        <w:tc>
          <w:tcPr>
            <w:tcW w:w="1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not subject to</w:t>
              <w:br/>
              <w:t>    amortization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174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Trademarks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9,797</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Amortization expense related to definite-lived intangible assets was $0.5</w:t>
      </w:r>
      <w:r>
        <w:rPr>
          <w:rFonts w:ascii="Times New Roman" w:hAnsi="Times New Roman"/>
          <w:sz w:val="20"/>
        </w:rPr>
        <w:t xml:space="preserve"> </w:t>
      </w:r>
      <w:r>
        <w:rPr>
          <w:rFonts w:ascii="Times New Roman;serif" w:hAnsi="Times New Roman;serif"/>
          <w:b w:val="false"/>
          <w:sz w:val="20"/>
        </w:rPr>
        <w:t>million for both the three months ended March 31, 2023 and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Future estimated amortization expense of intangible assets is (in thousands):</w:t>
      </w:r>
    </w:p>
    <w:tbl>
      <w:tblPr>
        <w:tblW w:w="3673" w:type="dxa"/>
        <w:jc w:val="left"/>
        <w:tblInd w:w="0" w:type="dxa"/>
        <w:tblLayout w:type="fixed"/>
        <w:tblCellMar>
          <w:top w:w="28" w:type="dxa"/>
          <w:left w:w="28" w:type="dxa"/>
          <w:bottom w:w="28" w:type="dxa"/>
          <w:right w:w="28" w:type="dxa"/>
        </w:tblCellMar>
      </w:tblPr>
      <w:tblGrid>
        <w:gridCol w:w="1696"/>
        <w:gridCol w:w="146"/>
        <w:gridCol w:w="388"/>
        <w:gridCol w:w="1052"/>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As of </w:t>
              <w:b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1,969</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1,963</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1,949</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thereafter</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Accrued liabilities consist of the following (in thousands):</w:t>
      </w:r>
    </w:p>
    <w:tbl>
      <w:tblPr>
        <w:tblW w:w="6405" w:type="dxa"/>
        <w:jc w:val="left"/>
        <w:tblInd w:w="0" w:type="dxa"/>
        <w:tblLayout w:type="fixed"/>
        <w:tblCellMar>
          <w:top w:w="28" w:type="dxa"/>
          <w:left w:w="28" w:type="dxa"/>
          <w:bottom w:w="28" w:type="dxa"/>
          <w:right w:w="28" w:type="dxa"/>
        </w:tblCellMar>
      </w:tblPr>
      <w:tblGrid>
        <w:gridCol w:w="2611"/>
        <w:gridCol w:w="146"/>
        <w:gridCol w:w="388"/>
        <w:gridCol w:w="1052"/>
        <w:gridCol w:w="146"/>
        <w:gridCol w:w="146"/>
        <w:gridCol w:w="465"/>
        <w:gridCol w:w="1260"/>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7" w:type="dxa"/>
            <w:gridSpan w:val="6"/>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related accruals</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4,671</w:t>
            </w:r>
          </w:p>
        </w:tc>
        <w:tc>
          <w:tcPr>
            <w:tcW w:w="1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clinical trial expense</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w:t>
            </w:r>
          </w:p>
        </w:tc>
        <w:tc>
          <w:tcPr>
            <w:tcW w:w="1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expenses</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accrued liabilities</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Note 6 – Debt</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Our long-term debt primarily consists of notes payable associated with our Perceptive Term Loan Facility which is described in further detail below. Long-term notes payable were as follows (in thousands):</w:t>
      </w:r>
    </w:p>
    <w:tbl>
      <w:tblPr>
        <w:tblW w:w="8095" w:type="dxa"/>
        <w:jc w:val="left"/>
        <w:tblInd w:w="0" w:type="dxa"/>
        <w:tblLayout w:type="fixed"/>
        <w:tblCellMar>
          <w:top w:w="28" w:type="dxa"/>
          <w:left w:w="28" w:type="dxa"/>
          <w:bottom w:w="28" w:type="dxa"/>
          <w:right w:w="28" w:type="dxa"/>
        </w:tblCellMar>
      </w:tblPr>
      <w:tblGrid>
        <w:gridCol w:w="4261"/>
        <w:gridCol w:w="146"/>
        <w:gridCol w:w="342"/>
        <w:gridCol w:w="1098"/>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7" w:type="dxa"/>
            <w:gridSpan w:val="6"/>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Perceptive Term Loan Facility</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21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21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 and debt issuance costs</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25,053</w:t>
            </w:r>
          </w:p>
        </w:tc>
        <w:tc>
          <w:tcPr>
            <w:tcW w:w="21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maturities</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notes payable</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i/>
          <w:sz w:val="20"/>
        </w:rPr>
      </w:pPr>
      <w:r>
        <w:rPr>
          <w:rFonts w:ascii="Times New Roman;serif" w:hAnsi="Times New Roman;serif"/>
          <w:b/>
          <w:i/>
          <w:sz w:val="20"/>
        </w:rPr>
        <w:t>Perceptive Term Loan Facility</w:t>
      </w:r>
    </w:p>
    <w:p>
      <w:pPr>
        <w:pStyle w:val="TextBody"/>
        <w:bidi w:val="0"/>
        <w:spacing w:before="120" w:after="0"/>
        <w:jc w:val="both"/>
        <w:rPr>
          <w:rFonts w:ascii="Times New Roman" w:hAnsi="Times New Roman"/>
          <w:sz w:val="20"/>
        </w:rPr>
      </w:pPr>
      <w:r>
        <w:rPr>
          <w:rFonts w:ascii="Times New Roman;serif" w:hAnsi="Times New Roman;serif"/>
          <w:b w:val="false"/>
          <w:sz w:val="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in an aggregate principal amount of up to $50.0</w:t>
      </w:r>
      <w:r>
        <w:rPr>
          <w:rFonts w:ascii="Times New Roman" w:hAnsi="Times New Roman"/>
          <w:sz w:val="20"/>
        </w:rPr>
        <w:t xml:space="preserve"> </w:t>
      </w:r>
      <w:r>
        <w:rPr>
          <w:rFonts w:ascii="Times New Roman;serif" w:hAnsi="Times New Roman;serif"/>
          <w:b w:val="false"/>
          <w:sz w:val="20"/>
        </w:rPr>
        <w:t>million (the Perceptive Term Loan Facility). The initial funding of the Perceptive Term Loan Facility was subject to a capital raise of at least $30.0</w:t>
      </w:r>
      <w:r>
        <w:rPr>
          <w:rFonts w:ascii="Times New Roman" w:hAnsi="Times New Roman"/>
          <w:sz w:val="20"/>
        </w:rPr>
        <w:t xml:space="preserve"> </w:t>
      </w:r>
      <w:r>
        <w:rPr>
          <w:rFonts w:ascii="Times New Roman;serif" w:hAnsi="Times New Roman;serif"/>
          <w:b w:val="false"/>
          <w:sz w:val="20"/>
        </w:rPr>
        <w:t>million in gross proceeds from an equity offering of the Company's common stock. On November 21, 2022 (the Funding Date), the Company raised approximately $40.6</w:t>
      </w:r>
      <w:r>
        <w:rPr>
          <w:rFonts w:ascii="Times New Roman" w:hAnsi="Times New Roman"/>
          <w:sz w:val="20"/>
        </w:rPr>
        <w:t xml:space="preserve"> </w:t>
      </w:r>
      <w:r>
        <w:rPr>
          <w:rFonts w:ascii="Times New Roman;serif" w:hAnsi="Times New Roman;serif"/>
          <w:b w:val="false"/>
          <w:sz w:val="20"/>
        </w:rPr>
        <w:t>million in gross proceeds from the sale of common stock. The Tranche A Loan, in an aggregate amount of up to $30.0</w:t>
      </w:r>
      <w:r>
        <w:rPr>
          <w:rFonts w:ascii="Times New Roman" w:hAnsi="Times New Roman"/>
          <w:sz w:val="20"/>
        </w:rPr>
        <w:t xml:space="preserve"> </w:t>
      </w:r>
      <w:r>
        <w:rPr>
          <w:rFonts w:ascii="Times New Roman;serif" w:hAnsi="Times New Roman;serif"/>
          <w:b w:val="false"/>
          <w:sz w:val="20"/>
        </w:rPr>
        <w:t>million (the Tranche A Loan), was funded under the Perceptive Term Loan Facility substantially and concurrently with the closing of the sale of common stock on the Funding Date. In addition to the Tranche A Loan, the Perceptive Term Loan Facility includes an additional Tranche B Loan, in an aggregate amount of up to $10.0</w:t>
      </w:r>
      <w:r>
        <w:rPr>
          <w:rFonts w:ascii="Times New Roman" w:hAnsi="Times New Roman"/>
          <w:sz w:val="20"/>
        </w:rPr>
        <w:t xml:space="preserve"> </w:t>
      </w:r>
      <w:r>
        <w:rPr>
          <w:rFonts w:ascii="Times New Roman;serif" w:hAnsi="Times New Roman;serif"/>
          <w:b w:val="false"/>
          <w:sz w:val="20"/>
        </w:rPr>
        <w:t>million, and an additional Tranche C Loan, in an aggregate amount of up to $10.0</w:t>
      </w:r>
      <w:r>
        <w:rPr>
          <w:rFonts w:ascii="Times New Roman" w:hAnsi="Times New Roman"/>
          <w:sz w:val="20"/>
        </w:rPr>
        <w:t xml:space="preserve"> </w:t>
      </w:r>
      <w:r>
        <w:rPr>
          <w:rFonts w:ascii="Times New Roman;serif" w:hAnsi="Times New Roman;serif"/>
          <w:b w:val="false"/>
          <w:sz w:val="20"/>
        </w:rPr>
        <w:t>million, which will be accessible by the Company so long as the Company satisfies certain customary conditions precedent, including revenue milestones. The Tranche B and C loans have loan commitments dates through December 31, 2023 and September 30, 2024, respectively. The Perceptive Term Loan Facility has a maturity date of November 21, 2027</w:t>
      </w:r>
      <w:r>
        <w:rPr>
          <w:rFonts w:ascii="Times New Roman" w:hAnsi="Times New Roman"/>
          <w:sz w:val="20"/>
        </w:rPr>
        <w:t xml:space="preserve"> </w:t>
      </w:r>
      <w:r>
        <w:rPr>
          <w:rFonts w:ascii="Times New Roman;serif" w:hAnsi="Times New Roman;serif"/>
          <w:b w:val="false"/>
          <w:sz w:val="20"/>
        </w:rPr>
        <w:t>(the Maturity Date) and provides for an interest-only period during the term of the loan with principal due at the Maturity Date. The Company's net proceeds from the Tranche A Loan were approximately $27.9</w:t>
      </w:r>
      <w:r>
        <w:rPr>
          <w:rFonts w:ascii="Times New Roman" w:hAnsi="Times New Roman"/>
          <w:sz w:val="20"/>
        </w:rPr>
        <w:t xml:space="preserve"> </w:t>
      </w:r>
      <w:r>
        <w:rPr>
          <w:rFonts w:ascii="Times New Roman;serif" w:hAnsi="Times New Roman;serif"/>
          <w:b w:val="false"/>
          <w:sz w:val="20"/>
        </w:rPr>
        <w:t>million, after deducting debt issuance costs and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Interest Rate</w:t>
      </w:r>
    </w:p>
    <w:p>
      <w:pPr>
        <w:pStyle w:val="TextBody"/>
        <w:bidi w:val="0"/>
        <w:spacing w:before="120" w:after="0"/>
        <w:jc w:val="both"/>
        <w:rPr>
          <w:rFonts w:ascii="Times New Roman" w:hAnsi="Times New Roman"/>
          <w:sz w:val="20"/>
        </w:rPr>
      </w:pPr>
      <w:r>
        <w:rPr>
          <w:rFonts w:ascii="Times New Roman;serif" w:hAnsi="Times New Roman;serif"/>
          <w:b w:val="false"/>
          <w:sz w:val="20"/>
        </w:rPr>
        <w:t>The Perceptive Term Loan Facility will accrue interest at an annual rate equal to the greater of (a) forward-looking one-month term SOFR as posted by CME Group Inc. and (b) 3.0% per annum, plus an applicable margin of 9.0%. As of March 31, 2023, the stated interest rate was approximately</w:t>
      </w:r>
      <w:r>
        <w:rPr>
          <w:rFonts w:ascii="Times New Roman" w:hAnsi="Times New Roman"/>
          <w:sz w:val="20"/>
        </w:rPr>
        <w:t xml:space="preserve"> </w:t>
      </w:r>
      <w:r>
        <w:rPr>
          <w:rFonts w:ascii="Times New Roman;serif" w:hAnsi="Times New Roman;serif"/>
          <w:b w:val="false"/>
          <w:sz w:val="20"/>
        </w:rPr>
        <w:t>13.8%.</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Amortization and Prepayment</w:t>
      </w:r>
    </w:p>
    <w:p>
      <w:pPr>
        <w:pStyle w:val="TextBody"/>
        <w:bidi w:val="0"/>
        <w:spacing w:before="120" w:after="0"/>
        <w:jc w:val="both"/>
        <w:rPr>
          <w:rFonts w:ascii="Times New Roman" w:hAnsi="Times New Roman"/>
          <w:sz w:val="20"/>
        </w:rPr>
      </w:pPr>
      <w:r>
        <w:rPr>
          <w:rFonts w:ascii="Times New Roman;serif" w:hAnsi="Times New Roman;serif"/>
          <w:b w:val="false"/>
          <w:sz w:val="20"/>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r>
        <w:rPr>
          <w:rFonts w:ascii="Times New Roman" w:hAnsi="Times New Roman"/>
          <w:sz w:val="20"/>
        </w:rPr>
        <w:t xml:space="preserve">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Security Instruments and Warrants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0"/>
        <w:jc w:val="both"/>
        <w:rPr>
          <w:rFonts w:ascii="Times New Roman" w:hAnsi="Times New Roman"/>
          <w:sz w:val="20"/>
        </w:rPr>
      </w:pPr>
      <w:r>
        <w:rPr>
          <w:rFonts w:ascii="Times New Roman;serif" w:hAnsi="Times New Roman;serif"/>
          <w:b w:val="false"/>
          <w:sz w:val="20"/>
        </w:rPr>
        <w:t>As consideration for the Credit Agreement, the Company has issued, on the Funding Date, the Perceptive Warrant of up to 5,000,000</w:t>
      </w:r>
      <w:r>
        <w:rPr>
          <w:rFonts w:ascii="Times New Roman" w:hAnsi="Times New Roman"/>
          <w:sz w:val="20"/>
        </w:rPr>
        <w:t xml:space="preserve"> </w:t>
      </w:r>
      <w:r>
        <w:rPr>
          <w:rFonts w:ascii="Times New Roman;serif" w:hAnsi="Times New Roman;serif"/>
          <w:b w:val="false"/>
          <w:sz w:val="20"/>
        </w:rPr>
        <w:t>shares of the Company's common stock, including the Initial Warrants which are equity classified at a per share exercise price equal to $1.0648</w:t>
      </w:r>
      <w:r>
        <w:rPr>
          <w:rFonts w:ascii="Times New Roman" w:hAnsi="Times New Roman"/>
          <w:sz w:val="20"/>
        </w:rPr>
        <w:t xml:space="preserve"> </w:t>
      </w:r>
      <w:r>
        <w:rPr>
          <w:rFonts w:ascii="Times New Roman;serif" w:hAnsi="Times New Roman;serif"/>
          <w:b w:val="false"/>
          <w:sz w:val="20"/>
        </w:rPr>
        <w:t>which is equal to the lower of (A) the 10-day volume weighted average price (VWAP) of the Company’s common stock, on the business day immediately prior to the Closing Date of the Tranche A Loan or (B) the public offering price per share of Common Stock of $1.15</w:t>
      </w:r>
      <w:r>
        <w:rPr>
          <w:rFonts w:ascii="Times New Roman" w:hAnsi="Times New Roman"/>
          <w:sz w:val="20"/>
        </w:rPr>
        <w:t xml:space="preserve"> </w:t>
      </w:r>
      <w:r>
        <w:rPr>
          <w:rFonts w:ascii="Times New Roman;serif" w:hAnsi="Times New Roman;serif"/>
          <w:b w:val="false"/>
          <w:sz w:val="20"/>
        </w:rPr>
        <w:t xml:space="preserve">(see Note 8 - </w:t>
      </w:r>
      <w:r>
        <w:rPr>
          <w:rFonts w:ascii="Times New Roman;serif" w:hAnsi="Times New Roman;serif"/>
          <w:b w:val="false"/>
          <w:i/>
          <w:sz w:val="20"/>
        </w:rPr>
        <w:t>Equity</w:t>
      </w:r>
      <w:r>
        <w:rPr>
          <w:rFonts w:ascii="Times New Roman;serif" w:hAnsi="Times New Roman;serif"/>
          <w:b w:val="false"/>
          <w:sz w:val="20"/>
        </w:rPr>
        <w:t>). In addition to the Initial Warrants, the Additional Warrants will each become exercisable into 1,000,000</w:t>
      </w:r>
      <w:r>
        <w:rPr>
          <w:rFonts w:ascii="Times New Roman" w:hAnsi="Times New Roman"/>
          <w:sz w:val="20"/>
        </w:rPr>
        <w:t xml:space="preserve"> </w:t>
      </w:r>
      <w:r>
        <w:rPr>
          <w:rFonts w:ascii="Times New Roman;serif" w:hAnsi="Times New Roman;serif"/>
          <w:b w:val="false"/>
          <w:sz w:val="20"/>
        </w:rPr>
        <w:t xml:space="preserve">shares of common stock concurrently with the borrowing date of the Tranche B and C Loans, respectively. The per share exercise price for the Additional Warrants will be equal to the lower of (A) the Initial Warrant exercise price or (B) the 10-day VWAP ending on the business day immediately preceding the funding date of the Tranche B Loan or the Tranche C loan, respectively. Each warrant will be exercisable, in whole or in part, until the 10th anniversary of the applicable date of issuance. If the Tranche B or C loans are not drawn by the respective loan commitment dates, the associated Additional Warrants expire and will not become exercisable. The Company accounts for the Additional Warrants as liabilities as the Additional Warrants do not meet the criteria for equity treatment (see Note 4 - </w:t>
      </w:r>
      <w:r>
        <w:rPr>
          <w:rFonts w:ascii="Times New Roman;serif" w:hAnsi="Times New Roman;serif"/>
          <w:b w:val="false"/>
          <w:i/>
          <w:sz w:val="20"/>
        </w:rPr>
        <w:t>Fair Value</w:t>
      </w:r>
      <w:r>
        <w:rPr>
          <w:rFonts w:ascii="Times New Roman;serif" w:hAnsi="Times New Roman;serif"/>
          <w:b w:val="false"/>
          <w:sz w:val="20"/>
        </w:rPr>
        <w:t>).</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Representations, Warranties, Covenants, and Events of Default</w:t>
      </w:r>
    </w:p>
    <w:p>
      <w:pPr>
        <w:pStyle w:val="TextBody"/>
        <w:bidi w:val="0"/>
        <w:spacing w:before="120" w:after="0"/>
        <w:jc w:val="both"/>
        <w:rPr>
          <w:rFonts w:ascii="Times New Roman" w:hAnsi="Times New Roman"/>
          <w:sz w:val="20"/>
        </w:rPr>
      </w:pPr>
      <w:r>
        <w:rPr>
          <w:rFonts w:ascii="Times New Roman;serif" w:hAnsi="Times New Roman;serif"/>
          <w:b w:val="false"/>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w:t>
      </w:r>
      <w:r>
        <w:rPr>
          <w:rFonts w:ascii="Times New Roman" w:hAnsi="Times New Roman"/>
          <w:sz w:val="20"/>
        </w:rPr>
        <w:t xml:space="preserve"> </w:t>
      </w:r>
      <w:r>
        <w:rPr>
          <w:rFonts w:ascii="Times New Roman;serif" w:hAnsi="Times New Roman;serif"/>
          <w:b w:val="false"/>
          <w:sz w:val="20"/>
        </w:rPr>
        <w:t>million; and (ii) as of the last day of each fiscal quarter commencing on the fiscal quarter ending March 31, 2023, recognize revenue in amounts agreed to between the Company and Perceptive.</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See Note 14 – </w:t>
      </w:r>
      <w:r>
        <w:rPr>
          <w:rFonts w:ascii="Times New Roman;serif" w:hAnsi="Times New Roman;serif"/>
          <w:b w:val="false"/>
          <w:i/>
          <w:sz w:val="20"/>
        </w:rPr>
        <w:t>Subsequent Events</w:t>
      </w:r>
      <w:r>
        <w:rPr>
          <w:rFonts w:ascii="Times New Roman" w:hAnsi="Times New Roman"/>
          <w:sz w:val="20"/>
        </w:rPr>
        <w:t xml:space="preserve"> </w:t>
      </w:r>
      <w:r>
        <w:rPr>
          <w:rFonts w:ascii="Times New Roman;serif" w:hAnsi="Times New Roman;serif"/>
          <w:b w:val="false"/>
          <w:sz w:val="20"/>
        </w:rPr>
        <w:t>for amendments to the Perceptive Term Loan Facility subsequent to March 31, 2023.</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 defaults to material contracts, certain regulatory-related events and events constituting a change of control. The Company was in compliance with all restrictive covenants associated with its borrowing and entered into the Limited Waiver.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0"/>
        <w:jc w:val="both"/>
        <w:rPr>
          <w:rFonts w:ascii="Times New Roman" w:hAnsi="Times New Roman"/>
          <w:sz w:val="20"/>
        </w:rPr>
      </w:pPr>
      <w:r>
        <w:rPr>
          <w:rFonts w:ascii="Times New Roman;serif" w:hAnsi="Times New Roman;serif"/>
          <w:b w:val="false"/>
          <w:sz w:val="20"/>
        </w:rPr>
        <w:t>On the Closing Date, the Initial Warrants and Additional Warrants were valued at $2.9</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using the Black-Scholes option-pricing model, estimated settlement probabilities and estimated exercise prices. As a result of the fees paid to Perceptive and the value of the Perceptive Warrant, the Company recognized a discount on the Perceptive Term Loan Facility in the amount of $5.2</w:t>
      </w:r>
      <w:r>
        <w:rPr>
          <w:rFonts w:ascii="Times New Roman" w:hAnsi="Times New Roman"/>
          <w:sz w:val="20"/>
        </w:rPr>
        <w:t xml:space="preserve"> </w:t>
      </w:r>
      <w:r>
        <w:rPr>
          <w:rFonts w:ascii="Times New Roman;serif" w:hAnsi="Times New Roman;serif"/>
          <w:b w:val="false"/>
          <w:sz w:val="20"/>
        </w:rPr>
        <w:t>million. The Company recorded the debt discount as a reduction to the principal amount of the debt and is amortized as interest expense over the life of the debt.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Scheduled principal repayments (maturities) of long-term obligations were as follows (in thousands):</w:t>
      </w:r>
      <w:r>
        <w:rPr>
          <w:rFonts w:ascii="Times New Roman" w:hAnsi="Times New Roman"/>
          <w:sz w:val="20"/>
        </w:rPr>
        <w:t xml:space="preserve"> </w:t>
      </w:r>
    </w:p>
    <w:tbl>
      <w:tblPr>
        <w:tblW w:w="3673" w:type="dxa"/>
        <w:jc w:val="left"/>
        <w:tblInd w:w="0" w:type="dxa"/>
        <w:tblLayout w:type="fixed"/>
        <w:tblCellMar>
          <w:top w:w="28" w:type="dxa"/>
          <w:left w:w="28" w:type="dxa"/>
          <w:bottom w:w="28" w:type="dxa"/>
          <w:right w:w="28" w:type="dxa"/>
        </w:tblCellMar>
      </w:tblPr>
      <w:tblGrid>
        <w:gridCol w:w="1696"/>
        <w:gridCol w:w="146"/>
        <w:gridCol w:w="342"/>
        <w:gridCol w:w="1098"/>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b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thereafter</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30,115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Note 7 – Leases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Operating Leases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acts as a lessee under all its lease agreements. The Company leases its headquarters and laboratory facilities in Boulder, Colorado, under a non-cancelable lease agreement for approximately 29,722</w:t>
      </w:r>
      <w:r>
        <w:rPr>
          <w:rFonts w:ascii="Times New Roman" w:hAnsi="Times New Roman"/>
          <w:sz w:val="20"/>
        </w:rPr>
        <w:t xml:space="preserve"> </w:t>
      </w:r>
      <w:r>
        <w:rPr>
          <w:rFonts w:ascii="Times New Roman;serif" w:hAnsi="Times New Roman;serif"/>
          <w:b w:val="false"/>
          <w:sz w:val="20"/>
        </w:rPr>
        <w:t>square feet that is set to expire in January 2024. The Company also leases laboratory and office space in De Soto, Kansas, under a non-cancelable lease agreement for approximately 9,066</w:t>
      </w:r>
      <w:r>
        <w:rPr>
          <w:rFonts w:ascii="Times New Roman" w:hAnsi="Times New Roman"/>
          <w:sz w:val="20"/>
        </w:rPr>
        <w:t xml:space="preserve"> </w:t>
      </w:r>
      <w:r>
        <w:rPr>
          <w:rFonts w:ascii="Times New Roman;serif" w:hAnsi="Times New Roman;serif"/>
          <w:b w:val="false"/>
          <w:sz w:val="20"/>
        </w:rPr>
        <w:t>square feet that was set to expire in October 2023. In April 2023, the Company amended the agreement to extend the lease agreement through October 2026. The Company also holds various copier and storage facility leases under non-cancelable lease agreements that expire in the next one</w:t>
      </w:r>
      <w:r>
        <w:rPr>
          <w:rFonts w:ascii="Times New Roman" w:hAnsi="Times New Roman"/>
          <w:sz w:val="20"/>
        </w:rPr>
        <w:t xml:space="preserve"> </w:t>
      </w:r>
      <w:r>
        <w:rPr>
          <w:rFonts w:ascii="Times New Roman;serif" w:hAnsi="Times New Roman;serif"/>
          <w:b w:val="false"/>
          <w:sz w:val="20"/>
        </w:rPr>
        <w:t>to four years.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Centennial Valley Properties I, LLC Lease Agreement</w:t>
      </w:r>
    </w:p>
    <w:p>
      <w:pPr>
        <w:pStyle w:val="TextBody"/>
        <w:bidi w:val="0"/>
        <w:spacing w:before="120" w:after="0"/>
        <w:jc w:val="both"/>
        <w:rPr>
          <w:rFonts w:ascii="Times New Roman" w:hAnsi="Times New Roman"/>
          <w:sz w:val="20"/>
        </w:rPr>
      </w:pPr>
      <w:r>
        <w:rPr>
          <w:rFonts w:ascii="Times New Roman;serif" w:hAnsi="Times New Roman;serif"/>
          <w:b w:val="false"/>
          <w:sz w:val="20"/>
        </w:rPr>
        <w:t>On March 11, 2022, the Company entered into a Lease Agreement (the Lease) with Centennial Valley Properties I, LLC, a Colorado limited liability company (the Landlord) for office and laboratory space in Louisville, Colorado (the Leased Premises). The purpose of the Lease is to replace the Company’s current leased premises in Boulder, Colorado. The Company intends to move its corporate headquarters to the Leased Premises by mid-2023.</w:t>
      </w:r>
      <w:r>
        <w:rPr>
          <w:rFonts w:ascii="Times New Roman" w:hAnsi="Times New Roman"/>
          <w:sz w:val="20"/>
        </w:rPr>
        <w:t xml:space="preserve"> </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The initial term of the Lease is twelve years</w:t>
      </w:r>
      <w:r>
        <w:rPr>
          <w:rFonts w:ascii="Times New Roman;serif" w:hAnsi="Times New Roman;serif"/>
          <w:sz w:val="20"/>
        </w:rPr>
        <w:t xml:space="preserve"> </w:t>
      </w:r>
      <w:r>
        <w:rPr>
          <w:rFonts w:ascii="Times New Roman;serif" w:hAnsi="Times New Roman;serif"/>
          <w:b w:val="false"/>
          <w:sz w:val="20"/>
        </w:rPr>
        <w:t>(the Initial Term) from the commencement date, which is the earlier of: (i) the Company conducting revenue generating business (as defined in the Lease), or (ii) April 1, 2023. The Company has two</w:t>
      </w:r>
      <w:r>
        <w:rPr>
          <w:rFonts w:ascii="Times New Roman;serif" w:hAnsi="Times New Roman;serif"/>
          <w:sz w:val="20"/>
        </w:rPr>
        <w:t xml:space="preserve"> </w:t>
      </w:r>
      <w:r>
        <w:rPr>
          <w:rFonts w:ascii="Times New Roman;serif" w:hAnsi="Times New Roman;serif"/>
          <w:b w:val="false"/>
          <w:sz w:val="20"/>
        </w:rPr>
        <w:t>renewal options to extend</w:t>
      </w:r>
      <w:r>
        <w:rPr>
          <w:rFonts w:ascii="Times New Roman;serif" w:hAnsi="Times New Roman;serif"/>
          <w:sz w:val="20"/>
        </w:rPr>
        <w:t xml:space="preserve"> </w:t>
      </w:r>
      <w:r>
        <w:rPr>
          <w:rFonts w:ascii="Times New Roman;serif" w:hAnsi="Times New Roman;serif"/>
          <w:b w:val="false"/>
          <w:sz w:val="20"/>
        </w:rPr>
        <w:t>the term of the Lease for an additional seven-</w:t>
      </w:r>
      <w:r>
        <w:rPr>
          <w:rFonts w:ascii="Times New Roman;serif" w:hAnsi="Times New Roman;serif"/>
          <w:sz w:val="20"/>
        </w:rPr>
        <w:t xml:space="preserve"> </w:t>
      </w:r>
      <w:r>
        <w:rPr>
          <w:rFonts w:ascii="Times New Roman;serif" w:hAnsi="Times New Roman;serif"/>
          <w:b w:val="false"/>
          <w:sz w:val="20"/>
        </w:rPr>
        <w:t>or ten-year</w:t>
      </w:r>
      <w:r>
        <w:rPr>
          <w:rFonts w:ascii="Times New Roman;serif" w:hAnsi="Times New Roman;serif"/>
          <w:sz w:val="20"/>
        </w:rPr>
        <w:t xml:space="preserve"> </w:t>
      </w:r>
      <w:r>
        <w:rPr>
          <w:rFonts w:ascii="Times New Roman;serif" w:hAnsi="Times New Roman;serif"/>
          <w:b w:val="false"/>
          <w:sz w:val="20"/>
        </w:rPr>
        <w:t>terms for each renewal. During the three months ended June 30, 2022, the lease commenced for accounting purposes resulting in $2.0</w:t>
      </w:r>
      <w:r>
        <w:rPr>
          <w:rFonts w:ascii="Times New Roman;serif" w:hAnsi="Times New Roman;serif"/>
          <w:sz w:val="20"/>
        </w:rPr>
        <w:t xml:space="preserve"> </w:t>
      </w:r>
      <w:r>
        <w:rPr>
          <w:rFonts w:ascii="Times New Roman;serif" w:hAnsi="Times New Roman;serif"/>
          <w:b w:val="false"/>
          <w:sz w:val="20"/>
        </w:rPr>
        <w:t>million in ROU assets and lease liabilities being recorded, however, the Lease commenced for legal purposes on April 1, 2023</w:t>
      </w:r>
      <w:r>
        <w:rPr>
          <w:rFonts w:ascii="Times New Roman;serif" w:hAnsi="Times New Roman;serif"/>
          <w:sz w:val="20"/>
        </w:rPr>
        <w:t xml:space="preserve"> </w:t>
      </w:r>
      <w:r>
        <w:rPr>
          <w:rFonts w:ascii="Times New Roman;serif" w:hAnsi="Times New Roman;serif"/>
          <w:b w:val="false"/>
          <w:sz w:val="20"/>
        </w:rPr>
        <w:t>(the Commencement Date).</w:t>
      </w:r>
    </w:p>
    <w:p>
      <w:pPr>
        <w:pStyle w:val="TextBody"/>
        <w:bidi w:val="0"/>
        <w:spacing w:before="120" w:after="0"/>
        <w:jc w:val="both"/>
        <w:rPr>
          <w:rFonts w:ascii="Times New Roman" w:hAnsi="Times New Roman"/>
          <w:sz w:val="20"/>
        </w:rPr>
      </w:pPr>
      <w:r>
        <w:rPr>
          <w:rFonts w:ascii="Times New Roman;serif" w:hAnsi="Times New Roman;serif"/>
          <w:b w:val="false"/>
          <w:sz w:val="20"/>
        </w:rPr>
        <w:t>Under the Lease, the Company will lease approximately 79,980</w:t>
      </w:r>
      <w:r>
        <w:rPr>
          <w:rFonts w:ascii="Times New Roman" w:hAnsi="Times New Roman"/>
          <w:sz w:val="20"/>
        </w:rPr>
        <w:t xml:space="preserve"> </w:t>
      </w:r>
      <w:r>
        <w:rPr>
          <w:rFonts w:ascii="Times New Roman;serif" w:hAnsi="Times New Roman;serif"/>
          <w:b w:val="false"/>
          <w:sz w:val="20"/>
        </w:rPr>
        <w:t>square feet at the Leased Premises. The Company will pay base rent over the life of the Lease beginning at approximately $227,000</w:t>
      </w:r>
      <w:r>
        <w:rPr>
          <w:rFonts w:ascii="Times New Roman" w:hAnsi="Times New Roman"/>
          <w:sz w:val="20"/>
        </w:rPr>
        <w:t xml:space="preserve"> </w:t>
      </w:r>
      <w:r>
        <w:rPr>
          <w:rFonts w:ascii="Times New Roman;serif" w:hAnsi="Times New Roman;serif"/>
          <w:b w:val="false"/>
          <w:sz w:val="20"/>
        </w:rPr>
        <w:t>per month and escalating, based on fixed escalation provisions, to approximately $326,000</w:t>
      </w:r>
      <w:r>
        <w:rPr>
          <w:rFonts w:ascii="Times New Roman" w:hAnsi="Times New Roman"/>
          <w:sz w:val="20"/>
        </w:rPr>
        <w:t xml:space="preserve"> </w:t>
      </w:r>
      <w:r>
        <w:rPr>
          <w:rFonts w:ascii="Times New Roman;serif" w:hAnsi="Times New Roman;serif"/>
          <w:b w:val="false"/>
          <w:sz w:val="20"/>
        </w:rPr>
        <w:t>per month, plus certain operating expenses and taxes. The Company's obligation to pay base rent shall be abated, commencing as of the Commencement Date and ending on and including the date that is 12 months after the Commencement Date (the Abated Rent Period). Further, the Company's obligation to pay base rent with respect to a portion of the area of the Lease Premises equal to 19,980</w:t>
      </w:r>
      <w:r>
        <w:rPr>
          <w:rFonts w:ascii="Times New Roman" w:hAnsi="Times New Roman"/>
          <w:sz w:val="20"/>
        </w:rPr>
        <w:t xml:space="preserve"> </w:t>
      </w:r>
      <w:r>
        <w:rPr>
          <w:rFonts w:ascii="Times New Roman;serif" w:hAnsi="Times New Roman;serif"/>
          <w:b w:val="false"/>
          <w:sz w:val="20"/>
        </w:rPr>
        <w:t>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w:t>
      </w:r>
      <w:r>
        <w:rPr>
          <w:rFonts w:ascii="Times New Roman" w:hAnsi="Times New Roman"/>
          <w:sz w:val="20"/>
        </w:rPr>
        <w:t xml:space="preserve"> </w:t>
      </w:r>
      <w:r>
        <w:rPr>
          <w:rFonts w:ascii="Times New Roman;serif" w:hAnsi="Times New Roman;serif"/>
          <w:b w:val="false"/>
          <w:sz w:val="20"/>
        </w:rPr>
        <w:t>million toward the cost of construction and improvements for the Leased Premises and the Company exercised its option for an additional tenant improvement allowance of $2.0</w:t>
      </w:r>
      <w:r>
        <w:rPr>
          <w:rFonts w:ascii="Times New Roman" w:hAnsi="Times New Roman"/>
          <w:sz w:val="20"/>
        </w:rPr>
        <w:t xml:space="preserve"> </w:t>
      </w:r>
      <w:r>
        <w:rPr>
          <w:rFonts w:ascii="Times New Roman;serif" w:hAnsi="Times New Roman;serif"/>
          <w:b w:val="false"/>
          <w:sz w:val="20"/>
        </w:rPr>
        <w:t>million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at lease commencement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$25.5</w:t>
      </w:r>
      <w:r>
        <w:rPr>
          <w:rFonts w:ascii="Times New Roman" w:hAnsi="Times New Roman"/>
          <w:sz w:val="20"/>
        </w:rPr>
        <w:t xml:space="preserve"> </w:t>
      </w:r>
      <w:r>
        <w:rPr>
          <w:rFonts w:ascii="Times New Roman;serif" w:hAnsi="Times New Roman;serif"/>
          <w:b w:val="false"/>
          <w:sz w:val="20"/>
        </w:rPr>
        <w:t>million by November 2024</w:t>
      </w:r>
      <w:r>
        <w:rPr>
          <w:rFonts w:ascii="Times New Roman" w:hAnsi="Times New Roman"/>
          <w:sz w:val="20"/>
        </w:rPr>
        <w:t xml:space="preserve"> </w:t>
      </w:r>
      <w:r>
        <w:rPr>
          <w:rFonts w:ascii="Times New Roman;serif" w:hAnsi="Times New Roman;serif"/>
          <w:b w:val="false"/>
          <w:sz w:val="20"/>
        </w:rPr>
        <w:t>after receiving $20.8</w:t>
      </w:r>
      <w:r>
        <w:rPr>
          <w:rFonts w:ascii="Times New Roman" w:hAnsi="Times New Roman"/>
          <w:sz w:val="20"/>
        </w:rPr>
        <w:t xml:space="preserve"> </w:t>
      </w:r>
      <w:r>
        <w:rPr>
          <w:rFonts w:ascii="Times New Roman;serif" w:hAnsi="Times New Roman;serif"/>
          <w:b w:val="false"/>
          <w:sz w:val="20"/>
        </w:rPr>
        <w:t>million in lessor reimbursements. As of March 31, 2023, the Company has incurred</w:t>
      </w:r>
      <w:r>
        <w:rPr>
          <w:rFonts w:ascii="Times New Roman" w:hAnsi="Times New Roman"/>
          <w:sz w:val="20"/>
        </w:rPr>
        <w:t xml:space="preserve"> </w:t>
      </w:r>
      <w:r>
        <w:rPr>
          <w:rFonts w:ascii="Times New Roman;serif" w:hAnsi="Times New Roman;serif"/>
          <w:b w:val="false"/>
          <w:sz w:val="20"/>
        </w:rPr>
        <w:t>a total of $9.7</w:t>
      </w:r>
      <w:r>
        <w:rPr>
          <w:rFonts w:ascii="Times New Roman" w:hAnsi="Times New Roman"/>
          <w:sz w:val="20"/>
        </w:rPr>
        <w:t xml:space="preserve"> </w:t>
      </w:r>
      <w:r>
        <w:rPr>
          <w:rFonts w:ascii="Times New Roman;serif" w:hAnsi="Times New Roman;serif"/>
          <w:b w:val="false"/>
          <w:sz w:val="20"/>
        </w:rPr>
        <w:t>million ($7.2</w:t>
      </w:r>
      <w:r>
        <w:rPr>
          <w:rFonts w:ascii="Times New Roman" w:hAnsi="Times New Roman"/>
          <w:sz w:val="20"/>
        </w:rPr>
        <w:t xml:space="preserve"> </w:t>
      </w:r>
      <w:r>
        <w:rPr>
          <w:rFonts w:ascii="Times New Roman;serif" w:hAnsi="Times New Roman;serif"/>
          <w:b w:val="false"/>
          <w:sz w:val="20"/>
        </w:rPr>
        <w:t>million during the three months ended March 31, 2023) in capital expenditures for leasehold improvements related to the Leased Premises which are tenant improvements and have been reimbursed from the Landlord. As of March 31, 2023, the Company had remaining capacity under the tenant improvement allowances of approximately $11.1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Lease includes various covenants, indemnities, defaults, termination rights, and other provisions customary for lease transactions of this nature. During the three months ended September 30, 2022, a $5.0</w:t>
      </w:r>
      <w:r>
        <w:rPr>
          <w:rFonts w:ascii="Times New Roman" w:hAnsi="Times New Roman"/>
          <w:sz w:val="20"/>
        </w:rPr>
        <w:t xml:space="preserve"> </w:t>
      </w:r>
      <w:r>
        <w:rPr>
          <w:rFonts w:ascii="Times New Roman;serif" w:hAnsi="Times New Roman;serif"/>
          <w:b w:val="false"/>
          <w:sz w:val="20"/>
        </w:rPr>
        <w:t>million cash collateralized letter of credit under the operating lease agreement was released and the funds were subsequently transferred to the Landlord as a refundable deposit (subject to contingent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reduction over the term of the lease) to secure the performance of the Company’s obligations. The $5.0</w:t>
      </w:r>
      <w:r>
        <w:rPr>
          <w:rFonts w:ascii="Times New Roman" w:hAnsi="Times New Roman"/>
          <w:sz w:val="20"/>
        </w:rPr>
        <w:t xml:space="preserve"> </w:t>
      </w:r>
      <w:r>
        <w:rPr>
          <w:rFonts w:ascii="Times New Roman;serif" w:hAnsi="Times New Roman;serif"/>
          <w:b w:val="false"/>
          <w:sz w:val="20"/>
        </w:rPr>
        <w:t>million refundable deposit is included within 'Other long-term assets' in the condensed balance sheet as of March 31, 2023.</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Operating lease expense for all operating leases was $1.1</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2023 and 2022, respectively. As of March 31, 2023, the weighted-average remaining lease term and discount rate associated with our operating leases were 10.4</w:t>
      </w:r>
      <w:r>
        <w:rPr>
          <w:rFonts w:ascii="Times New Roman" w:hAnsi="Times New Roman"/>
          <w:sz w:val="20"/>
        </w:rPr>
        <w:t xml:space="preserve"> </w:t>
      </w:r>
      <w:r>
        <w:rPr>
          <w:rFonts w:ascii="Times New Roman;serif" w:hAnsi="Times New Roman;serif"/>
          <w:b w:val="false"/>
          <w:sz w:val="20"/>
        </w:rPr>
        <w:t>years and 11.4%, respectively.</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Future minimum lease payments associated with our operating leases were as follows (in thousands):</w:t>
      </w:r>
    </w:p>
    <w:tbl>
      <w:tblPr>
        <w:tblW w:w="7023" w:type="dxa"/>
        <w:jc w:val="left"/>
        <w:tblInd w:w="0" w:type="dxa"/>
        <w:tblLayout w:type="fixed"/>
        <w:tblCellMar>
          <w:top w:w="28" w:type="dxa"/>
          <w:left w:w="28" w:type="dxa"/>
          <w:bottom w:w="28" w:type="dxa"/>
          <w:right w:w="28" w:type="dxa"/>
        </w:tblCellMar>
      </w:tblPr>
      <w:tblGrid>
        <w:gridCol w:w="5026"/>
        <w:gridCol w:w="146"/>
        <w:gridCol w:w="321"/>
        <w:gridCol w:w="1119"/>
        <w:gridCol w:w="41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br/>
              <w:t>March 31,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2,084</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3,710</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3,978</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4,063</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thereafter</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32,264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0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future minimum lease payments</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48,264</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 representing interest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(23,388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Less amount representing tenant improvement allowances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13,801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both"/>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The remaining contractually agreed upon tenant improvement allowances of</w:t>
      </w:r>
      <w:r>
        <w:rPr>
          <w:rFonts w:ascii="Times New Roman" w:hAnsi="Times New Roman"/>
          <w:sz w:val="20"/>
        </w:rPr>
        <w:t xml:space="preserve"> </w:t>
      </w:r>
      <w:r>
        <w:rPr>
          <w:rFonts w:ascii="Times New Roman;serif" w:hAnsi="Times New Roman;serif"/>
          <w:b w:val="false"/>
          <w:sz w:val="20"/>
        </w:rPr>
        <w:t>$11.1</w:t>
      </w:r>
      <w:r>
        <w:rPr>
          <w:rFonts w:ascii="Times New Roman" w:hAnsi="Times New Roman"/>
          <w:sz w:val="20"/>
        </w:rPr>
        <w:t xml:space="preserve"> </w:t>
      </w:r>
      <w:r>
        <w:rPr>
          <w:rFonts w:ascii="Times New Roman;serif" w:hAnsi="Times New Roman;serif"/>
          <w:b w:val="false"/>
          <w:sz w:val="20"/>
        </w:rPr>
        <w:t>million are expected to be received throughout the remainder of fiscal year 2023.</w:t>
      </w:r>
    </w:p>
    <w:p>
      <w:pPr>
        <w:pStyle w:val="TextBody"/>
        <w:bidi w:val="0"/>
        <w:spacing w:before="0" w:after="0"/>
        <w:jc w:val="left"/>
        <w:rPr>
          <w:rFonts w:ascii="Times New Roman;serif" w:hAnsi="Times New Roman;serif"/>
          <w:b/>
          <w:sz w:val="20"/>
        </w:rPr>
      </w:pPr>
      <w:r>
        <w:rPr>
          <w:rFonts w:ascii="Times New Roman;serif" w:hAnsi="Times New Roman;serif"/>
          <w:b/>
          <w:sz w:val="20"/>
        </w:rPr>
        <w:t>Note 8 – Equity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Equity Financing Programs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maintains two</w:t>
      </w:r>
      <w:r>
        <w:rPr>
          <w:rFonts w:ascii="Times New Roman" w:hAnsi="Times New Roman"/>
          <w:sz w:val="20"/>
        </w:rPr>
        <w:t xml:space="preserve"> </w:t>
      </w:r>
      <w:r>
        <w:rPr>
          <w:rFonts w:ascii="Times New Roman;serif" w:hAnsi="Times New Roman;serif"/>
          <w:b w:val="false"/>
          <w:sz w:val="20"/>
        </w:rPr>
        <w:t>facilities that enable equity financing on an ongoing basis at the Company’s sole discretion, our at-the-market (ATM) offering and our common stock purchase agreement with Lincoln Park Capital Fund, LLC (the LPC facility). In November 2021, the Company entered into a sales agreement with a financial institution, pursuant to which the Company may issue and sell, from time to time, shares of its common stock having an aggregate offering price of up to $50.0</w:t>
      </w:r>
      <w:r>
        <w:rPr>
          <w:rFonts w:ascii="Times New Roman" w:hAnsi="Times New Roman"/>
          <w:sz w:val="20"/>
        </w:rPr>
        <w:t xml:space="preserve"> </w:t>
      </w:r>
      <w:r>
        <w:rPr>
          <w:rFonts w:ascii="Times New Roman;serif" w:hAnsi="Times New Roman;serif"/>
          <w:b w:val="false"/>
          <w:sz w:val="20"/>
        </w:rPr>
        <w:t>million (the ATM Shares), subject to terms and conditions. The ATM Shares will be offered and sold by the Company pursuant to its previously filed and currently effective registration statement on Form S-3, and sales of the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pStyle w:val="TextBody"/>
        <w:bidi w:val="0"/>
        <w:spacing w:before="120" w:after="0"/>
        <w:jc w:val="both"/>
        <w:rPr>
          <w:rFonts w:ascii="Times New Roman" w:hAnsi="Times New Roman"/>
          <w:sz w:val="20"/>
        </w:rPr>
      </w:pPr>
      <w:r>
        <w:rPr>
          <w:rFonts w:ascii="Times New Roman;serif" w:hAnsi="Times New Roman;serif"/>
          <w:b w:val="false"/>
          <w:sz w:val="20"/>
        </w:rPr>
        <w:t>On March 7, 2022 (the LPC Effective Date), the Company entered into a purchase agreement with Lincoln Park Capital Fund, LLC (Lincoln Park), pursuant to which Lincoln Park has committed to purchase up to $50.0</w:t>
      </w:r>
      <w:r>
        <w:rPr>
          <w:rFonts w:ascii="Times New Roman" w:hAnsi="Times New Roman"/>
          <w:sz w:val="20"/>
        </w:rPr>
        <w:t xml:space="preserve"> </w:t>
      </w:r>
      <w:r>
        <w:rPr>
          <w:rFonts w:ascii="Times New Roman;serif" w:hAnsi="Times New Roman;serif"/>
          <w:b w:val="false"/>
          <w:sz w:val="20"/>
        </w:rPr>
        <w:t>million of the Company's common stock (the Purchase Agreement). Under the terms and subject to the conditions of the Purchase Agreement, the Company has the right, but not the obligation, to sell to Lincoln Park, and Lincoln Park is obligated to purchase up to $50.0</w:t>
      </w:r>
      <w:r>
        <w:rPr>
          <w:rFonts w:ascii="Times New Roman" w:hAnsi="Times New Roman"/>
          <w:sz w:val="20"/>
        </w:rPr>
        <w:t xml:space="preserve"> </w:t>
      </w:r>
      <w:r>
        <w:rPr>
          <w:rFonts w:ascii="Times New Roman;serif" w:hAnsi="Times New Roman;serif"/>
          <w:b w:val="false"/>
          <w:sz w:val="20"/>
        </w:rPr>
        <w:t>million of the Company’s common stock. Such sales of common stock by the Company, if any, will be subject to certain limitations, and may occur from time to time, at the Company’s sole discretion, over the 36-month</w:t>
      </w:r>
      <w:r>
        <w:rPr>
          <w:rFonts w:ascii="Times New Roman" w:hAnsi="Times New Roman"/>
          <w:sz w:val="20"/>
        </w:rPr>
        <w:t xml:space="preserve"> </w:t>
      </w:r>
      <w:r>
        <w:rPr>
          <w:rFonts w:ascii="Times New Roman;serif" w:hAnsi="Times New Roman;serif"/>
          <w:b w:val="false"/>
          <w:sz w:val="20"/>
        </w:rPr>
        <w:t>period commencing on the LPC Effective Date. The number of shares the Company may sell to Lincoln Park on any single business day in a regular purchase is 50,000</w:t>
      </w:r>
      <w:r>
        <w:rPr>
          <w:rFonts w:ascii="Times New Roman" w:hAnsi="Times New Roman"/>
          <w:sz w:val="20"/>
        </w:rPr>
        <w:t xml:space="preserve"> </w:t>
      </w:r>
      <w:r>
        <w:rPr>
          <w:rFonts w:ascii="Times New Roman;serif" w:hAnsi="Times New Roman;serif"/>
          <w:b w:val="false"/>
          <w:sz w:val="20"/>
        </w:rPr>
        <w:t>shares, but that amount may be increased up to 100,000</w:t>
      </w:r>
      <w:r>
        <w:rPr>
          <w:rFonts w:ascii="Times New Roman" w:hAnsi="Times New Roman"/>
          <w:sz w:val="20"/>
        </w:rPr>
        <w:t xml:space="preserve"> </w:t>
      </w:r>
      <w:r>
        <w:rPr>
          <w:rFonts w:ascii="Times New Roman;serif" w:hAnsi="Times New Roman;serif"/>
          <w:b w:val="false"/>
          <w:sz w:val="20"/>
        </w:rPr>
        <w:t>shares, depending upon the market price of the Company’s common stock at the time of sale and subject to a maximum limit of $1.5</w:t>
      </w:r>
      <w:r>
        <w:rPr>
          <w:rFonts w:ascii="Times New Roman" w:hAnsi="Times New Roman"/>
          <w:sz w:val="20"/>
        </w:rPr>
        <w:t xml:space="preserve"> </w:t>
      </w:r>
      <w:r>
        <w:rPr>
          <w:rFonts w:ascii="Times New Roman;serif" w:hAnsi="Times New Roman;serif"/>
          <w:b w:val="false"/>
          <w:sz w:val="20"/>
        </w:rPr>
        <w:t>million per regular purchase. The purchase price per share for each such regular purchase will be based on prevailing market prices of the Company’s common stock immediately preceding the time of sale as computed under the Purchase Agreement. In addition to regular purchases, the Company may also direct Lincoln Park to purchase other amounts as accelerated purchases or as additional accelerated purchases.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Under applicable rules of the NASDAQ Global Market, in no event may the Company issue or sell to Lincoln Park under the Purchase Agreement more than 19.99% of the shares of the Company’s common stock outstanding immediately prior to the execution of the Purchase Agreement (the Exchange Cap), unless (i) the Company obtains stockholder approval to issue shares of common stock in excess of the Exchange Cap or (ii) the average price of all applicable sales of common stock to Lincoln Park under the Purchase Agreement equals or exceeds $2.20 per share, such that issuances and sales of the common stock to Lincoln Park under the Purchase Agreement would be exempt from the Exchange Cap limitation under applicable NASDAQ rules.</w:t>
      </w:r>
    </w:p>
    <w:p>
      <w:pPr>
        <w:pStyle w:val="TextBody"/>
        <w:bidi w:val="0"/>
        <w:spacing w:before="120" w:after="0"/>
        <w:jc w:val="both"/>
        <w:rPr>
          <w:rFonts w:ascii="Times New Roman" w:hAnsi="Times New Roman"/>
          <w:sz w:val="20"/>
        </w:rPr>
      </w:pPr>
      <w:r>
        <w:rPr>
          <w:rFonts w:ascii="Times New Roman;serif" w:hAnsi="Times New Roman;serif"/>
          <w:b w:val="false"/>
          <w:sz w:val="20"/>
        </w:rPr>
        <w:t>Lincoln Park has no right to require the Company to sell any shares of common stock to Lincoln Park, but Lincoln Park is obligated to make purchases as the Company directs, subject to certain conditions. In all instances, the Company may not sell shares of its common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stock to Lincoln Park under the Purchase Agreement if doing so would result in Lincoln Park beneficially owning more than 9.99% of its common stock.</w:t>
      </w:r>
    </w:p>
    <w:p>
      <w:pPr>
        <w:pStyle w:val="TextBody"/>
        <w:bidi w:val="0"/>
        <w:spacing w:before="120" w:after="0"/>
        <w:jc w:val="both"/>
        <w:rPr>
          <w:rFonts w:ascii="Times New Roman" w:hAnsi="Times New Roman"/>
          <w:sz w:val="20"/>
        </w:rPr>
      </w:pPr>
      <w:r>
        <w:rPr>
          <w:rFonts w:ascii="Times New Roman;serif" w:hAnsi="Times New Roman;serif"/>
          <w:b w:val="false"/>
          <w:sz w:val="20"/>
        </w:rPr>
        <w:t>Actual sales of shares of common stock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if any, under the Purchase Agreement will depend on the frequency and prices at which the Company sells shares of its common stock to Lincoln Park. The Company intends to use any net proceeds from the sale of its common stock to Lincoln Park to advance its growth strategy and for general corporate purposes. On the LPC Effective Date, the Company issued 184,275</w:t>
      </w:r>
      <w:r>
        <w:rPr>
          <w:rFonts w:ascii="Times New Roman" w:hAnsi="Times New Roman"/>
          <w:sz w:val="20"/>
        </w:rPr>
        <w:t xml:space="preserve"> </w:t>
      </w:r>
      <w:r>
        <w:rPr>
          <w:rFonts w:ascii="Times New Roman;serif" w:hAnsi="Times New Roman;serif"/>
          <w:b w:val="false"/>
          <w:sz w:val="20"/>
        </w:rPr>
        <w:t>shares of common stock to Lincoln Park as a commitment fee (the Initial Commitment Shares) for which the Company did not receive consideration and, upon the available amount being reduced to an amount equal to or less than $20.0</w:t>
      </w:r>
      <w:r>
        <w:rPr>
          <w:rFonts w:ascii="Times New Roman" w:hAnsi="Times New Roman"/>
          <w:sz w:val="20"/>
        </w:rPr>
        <w:t xml:space="preserve"> </w:t>
      </w:r>
      <w:r>
        <w:rPr>
          <w:rFonts w:ascii="Times New Roman;serif" w:hAnsi="Times New Roman;serif"/>
          <w:b w:val="false"/>
          <w:sz w:val="20"/>
        </w:rPr>
        <w:t>million, the Company will be required to issue 61,425</w:t>
      </w:r>
      <w:r>
        <w:rPr>
          <w:rFonts w:ascii="Times New Roman" w:hAnsi="Times New Roman"/>
          <w:sz w:val="20"/>
        </w:rPr>
        <w:t xml:space="preserve"> </w:t>
      </w:r>
      <w:r>
        <w:rPr>
          <w:rFonts w:ascii="Times New Roman;serif" w:hAnsi="Times New Roman;serif"/>
          <w:b w:val="false"/>
          <w:sz w:val="20"/>
        </w:rPr>
        <w:t>shares (the Additional Commitment Shares and together with the Initial Commitment Shares, collectively, the Commitment Shares). The Initial Commitment Shares issued were valued at $600,000</w:t>
      </w:r>
      <w:r>
        <w:rPr>
          <w:rFonts w:ascii="Times New Roman" w:hAnsi="Times New Roman"/>
          <w:sz w:val="20"/>
        </w:rPr>
        <w:t xml:space="preserve"> </w:t>
      </w:r>
      <w:r>
        <w:rPr>
          <w:rFonts w:ascii="Times New Roman;serif" w:hAnsi="Times New Roman;serif"/>
          <w:b w:val="false"/>
          <w:sz w:val="20"/>
        </w:rPr>
        <w:t>and, together with due diligence expenses and legal fees of $129,000, reflect deferred offering costs of $729,000, which are included on the condensed balance sheet in 'Other long-term assets'. The deferred offering costs will be charged against 'Additional paid-in capital' upon future proceeds from the sale of common stock under the Purchase Agreement. During the three months ended March 31, 2023 and 2022, zero</w:t>
      </w:r>
      <w:r>
        <w:rPr>
          <w:rFonts w:ascii="Times New Roman" w:hAnsi="Times New Roman"/>
          <w:sz w:val="20"/>
        </w:rPr>
        <w:t xml:space="preserve"> </w:t>
      </w:r>
      <w:r>
        <w:rPr>
          <w:rFonts w:ascii="Times New Roman;serif" w:hAnsi="Times New Roman;serif"/>
          <w:b w:val="false"/>
          <w:sz w:val="20"/>
        </w:rPr>
        <w:t>and $18,000</w:t>
      </w:r>
      <w:r>
        <w:rPr>
          <w:rFonts w:ascii="Times New Roman" w:hAnsi="Times New Roman"/>
          <w:sz w:val="20"/>
        </w:rPr>
        <w:t xml:space="preserve"> </w:t>
      </w:r>
      <w:r>
        <w:rPr>
          <w:rFonts w:ascii="Times New Roman;serif" w:hAnsi="Times New Roman;serif"/>
          <w:b w:val="false"/>
          <w:sz w:val="20"/>
        </w:rPr>
        <w:t>of deferred offering costs were charged against 'Additional paid-in capital', respectively. As of March 31, 2023, $654,000</w:t>
      </w:r>
      <w:r>
        <w:rPr>
          <w:rFonts w:ascii="Times New Roman" w:hAnsi="Times New Roman"/>
          <w:sz w:val="20"/>
        </w:rPr>
        <w:t xml:space="preserve"> </w:t>
      </w:r>
      <w:r>
        <w:rPr>
          <w:rFonts w:ascii="Times New Roman;serif" w:hAnsi="Times New Roman;serif"/>
          <w:b w:val="false"/>
          <w:sz w:val="20"/>
        </w:rPr>
        <w:t>of deferred offering costs remain.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 Although the Company has agreed to reimburse Lincoln Park for a limited portion of the fees it incurred in connection with the Purchase Agreement, the Company did not pay any additional amounts to reimburse or otherwise compensate Lincoln Park in connection with the transaction, other than the issuance of the Commitment Shares.</w:t>
      </w:r>
    </w:p>
    <w:p>
      <w:pPr>
        <w:pStyle w:val="TextBody"/>
        <w:bidi w:val="0"/>
        <w:spacing w:before="120" w:after="0"/>
        <w:jc w:val="both"/>
        <w:rPr>
          <w:rFonts w:ascii="Times New Roman" w:hAnsi="Times New Roman"/>
          <w:sz w:val="20"/>
        </w:rPr>
      </w:pPr>
      <w:r>
        <w:rPr>
          <w:rFonts w:ascii="Times New Roman;serif" w:hAnsi="Times New Roman;serif"/>
          <w:b w:val="false"/>
          <w:sz w:val="20"/>
        </w:rPr>
        <w:t>As of March 31, 2023, the Company had remaining available capacity for share issuances of approximately $29.5</w:t>
      </w:r>
      <w:r>
        <w:rPr>
          <w:rFonts w:ascii="Times New Roman" w:hAnsi="Times New Roman"/>
          <w:sz w:val="20"/>
        </w:rPr>
        <w:t xml:space="preserve"> </w:t>
      </w:r>
      <w:r>
        <w:rPr>
          <w:rFonts w:ascii="Times New Roman;serif" w:hAnsi="Times New Roman;serif"/>
          <w:b w:val="false"/>
          <w:sz w:val="20"/>
        </w:rPr>
        <w:t>million under the at-the-market facility and up to $46.9</w:t>
      </w:r>
      <w:r>
        <w:rPr>
          <w:rFonts w:ascii="Times New Roman" w:hAnsi="Times New Roman"/>
          <w:sz w:val="20"/>
        </w:rPr>
        <w:t xml:space="preserve"> </w:t>
      </w:r>
      <w:r>
        <w:rPr>
          <w:rFonts w:ascii="Times New Roman;serif" w:hAnsi="Times New Roman;serif"/>
          <w:b w:val="false"/>
          <w:sz w:val="20"/>
        </w:rPr>
        <w:t>million under the LPC facility, each subject to the restrictions and limitations of the underlying facilities, as well as volume limitations under applicable SEC rules and regulations that limit their availability as sources of funding.</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Warrants</w:t>
      </w:r>
    </w:p>
    <w:p>
      <w:pPr>
        <w:pStyle w:val="TextBody"/>
        <w:bidi w:val="0"/>
        <w:spacing w:before="120" w:after="0"/>
        <w:jc w:val="both"/>
        <w:rPr>
          <w:rFonts w:ascii="Times New Roman" w:hAnsi="Times New Roman"/>
          <w:sz w:val="20"/>
        </w:rPr>
      </w:pPr>
      <w:r>
        <w:rPr>
          <w:rFonts w:ascii="Times New Roman;serif" w:hAnsi="Times New Roman;serif"/>
          <w:b w:val="false"/>
          <w:sz w:val="20"/>
        </w:rPr>
        <w:t>During 2018, the Company issued warrants to purchase shares of convertible preferred stock in conjunction with the sale of certain convertible preferred shares and issuance of debt. The Company issued to the lender a warrant to purchase 613,333</w:t>
      </w:r>
      <w:r>
        <w:rPr>
          <w:rFonts w:ascii="Times New Roman" w:hAnsi="Times New Roman"/>
          <w:sz w:val="20"/>
        </w:rPr>
        <w:t xml:space="preserve"> </w:t>
      </w:r>
      <w:r>
        <w:rPr>
          <w:rFonts w:ascii="Times New Roman;serif" w:hAnsi="Times New Roman;serif"/>
          <w:b w:val="false"/>
          <w:sz w:val="20"/>
        </w:rPr>
        <w:t>shares of Series G convertible preferred stock, at an exercise price of $0.75</w:t>
      </w:r>
      <w:r>
        <w:rPr>
          <w:rFonts w:ascii="Times New Roman" w:hAnsi="Times New Roman"/>
          <w:sz w:val="20"/>
        </w:rPr>
        <w:t xml:space="preserve"> </w:t>
      </w:r>
      <w:r>
        <w:rPr>
          <w:rFonts w:ascii="Times New Roman;serif" w:hAnsi="Times New Roman;serif"/>
          <w:b w:val="false"/>
          <w:sz w:val="20"/>
        </w:rPr>
        <w:t>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w:t>
      </w:r>
      <w:r>
        <w:rPr>
          <w:rFonts w:ascii="Times New Roman" w:hAnsi="Times New Roman"/>
          <w:sz w:val="20"/>
        </w:rPr>
        <w:t xml:space="preserve"> </w:t>
      </w:r>
      <w:r>
        <w:rPr>
          <w:rFonts w:ascii="Times New Roman;serif" w:hAnsi="Times New Roman;serif"/>
          <w:b w:val="false"/>
          <w:sz w:val="20"/>
        </w:rPr>
        <w:t>shares of common stock with a weighted average exercise price of $4.46</w:t>
      </w:r>
      <w:r>
        <w:rPr>
          <w:rFonts w:ascii="Times New Roman" w:hAnsi="Times New Roman"/>
          <w:sz w:val="20"/>
        </w:rPr>
        <w:t xml:space="preserve"> </w:t>
      </w:r>
      <w:r>
        <w:rPr>
          <w:rFonts w:ascii="Times New Roman;serif" w:hAnsi="Times New Roman;serif"/>
          <w:b w:val="false"/>
          <w:sz w:val="20"/>
        </w:rPr>
        <w:t>and were also transferred to additional paid-in capital. All common stock warrants remain outstanding as of March 31, 2023.</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On November 21, 2022, as consideration for the Perceptive Term Loan Facility (see Note 6 - </w:t>
      </w:r>
      <w:r>
        <w:rPr>
          <w:rFonts w:ascii="Times New Roman;serif" w:hAnsi="Times New Roman;serif"/>
          <w:b w:val="false"/>
          <w:i/>
          <w:sz w:val="20"/>
        </w:rPr>
        <w:t>Debt</w:t>
      </w:r>
      <w:r>
        <w:rPr>
          <w:rFonts w:ascii="Times New Roman;serif" w:hAnsi="Times New Roman;serif"/>
          <w:b w:val="false"/>
          <w:sz w:val="20"/>
        </w:rPr>
        <w:t>), the Company issued the Perceptive Warrant to purchase up to 5,000,000</w:t>
      </w:r>
      <w:r>
        <w:rPr>
          <w:rFonts w:ascii="Times New Roman" w:hAnsi="Times New Roman"/>
          <w:sz w:val="20"/>
        </w:rPr>
        <w:t xml:space="preserve"> </w:t>
      </w:r>
      <w:r>
        <w:rPr>
          <w:rFonts w:ascii="Times New Roman;serif" w:hAnsi="Times New Roman;serif"/>
          <w:b w:val="false"/>
          <w:sz w:val="20"/>
        </w:rPr>
        <w:t>shares of the Company's common stock, including the Initial Warrants. In addition to the Initial Warrants, the Additional Warrants will each become exercisable into 1,000,000</w:t>
      </w:r>
      <w:r>
        <w:rPr>
          <w:rFonts w:ascii="Times New Roman" w:hAnsi="Times New Roman"/>
          <w:sz w:val="20"/>
        </w:rPr>
        <w:t xml:space="preserve"> </w:t>
      </w:r>
      <w:r>
        <w:rPr>
          <w:rFonts w:ascii="Times New Roman;serif" w:hAnsi="Times New Roman;serif"/>
          <w:b w:val="false"/>
          <w:sz w:val="20"/>
        </w:rPr>
        <w:t xml:space="preserve">shares of common stock concurrently with the borrowing date of the Tranche B and C Loans, respectively. The Company accounts for the Additional Warrants as liabilities as the Additional Warrants do not meet the criteria for equity treatment (see Note 4 - </w:t>
      </w:r>
      <w:r>
        <w:rPr>
          <w:rFonts w:ascii="Times New Roman;serif" w:hAnsi="Times New Roman;serif"/>
          <w:b w:val="false"/>
          <w:i/>
          <w:sz w:val="20"/>
        </w:rPr>
        <w:t>Fair Value</w:t>
      </w:r>
      <w:r>
        <w:rPr>
          <w:rFonts w:ascii="Times New Roman;serif" w:hAnsi="Times New Roman;serif"/>
          <w:b w:val="false"/>
          <w:sz w:val="20"/>
        </w:rPr>
        <w:t>). The per share exercise price for the Initial Warrants is equal to $1.0648, which is equal to the lower of (A) the 10-day VWAP of the Company’s common stock on the business day immediately prior to the Closing Date of the Tranche A Loan or (B) the public offering price per share of common stock of $1.15. The Initial Warrants are equity classified and were immediately exercisable upon issuance and expire on November 21, 2032. The Initial Warrants were valued at $2.9</w:t>
      </w:r>
      <w:r>
        <w:rPr>
          <w:rFonts w:ascii="Times New Roman" w:hAnsi="Times New Roman"/>
          <w:sz w:val="20"/>
        </w:rPr>
        <w:t xml:space="preserve"> </w:t>
      </w:r>
      <w:r>
        <w:rPr>
          <w:rFonts w:ascii="Times New Roman;serif" w:hAnsi="Times New Roman;serif"/>
          <w:b w:val="false"/>
          <w:sz w:val="20"/>
        </w:rPr>
        <w:t>million using the Black-Scholes option-pricing model assuming an expected term of 10 years, a volatility of 81.3%, a dividend yield of 0% and a risk-free interest rate of 3.67%. All Initial Warrants remain outstanding as of March 31, 2023.</w:t>
      </w:r>
    </w:p>
    <w:p>
      <w:pPr>
        <w:pStyle w:val="TextBody"/>
        <w:bidi w:val="0"/>
        <w:spacing w:before="240" w:after="0"/>
        <w:jc w:val="left"/>
        <w:rPr>
          <w:rFonts w:ascii="Times New Roman;serif" w:hAnsi="Times New Roman;serif"/>
          <w:b/>
          <w:sz w:val="20"/>
        </w:rPr>
      </w:pPr>
      <w:r>
        <w:rPr>
          <w:rFonts w:ascii="Times New Roman;serif" w:hAnsi="Times New Roman;serif"/>
          <w:b/>
          <w:sz w:val="20"/>
        </w:rPr>
        <w:t>Note 9 – Revenue and Accounts Receivable Credit Concentration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pStyle w:val="TextBody"/>
        <w:bidi w:val="0"/>
        <w:spacing w:before="120" w:after="0"/>
        <w:jc w:val="both"/>
        <w:rPr>
          <w:rFonts w:ascii="Times New Roman" w:hAnsi="Times New Roman"/>
          <w:sz w:val="20"/>
        </w:rPr>
      </w:pPr>
      <w:r>
        <w:rPr>
          <w:rFonts w:ascii="Times New Roman;serif" w:hAnsi="Times New Roman;serif"/>
          <w:b w:val="false"/>
          <w:sz w:val="20"/>
        </w:rPr>
        <w:t>Diagnostic test revenues consist of blood-based lung tests and COVID-19 tests, which are recognized in the amount expected to be received in exchange for diagnostic tests when the diagnostic tests are delivered. The Company conducts diagnostic tests and delivers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pStyle w:val="TextBody"/>
        <w:bidi w:val="0"/>
        <w:spacing w:before="120" w:after="0"/>
        <w:jc w:val="both"/>
        <w:rPr>
          <w:rFonts w:ascii="Times New Roman" w:hAnsi="Times New Roman"/>
          <w:sz w:val="20"/>
        </w:rPr>
      </w:pPr>
      <w:r>
        <w:rPr>
          <w:rFonts w:ascii="Times New Roman;serif" w:hAnsi="Times New Roman;serif"/>
          <w:b w:val="false"/>
          <w:sz w:val="20"/>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Revenues consisted of the following (in thousands):</w:t>
      </w:r>
    </w:p>
    <w:tbl>
      <w:tblPr>
        <w:tblW w:w="4736" w:type="dxa"/>
        <w:jc w:val="left"/>
        <w:tblInd w:w="0" w:type="dxa"/>
        <w:tblLayout w:type="fixed"/>
        <w:tblCellMar>
          <w:top w:w="28" w:type="dxa"/>
          <w:left w:w="28" w:type="dxa"/>
          <w:bottom w:w="28" w:type="dxa"/>
          <w:right w:w="28" w:type="dxa"/>
        </w:tblCellMar>
      </w:tblPr>
      <w:tblGrid>
        <w:gridCol w:w="1411"/>
        <w:gridCol w:w="146"/>
        <w:gridCol w:w="317"/>
        <w:gridCol w:w="858"/>
        <w:gridCol w:w="219"/>
        <w:gridCol w:w="219"/>
        <w:gridCol w:w="317"/>
        <w:gridCol w:w="858"/>
        <w:gridCol w:w="3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1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Diagnostic tests</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8,645</w:t>
            </w:r>
          </w:p>
        </w:tc>
        <w:tc>
          <w:tcPr>
            <w:tcW w:w="219"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5,633</w:t>
            </w:r>
          </w:p>
        </w:tc>
        <w:tc>
          <w:tcPr>
            <w:tcW w:w="3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Services</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9,056</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i/>
          <w:sz w:val="20"/>
        </w:rPr>
      </w:pPr>
      <w:r>
        <w:rPr>
          <w:rFonts w:ascii="Times New Roman;serif" w:hAnsi="Times New Roman;serif"/>
          <w:b/>
          <w:i/>
          <w:sz w:val="20"/>
        </w:rPr>
        <w:t>Deferred Revenue</w:t>
      </w:r>
    </w:p>
    <w:p>
      <w:pPr>
        <w:pStyle w:val="TextBody"/>
        <w:bidi w:val="0"/>
        <w:spacing w:before="120" w:after="0"/>
        <w:jc w:val="both"/>
        <w:rPr>
          <w:rFonts w:ascii="Times New Roman" w:hAnsi="Times New Roman"/>
          <w:sz w:val="20"/>
        </w:rPr>
      </w:pPr>
      <w:r>
        <w:rPr>
          <w:rFonts w:ascii="Times New Roman;serif" w:hAnsi="Times New Roman;serif"/>
          <w:b w:val="false"/>
          <w:sz w:val="20"/>
        </w:rPr>
        <w:t>Deferred revenue consists of cash payments from customers received in advance of delivery. As test results are delivered, the Company recognizes the deferred revenue in ‘Revenues’ in the condensed statements of operations. Of the</w:t>
      </w:r>
      <w:r>
        <w:rPr>
          <w:rFonts w:ascii="Times New Roman" w:hAnsi="Times New Roman"/>
          <w:sz w:val="20"/>
        </w:rPr>
        <w:t xml:space="preserve"> </w:t>
      </w:r>
      <w:r>
        <w:rPr>
          <w:rFonts w:ascii="Times New Roman;serif" w:hAnsi="Times New Roman;serif"/>
          <w:b w:val="false"/>
          <w:sz w:val="20"/>
        </w:rPr>
        <w:t>$1.0</w:t>
      </w:r>
      <w:r>
        <w:rPr>
          <w:rFonts w:ascii="Times New Roman" w:hAnsi="Times New Roman"/>
          <w:sz w:val="20"/>
        </w:rPr>
        <w:t xml:space="preserve"> </w:t>
      </w:r>
      <w:r>
        <w:rPr>
          <w:rFonts w:ascii="Times New Roman;serif" w:hAnsi="Times New Roman;serif"/>
          <w:b w:val="false"/>
          <w:sz w:val="20"/>
        </w:rPr>
        <w:t>million in</w:t>
      </w:r>
      <w:r>
        <w:rPr>
          <w:rFonts w:ascii="Times New Roman" w:hAnsi="Times New Roman"/>
          <w:sz w:val="20"/>
        </w:rPr>
        <w:t xml:space="preserve"> ‘</w:t>
      </w:r>
      <w:r>
        <w:rPr>
          <w:rFonts w:ascii="Times New Roman;serif" w:hAnsi="Times New Roman;serif"/>
          <w:b w:val="false"/>
          <w:sz w:val="20"/>
        </w:rPr>
        <w:t>Deferred revenue’ recorded in the condensed balance sheet as of December 31, 2022, $0.2</w:t>
      </w:r>
      <w:r>
        <w:rPr>
          <w:rFonts w:ascii="Times New Roman" w:hAnsi="Times New Roman"/>
          <w:sz w:val="20"/>
        </w:rPr>
        <w:t xml:space="preserve"> </w:t>
      </w:r>
      <w:r>
        <w:rPr>
          <w:rFonts w:ascii="Times New Roman;serif" w:hAnsi="Times New Roman;serif"/>
          <w:b w:val="false"/>
          <w:sz w:val="20"/>
        </w:rPr>
        <w:t>million was recognized in revenues during the three months ended March 31, 2023. In addition, $0.3</w:t>
      </w:r>
      <w:r>
        <w:rPr>
          <w:rFonts w:ascii="Times New Roman" w:hAnsi="Times New Roman"/>
          <w:sz w:val="20"/>
        </w:rPr>
        <w:t xml:space="preserve"> </w:t>
      </w:r>
      <w:r>
        <w:rPr>
          <w:rFonts w:ascii="Times New Roman;serif" w:hAnsi="Times New Roman;serif"/>
          <w:b w:val="false"/>
          <w:sz w:val="20"/>
        </w:rPr>
        <w:t>million was added to ‘Deferred revenue’ for up-front cash payments received for which the revenue recognition criteria have not been met. The ‘Deferred revenue’ of $1.1</w:t>
      </w:r>
      <w:r>
        <w:rPr>
          <w:rFonts w:ascii="Times New Roman" w:hAnsi="Times New Roman"/>
          <w:sz w:val="20"/>
        </w:rPr>
        <w:t xml:space="preserve"> </w:t>
      </w:r>
      <w:r>
        <w:rPr>
          <w:rFonts w:ascii="Times New Roman;serif" w:hAnsi="Times New Roman;serif"/>
          <w:b w:val="false"/>
          <w:sz w:val="20"/>
        </w:rPr>
        <w:t>million recorded in the condensed balance sheet as of March 31, 2023 is expected to be recognized in revenues over the next twelve months as test results are delivered and services are performed. As of March 31, 2023 and December 31, 2022, the Company had $0.4</w:t>
      </w:r>
      <w:r>
        <w:rPr>
          <w:rFonts w:ascii="Times New Roman" w:hAnsi="Times New Roman"/>
          <w:sz w:val="20"/>
        </w:rPr>
        <w:t xml:space="preserve"> </w:t>
      </w:r>
      <w:r>
        <w:rPr>
          <w:rFonts w:ascii="Times New Roman;serif" w:hAnsi="Times New Roman;serif"/>
          <w:b w:val="false"/>
          <w:sz w:val="20"/>
        </w:rPr>
        <w:t>million in non-current deferred revenue, respectively, recorded within ‘Other long-term liabilities’ in the condensed balance sheets which represent amounts to be recognized in excess of twelve months from the respective balance sheet date.</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Company’s customers in excess of 10% of total revenue and their related revenue as a percentage of total revenue were as follows:</w:t>
      </w:r>
    </w:p>
    <w:tbl>
      <w:tblPr>
        <w:tblW w:w="4717" w:type="dxa"/>
        <w:jc w:val="left"/>
        <w:tblInd w:w="0" w:type="dxa"/>
        <w:tblLayout w:type="fixed"/>
        <w:tblCellMar>
          <w:top w:w="28" w:type="dxa"/>
          <w:left w:w="28" w:type="dxa"/>
          <w:bottom w:w="28" w:type="dxa"/>
          <w:right w:w="28" w:type="dxa"/>
        </w:tblCellMar>
      </w:tblPr>
      <w:tblGrid>
        <w:gridCol w:w="1591"/>
        <w:gridCol w:w="146"/>
        <w:gridCol w:w="297"/>
        <w:gridCol w:w="643"/>
        <w:gridCol w:w="551"/>
        <w:gridCol w:w="297"/>
        <w:gridCol w:w="297"/>
        <w:gridCol w:w="704"/>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7" w:type="dxa"/>
            <w:tcBorders/>
            <w:vAlign w:val="center"/>
          </w:tcPr>
          <w:p>
            <w:pPr>
              <w:pStyle w:val="TableContents"/>
              <w:bidi w:val="0"/>
              <w:spacing w:before="0" w:after="0"/>
              <w:ind w:left="0" w:right="0" w:hanging="0"/>
              <w:jc w:val="left"/>
              <w:rPr/>
            </w:pPr>
            <w:r>
              <w:rPr/>
              <w:t> </w:t>
            </w:r>
          </w:p>
        </w:tc>
        <w:tc>
          <w:tcPr>
            <w:tcW w:w="10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Healthcare</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7"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 w:hAnsi="Times New Roman"/>
          <w:sz w:val="20"/>
        </w:rPr>
      </w:pPr>
      <w:r>
        <w:rPr>
          <w:rFonts w:ascii="Times New Roman;serif" w:hAnsi="Times New Roman;serif"/>
          <w:b w:val="false"/>
          <w:sz w:val="20"/>
        </w:rPr>
        <w:t>In addition to the above table, we collect reimbursement on behalf of customers covered by Medicare, which accounted for</w:t>
      </w:r>
      <w:r>
        <w:rPr>
          <w:rFonts w:ascii="Times New Roman" w:hAnsi="Times New Roman"/>
          <w:sz w:val="20"/>
        </w:rPr>
        <w:t xml:space="preserve"> </w:t>
      </w:r>
      <w:r>
        <w:rPr>
          <w:rFonts w:ascii="Times New Roman;serif" w:hAnsi="Times New Roman;serif"/>
          <w:b w:val="false"/>
          <w:sz w:val="20"/>
        </w:rPr>
        <w:t>46% and 41% of the Company’s total revenue for three months ended March 31, 2023 and 2022, respectively.</w:t>
      </w:r>
      <w:r>
        <w:rPr>
          <w:rFonts w:ascii="Times New Roman" w:hAnsi="Times New Roman"/>
          <w:sz w:val="20"/>
        </w:rPr>
        <w:t xml:space="preserve">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tbl>
      <w:tblPr>
        <w:tblW w:w="5485" w:type="dxa"/>
        <w:jc w:val="left"/>
        <w:tblInd w:w="0" w:type="dxa"/>
        <w:tblLayout w:type="fixed"/>
        <w:tblCellMar>
          <w:top w:w="28" w:type="dxa"/>
          <w:left w:w="28" w:type="dxa"/>
          <w:bottom w:w="28" w:type="dxa"/>
          <w:right w:w="28" w:type="dxa"/>
        </w:tblCellMar>
      </w:tblPr>
      <w:tblGrid>
        <w:gridCol w:w="1441"/>
        <w:gridCol w:w="146"/>
        <w:gridCol w:w="454"/>
        <w:gridCol w:w="986"/>
        <w:gridCol w:w="271"/>
        <w:gridCol w:w="146"/>
        <w:gridCol w:w="544"/>
        <w:gridCol w:w="1181"/>
        <w:gridCol w:w="316"/>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AstraZeneca UK</w:t>
            </w:r>
          </w:p>
        </w:tc>
        <w:tc>
          <w:tcPr>
            <w:tcW w:w="146"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Note 10 – Share-Based Compensation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March 31, 2023, 10,597</w:t>
      </w:r>
      <w:r>
        <w:rPr>
          <w:rFonts w:ascii="Times New Roman" w:hAnsi="Times New Roman"/>
          <w:sz w:val="20"/>
        </w:rPr>
        <w:t xml:space="preserve"> </w:t>
      </w:r>
      <w:r>
        <w:rPr>
          <w:rFonts w:ascii="Times New Roman;serif" w:hAnsi="Times New Roman;serif"/>
          <w:b w:val="false"/>
          <w:sz w:val="20"/>
        </w:rPr>
        <w:t>shares of common stock remained available for future issuance under the 2020 Plan.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Share-Based Compensation Expense</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Share-based compensation expense reported in the Company’s condensed statements of operations was (in thousands):</w:t>
      </w:r>
    </w:p>
    <w:tbl>
      <w:tblPr>
        <w:tblW w:w="7031" w:type="dxa"/>
        <w:jc w:val="left"/>
        <w:tblInd w:w="0" w:type="dxa"/>
        <w:tblLayout w:type="fixed"/>
        <w:tblCellMar>
          <w:top w:w="28" w:type="dxa"/>
          <w:left w:w="28" w:type="dxa"/>
          <w:bottom w:w="28" w:type="dxa"/>
          <w:right w:w="28" w:type="dxa"/>
        </w:tblCellMar>
      </w:tblPr>
      <w:tblGrid>
        <w:gridCol w:w="3706"/>
        <w:gridCol w:w="146"/>
        <w:gridCol w:w="317"/>
        <w:gridCol w:w="858"/>
        <w:gridCol w:w="219"/>
        <w:gridCol w:w="219"/>
        <w:gridCol w:w="317"/>
        <w:gridCol w:w="858"/>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1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 costs and expenses</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19"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91" w:type="dxa"/>
            <w:tcBorders/>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19"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391" w:type="dxa"/>
            <w:tcBorders/>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marketing, general and administrative</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2,281</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The unrecognized remaining share-based compensation expense for options and RSUs was approximately $8.8</w:t>
      </w:r>
      <w:r>
        <w:rPr>
          <w:rFonts w:ascii="Times New Roman" w:hAnsi="Times New Roman"/>
          <w:sz w:val="20"/>
        </w:rPr>
        <w:t xml:space="preserve"> </w:t>
      </w:r>
      <w:r>
        <w:rPr>
          <w:rFonts w:ascii="Times New Roman;serif" w:hAnsi="Times New Roman;serif"/>
          <w:b w:val="false"/>
          <w:sz w:val="20"/>
        </w:rPr>
        <w:t>million as of March 31, 2023</w:t>
      </w:r>
      <w:r>
        <w:rPr>
          <w:rFonts w:ascii="Times New Roman" w:hAnsi="Times New Roman"/>
          <w:sz w:val="20"/>
        </w:rPr>
        <w:t xml:space="preserve"> </w:t>
      </w:r>
      <w:r>
        <w:rPr>
          <w:rFonts w:ascii="Times New Roman;serif" w:hAnsi="Times New Roman;serif"/>
          <w:b w:val="false"/>
          <w:sz w:val="20"/>
        </w:rPr>
        <w:t>and is expected to be amortized to expense over the next 3.1</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Stock Options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Stock option activity during the three months ended March 31, 2023, excluding the Bonus Option Program described below, was (in thousands, except weighted average exercise price and weighted average contractual life):</w:t>
      </w:r>
    </w:p>
    <w:tbl>
      <w:tblPr>
        <w:tblW w:w="9355" w:type="dxa"/>
        <w:jc w:val="left"/>
        <w:tblInd w:w="0" w:type="dxa"/>
        <w:tblLayout w:type="fixed"/>
        <w:tblCellMar>
          <w:top w:w="28" w:type="dxa"/>
          <w:left w:w="28" w:type="dxa"/>
          <w:bottom w:w="28" w:type="dxa"/>
          <w:right w:w="28" w:type="dxa"/>
        </w:tblCellMar>
      </w:tblPr>
      <w:tblGrid>
        <w:gridCol w:w="2566"/>
        <w:gridCol w:w="146"/>
        <w:gridCol w:w="204"/>
        <w:gridCol w:w="801"/>
        <w:gridCol w:w="166"/>
        <w:gridCol w:w="146"/>
        <w:gridCol w:w="523"/>
        <w:gridCol w:w="1157"/>
        <w:gridCol w:w="146"/>
        <w:gridCol w:w="146"/>
        <w:gridCol w:w="483"/>
        <w:gridCol w:w="1197"/>
        <w:gridCol w:w="146"/>
        <w:gridCol w:w="146"/>
        <w:gridCol w:w="267"/>
        <w:gridCol w:w="724"/>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Contractual</w:t>
              <w:b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Aggregate</w:t>
              <w:br/>
              <w:t>Intrinsic</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 January 1, 2023</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March 31, 2023</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Exercisable </w:t>
              <w:noBreakHyphen/>
              <w:t xml:space="preserve"> March 31, 2023</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Restricted Stock Unit Activity</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Restricted stock unit activity during the three months ended March 31, 2023 was (in thousands, except weighted average grant date fair value per share):</w:t>
      </w:r>
    </w:p>
    <w:tbl>
      <w:tblPr>
        <w:tblW w:w="7930" w:type="dxa"/>
        <w:jc w:val="left"/>
        <w:tblInd w:w="0" w:type="dxa"/>
        <w:tblLayout w:type="fixed"/>
        <w:tblCellMar>
          <w:top w:w="28" w:type="dxa"/>
          <w:left w:w="28" w:type="dxa"/>
          <w:bottom w:w="28" w:type="dxa"/>
          <w:right w:w="28" w:type="dxa"/>
        </w:tblCellMar>
      </w:tblPr>
      <w:tblGrid>
        <w:gridCol w:w="2566"/>
        <w:gridCol w:w="146"/>
        <w:gridCol w:w="329"/>
        <w:gridCol w:w="1291"/>
        <w:gridCol w:w="166"/>
        <w:gridCol w:w="146"/>
        <w:gridCol w:w="901"/>
        <w:gridCol w:w="1994"/>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Grant Date Fair Value Per Share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January 1, 2023</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left"/>
              <w:rPr/>
            </w:pPr>
            <w:r>
              <w:rPr/>
              <w:t> </w:t>
            </w:r>
          </w:p>
        </w:tc>
        <w:tc>
          <w:tcPr>
            <w:tcW w:w="19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Forfeited/canceled</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left"/>
              <w:rPr/>
            </w:pPr>
            <w:r>
              <w:rPr/>
              <w:t> </w:t>
            </w:r>
          </w:p>
        </w:tc>
        <w:tc>
          <w:tcPr>
            <w:tcW w:w="19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Released</w:t>
            </w:r>
          </w:p>
        </w:tc>
        <w:tc>
          <w:tcPr>
            <w:tcW w:w="146" w:type="dxa"/>
            <w:tcBorders/>
            <w:vAlign w:val="center"/>
          </w:tcPr>
          <w:p>
            <w:pPr>
              <w:pStyle w:val="TableContents"/>
              <w:bidi w:val="0"/>
              <w:spacing w:before="0" w:after="0"/>
              <w:ind w:left="0" w:right="0" w:hanging="0"/>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left"/>
              <w:rPr/>
            </w:pPr>
            <w:r>
              <w:rPr/>
              <w:t> </w:t>
            </w:r>
          </w:p>
        </w:tc>
        <w:tc>
          <w:tcPr>
            <w:tcW w:w="19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3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March 31, 2023</w:t>
            </w:r>
          </w:p>
        </w:tc>
        <w:tc>
          <w:tcPr>
            <w:tcW w:w="146" w:type="dxa"/>
            <w:tcBorders/>
            <w:vAlign w:val="center"/>
          </w:tcPr>
          <w:p>
            <w:pPr>
              <w:pStyle w:val="TableContents"/>
              <w:bidi w:val="0"/>
              <w:spacing w:before="0" w:after="0"/>
              <w:ind w:left="0" w:right="0" w:hanging="0"/>
              <w:jc w:val="left"/>
              <w:rPr/>
            </w:pPr>
            <w:r>
              <w:rPr/>
              <w:t> </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Bonus-to-Options Program</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As part of the Bonus-to-Options Program (Bonus Option Program), the Company recorded the following activity during the three months ended March 31, 2023 (in thousands, excepted weighted average exercise price and weighted average contractual life):</w:t>
      </w:r>
    </w:p>
    <w:tbl>
      <w:tblPr>
        <w:tblW w:w="9355" w:type="dxa"/>
        <w:jc w:val="left"/>
        <w:tblInd w:w="0" w:type="dxa"/>
        <w:tblLayout w:type="fixed"/>
        <w:tblCellMar>
          <w:top w:w="28" w:type="dxa"/>
          <w:left w:w="28" w:type="dxa"/>
          <w:bottom w:w="28" w:type="dxa"/>
          <w:right w:w="28" w:type="dxa"/>
        </w:tblCellMar>
      </w:tblPr>
      <w:tblGrid>
        <w:gridCol w:w="2566"/>
        <w:gridCol w:w="146"/>
        <w:gridCol w:w="204"/>
        <w:gridCol w:w="801"/>
        <w:gridCol w:w="166"/>
        <w:gridCol w:w="146"/>
        <w:gridCol w:w="453"/>
        <w:gridCol w:w="1227"/>
        <w:gridCol w:w="146"/>
        <w:gridCol w:w="146"/>
        <w:gridCol w:w="483"/>
        <w:gridCol w:w="1197"/>
        <w:gridCol w:w="146"/>
        <w:gridCol w:w="146"/>
        <w:gridCol w:w="375"/>
        <w:gridCol w:w="616"/>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Contractual</w:t>
              <w:b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Aggregate</w:t>
              <w:br/>
              <w:t>Intrinsic</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January 1, 2023</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March 31, 2023</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Exercisable </w:t>
              <w:noBreakHyphen/>
              <w:t xml:space="preserve"> March 31, 2023</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accrued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 for</w:t>
      </w:r>
      <w:r>
        <w:rPr>
          <w:rFonts w:ascii="Times New Roman" w:hAnsi="Times New Roman"/>
          <w:sz w:val="20"/>
        </w:rPr>
        <w:t xml:space="preserve"> </w:t>
      </w:r>
      <w:r>
        <w:rPr>
          <w:rFonts w:ascii="Times New Roman;serif" w:hAnsi="Times New Roman;serif"/>
          <w:b w:val="false"/>
          <w:sz w:val="20"/>
        </w:rPr>
        <w:t>the three months ended March 31, 2023 and 2022, respectively, related to the estimate of the Bonus Option Program. Options granted, if any, pertaining to the performance of the Bonus Option Program are typically approved and granted in first quarter of the year following completion of the fiscal year.</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Employee Stock Purchase Plan</w:t>
      </w:r>
    </w:p>
    <w:p>
      <w:pPr>
        <w:pStyle w:val="TextBody"/>
        <w:bidi w:val="0"/>
        <w:spacing w:before="120" w:after="0"/>
        <w:jc w:val="both"/>
        <w:rPr>
          <w:rFonts w:ascii="Times New Roman" w:hAnsi="Times New Roman"/>
          <w:sz w:val="20"/>
        </w:rPr>
      </w:pPr>
      <w:r>
        <w:rPr>
          <w:rFonts w:ascii="Times New Roman;serif" w:hAnsi="Times New Roman;serif"/>
          <w:b w:val="false"/>
          <w:sz w:val="20"/>
        </w:rPr>
        <w:t>The ESPP provides for successive six-month offering periods beginning on September 1st and March 1st of each year.</w:t>
      </w:r>
      <w:r>
        <w:rPr>
          <w:rFonts w:ascii="Times New Roman" w:hAnsi="Times New Roman"/>
          <w:sz w:val="20"/>
        </w:rPr>
        <w:t xml:space="preserve"> </w:t>
      </w:r>
      <w:r>
        <w:rPr>
          <w:rFonts w:ascii="Times New Roman;serif" w:hAnsi="Times New Roman;serif"/>
          <w:b w:val="false"/>
          <w:sz w:val="20"/>
        </w:rPr>
        <w:t>During the three months ended March 31, 2023, 269,846</w:t>
      </w:r>
      <w:r>
        <w:rPr>
          <w:rFonts w:ascii="Times New Roman" w:hAnsi="Times New Roman"/>
          <w:sz w:val="20"/>
        </w:rPr>
        <w:t xml:space="preserve"> </w:t>
      </w:r>
      <w:r>
        <w:rPr>
          <w:rFonts w:ascii="Times New Roman;serif" w:hAnsi="Times New Roman;serif"/>
          <w:b w:val="false"/>
          <w:sz w:val="20"/>
        </w:rPr>
        <w:t>shares were issued under the ESPP leaving 476,301</w:t>
      </w:r>
      <w:r>
        <w:rPr>
          <w:rFonts w:ascii="Times New Roman" w:hAnsi="Times New Roman"/>
          <w:sz w:val="20"/>
        </w:rPr>
        <w:t xml:space="preserve"> </w:t>
      </w:r>
      <w:r>
        <w:rPr>
          <w:rFonts w:ascii="Times New Roman;serif" w:hAnsi="Times New Roman;serif"/>
          <w:b w:val="false"/>
          <w:sz w:val="20"/>
        </w:rPr>
        <w:t>shares reserved for future issuance.</w:t>
      </w:r>
    </w:p>
    <w:p>
      <w:pPr>
        <w:pStyle w:val="TextBody"/>
        <w:bidi w:val="0"/>
        <w:spacing w:before="200" w:after="0"/>
        <w:jc w:val="both"/>
        <w:rPr>
          <w:rFonts w:ascii="Times New Roman;serif" w:hAnsi="Times New Roman;serif"/>
          <w:b/>
          <w:sz w:val="20"/>
        </w:rPr>
      </w:pPr>
      <w:r>
        <w:rPr>
          <w:rFonts w:ascii="Times New Roman;serif" w:hAnsi="Times New Roman;serif"/>
          <w:b/>
          <w:sz w:val="20"/>
        </w:rPr>
        <w:t>Note 11 – Net Loss per Common Share</w:t>
      </w:r>
    </w:p>
    <w:p>
      <w:pPr>
        <w:pStyle w:val="TextBody"/>
        <w:bidi w:val="0"/>
        <w:spacing w:before="120" w:after="0"/>
        <w:jc w:val="both"/>
        <w:rPr>
          <w:rFonts w:ascii="Times New Roman" w:hAnsi="Times New Roman"/>
          <w:sz w:val="20"/>
        </w:rPr>
      </w:pPr>
      <w:r>
        <w:rPr>
          <w:rFonts w:ascii="Times New Roman;serif" w:hAnsi="Times New Roman;serif"/>
          <w:b w:val="false"/>
          <w:sz w:val="20"/>
        </w:rPr>
        <w:t>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Basic and diluted loss per share for the three months ended March 31, 2023 and 2022 were (in thousands, except per share amounts):</w:t>
      </w:r>
    </w:p>
    <w:tbl>
      <w:tblPr>
        <w:tblW w:w="7586" w:type="dxa"/>
        <w:jc w:val="left"/>
        <w:tblInd w:w="0" w:type="dxa"/>
        <w:tblLayout w:type="fixed"/>
        <w:tblCellMar>
          <w:top w:w="28" w:type="dxa"/>
          <w:left w:w="28" w:type="dxa"/>
          <w:bottom w:w="28" w:type="dxa"/>
          <w:right w:w="28" w:type="dxa"/>
        </w:tblCellMar>
      </w:tblPr>
      <w:tblGrid>
        <w:gridCol w:w="4261"/>
        <w:gridCol w:w="146"/>
        <w:gridCol w:w="266"/>
        <w:gridCol w:w="931"/>
        <w:gridCol w:w="210"/>
        <w:gridCol w:w="184"/>
        <w:gridCol w:w="266"/>
        <w:gridCol w:w="931"/>
        <w:gridCol w:w="3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 w:type="dxa"/>
            <w:tcBorders/>
            <w:vAlign w:val="center"/>
          </w:tcPr>
          <w:p>
            <w:pPr>
              <w:pStyle w:val="TableContents"/>
              <w:bidi w:val="0"/>
              <w:spacing w:before="0" w:after="0"/>
              <w:ind w:left="0" w:right="0" w:hanging="0"/>
              <w:jc w:val="center"/>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(18,702</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shares outstanding used</w:t>
              <w:br/>
              <w:t>   in computing 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77,765</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31,070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righ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120"/>
        <w:jc w:val="both"/>
        <w:rPr>
          <w:rFonts w:ascii="Times New Roman;serif" w:hAnsi="Times New Roman;serif"/>
          <w:b w:val="false"/>
          <w:sz w:val="20"/>
        </w:rPr>
      </w:pPr>
      <w:r>
        <w:rPr>
          <w:rFonts w:ascii="Times New Roman;serif" w:hAnsi="Times New Roman;serif"/>
          <w:b w:val="false"/>
          <w:sz w:val="20"/>
        </w:rPr>
        <w:t>The following outstanding common stock equivalents were excluded from diluted net loss attributable to common stockholders for the periods presented because inclusion would be anti-dilutive (in thousands):</w:t>
      </w:r>
    </w:p>
    <w:tbl>
      <w:tblPr>
        <w:tblW w:w="6296" w:type="dxa"/>
        <w:jc w:val="left"/>
        <w:tblInd w:w="0" w:type="dxa"/>
        <w:tblLayout w:type="fixed"/>
        <w:tblCellMar>
          <w:top w:w="28" w:type="dxa"/>
          <w:left w:w="28" w:type="dxa"/>
          <w:bottom w:w="28" w:type="dxa"/>
          <w:right w:w="28" w:type="dxa"/>
        </w:tblCellMar>
      </w:tblPr>
      <w:tblGrid>
        <w:gridCol w:w="2971"/>
        <w:gridCol w:w="146"/>
        <w:gridCol w:w="222"/>
        <w:gridCol w:w="1030"/>
        <w:gridCol w:w="222"/>
        <w:gridCol w:w="222"/>
        <w:gridCol w:w="222"/>
        <w:gridCol w:w="870"/>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2" w:type="dxa"/>
            <w:tcBorders/>
            <w:vAlign w:val="center"/>
          </w:tcPr>
          <w:p>
            <w:pPr>
              <w:pStyle w:val="TableContents"/>
              <w:bidi w:val="0"/>
              <w:spacing w:before="0" w:after="0"/>
              <w:ind w:left="0" w:right="0" w:hanging="0"/>
              <w:jc w:val="center"/>
              <w:rPr/>
            </w:pPr>
            <w:r>
              <w:rPr/>
              <w:t> </w:t>
            </w:r>
          </w:p>
        </w:tc>
        <w:tc>
          <w:tcPr>
            <w:tcW w:w="10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4,204</w:t>
            </w:r>
          </w:p>
        </w:tc>
        <w:tc>
          <w:tcPr>
            <w:tcW w:w="222"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3,539</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committed under ESPP</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22"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5,103</w:t>
            </w:r>
          </w:p>
        </w:tc>
        <w:tc>
          <w:tcPr>
            <w:tcW w:w="222"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righ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3,305</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12,628</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Note 12 – Income Taxes</w:t>
      </w:r>
    </w:p>
    <w:p>
      <w:pPr>
        <w:pStyle w:val="TextBody"/>
        <w:bidi w:val="0"/>
        <w:spacing w:before="120" w:after="0"/>
        <w:jc w:val="both"/>
        <w:rPr>
          <w:rFonts w:ascii="Times New Roman" w:hAnsi="Times New Roman"/>
          <w:sz w:val="20"/>
        </w:rPr>
      </w:pPr>
      <w:r>
        <w:rPr>
          <w:rFonts w:ascii="Times New Roman;serif" w:hAnsi="Times New Roman;serif"/>
          <w:b w:val="false"/>
          <w:sz w:val="20"/>
        </w:rPr>
        <w:t>Since inception, the Company has incurred net taxable losses, and accordingly, no</w:t>
      </w:r>
      <w:r>
        <w:rPr>
          <w:rFonts w:ascii="Times New Roman" w:hAnsi="Times New Roman"/>
          <w:sz w:val="20"/>
        </w:rPr>
        <w:t xml:space="preserve"> </w:t>
      </w:r>
      <w:r>
        <w:rPr>
          <w:rFonts w:ascii="Times New Roman;serif" w:hAnsi="Times New Roman;serif"/>
          <w:b w:val="false"/>
          <w:sz w:val="20"/>
        </w:rPr>
        <w:t>provision for income taxes has been recorded. There was no</w:t>
      </w:r>
      <w:r>
        <w:rPr>
          <w:rFonts w:ascii="Times New Roman" w:hAnsi="Times New Roman"/>
          <w:sz w:val="20"/>
        </w:rPr>
        <w:t xml:space="preserve"> </w:t>
      </w:r>
      <w:r>
        <w:rPr>
          <w:rFonts w:ascii="Times New Roman;serif" w:hAnsi="Times New Roman;serif"/>
          <w:b w:val="false"/>
          <w:sz w:val="20"/>
        </w:rPr>
        <w:t>cash paid for income taxes during the three months ended March 31, 2023 and 2022.</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Note 13 – Commitments and Contingencies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Co</w:t>
        <w:noBreakHyphen/>
        <w:t>Development Agreement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pStyle w:val="TextBody"/>
        <w:bidi w:val="0"/>
        <w:spacing w:before="120" w:after="0"/>
        <w:jc w:val="both"/>
        <w:rPr>
          <w:rFonts w:ascii="Times New Roman" w:hAnsi="Times New Roman"/>
          <w:sz w:val="20"/>
        </w:rPr>
      </w:pPr>
      <w:r>
        <w:rPr>
          <w:rFonts w:ascii="Times New Roman;serif" w:hAnsi="Times New Roman;serif"/>
          <w:b w:val="false"/>
          <w:sz w:val="20"/>
        </w:rPr>
        <w:t>In September 2020, the Company exercised its opt-out right with AVEO for the payment of 50% of development and regulatory costs for ficlatuzumab effective December 2, 2020 (the AVEO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in the first half of 2023. The Company had $0.1</w:t>
      </w:r>
      <w:r>
        <w:rPr>
          <w:rFonts w:ascii="Times New Roman" w:hAnsi="Times New Roman"/>
          <w:sz w:val="20"/>
        </w:rPr>
        <w:t xml:space="preserve"> </w:t>
      </w:r>
      <w:r>
        <w:rPr>
          <w:rFonts w:ascii="Times New Roman;serif" w:hAnsi="Times New Roman;serif"/>
          <w:b w:val="false"/>
          <w:sz w:val="20"/>
        </w:rPr>
        <w:t>million in remaining obligations related to the AVEO agreement as of March 31, 2023. Following the AVEO Effective Date, the Company is entitled to a 10% royalty of net sales of ficlatuzumab and 25% of license income generated from the licensing of ficlatuzumab from AVEO. There were no</w:t>
      </w:r>
      <w:r>
        <w:rPr>
          <w:rFonts w:ascii="Times New Roman" w:hAnsi="Times New Roman"/>
          <w:sz w:val="20"/>
        </w:rPr>
        <w:t xml:space="preserve"> </w:t>
      </w:r>
      <w:r>
        <w:rPr>
          <w:rFonts w:ascii="Times New Roman;serif" w:hAnsi="Times New Roman;serif"/>
          <w:b w:val="false"/>
          <w:sz w:val="20"/>
        </w:rPr>
        <w:t>royalties received or expenses related to this agreement for the three months ended March 31, 2023 and 2022.</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License Agreement</w:t>
      </w:r>
    </w:p>
    <w:p>
      <w:pPr>
        <w:pStyle w:val="TextBody"/>
        <w:bidi w:val="0"/>
        <w:spacing w:before="120" w:after="0"/>
        <w:jc w:val="both"/>
        <w:rPr>
          <w:rFonts w:ascii="Times New Roman" w:hAnsi="Times New Roman"/>
          <w:sz w:val="20"/>
        </w:rPr>
      </w:pPr>
      <w:r>
        <w:rPr>
          <w:rFonts w:ascii="Times New Roman;serif" w:hAnsi="Times New Roman;serif"/>
          <w:b w:val="false"/>
          <w:sz w:val="20"/>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will no longer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There were no</w:t>
      </w:r>
      <w:r>
        <w:rPr>
          <w:rFonts w:ascii="Times New Roman" w:hAnsi="Times New Roman"/>
          <w:sz w:val="20"/>
        </w:rPr>
        <w:t xml:space="preserve"> </w:t>
      </w:r>
      <w:r>
        <w:rPr>
          <w:rFonts w:ascii="Times New Roman;serif" w:hAnsi="Times New Roman;serif"/>
          <w:b w:val="false"/>
          <w:sz w:val="20"/>
        </w:rPr>
        <w:t>expenses related to this agreement for the three months ended March 31, 2023 and 2022.</w:t>
      </w:r>
    </w:p>
    <w:p>
      <w:pPr>
        <w:pStyle w:val="TextBody"/>
        <w:bidi w:val="0"/>
        <w:spacing w:before="120" w:after="0"/>
        <w:jc w:val="both"/>
        <w:rPr>
          <w:rFonts w:ascii="Times New Roman" w:hAnsi="Times New Roman"/>
          <w:sz w:val="20"/>
        </w:rPr>
      </w:pPr>
      <w:r>
        <w:rPr>
          <w:rFonts w:ascii="Times New Roman;serif" w:hAnsi="Times New Roman;serif"/>
          <w:b w:val="false"/>
          <w:sz w:val="20"/>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w:t>
      </w:r>
      <w:r>
        <w:rPr>
          <w:rFonts w:ascii="Times New Roman" w:hAnsi="Times New Roman"/>
          <w:sz w:val="20"/>
        </w:rPr>
        <w:t xml:space="preserve"> </w:t>
      </w:r>
      <w:r>
        <w:rPr>
          <w:rFonts w:ascii="Times New Roman;serif" w:hAnsi="Times New Roman;serif"/>
          <w:b w:val="false"/>
          <w:sz w:val="20"/>
        </w:rPr>
        <w:t>as an upfront make-good payment covering past royalties due and a royalty rate of 0.675% on future Nodify XL2 test net sales worldwide for 15</w:t>
      </w:r>
      <w:r>
        <w:rPr>
          <w:rFonts w:ascii="Times New Roman" w:hAnsi="Times New Roman"/>
          <w:sz w:val="20"/>
        </w:rPr>
        <w:t xml:space="preserve"> </w:t>
      </w:r>
      <w:r>
        <w:rPr>
          <w:rFonts w:ascii="Times New Roman;serif" w:hAnsi="Times New Roman;serif"/>
          <w:b w:val="false"/>
          <w:sz w:val="20"/>
        </w:rPr>
        <w:t>years from the first commercial sale, ending in 2034. Royalty expense under the CellCarta License was insignificant for both the three months ended March 31, 2023 and 2022.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As part of the acquisition of the assets of Oncimmune USA, the Company entered into several agreements to govern the relationship between the parties. The Company agreed to a license agreement and royalty payment related to an acquired diagnostic test of 8% of recognized revenue for non-screening tests up to an annual minimum volume and 5% thereafter, with an escalating minimum through the first four years of sales. Royalty expenses were $0.2</w:t>
      </w:r>
      <w:r>
        <w:rPr>
          <w:rFonts w:ascii="Times New Roman" w:hAnsi="Times New Roman"/>
          <w:sz w:val="20"/>
        </w:rPr>
        <w:t xml:space="preserve"> </w:t>
      </w:r>
      <w:r>
        <w:rPr>
          <w:rFonts w:ascii="Times New Roman;serif" w:hAnsi="Times New Roman;serif"/>
          <w:b w:val="false"/>
          <w:sz w:val="20"/>
        </w:rPr>
        <w:t>million for both the three months ended March 31, 2023 and 2022, respectively.</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Litigation, Claims and Assessments</w:t>
      </w:r>
    </w:p>
    <w:p>
      <w:pPr>
        <w:pStyle w:val="TextBody"/>
        <w:bidi w:val="0"/>
        <w:spacing w:before="120" w:after="0"/>
        <w:jc w:val="both"/>
        <w:rPr>
          <w:rFonts w:ascii="Times New Roman" w:hAnsi="Times New Roman"/>
          <w:sz w:val="20"/>
        </w:rPr>
      </w:pPr>
      <w:r>
        <w:rPr>
          <w:rFonts w:ascii="Times New Roman;serif" w:hAnsi="Times New Roman;serif"/>
          <w:b w:val="false"/>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Note 14 – Subsequent Events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May 10, 2023 (the First Amendment Effective Date), the Company entered into the First Amendment to the Credit Agreement (the First Amendment) with Perceptive as lender and administrative agent and the Company, as borrower, whereby subject to the terms and conditions of the First Amendment, the Minimum Net Revenue Covenant (as defined in the Credit Agreement) was amended to reduce the relevant threshold through the twelve month period ended March 31, 2024.</w:t>
      </w:r>
    </w:p>
    <w:p>
      <w:pPr>
        <w:pStyle w:val="TextBody"/>
        <w:bidi w:val="0"/>
        <w:spacing w:before="120" w:after="0"/>
        <w:jc w:val="both"/>
        <w:rPr>
          <w:rFonts w:ascii="Times New Roman" w:hAnsi="Times New Roman"/>
          <w:sz w:val="20"/>
        </w:rPr>
      </w:pPr>
      <w:r>
        <w:rPr>
          <w:rFonts w:ascii="Times New Roman;serif" w:hAnsi="Times New Roman;serif"/>
          <w:b w:val="false"/>
          <w:sz w:val="20"/>
        </w:rPr>
        <w:t>Pursuant to the original terms of the Credit Agreement, the Company must (i) at all times prior to the Maturity Date maintain a minimum cash balance of $2.5</w:t>
      </w:r>
      <w:r>
        <w:rPr>
          <w:rFonts w:ascii="Times New Roman" w:hAnsi="Times New Roman"/>
          <w:sz w:val="20"/>
        </w:rPr>
        <w:t xml:space="preserve"> </w:t>
      </w:r>
      <w:r>
        <w:rPr>
          <w:rFonts w:ascii="Times New Roman;serif" w:hAnsi="Times New Roman;serif"/>
          <w:b w:val="false"/>
          <w:sz w:val="20"/>
        </w:rPr>
        <w:t>million; and (ii) as of the last day of each fiscal quarter commencing on the fiscal quarter ending March 31, 2023, recognize revenue in amounts agreed to between the Company and Perceptive. The Company was in compliance with all restrictive covenants under the Credit Agreement and entered into a limited waiver on April 7, 2023, under which Perceptive agreed to waive the Minimum Net Revenue Covenant for the three months ended March 31, 2023.</w:t>
      </w:r>
    </w:p>
    <w:p>
      <w:pPr>
        <w:pStyle w:val="TextBody"/>
        <w:bidi w:val="0"/>
        <w:spacing w:before="120" w:after="0"/>
        <w:jc w:val="both"/>
        <w:rPr>
          <w:rFonts w:ascii="Times New Roman" w:hAnsi="Times New Roman"/>
          <w:sz w:val="20"/>
        </w:rPr>
      </w:pPr>
      <w:r>
        <w:rPr>
          <w:rFonts w:ascii="Times New Roman;serif" w:hAnsi="Times New Roman;serif"/>
          <w:b w:val="false"/>
          <w:sz w:val="20"/>
        </w:rPr>
        <w:t>Under the terms of the First Amendment, the Minimum Net Revenue Covenant as of the last day of each fiscal quarter commencing on the fiscal quarter ending June 30, 2023 through and including the fiscal quarter ending March 31, 2024 will be reduced. As consideration the First Amendment, the Company agreed to issue to Perceptive a warrant to purchase up to 500,000</w:t>
      </w:r>
      <w:r>
        <w:rPr>
          <w:rFonts w:ascii="Times New Roman" w:hAnsi="Times New Roman"/>
          <w:sz w:val="20"/>
        </w:rPr>
        <w:t xml:space="preserve"> </w:t>
      </w:r>
      <w:r>
        <w:rPr>
          <w:rFonts w:ascii="Times New Roman;serif" w:hAnsi="Times New Roman;serif"/>
          <w:b w:val="false"/>
          <w:sz w:val="20"/>
        </w:rPr>
        <w:t>shares of the Company’s common stock (the First Amendment Warrants). The per share exercise price for the First Amendment Warrants is $1.6254, which is equal to the 10-day VWAP of the Company’s common stock ending on the business day immediately prior to the First Amendment Effective Date. The First Amendment Warrants are immediately exercisable, in whole or in part, until the tenth anniversary of the date of issuance.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Biodesix, Inc. is referred to throughout this Quarterly Report on Form 10-Q for the period ended March 31, 2023 (Form 10-Q) as “we”, “us”, “our” or the “Company”.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Management’s Discussion and Analysis of Financial Condition and Results of Operations (MD&amp;A) should be read in conjunction with our Annual Report on Form 10-K for the year ended December 31, 2022 (Form 10-K) and the Condensed Financial Statements as of March 31, 2023 and for the three months ended March 31, 2023 and 2022,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2022, which was filed on March 6, 2023.</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MD&amp;A discussion is provided to supplement the Condensed Financial Statements as of March 31, 2023 and 2022 and for the three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Data for the three months ended March 31, 2023 and 2022 has been derived from our unaudited condensed financial statements included in Part I, Item 1 of this Quarterly Report on Form 10-Q.</w:t>
      </w:r>
    </w:p>
    <w:p>
      <w:pPr>
        <w:pStyle w:val="TextBody"/>
        <w:bidi w:val="0"/>
        <w:spacing w:before="240" w:after="0"/>
        <w:jc w:val="both"/>
        <w:rPr>
          <w:rFonts w:ascii="Times New Roman;serif" w:hAnsi="Times New Roman;serif"/>
          <w:b/>
          <w:sz w:val="20"/>
        </w:rPr>
      </w:pPr>
      <w:r>
        <w:rPr>
          <w:rFonts w:ascii="Times New Roman;serif" w:hAnsi="Times New Roman;serif"/>
          <w:b/>
          <w:sz w:val="20"/>
        </w:rPr>
        <w:t>Overview</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a leading data-driven diagnostic solutions company leveraging state of the art technologies with our proprietary AI platform to discover, develop, and commercialize solutions for clinical unmet needs, with a primary focus in lung disease. By combining a technology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multi-omic approach is designed to enable us to discover diagnostic tests that answer critical clinical questions faced by physicians, researchers, and biopharmaceutical companies.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a variety of samples with associated data in our biobank, including tumor profiles and immune profiles, which are used for both internal and external research and development initiatives.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commercialized five diagnostic tests for our core lung diagnostic business, each of which have Medicare coverage, which are currently available for use by physicians. Our Nodify XL2 and Nodify CDT tests, marketed as part of the Nodify Lung Nodule Risk Assessment testing strategy, assess the risk of lung cancer to help identify the most appropriate treatment pathway. The Nodify Lung Risk Assessment testing strategy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now have a turnaround time of two business days, down from the previous three business day turnaround time, providing physicians with timely results to facilitate treatment decisions. The GeneStrat NGS test is our blood-based NGS test with results in three business days, was launched in November 2021 to a select group of physicians, with national launch in January 2022.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response to the COVID-19 pandemic, through our partnership with Bio-Rad, we commercialized the Biodesix WorkSafe testing program, which include three commercialized tests.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Beginning in second quarter 2021, we began partnering with GenScript Biotech Corporation to commercialize the blood-based cPass SARS-CoV-2 Neutralizing Antibody testing as a service. The test is the first surrogate neutralizing antibody test with FDA EUA and uses ELISA technology to qualitatively detect circulating neutralizing antibodies to the RBD in the spike protein of SARS-CoV-2 that are produced in response to a previous SARS-CoV-2 infection.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The EUA declaration under Section 564 of the FDCA is distinct from and independent of the declaration by the Secretary of HHS of a public health emergency under Section 319 of the Public Health Service Act (the PHS Act). On January 30, 2023, the White House issued a Statement of Administration Policy announcing the President’s intention to allow the Public Health Emergency declaration under Section 319 to expire on May 11, 2023. Because the EUA declaration from the FDA is distinct from the declaration under Section 319 of the PHS Act, the FDA EUA may remain in effect beyond the duration of the Section 319 declaration. We cannot predict how long the EUAs for the SARS-CoV-2 tests will remain in place. In connection with the expected expiration of the Public Health Emergency declaration under Section 319, the Company will no longer provide COVID-19 diagnostic testing services commercially.</w:t>
      </w:r>
    </w:p>
    <w:p>
      <w:pPr>
        <w:pStyle w:val="TextBody"/>
        <w:bidi w:val="0"/>
        <w:spacing w:before="120" w:after="0"/>
        <w:jc w:val="both"/>
        <w:rPr>
          <w:rFonts w:ascii="Times New Roman" w:hAnsi="Times New Roman"/>
          <w:sz w:val="20"/>
        </w:rPr>
      </w:pPr>
      <w:r>
        <w:rPr>
          <w:rFonts w:ascii="Times New Roman;serif" w:hAnsi="Times New Roman;serif"/>
          <w:b w:val="false"/>
          <w:sz w:val="20"/>
        </w:rPr>
        <w:t>These tests under the Biodesix WorkSafe testing program were utilized by healthcare providers, including hospitals and nursing homes, and are also offered to businesses and educational systems. We announced multiple partnerships for COVID-19 testing and maintained an agreement with the State of Colorado to be one of the diagnostic companies to support widespread COVID-19 testing for the State</w:t>
      </w:r>
      <w:r>
        <w:rPr>
          <w:rFonts w:ascii="Times New Roman;serif" w:hAnsi="Times New Roman;serif"/>
          <w:b w:val="false"/>
          <w:sz w:val="20"/>
          <w:u w:val="single"/>
        </w:rPr>
        <w:t>,</w:t>
      </w:r>
      <w:r>
        <w:rPr>
          <w:rFonts w:ascii="Times New Roman" w:hAnsi="Times New Roman"/>
          <w:sz w:val="20"/>
        </w:rPr>
        <w:t xml:space="preserve"> </w:t>
      </w:r>
      <w:r>
        <w:rPr>
          <w:rFonts w:ascii="Times New Roman;serif" w:hAnsi="Times New Roman;serif"/>
          <w:b w:val="false"/>
          <w:sz w:val="20"/>
        </w:rPr>
        <w:t>which expired on August 31,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addition to the five diagnostic tests currently on the market, we perform over 30 assays for research use as part of our laboratory services that have been used by over 65 biopharmaceutical companies and academic partners. All of our diagnostic and services testing is performed at one of our two accredited, high-complexity clinical laboratories in Boulder, Colorado and De Soto, Kansas.</w:t>
      </w:r>
    </w:p>
    <w:p>
      <w:pPr>
        <w:pStyle w:val="TextBody"/>
        <w:bidi w:val="0"/>
        <w:spacing w:before="120" w:after="0"/>
        <w:jc w:val="both"/>
        <w:rPr>
          <w:rFonts w:ascii="Times New Roman" w:hAnsi="Times New Roman"/>
          <w:sz w:val="20"/>
        </w:rPr>
      </w:pPr>
      <w:r>
        <w:rPr>
          <w:rFonts w:ascii="Times New Roman;serif" w:hAnsi="Times New Roman;serif"/>
          <w:b w:val="false"/>
          <w:sz w:val="20"/>
        </w:rPr>
        <w:t>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funded our operations to date principally from net proceeds from the issuances of our common stock, the sale of convertible preferred stock, revenue from diagnostic testing and services, and the incurrence of indebtedness. We had cash and cash equivalents of $25.3 million and $43.1 million as of March 31, 2023 and December 31, 2022, respectively.</w:t>
      </w:r>
    </w:p>
    <w:p>
      <w:pPr>
        <w:pStyle w:val="TextBody"/>
        <w:bidi w:val="0"/>
        <w:spacing w:before="240" w:after="0"/>
        <w:jc w:val="both"/>
        <w:rPr>
          <w:rFonts w:ascii="Times New Roman;serif" w:hAnsi="Times New Roman;serif"/>
          <w:b/>
          <w:sz w:val="20"/>
        </w:rPr>
      </w:pPr>
      <w:r>
        <w:rPr>
          <w:rFonts w:ascii="Times New Roman;serif" w:hAnsi="Times New Roman;serif"/>
          <w:b/>
          <w:sz w:val="20"/>
        </w:rPr>
        <w:t>Factors Affecting Our Performance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believe there are several important factors that have impacted our operating performance and results of operations, including:</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 xml:space="preserve">Testing volume and customer mix. </w:t>
      </w:r>
      <w:r>
        <w:rPr>
          <w:rFonts w:ascii="Times New Roman;serif" w:hAnsi="Times New Roman;serif"/>
          <w:b w:val="false"/>
          <w:sz w:val="20"/>
        </w:rPr>
        <w:t xml:space="preserve">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 xml:space="preserve">Reimbursement for clinical diagnostic testing. </w:t>
      </w:r>
      <w:r>
        <w:rPr>
          <w:rFonts w:ascii="Times New Roman;serif" w:hAnsi="Times New Roman;serif"/>
          <w:b w:val="false"/>
          <w:sz w:val="20"/>
        </w:rPr>
        <w:t>Our revenue depends on achieving broad coverage and reimbursement for our tests from 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 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October, 17, 2022, the Company announced that the U.S. Department of Veterans Affairs (the VA), the largest integrated health care system in the United States, awarded a Federal Supply Schedule Contract for the Company’s entire portfolio of lung cancer diagnostic tests. The VA provides care at 1,298 health care facilities, including 171 VA Medical Centers and 1,113 outpatient sites of care of varying complexity to over 9 million veterans enrolled in the VA health care program. All of our existing lung diagnostic tests will be payable when performed and partnering with the VA represents a large opportunity for Biodesix to help improve care for our Veterans by integrating our five diagnostic products and testing strategies into our country’s largest health system.</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December 19, 2022, the Company announced the signing of our first four private payer commercial policies covering our Nodify XL2 test. These contracts included three Blue Cross Blue Shield plans in North Carolina, South Carolina, and Kansas City, and a contract with Capital District Physician’s Health Plan in New York. In total, these new private pay contracts add approximately 4.5 million covered lives and are in geographic regions of the country where the incidence of lung cancer is high.</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 xml:space="preserve">Investment in clinical studies and product innovation to support growth. </w:t>
      </w:r>
      <w:r>
        <w:rPr>
          <w:rFonts w:ascii="Times New Roman;serif" w:hAnsi="Times New Roman;serif"/>
          <w:b w:val="false"/>
          <w:sz w:val="20"/>
        </w:rPr>
        <w:t>A significant aspect of our business is our investment in 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Ability to attract new biopharmaceutical customers and maintain and expand relationships with existing customers</w:t>
      </w:r>
      <w:r>
        <w:rPr>
          <w:rFonts w:ascii="Times New Roman;serif" w:hAnsi="Times New Roman;serif"/>
          <w:b w:val="false"/>
          <w:sz w:val="20"/>
        </w:rPr>
        <w:t xml:space="preserve">. Our business 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283"/>
        <w:jc w:val="both"/>
        <w:rPr/>
      </w:pPr>
      <w:r>
        <w:rPr>
          <w:rFonts w:ascii="Times New Roman;serif" w:hAnsi="Times New Roman;serif"/>
          <w:b w:val="false"/>
          <w:sz w:val="20"/>
        </w:rPr>
        <w:t>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 – along with the radiologic and patient history data currently used to determine treatment decisions – 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Motivating and expanding our field sales force and customer support team</w:t>
      </w:r>
      <w:r>
        <w:rPr>
          <w:rFonts w:ascii="Times New Roman;serif" w:hAnsi="Times New Roman;serif"/>
          <w:b w:val="false"/>
          <w:sz w:val="20"/>
        </w:rPr>
        <w:t>. 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2022 for more information.</w:t>
      </w:r>
    </w:p>
    <w:p>
      <w:pPr>
        <w:pStyle w:val="TextBody"/>
        <w:bidi w:val="0"/>
        <w:spacing w:before="240" w:after="0"/>
        <w:jc w:val="both"/>
        <w:rPr>
          <w:rFonts w:ascii="Times New Roman;serif" w:hAnsi="Times New Roman;serif"/>
          <w:b/>
          <w:sz w:val="20"/>
        </w:rPr>
      </w:pPr>
      <w:r>
        <w:rPr>
          <w:rFonts w:ascii="Times New Roman;serif" w:hAnsi="Times New Roman;serif"/>
          <w:b/>
          <w:sz w:val="20"/>
        </w:rPr>
        <w:t>COVID-19 Pandemic</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COVID-19 pandemic has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to help slow the spread of COVID-19, including complying with government directives and guidelines as they are modified and supplemented.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COVID-19 pandemic and the surge associated with multiple variants have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expected expiration of the Public Health Emergency declaration under Section 319, the Company will no longer provide COVID-19 diagnostic testing services commercially.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See Item 1A “Risk Factors” of Part II in this Quarterly Report on Form 10-Q and those discussed in our other filings with the SEC, including the risks described in Item 1A “Risk Factors” of Part I of our Annual Report on Form 10-K for the year ended December 31, 2022, which was filed on March 6, 2023, for a description of how the COVID-19 pandemic may adversely affect our business, financial condition and results of operations.</w:t>
      </w:r>
    </w:p>
    <w:p>
      <w:pPr>
        <w:pStyle w:val="TextBody"/>
        <w:bidi w:val="0"/>
        <w:spacing w:before="240" w:after="0"/>
        <w:jc w:val="both"/>
        <w:rPr>
          <w:rFonts w:ascii="Times New Roman;serif" w:hAnsi="Times New Roman;serif"/>
          <w:b/>
          <w:sz w:val="20"/>
        </w:rPr>
      </w:pPr>
      <w:r>
        <w:rPr>
          <w:rFonts w:ascii="Times New Roman;serif" w:hAnsi="Times New Roman;serif"/>
          <w:b/>
          <w:sz w:val="20"/>
        </w:rPr>
        <w:t>First Quarter 2023 Financial and Operational Highlights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were significant developments affecting our business, capital structure and liquidity during the three months ended March 31, 2023 as compared to the same period in 2022 unless otherwise noted: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Total revenue of $9.1 million, an increase of 38%, driven primarily by strong year-over-year growth in core lung diagnostics:</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Core lung diagnostic revenue of $8.6 million reflected a year-over-year increase of 86% driven primarily by the continued adoption of Nodify Lung nodule management tests;</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283"/>
        <w:jc w:val="both"/>
        <w:rPr>
          <w:rFonts w:ascii="Times New Roman;serif" w:hAnsi="Times New Roman;serif"/>
          <w:b w:val="false"/>
          <w:i/>
          <w:sz w:val="20"/>
        </w:rPr>
      </w:pPr>
      <w:r>
        <w:rPr>
          <w:rFonts w:ascii="Times New Roman;serif" w:hAnsi="Times New Roman;serif"/>
          <w:b w:val="false"/>
          <w:i/>
          <w:sz w:val="20"/>
        </w:rPr>
        <w:t>Services revenue of $0.4 million decreased 55% year-over-year. Timelines for existing and new agreements continue to be impacted by delayed enrollment in clinical trials;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COVID-19 testing revenue declined to an immaterial amount, a decrease of 99% year-over year. In connection with the expected expiration of the Public Health Emergency declaration under Section 319, the Company will no longer provide COVID-19 diagnostic testing services commercially;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First quarter 2023 gross profit of $5.9 million, or 65% gross margin as compared to 51% gross margin in the comparable prior year period primarily driven by the mix shift of sales to higher-margin core lung diagnostics and away from lower-margin COVID-19 testing;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Operating expenses (excluding direct costs and expenses) of $22.3 million, an increase of approximately $4.5 million or 25% as compared to the first quarter 2022 (includes non-cash share-based compensation expense of $2.3 million as compared to $1.3 million);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Approximately $2.9 million of the increase was attributable to increased sales and marketing costs to support core lung diagnostic sales growth including growth in the sales force, increased travel-related costs, and marketing programs to enhance product awareness;</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Approximately $1.6 million was associated with increased general and administrative expenses primarily associated with non-cash share-based compensation costs;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loss of $18.7 million and basic and diluted net loss per share of $0.24;</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Cash and cash equivalents of $25.3 million as of March 31, 2023;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283"/>
        <w:jc w:val="both"/>
        <w:rPr>
          <w:rFonts w:ascii="Times New Roman;serif" w:hAnsi="Times New Roman;serif"/>
          <w:b w:val="false"/>
          <w:i/>
          <w:sz w:val="20"/>
        </w:rPr>
      </w:pPr>
      <w:r>
        <w:rPr>
          <w:rFonts w:ascii="Times New Roman;serif" w:hAnsi="Times New Roman;serif"/>
          <w:b w:val="false"/>
          <w:i/>
          <w:sz w:val="20"/>
        </w:rPr>
        <w:t>Scheduled milestone payment of $2.2 million paid in January 2023 to Integrated Diagnostics (Indi).</w:t>
      </w:r>
    </w:p>
    <w:p>
      <w:pPr>
        <w:pStyle w:val="TextBody"/>
        <w:bidi w:val="0"/>
        <w:spacing w:before="240" w:after="0"/>
        <w:jc w:val="both"/>
        <w:rPr>
          <w:rFonts w:ascii="Times New Roman;serif" w:hAnsi="Times New Roman;serif"/>
          <w:b/>
          <w:sz w:val="20"/>
        </w:rPr>
      </w:pPr>
      <w:r>
        <w:rPr>
          <w:rFonts w:ascii="Times New Roman;serif" w:hAnsi="Times New Roman;serif"/>
          <w:b/>
          <w:sz w:val="20"/>
        </w:rPr>
        <w:t>Components of Operating Results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Revenues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Diagnostic Tests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core lung diagnostics testing and (ii) COVID-19 testing. On January 30, 2023, the White House issued a Statement of Administration Policy announcing the President’s intention to allow the Public Health Emergency declaration under Section 319 to expire on May 11, 2023. In connection with the expected expiration of the Public Health Emergency declaration under Section 319, the Company will no longer provide COVID-19 diagnostic testing services commercially.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Services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pStyle w:val="TextBody"/>
        <w:bidi w:val="0"/>
        <w:spacing w:before="120" w:after="0"/>
        <w:jc w:val="both"/>
        <w:rPr>
          <w:rFonts w:ascii="Times New Roman;serif" w:hAnsi="Times New Roman;serif"/>
          <w:b/>
          <w:i/>
          <w:sz w:val="20"/>
        </w:rPr>
      </w:pPr>
      <w:r>
        <w:rPr>
          <w:rFonts w:ascii="Times New Roman;serif" w:hAnsi="Times New Roman;serif"/>
          <w:b/>
          <w:i/>
          <w:sz w:val="20"/>
        </w:rPr>
        <w:t>Operating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Direct costs and expenses</w:t>
      </w:r>
    </w:p>
    <w:p>
      <w:pPr>
        <w:pStyle w:val="TextBody"/>
        <w:bidi w:val="0"/>
        <w:spacing w:before="120" w:after="0"/>
        <w:jc w:val="both"/>
        <w:rPr>
          <w:rFonts w:ascii="Times New Roman" w:hAnsi="Times New Roman"/>
          <w:sz w:val="20"/>
        </w:rPr>
      </w:pPr>
      <w:r>
        <w:rPr>
          <w:rFonts w:ascii="Times New Roman;serif" w:hAnsi="Times New Roman;serif"/>
          <w:b w:val="false"/>
          <w:sz w:val="20"/>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120" w:after="0"/>
        <w:jc w:val="both"/>
        <w:rPr>
          <w:rFonts w:ascii="Times New Roman" w:hAnsi="Times New Roman"/>
          <w:sz w:val="20"/>
        </w:rPr>
      </w:pPr>
      <w:r>
        <w:rPr>
          <w:rFonts w:ascii="Times New Roman;serif" w:hAnsi="Times New Roman;serif"/>
          <w:b w:val="false"/>
          <w:sz w:val="20"/>
        </w:rPr>
        <w:t>Research and development expenses consist of costs incurred to develop technology and include salaries, share-based compensation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Sales, marketing, general and administrative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pStyle w:val="TextBody"/>
        <w:bidi w:val="0"/>
        <w:spacing w:before="120" w:after="0"/>
        <w:jc w:val="both"/>
        <w:rPr>
          <w:rFonts w:ascii="Times New Roman" w:hAnsi="Times New Roman"/>
          <w:sz w:val="20"/>
        </w:rPr>
      </w:pPr>
      <w:r>
        <w:rPr>
          <w:rFonts w:ascii="Times New Roman;serif" w:hAnsi="Times New Roman;serif"/>
          <w:b w:val="false"/>
          <w:sz w:val="20"/>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 increase in dollars, are expected to decrease as a percentage of revenue in the long term, though they may fluctuate as a percentage from period to period due to the timing and extent of these expenses.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Non-Operating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Interest Expense and Interest Income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For the three months ended March 31, 2023, interest expense consists of cash and non-cash interest from the Perceptive Term Loan Facility and changes in the value of our contingent consideration associated with the passage of time subsequent to the achievement of the gross margin target in the second quarter 2021. For the three months ended March 31, 2022, interest expense primarily consists of cash and non-cash interest from our 2021 Term Loan and changes in the value of our contingent consideration associated with the passage of time subsequent to the achievement of the contingency in the second quarter 2021. Interest income, which is included in ‘Other income, net’ in the condensed statements of operations consists of income earned on our cash and cash equivalents.</w:t>
      </w:r>
    </w:p>
    <w:p>
      <w:pPr>
        <w:pStyle w:val="TextBody"/>
        <w:bidi w:val="0"/>
        <w:spacing w:before="24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following table sets forth the significant components of our results of operations for the periods presented (in thousands, except percentages).</w:t>
      </w:r>
    </w:p>
    <w:tbl>
      <w:tblPr>
        <w:tblW w:w="9249" w:type="dxa"/>
        <w:jc w:val="left"/>
        <w:tblInd w:w="0" w:type="dxa"/>
        <w:tblLayout w:type="fixed"/>
        <w:tblCellMar>
          <w:top w:w="28" w:type="dxa"/>
          <w:left w:w="28" w:type="dxa"/>
          <w:bottom w:w="28" w:type="dxa"/>
          <w:right w:w="28" w:type="dxa"/>
        </w:tblCellMar>
      </w:tblPr>
      <w:tblGrid>
        <w:gridCol w:w="3706"/>
        <w:gridCol w:w="146"/>
        <w:gridCol w:w="266"/>
        <w:gridCol w:w="931"/>
        <w:gridCol w:w="210"/>
        <w:gridCol w:w="184"/>
        <w:gridCol w:w="266"/>
        <w:gridCol w:w="931"/>
        <w:gridCol w:w="166"/>
        <w:gridCol w:w="146"/>
        <w:gridCol w:w="211"/>
        <w:gridCol w:w="631"/>
        <w:gridCol w:w="166"/>
        <w:gridCol w:w="146"/>
        <w:gridCol w:w="146"/>
        <w:gridCol w:w="421"/>
        <w:gridCol w:w="57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9,056</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576" w:type="dxa"/>
            <w:tcBorders/>
            <w:vAlign w:val="center"/>
          </w:tcPr>
          <w:p>
            <w:pPr>
              <w:pStyle w:val="TableContents"/>
              <w:bidi w:val="0"/>
              <w:spacing w:before="0" w:after="0"/>
              <w:ind w:left="0" w:right="0" w:firstLine="200"/>
              <w:jc w:val="right"/>
              <w:rPr/>
            </w:pPr>
            <w:r>
              <w:rPr/>
              <w:t> </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Direct costs and expenses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3,169</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3,251</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marketing, general and administrative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18,989</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5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loss on intangible assets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25,429</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(16,373</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576" w:type="dxa"/>
            <w:tcBorders/>
            <w:vAlign w:val="center"/>
          </w:tcPr>
          <w:p>
            <w:pPr>
              <w:pStyle w:val="TableContents"/>
              <w:bidi w:val="0"/>
              <w:spacing w:before="0" w:after="0"/>
              <w:ind w:left="0" w:right="0" w:firstLine="200"/>
              <w:jc w:val="right"/>
              <w:rPr/>
            </w:pPr>
            <w:r>
              <w:rPr/>
              <w:t> </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5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5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(2,329</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(18,702</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576" w:type="dxa"/>
            <w:tcBorders/>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Share-based compensation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2,281</w:t>
            </w:r>
          </w:p>
        </w:tc>
        <w:tc>
          <w:tcPr>
            <w:tcW w:w="210"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both"/>
        <w:rPr>
          <w:rFonts w:ascii="Times New Roman" w:hAnsi="Times New Roman"/>
          <w:b w:val="false"/>
          <w:sz w:val="20"/>
        </w:rPr>
      </w:pPr>
      <w:r>
        <w:rPr>
          <w:rFonts w:ascii="Times New Roman" w:hAnsi="Times New Roman"/>
          <w:b w:val="false"/>
          <w:sz w:val="20"/>
        </w:rPr>
        <w:t>(1)</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Amounts represent share-based compensation expense reported in the Company’s results of operations above.</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Revenues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generate revenue by providing laboratory testing of our diagnostic tests and services. Our revenues for the periods indicated were as follows (in thousands, except percentages):</w:t>
      </w:r>
    </w:p>
    <w:tbl>
      <w:tblPr>
        <w:tblW w:w="7714" w:type="dxa"/>
        <w:jc w:val="left"/>
        <w:tblInd w:w="0" w:type="dxa"/>
        <w:tblLayout w:type="fixed"/>
        <w:tblCellMar>
          <w:top w:w="28" w:type="dxa"/>
          <w:left w:w="28" w:type="dxa"/>
          <w:bottom w:w="28" w:type="dxa"/>
          <w:right w:w="28" w:type="dxa"/>
        </w:tblCellMar>
      </w:tblPr>
      <w:tblGrid>
        <w:gridCol w:w="2296"/>
        <w:gridCol w:w="146"/>
        <w:gridCol w:w="317"/>
        <w:gridCol w:w="858"/>
        <w:gridCol w:w="219"/>
        <w:gridCol w:w="219"/>
        <w:gridCol w:w="317"/>
        <w:gridCol w:w="858"/>
        <w:gridCol w:w="146"/>
        <w:gridCol w:w="146"/>
        <w:gridCol w:w="211"/>
        <w:gridCol w:w="571"/>
        <w:gridCol w:w="166"/>
        <w:gridCol w:w="146"/>
        <w:gridCol w:w="146"/>
        <w:gridCol w:w="376"/>
        <w:gridCol w:w="57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1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1175" w:type="dxa"/>
            <w:gridSpan w:val="2"/>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11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576" w:type="dxa"/>
            <w:tcBorders/>
            <w:vAlign w:val="center"/>
          </w:tcPr>
          <w:p>
            <w:pPr>
              <w:pStyle w:val="TableContents"/>
              <w:bidi w:val="0"/>
              <w:spacing w:before="0" w:after="0"/>
              <w:ind w:left="0" w:right="0" w:firstLine="200"/>
              <w:jc w:val="right"/>
              <w:rPr/>
            </w:pPr>
            <w:r>
              <w:rPr/>
              <w:t> </w:t>
            </w:r>
          </w:p>
        </w:tc>
      </w:tr>
      <w:tr>
        <w:trPr/>
        <w:tc>
          <w:tcPr>
            <w:tcW w:w="22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COVID-19</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9"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5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2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Lung Diagnostic</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8,632</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2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Diagnostic testing revenue</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8,645</w:t>
            </w:r>
          </w:p>
        </w:tc>
        <w:tc>
          <w:tcPr>
            <w:tcW w:w="219"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5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2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Services revenue</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5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9,056</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5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Total revenue increased $2.5 million or 38% for the three months ended March 31, 2023 compared to the same period in 2022.</w:t>
      </w:r>
    </w:p>
    <w:p>
      <w:pPr>
        <w:pStyle w:val="TextBody"/>
        <w:bidi w:val="0"/>
        <w:spacing w:before="120" w:after="0"/>
        <w:jc w:val="both"/>
        <w:rPr>
          <w:rFonts w:ascii="Times New Roman" w:hAnsi="Times New Roman"/>
          <w:sz w:val="20"/>
        </w:rPr>
      </w:pPr>
      <w:r>
        <w:rPr>
          <w:rFonts w:ascii="Times New Roman;serif" w:hAnsi="Times New Roman;serif"/>
          <w:b w:val="false"/>
          <w:sz w:val="20"/>
        </w:rPr>
        <w:t>Diagnostic test revenue increased $3.0 million or 53% for the three months ended March 31, 2023 compared to the same period in 2022 due to an increase in our core lung diagnostic testing revenue of $4.0 million driven by an increase in all five of our core lung diagnostic tests delivered. The Company’s core lung diagnostic sales efforts continued to gain momentum during the three months ended March 31, 2023 as the number of tests delivered reached the highest in Company history. Partially offsetting this increase was a $1.0 million reduction in COVID-19 testing revenue resulting from the expiration of significant COVID-19 testing contracts and the recession of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COVID-19 pandemic. Additionally, on January 30, 2023, the White House issued a Statement of Administration Policy announcing the President’s intention to allow the Public Health Emergency declaration under Section 319 to expire on May 11, 2023. In connection with the expected expiration of the Public Health Emergency declaration under Section 319, the Company will no longer provide COVID-19 diagnostic testing services commercially.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Services revenue decreased $0.5 million or 55% for the three months ended March 31, 2023 compared to the same period in 2022 due to lower testing volumes driven by delayed enrollment in clinical trials. In addition, service revenue can fluctuate due to several factors including contract timing, which can be long under normal circumstances, and currently reflects the slower pace of overall prospective clinical trial enrollment recovering from disruptions put forth by COVID-19.</w:t>
      </w:r>
    </w:p>
    <w:p>
      <w:pPr>
        <w:pStyle w:val="TextBody"/>
        <w:bidi w:val="0"/>
        <w:spacing w:before="120" w:after="0"/>
        <w:jc w:val="both"/>
        <w:rPr>
          <w:rFonts w:ascii="Times New Roman;serif" w:hAnsi="Times New Roman;serif"/>
          <w:b/>
          <w:i/>
          <w:sz w:val="20"/>
        </w:rPr>
      </w:pPr>
      <w:r>
        <w:rPr>
          <w:rFonts w:ascii="Times New Roman;serif" w:hAnsi="Times New Roman;serif"/>
          <w:b/>
          <w:i/>
          <w:sz w:val="20"/>
        </w:rPr>
        <w:t>Operating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Direct costs and expenses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Direct costs and expenses related to revenue decreased $0.1 million or 2% for the three months ended March 31, 2023 compared to the same period in 2022. The decrease in costs for the three months ended March 31, 2023 was driven primarily by the overall decline in COVID-19 and Services testing revenue, partially offset by an increase in direct costs and expenses associated with increased lung diagnostic revenue.</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Research and development expenses increased $45,000 or 1% for the three months ended March 31, 2023 compared to the same period in 2022. The increase in cost was due primarily to an increase in clinical trial costs and compensation and benefit costs, partially offset by a decrease in other laboratory costs.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following table summarizes our external and internal costs for the three months ended March 31, 2023 and 2022 (in thousands, except percentages):</w:t>
      </w:r>
    </w:p>
    <w:tbl>
      <w:tblPr>
        <w:tblW w:w="9005" w:type="dxa"/>
        <w:jc w:val="left"/>
        <w:tblInd w:w="0" w:type="dxa"/>
        <w:tblLayout w:type="fixed"/>
        <w:tblCellMar>
          <w:top w:w="28" w:type="dxa"/>
          <w:left w:w="28" w:type="dxa"/>
          <w:bottom w:w="28" w:type="dxa"/>
          <w:right w:w="28" w:type="dxa"/>
        </w:tblCellMar>
      </w:tblPr>
      <w:tblGrid>
        <w:gridCol w:w="3496"/>
        <w:gridCol w:w="146"/>
        <w:gridCol w:w="317"/>
        <w:gridCol w:w="858"/>
        <w:gridCol w:w="219"/>
        <w:gridCol w:w="219"/>
        <w:gridCol w:w="317"/>
        <w:gridCol w:w="858"/>
        <w:gridCol w:w="146"/>
        <w:gridCol w:w="146"/>
        <w:gridCol w:w="211"/>
        <w:gridCol w:w="376"/>
        <w:gridCol w:w="166"/>
        <w:gridCol w:w="146"/>
        <w:gridCol w:w="146"/>
        <w:gridCol w:w="316"/>
        <w:gridCol w:w="331"/>
        <w:gridCol w:w="5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 w:type="dxa"/>
            <w:tcBorders/>
            <w:vAlign w:val="center"/>
          </w:tcPr>
          <w:p>
            <w:pPr>
              <w:pStyle w:val="TableContents"/>
              <w:bidi w:val="0"/>
              <w:spacing w:before="0" w:after="0"/>
              <w:ind w:left="0" w:right="0" w:hanging="0"/>
              <w:jc w:val="left"/>
              <w:rPr/>
            </w:pPr>
            <w:r>
              <w:rPr/>
              <w:t> </w:t>
            </w:r>
          </w:p>
        </w:tc>
        <w:tc>
          <w:tcPr>
            <w:tcW w:w="1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expenses:</w:t>
            </w:r>
          </w:p>
        </w:tc>
        <w:tc>
          <w:tcPr>
            <w:tcW w:w="146" w:type="dxa"/>
            <w:tcBorders/>
            <w:vAlign w:val="center"/>
          </w:tcPr>
          <w:p>
            <w:pPr>
              <w:pStyle w:val="TableContents"/>
              <w:bidi w:val="0"/>
              <w:spacing w:before="0" w:after="0"/>
              <w:ind w:left="0" w:right="0" w:hanging="0"/>
              <w:jc w:val="left"/>
              <w:rPr/>
            </w:pPr>
            <w:r>
              <w:rPr/>
              <w:t> </w:t>
            </w:r>
          </w:p>
        </w:tc>
        <w:tc>
          <w:tcPr>
            <w:tcW w:w="1175" w:type="dxa"/>
            <w:gridSpan w:val="2"/>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11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Clinical trials and associated costs</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219"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external costs</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firstLine="400"/>
              <w:jc w:val="left"/>
              <w:rPr/>
            </w:pPr>
            <w:r>
              <w:rPr/>
              <w:t> </w:t>
            </w:r>
          </w:p>
        </w:tc>
      </w:tr>
      <w:tr>
        <w:trPr/>
        <w:tc>
          <w:tcPr>
            <w:tcW w:w="34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external costs</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1,528</w:t>
            </w:r>
          </w:p>
        </w:tc>
        <w:tc>
          <w:tcPr>
            <w:tcW w:w="219"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 expenses</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1,723</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3,251</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Sales, marketing, general and administrative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Sales, marketing, general and administrative expenses increased $4.5 million or 31% for the three months ended March 31, 2023 compared to the three months ended March 31, 2022. This increase was driven primarily by increases in employee compensation and benefits associated with an increase in sales team headcount and variable compensation as well as increases in non-employee costs associated with increased spending on various sales meetings, training, and campaigns during 2023 as compared to 2022. During the three months ended March 31, 2022 the Company’s sales efforts continued to be impacted by the COVID-19 pandemic due to surges associated with variants, restricting the Company's ability to execute our core lung diagnostic sales strategy, resulting in lower sales and marketing costs in the prior year.</w:t>
      </w:r>
    </w:p>
    <w:p>
      <w:pPr>
        <w:pStyle w:val="TextBody"/>
        <w:bidi w:val="0"/>
        <w:spacing w:before="120" w:after="0"/>
        <w:jc w:val="both"/>
        <w:rPr>
          <w:rFonts w:ascii="Times New Roman;serif" w:hAnsi="Times New Roman;serif"/>
          <w:b/>
          <w:i/>
          <w:sz w:val="20"/>
        </w:rPr>
      </w:pPr>
      <w:r>
        <w:rPr>
          <w:rFonts w:ascii="Times New Roman;serif" w:hAnsi="Times New Roman;serif"/>
          <w:b/>
          <w:i/>
          <w:sz w:val="20"/>
        </w:rPr>
        <w:t>Non-operating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Interest expense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Interest expense increased $1.3 million or 110% for the three months ended March 31, 2023 compared to the three months ended March 31, 2022. This increase is primarily related to interest associated with the Perceptive Term Loan Facility of $1.3 million and increased interest associated with the contingent consideration of $0.2 million subsequent to the achievement of the gross margin target. This increase is partially offset by interest associated with the 2021 Term Loan of $0.3 million in 2022 that was refinanced by the Perceptive Term Loan Facility.</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Change in fair value of warrant liability</w:t>
      </w:r>
    </w:p>
    <w:p>
      <w:pPr>
        <w:pStyle w:val="TextBody"/>
        <w:bidi w:val="0"/>
        <w:spacing w:before="120" w:after="0"/>
        <w:jc w:val="both"/>
        <w:rPr>
          <w:rFonts w:ascii="Times New Roman" w:hAnsi="Times New Roman"/>
          <w:sz w:val="20"/>
        </w:rPr>
      </w:pPr>
      <w:r>
        <w:rPr>
          <w:rFonts w:ascii="Times New Roman;serif" w:hAnsi="Times New Roman;serif"/>
          <w:b w:val="false"/>
          <w:sz w:val="20"/>
        </w:rPr>
        <w:t>On November 21, 2022, as consideration for the Perceptive Term Loan, the Company issued the Perceptive Warrant, with warrants exercisable into 3,000,000 shares of the Company’s common stock issued on the funding date of the Tranche A Loan which are equity classified (the Initial Warrants). In addition to the Initial Warrants and to the extent the Company exercises its right to borrow the remaining availability under the Perceptive Term Loan, additional warrants will become exercisable into 1,000,000 shares of common stock concurrently with the borrowing of the Tranche B Loan, and additional warrants will become exercisable into 1,000,000 shares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common stock concurrently with the borrowing of the Tranche C Loan (together, the Additional Warrants). The Company accounts for the Additional Warrants as liabilities as the Additional Warrants do not meet the criteria for equity classification. During the three months ended March 31, 2023, the Company recorded a $0.1 million gain as a change in fair value through the condensed statement of operations due to changes in unobservable inputs. This is a result of changes in the probability of our ability to draw on Tranche B and C loans.</w:t>
      </w:r>
    </w:p>
    <w:p>
      <w:pPr>
        <w:pStyle w:val="TextBody"/>
        <w:bidi w:val="0"/>
        <w:spacing w:before="240" w:after="0"/>
        <w:jc w:val="both"/>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both"/>
        <w:rPr>
          <w:rFonts w:ascii="Times New Roman" w:hAnsi="Times New Roman"/>
          <w:sz w:val="20"/>
        </w:rPr>
      </w:pPr>
      <w:r>
        <w:rPr>
          <w:rFonts w:ascii="Times New Roman;serif" w:hAnsi="Times New Roman;serif"/>
          <w:b w:val="false"/>
          <w:sz w:val="20"/>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a result of the pandemic, the Company diversified its diagnostic testing beyond lung diagnostic testing to include the critical service of COVID-19 diagnostic testing.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expected expiration of the Public Health Emergency declaration under Section 319, the Company will no longer provide COVID-19 diagnostic testing services commercially. In addition, the COVID-19 pandemic negatively affected our lung diagnostic testing-related revenue and our clinical studies. We began to see recovery during the fourth quarter 2020 in our core lung diagnostic testing as our delivered tests exceeded first quarter 2020 delivered tests and have continued to grow thereafter. The Company’s sales efforts were impacted by the COVID-19 pandemic due to surges associated with variants, which have negatively affected the growth rate of our core lung diagnostic testing-related revenue and our clinical studies. While we have seen recovery in delivered tests in lung diagnostic testing as health care practitioners, including pulmonologists, increasingly returned to pre-pandemic related care, we experienced more variability as compared to pre-pandemic levels as physician practices are adjusting to post-pandemic levels of care. As a result, the items identified above have had an adverse effect on our revenue, results of operations and cash flows.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March 7, 2022 (the LPC Effective Date), we entered into a purchase agreement with Lincoln Park (the LPC Facility), pursuant to which Lincoln Park has committed to purchase up to $50.0 million of our common stock (the Purchase Agreement). Under the terms and subject to the conditions of the Purchase Agreement, we have the right, but not the obligation, to sell to Lincoln Park, and Lincoln Park is obligated to purchase up to $50.0 million of our common stock. Such sales of common stock by us, if any, will be subject to certain limitations, and may occur from time to time, at our sole discretion, over the 36-month period commencing on the LPC Effective Date. As consideration for Lincoln Park's irrevocable commitment to purchase our common stock upon the terms of and subject to satisfaction of the conditions set forth in the purchase agreement, on the LPC Effective Date, we issued 184,275 shares of common stock to Lincoln Park as a commitment fee valued at $600,000 for which no consideration was received.</w:t>
      </w:r>
    </w:p>
    <w:p>
      <w:pPr>
        <w:pStyle w:val="TextBody"/>
        <w:bidi w:val="0"/>
        <w:spacing w:before="120" w:after="0"/>
        <w:jc w:val="both"/>
        <w:rPr>
          <w:rFonts w:ascii="Times New Roman" w:hAnsi="Times New Roman"/>
          <w:sz w:val="20"/>
        </w:rPr>
      </w:pPr>
      <w:r>
        <w:rPr>
          <w:rFonts w:ascii="Times New Roman;serif" w:hAnsi="Times New Roman;serif"/>
          <w:b w:val="false"/>
          <w:sz w:val="20"/>
        </w:rPr>
        <w:t>On April 7, 2022, we entered into subscription agreements with a consortium of investors</w:t>
      </w:r>
      <w:r>
        <w:rPr>
          <w:rFonts w:ascii="Times New Roman;serif" w:hAnsi="Times New Roman;serif"/>
          <w:b w:val="false"/>
          <w:sz w:val="20"/>
          <w:u w:val="single"/>
        </w:rPr>
        <w:t>,</w:t>
      </w:r>
      <w:r>
        <w:rPr>
          <w:rFonts w:ascii="Times New Roman" w:hAnsi="Times New Roman"/>
          <w:sz w:val="20"/>
        </w:rPr>
        <w:t xml:space="preserve"> </w:t>
      </w:r>
      <w:r>
        <w:rPr>
          <w:rFonts w:ascii="Times New Roman;serif" w:hAnsi="Times New Roman;serif"/>
          <w:b w:val="false"/>
          <w:sz w:val="20"/>
        </w:rPr>
        <w:t>including three members of our Board of Directors and other existing shareholders of the Company, for the issuance and sale by the Company of an aggregate of 6,508,376 shares of our common stock in an offering for an aggregate purchase price of approximately $11.7 million.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May 9, 2022, the Company entered into a securities purchase agreement with Streeterville, pursuant to which, among other things, Streeterville: (i) purchased Promissory Note One in the aggregate principal amount totaling $16.0 million in exchange for $15.0 million less certain expenses. Promissory Notes One could, at the Company's option, be settled in cash or shares of common stock of the Company, upon the terms and subject to the limitations and conditions. On May 9, 2022, the Company closed on Promissory Note One for gross proceeds of $15.0 million (approximately $12.8 million, net, after deducting debt issuance costs and OID).</w:t>
      </w:r>
    </w:p>
    <w:p>
      <w:pPr>
        <w:pStyle w:val="TextBody"/>
        <w:bidi w:val="0"/>
        <w:spacing w:before="120" w:after="0"/>
        <w:jc w:val="both"/>
        <w:rPr>
          <w:rFonts w:ascii="Times New Roman" w:hAnsi="Times New Roman"/>
          <w:sz w:val="20"/>
        </w:rPr>
      </w:pPr>
      <w:r>
        <w:rPr>
          <w:rFonts w:ascii="Times New Roman;serif" w:hAnsi="Times New Roman;serif"/>
          <w:b w:val="false"/>
          <w:sz w:val="20"/>
        </w:rPr>
        <w:t>On November 21, 2022, the Company funded and/or closed various financing transactions, including: (i) a term loan facility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 (ii) a follow-on equity offering of common stock and (iii) a subscription agreement for the issuance of common stock to certain members of the Company’s management team. Collectively, the Company raised gross proceeds of approximately $70.7 million ($65.7 million after deducting commissions, fees and expenses payable). Approximately $23.9 million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of the net proceeds were used to retire outstanding debt of the Company and the remaining proceeds of approximately $42.0 million will be used for commercial expansion of sales, supporting the Company’s product pipeline, research and development and for general corporate purposes.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of March 31, 2023, the Company had remaining available capacity for share issuances of approximately $29.5 million under the ATM facility and up to $46.9 million under the LPC Facility, each subject to the restrictions and limitations of the underlying facilities, as well as volume limitations under applicable SEC rules and regulations that limit their availability as sources of funding.</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As of March 31, 2023, we maintained cash and cash equivalents of $25.3 million and we have $30.0 million in outstanding aggregate principal amount on our Perceptive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COVID-19 testing, and (ii) providing biopharmaceutical companies with development and testing services. In accordance with Accounting Standards Update 2014-15 (ASC Topic 205-40), </w:t>
      </w:r>
      <w:r>
        <w:rPr>
          <w:rFonts w:ascii="Times New Roman;serif" w:hAnsi="Times New Roman;serif"/>
          <w:b w:val="false"/>
          <w:i/>
          <w:sz w:val="20"/>
        </w:rPr>
        <w:t>Presentation of Financial Statements - Going Concern: Disclosure of Uncertainties about an Entity’s Ability to Continue as a Going Concern</w:t>
      </w:r>
      <w:r>
        <w:rPr>
          <w:rFonts w:ascii="Times New Roman;serif" w:hAnsi="Times New Roman;serif"/>
          <w:b w:val="false"/>
          <w:sz w:val="20"/>
        </w:rPr>
        <w:t>, the Company is required to 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Our ability to meet our obligations as they come due may be impacted by our ability to remain compliant with financial covenants in our loan agreement or to obtain waivers or amendments that impact the related covenants. The Company was in compliance with all restrictive covenants associated with its borrowing and entered into a limited waiver on April 7, 2023, under which the Lender agreed to waive the minimum revenue requirement for the three months ended March 31, 2023 (Limited Waiver). In addition, on May 10, 2023, the Company entered into the First Amendment to the Credit Agreement (First Amendment) with Perceptive as lender and administrative agent and the Company, as borrower, whereby subject to the terms and conditions of the First Amendment, the Minimum Net Revenue Covenant, as defined in the Credit Agreement, was modified to reduce the threshold through the twelve month period ended March 31, 2024 (see Part I, Item 1, Note 14 – </w:t>
      </w:r>
      <w:r>
        <w:rPr>
          <w:rFonts w:ascii="Times New Roman;serif" w:hAnsi="Times New Roman;serif"/>
          <w:b w:val="false"/>
          <w:i/>
          <w:sz w:val="20"/>
        </w:rPr>
        <w:t>Subsequent Event</w:t>
      </w:r>
      <w:r>
        <w:rPr>
          <w:rFonts w:ascii="Times New Roman;serif" w:hAnsi="Times New Roman;serif"/>
          <w:b w:val="false"/>
          <w:sz w:val="20"/>
        </w:rPr>
        <w:t>).</w:t>
      </w:r>
    </w:p>
    <w:p>
      <w:pPr>
        <w:pStyle w:val="TextBody"/>
        <w:bidi w:val="0"/>
        <w:spacing w:before="120" w:after="0"/>
        <w:jc w:val="both"/>
        <w:rPr>
          <w:rFonts w:ascii="Times New Roman" w:hAnsi="Times New Roman"/>
          <w:sz w:val="20"/>
        </w:rPr>
      </w:pPr>
      <w:r>
        <w:rPr>
          <w:rFonts w:ascii="Times New Roman;serif" w:hAnsi="Times New Roman;serif"/>
          <w:b w:val="false"/>
          <w:sz w:val="20"/>
        </w:rPr>
        <w:t>Based on our current operating plan, unless we continue to raise additional capital (debt or equity) or obtain waiver from complying with such financial covenants, we expect that we will be unable to maintain our financial covenants under our existing loan agreement during the next twelve months, which could result in an Event of Default, as defined, causing an acceleration of the outstanding balances. We have taken steps to improve our liquidity through raising debt and equity capital and amended the agreement with Indi Agreement during 2022 to delay near term cash requirements and extend the period of milestone payments. We have also undertaken several proactive measures including, among other things, the reduction of planned capital expenditures and certain operating expenses but we do not expect that these actions alone will be sufficient to maintain our financial covenants. The Perceptive Term Loan Facility requires the Company to recognize revenue in amounts agreed to between the Company and Perceptive as of the last day of each fiscal quarter commencing on the fiscal quarter ending March 31, 2023, subject to the Limited Waiver described above. We plan to raise additional funding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revenues, results of operations and cash flows have been materially adversely impacted by the items noted above. 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from when the March 31, 2023 financial statements are issued. Our unaudited financial statements have been prepared assuming we will continue as a going concern and do not include any adjustments that might be necessary should we be unable to continue as a going concern.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Cash Flows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following summarizes our cash flows for the periods indicated (in thousands):</w:t>
      </w:r>
    </w:p>
    <w:tbl>
      <w:tblPr>
        <w:tblW w:w="8386" w:type="dxa"/>
        <w:jc w:val="left"/>
        <w:tblInd w:w="0" w:type="dxa"/>
        <w:tblLayout w:type="fixed"/>
        <w:tblCellMar>
          <w:top w:w="28" w:type="dxa"/>
          <w:left w:w="28" w:type="dxa"/>
          <w:bottom w:w="28" w:type="dxa"/>
          <w:right w:w="28" w:type="dxa"/>
        </w:tblCellMar>
      </w:tblPr>
      <w:tblGrid>
        <w:gridCol w:w="5041"/>
        <w:gridCol w:w="146"/>
        <w:gridCol w:w="266"/>
        <w:gridCol w:w="931"/>
        <w:gridCol w:w="210"/>
        <w:gridCol w:w="184"/>
        <w:gridCol w:w="266"/>
        <w:gridCol w:w="931"/>
        <w:gridCol w:w="4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w:t>
            </w:r>
          </w:p>
        </w:tc>
        <w:tc>
          <w:tcPr>
            <w:tcW w:w="146" w:type="dxa"/>
            <w:tcBorders/>
            <w:vAlign w:val="center"/>
          </w:tcPr>
          <w:p>
            <w:pPr>
              <w:pStyle w:val="TableContents"/>
              <w:bidi w:val="0"/>
              <w:spacing w:before="0" w:after="0"/>
              <w:ind w:left="0" w:right="0" w:hanging="0"/>
              <w:jc w:val="righ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right"/>
              <w:rPr/>
            </w:pPr>
            <w:r>
              <w:rPr/>
              <w:t> </w:t>
            </w:r>
          </w:p>
        </w:tc>
        <w:tc>
          <w:tcPr>
            <w:tcW w:w="119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0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(7,686</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(7,706</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(2,421</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righ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 and restricted cash</w:t>
            </w:r>
          </w:p>
        </w:tc>
        <w:tc>
          <w:tcPr>
            <w:tcW w:w="146" w:type="dxa"/>
            <w:tcBorders/>
            <w:vAlign w:val="center"/>
          </w:tcPr>
          <w:p>
            <w:pPr>
              <w:pStyle w:val="TableContents"/>
              <w:bidi w:val="0"/>
              <w:spacing w:before="0" w:after="0"/>
              <w:ind w:left="0" w:right="0" w:hanging="0"/>
              <w:jc w:val="righ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(17,813</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righ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(16,285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cash flows resulted in a net decrease in cash and cash equivalents of $17.8 million during the three months ended March 31, 2023 as compared to the net decrease in cash of $16.3 million for the three months ended March 31, 2022. For the three months ended March 31, 2023, net cash used in operating activities totaled $7.7 million, a decrease of approximately $5.4 million compared to the same period in 2022 primarily due to the $7.2 million in tenant improvement allowances received for capital expenditures and leasehold improvements related to the CVP Lease which have been reimbursed from the CVP landlord (see cash used in investing activities below). We expect the majority of the remaining tenant improvement allowances of $11.1 million to be utilized by the end of the second quarter 2023. Subsequent to the use of the tenant improvement allowance, the CVP Lease will result in a negative cash flow within operations. Partially offsetting the tenant improvement allowances received is a year-over-year increase in net loss from operations of $3.1 million, which is described in more detail above within our Results of Operations.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cash used in investing activities during the three months ended March 31, 2023 totaled $7.7 million, an increase of $7.4 million compared to the same period in 2022. The increase in net cash used in investing activities was primarily due to increases in purchases of property and equipment and capital expenditures for leasehold improvements related to the CVP Lease. These leasehold improvements are tenant improvements and have been reimbursed from the Landlord, as described above in net cash used in operating activities.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cash used in financing activities during the three months ended March 31, 2023 totaled $2.4 million, a decrease of $0.4 million compared to the same period in 2022. The net cash used in financing activities for the three months ended March 31, 2023 primarily resulted from milestone payments to Indi of $2.0 million and payments of debt issuance costs of $0.8 million, partially offset by $0.4 million in proceeds from the issuance of common stock under the ESPP and exercise of stock options. The net cash used in financing activities for the three months ended March 31, 2022 primarily resulted from first milestone payment to Indi of $4.6 million, partially offset by $1.7 million net proceeds from the issuance of common stock under our existing equity facilities.</w:t>
      </w:r>
    </w:p>
    <w:p>
      <w:pPr>
        <w:pStyle w:val="TextBody"/>
        <w:bidi w:val="0"/>
        <w:spacing w:before="240" w:after="0"/>
        <w:jc w:val="both"/>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following table summarizes our non-cancelable contractual obligations and commitments as of March 31, 2023 (in thousands):</w:t>
      </w:r>
    </w:p>
    <w:tbl>
      <w:tblPr>
        <w:tblW w:w="8827" w:type="dxa"/>
        <w:jc w:val="left"/>
        <w:tblInd w:w="0" w:type="dxa"/>
        <w:tblLayout w:type="fixed"/>
        <w:tblCellMar>
          <w:top w:w="28" w:type="dxa"/>
          <w:left w:w="28" w:type="dxa"/>
          <w:bottom w:w="28" w:type="dxa"/>
          <w:right w:w="28" w:type="dxa"/>
        </w:tblCellMar>
      </w:tblPr>
      <w:tblGrid>
        <w:gridCol w:w="2566"/>
        <w:gridCol w:w="146"/>
        <w:gridCol w:w="211"/>
        <w:gridCol w:w="781"/>
        <w:gridCol w:w="146"/>
        <w:gridCol w:w="146"/>
        <w:gridCol w:w="214"/>
        <w:gridCol w:w="686"/>
        <w:gridCol w:w="146"/>
        <w:gridCol w:w="146"/>
        <w:gridCol w:w="211"/>
        <w:gridCol w:w="676"/>
        <w:gridCol w:w="146"/>
        <w:gridCol w:w="146"/>
        <w:gridCol w:w="211"/>
        <w:gridCol w:w="676"/>
        <w:gridCol w:w="146"/>
        <w:gridCol w:w="146"/>
        <w:gridCol w:w="235"/>
        <w:gridCol w:w="755"/>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4"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Payments due by period </w:t>
            </w:r>
            <w:r>
              <w:rPr>
                <w:rFonts w:ascii="Times New Roman;serif" w:hAnsi="Times New Roman;serif"/>
                <w:b/>
                <w:sz w:val="13"/>
              </w:rPr>
              <w:t>(1)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Less than</w:t>
              <w:b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 to 3</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 to 5</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More than</w:t>
              <w:br/>
              <w:t>5 years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Borrowings and interest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Operating lease obligations </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31,242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5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130,495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31,242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 w:hAnsi="Times New Roman"/>
          <w:b w:val="false"/>
          <w:sz w:val="20"/>
        </w:rPr>
      </w:pPr>
      <w:r>
        <w:rPr>
          <w:rFonts w:ascii="Times New Roman" w:hAnsi="Times New Roman"/>
          <w:b w:val="false"/>
          <w:sz w:val="20"/>
        </w:rPr>
        <w:t>(1)</w:t>
      </w:r>
    </w:p>
    <w:p>
      <w:pPr>
        <w:pStyle w:val="TextBody"/>
        <w:bidi w:val="0"/>
        <w:spacing w:before="40" w:after="0"/>
        <w:jc w:val="both"/>
        <w:rPr>
          <w:rFonts w:ascii="Times New Roman;serif" w:hAnsi="Times New Roman;serif"/>
          <w:b w:val="false"/>
          <w:sz w:val="18"/>
        </w:rPr>
      </w:pPr>
      <w:r>
        <w:rPr>
          <w:rFonts w:ascii="Times New Roman;serif" w:hAnsi="Times New Roman;serif"/>
          <w:b w:val="false"/>
          <w:sz w:val="18"/>
        </w:rPr>
        <w:t>Royalty payments that we may owe are not included as the amount and timing of such payments is uncertain.</w:t>
      </w:r>
    </w:p>
    <w:p>
      <w:pPr>
        <w:pStyle w:val="TextBody"/>
        <w:bidi w:val="0"/>
        <w:spacing w:before="40" w:after="0"/>
        <w:jc w:val="both"/>
        <w:rPr>
          <w:rFonts w:ascii="Times New Roman" w:hAnsi="Times New Roman"/>
          <w:b w:val="false"/>
          <w:sz w:val="20"/>
        </w:rPr>
      </w:pPr>
      <w:r>
        <w:rPr>
          <w:rFonts w:ascii="Times New Roman" w:hAnsi="Times New Roman"/>
          <w:b w:val="false"/>
          <w:sz w:val="20"/>
        </w:rPr>
        <w:t>(2)</w:t>
      </w:r>
    </w:p>
    <w:p>
      <w:pPr>
        <w:pStyle w:val="TextBody"/>
        <w:bidi w:val="0"/>
        <w:spacing w:before="40" w:after="0"/>
        <w:jc w:val="both"/>
        <w:rPr>
          <w:rFonts w:ascii="Times New Roman;serif" w:hAnsi="Times New Roman;serif"/>
          <w:b w:val="false"/>
          <w:sz w:val="18"/>
        </w:rPr>
      </w:pPr>
      <w:r>
        <w:rPr>
          <w:rFonts w:ascii="Times New Roman;serif" w:hAnsi="Times New Roman;serif"/>
          <w:b w:val="false"/>
          <w:sz w:val="18"/>
        </w:rPr>
        <w:t>Includes the Perceptive Term Loan payments of principal and interest. Interest amounts associated with the Perceptive Term Loan are variable and estimated based on the interest rate in effect on March 31, 2023.</w:t>
      </w:r>
    </w:p>
    <w:p>
      <w:pPr>
        <w:pStyle w:val="TextBody"/>
        <w:bidi w:val="0"/>
        <w:spacing w:before="40" w:after="0"/>
        <w:jc w:val="both"/>
        <w:rPr>
          <w:rFonts w:ascii="Times New Roman" w:hAnsi="Times New Roman"/>
          <w:b w:val="false"/>
          <w:sz w:val="20"/>
        </w:rPr>
      </w:pPr>
      <w:r>
        <w:rPr>
          <w:rFonts w:ascii="Times New Roman" w:hAnsi="Times New Roman"/>
          <w:b w:val="false"/>
          <w:sz w:val="20"/>
        </w:rPr>
        <w:t>(3)</w:t>
      </w:r>
    </w:p>
    <w:p>
      <w:pPr>
        <w:pStyle w:val="TextBody"/>
        <w:bidi w:val="0"/>
        <w:spacing w:before="40" w:after="283"/>
        <w:jc w:val="both"/>
        <w:rPr>
          <w:rFonts w:ascii="Times New Roman;serif" w:hAnsi="Times New Roman;serif"/>
          <w:b w:val="false"/>
          <w:sz w:val="18"/>
        </w:rPr>
      </w:pPr>
      <w:r>
        <w:rPr>
          <w:rFonts w:ascii="Times New Roman;serif" w:hAnsi="Times New Roman;serif"/>
          <w:b w:val="false"/>
          <w:sz w:val="18"/>
        </w:rPr>
        <w:t>Does not include the remaining contractually agreed upon tenant improvement allowances associated with the CVP Lease of $11.1 million that have not yet been drawn but which are expected to be received throughout the remainder of fiscal year 2023 (see Note 7 to our financial statements in Part 1 of this Quarterly Report on Form 10-Q).</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have been no other significant changes to our future contractual obligations as disclosed in our Annual Report on Form 10-K for the year ended December 31, 2022.</w:t>
      </w:r>
    </w:p>
    <w:p>
      <w:pPr>
        <w:pStyle w:val="TextBody"/>
        <w:bidi w:val="0"/>
        <w:spacing w:before="120" w:after="0"/>
        <w:jc w:val="both"/>
        <w:rPr>
          <w:rFonts w:ascii="Times New Roman;serif" w:hAnsi="Times New Roman;serif"/>
          <w:b/>
          <w:i/>
          <w:sz w:val="20"/>
        </w:rPr>
      </w:pPr>
      <w:r>
        <w:rPr>
          <w:rFonts w:ascii="Times New Roman;serif" w:hAnsi="Times New Roman;serif"/>
          <w:b/>
          <w:i/>
          <w:sz w:val="20"/>
        </w:rPr>
        <w:t>Off-Balance Sheet Arrangements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of March 31, 2023, we have not entered into any off-balance sheet arrangements.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 as well as Part II, Item 8 of our Annual Report on Form 10-K for the year ended December 31, 2022, which was filed on March 6, 2023.</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Revenue Recognition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and testing services (services revenue).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Share-based Compensation and Grant Date Fair Value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use the Black-Scholes option-pricing model to estimate the fair value of our share-based option awards, which requires assumptions to be made related to expected term of an award, expected volatility, the risk-free rate and expected dividend yield. The fair value of our common stock is based on our closing price as reported on the date of grant on the primary stock exchange on which our common stock is traded. Changes in these subjective assumptions can materially affect the estimated value of equity grants and the share-based compensation that we record in our financial statements.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Recently Issued Accounting Pronouncements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Instruments-Credit Losses: Measurement of Credit Losses on Financial Instruments</w:t>
      </w:r>
      <w:r>
        <w:rPr>
          <w:rFonts w:ascii="Times New Roman" w:hAnsi="Times New Roman"/>
          <w:sz w:val="20"/>
        </w:rPr>
        <w:t xml:space="preserve"> </w:t>
      </w:r>
      <w:r>
        <w:rPr>
          <w:rFonts w:ascii="Times New Roman;serif" w:hAnsi="Times New Roman;serif"/>
          <w:b w:val="false"/>
          <w:sz w:val="20"/>
        </w:rPr>
        <w:t>(ASC Topic 326). This ASU requires measurement and recognition of expected credit losses for financial assets. This ASU requires measurement and recognition of expected credit losses for financial assets. This guidance became effective for the Company beginning January 1, 2023. The Company evaluated the guidance and determined the overall impact of the adoption had an immaterial impact on our financial statements.</w:t>
      </w:r>
    </w:p>
    <w:p>
      <w:pPr>
        <w:pStyle w:val="TextBody"/>
        <w:bidi w:val="0"/>
        <w:spacing w:before="240" w:after="0"/>
        <w:jc w:val="both"/>
        <w:rPr>
          <w:rFonts w:ascii="Times New Roman;serif" w:hAnsi="Times New Roman;serif"/>
          <w:b/>
          <w:sz w:val="20"/>
        </w:rPr>
      </w:pPr>
      <w:r>
        <w:rPr>
          <w:rFonts w:ascii="Times New Roman;serif" w:hAnsi="Times New Roman;serif"/>
          <w:b/>
          <w:sz w:val="20"/>
        </w:rPr>
        <w:t>Implications of Being an Emerging Growth Company and Smaller Reporting Company</w:t>
      </w:r>
    </w:p>
    <w:p>
      <w:pPr>
        <w:pStyle w:val="TextBody"/>
        <w:bidi w:val="0"/>
        <w:spacing w:before="120" w:after="0"/>
        <w:jc w:val="both"/>
        <w:rPr>
          <w:rFonts w:ascii="Times New Roman" w:hAnsi="Times New Roman"/>
          <w:sz w:val="20"/>
        </w:rPr>
      </w:pPr>
      <w:r>
        <w:rPr>
          <w:rFonts w:ascii="Times New Roman;serif" w:hAnsi="Times New Roman;serif"/>
          <w:b w:val="false"/>
          <w:sz w:val="20"/>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emerging growth company can delay the adoption of certain accounting standards until those standards would otherwise apply to private companies.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120" w:after="0"/>
        <w:jc w:val="both"/>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Interest Rate Risk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exposed to market risk for changes in interest rates related primarily to our cash and cash equivalents, marketable securities and our indebtedness, including our outstanding Perceptive Term Loan. As of March 31, 2023, we had $30.0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0"/>
        <w:jc w:val="both"/>
        <w:rPr>
          <w:rFonts w:ascii="Times New Roman" w:hAnsi="Times New Roman"/>
          <w:sz w:val="20"/>
        </w:rPr>
      </w:pPr>
      <w:r>
        <w:rPr>
          <w:rFonts w:ascii="Times New Roman;serif" w:hAnsi="Times New Roman;serif"/>
          <w:b w:val="false"/>
          <w:sz w:val="20"/>
        </w:rPr>
        <w:t>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of March 31, 2023, a hypothetical 100 basis point increase in interest rates would have an estimated $0.3 million impact per year on our financial position and results of operations, based on the current Perceptive Term Loan principal remaining outstanding through maturity.</w:t>
      </w:r>
    </w:p>
    <w:p>
      <w:pPr>
        <w:pStyle w:val="TextBody"/>
        <w:bidi w:val="0"/>
        <w:spacing w:before="120" w:after="0"/>
        <w:jc w:val="both"/>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were no changes to our internal control over financial reporting during the three months ended March 31, 2023, that have materially affected, or are reasonable likely to materially effect, our internal controls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bookmarkStart w:id="12" w:name="part_iior_information"/>
      <w:bookmarkEnd w:id="12"/>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both"/>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120" w:after="0"/>
        <w:jc w:val="both"/>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bidi w:val="0"/>
        <w:spacing w:before="120" w:after="0"/>
        <w:jc w:val="both"/>
        <w:rPr/>
      </w:pPr>
      <w:r>
        <w:rPr/>
        <w:t>“</w:t>
      </w:r>
      <w:r>
        <w:rPr>
          <w:rFonts w:ascii="Times New Roman;serif" w:hAnsi="Times New Roman;serif"/>
          <w:b w:val="false"/>
          <w:sz w:val="20"/>
        </w:rPr>
        <w:t>Item 1A. Risk Factors” of our Annual Report on Form 10-K as of and for the year ended December 31, 2022, filed March 6, 2023, and subsequent quarterly reports on Form 10-Q, if applicable, include a discussion of our risk factors. These risks could materially and adversely affect our business, financial condition and results of operations.</w:t>
      </w:r>
    </w:p>
    <w:p>
      <w:pPr>
        <w:pStyle w:val="TextBody"/>
        <w:bidi w:val="0"/>
        <w:spacing w:before="120" w:after="0"/>
        <w:jc w:val="both"/>
        <w:rPr>
          <w:rFonts w:ascii="Times New Roman;serif" w:hAnsi="Times New Roman;serif"/>
          <w:b/>
          <w:sz w:val="20"/>
        </w:rPr>
      </w:pPr>
      <w:bookmarkStart w:id="15" w:name="item_2_unregistered_sales_equity_securit"/>
      <w:bookmarkEnd w:id="15"/>
      <w:r>
        <w:rPr>
          <w:rFonts w:ascii="Times New Roman;serif" w:hAnsi="Times New Roman;serif"/>
          <w:b/>
          <w:sz w:val="20"/>
        </w:rPr>
        <w:t>Item 2. Unregistered Sales of Equity Securities and Use of Proceeds.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both"/>
        <w:rPr>
          <w:rFonts w:ascii="Times New Roman" w:hAnsi="Times New Roman"/>
          <w:sz w:val="20"/>
        </w:rPr>
      </w:pPr>
      <w:bookmarkStart w:id="16" w:name="item_3_defaults_upon_senior_securities"/>
      <w:bookmarkEnd w:id="16"/>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both"/>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both"/>
        <w:rPr>
          <w:rFonts w:ascii="Times New Roman" w:hAnsi="Times New Roman"/>
          <w:sz w:val="20"/>
        </w:rPr>
      </w:pPr>
      <w:bookmarkStart w:id="18" w:name="item_5_or_information"/>
      <w:bookmarkEnd w:id="18"/>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bidi w:val="0"/>
        <w:spacing w:before="40" w:after="0"/>
        <w:jc w:val="both"/>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9077"/>
        <w:gridCol w:w="192"/>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dsx-ex4_1.htm">
              <w:r>
                <w:rPr>
                  <w:rStyle w:val="InternetLink"/>
                  <w:rFonts w:ascii="Times New Roman;serif" w:hAnsi="Times New Roman;serif"/>
                  <w:b w:val="false"/>
                  <w:sz w:val="20"/>
                  <w:u w:val="single"/>
                </w:rPr>
                <w:t>Warrant to Purchase Stock, dated May 10, 2023, issued by the Company to Perceptive Credit Holdings IV, LP</w:t>
              </w:r>
            </w:hyperlink>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10_1.htm">
              <w:r>
                <w:rPr>
                  <w:rStyle w:val="InternetLink"/>
                  <w:rFonts w:ascii="Times New Roman;serif" w:hAnsi="Times New Roman;serif"/>
                  <w:b w:val="false"/>
                  <w:sz w:val="20"/>
                  <w:u w:val="single"/>
                </w:rPr>
                <w:t>Limited Waiver, dated April 7, 2023, by and between Biodesix, Inc. and Perceptive Credit Holdings IV, LP</w:t>
              </w:r>
            </w:hyperlink>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10_2.htm">
              <w:r>
                <w:rPr>
                  <w:rStyle w:val="InternetLink"/>
                  <w:rFonts w:ascii="Times New Roman;serif" w:hAnsi="Times New Roman;serif"/>
                  <w:b w:val="false"/>
                  <w:sz w:val="20"/>
                  <w:u w:val="single"/>
                </w:rPr>
                <w:t>De Soto Amendment to Commercial Lease Agreement, effective April 4, 2023, by and between Biodesix, Inc. and De Soto Investments, LLC</w:t>
              </w:r>
            </w:hyperlink>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dsx-ex10_3.htm">
              <w:r>
                <w:rPr>
                  <w:rStyle w:val="InternetLink"/>
                  <w:rFonts w:ascii="Times New Roman;serif" w:hAnsi="Times New Roman;serif"/>
                  <w:b w:val="false"/>
                  <w:sz w:val="20"/>
                  <w:u w:val="single"/>
                </w:rPr>
                <w:t>First Amendment to Credit Agreement and Guaranty, dated May 10, 2023, by and among the Company and Perceptive Credit Holdings IV, LP</w:t>
              </w:r>
            </w:hyperlink>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192" w:type="dxa"/>
            <w:vMerge w:val="restart"/>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192" w:type="dxa"/>
            <w:vMerge w:val="continue"/>
            <w:tcBorders/>
            <w:vAlign w:val="center"/>
          </w:tcPr>
          <w:p>
            <w:pPr>
              <w:pStyle w:val="Normal"/>
              <w:bidi w:val="0"/>
              <w:jc w:val="left"/>
              <w:rPr/>
            </w:pPr>
            <w:r>
              <w:rPr/>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 Previously filed.</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 Management contract or compensatory plan.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4544" w:type="dxa"/>
        <w:jc w:val="left"/>
        <w:tblInd w:w="0" w:type="dxa"/>
        <w:tblLayout w:type="fixed"/>
        <w:tblCellMar>
          <w:top w:w="28" w:type="dxa"/>
          <w:left w:w="28" w:type="dxa"/>
          <w:bottom w:w="28" w:type="dxa"/>
          <w:right w:w="28" w:type="dxa"/>
        </w:tblCellMar>
      </w:tblPr>
      <w:tblGrid>
        <w:gridCol w:w="1786"/>
        <w:gridCol w:w="146"/>
        <w:gridCol w:w="406"/>
        <w:gridCol w:w="220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61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Biodesix, Inc.</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Date: May 11, 2023</w:t>
            </w:r>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2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RYAN H. SIUREK</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Ryan H. Siurek</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Chief Accounting Officer</w:t>
            </w:r>
          </w:p>
        </w:tc>
      </w:tr>
      <w:tr>
        <w:trPr/>
        <w:tc>
          <w:tcPr>
            <w:tcW w:w="17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7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mallCaps/>
          <w:sz w:val="20"/>
        </w:rPr>
      </w:pPr>
      <w:bookmarkStart w:id="21" w:name="bdsx-ex4_1.htm"/>
      <w:bookmarkStart w:id="22" w:name="ksbdsxex4_1"/>
      <w:bookmarkEnd w:id="21"/>
      <w:bookmarkEnd w:id="22"/>
      <w:r>
        <w:rPr>
          <w:rFonts w:ascii="Times New Roman;serif" w:hAnsi="Times New Roman;serif"/>
          <w:b/>
          <w:smallCaps/>
          <w:sz w:val="20"/>
        </w:rPr>
        <w:t>Exhibit 4.1</w:t>
      </w:r>
      <w:r>
        <w:br w:type="page"/>
      </w:r>
    </w:p>
    <w:p>
      <w:pPr>
        <w:pStyle w:val="TextBody"/>
        <w:bidi w:val="0"/>
        <w:spacing w:before="0" w:after="240"/>
        <w:jc w:val="center"/>
        <w:rPr>
          <w:rFonts w:ascii="Times New Roman;serif" w:hAnsi="Times New Roman;serif"/>
          <w:b/>
          <w:caps/>
          <w:sz w:val="24"/>
        </w:rPr>
      </w:pPr>
      <w:r>
        <w:rPr>
          <w:rFonts w:ascii="Times New Roman;serif" w:hAnsi="Times New Roman;serif"/>
          <w:b/>
          <w:caps/>
          <w:sz w:val="24"/>
        </w:rPr>
        <w:t>WARRANT certificate</w:t>
      </w:r>
    </w:p>
    <w:p>
      <w:pPr>
        <w:pStyle w:val="TextBody"/>
        <w:bidi w:val="0"/>
        <w:spacing w:before="0" w:after="240"/>
        <w:jc w:val="center"/>
        <w:rPr>
          <w:rFonts w:ascii="Times New Roman" w:hAnsi="Times New Roman"/>
          <w:sz w:val="20"/>
        </w:rPr>
      </w:pPr>
      <w:r>
        <w:rPr>
          <w:rFonts w:ascii="Times New Roman;serif" w:hAnsi="Times New Roman;serif"/>
          <w:b w:val="false"/>
          <w:sz w:val="24"/>
        </w:rPr>
        <w:t xml:space="preserve">THIS WARRANT </w:t>
      </w:r>
      <w:r>
        <w:rPr>
          <w:rFonts w:ascii="Times New Roman;serif" w:hAnsi="Times New Roman;serif"/>
          <w:b w:val="false"/>
          <w:caps/>
          <w:sz w:val="24"/>
        </w:rPr>
        <w:t>certificate</w:t>
      </w:r>
      <w:r>
        <w:rPr>
          <w:rFonts w:ascii="Times New Roman" w:hAnsi="Times New Roman"/>
          <w:sz w:val="20"/>
        </w:rPr>
        <w:t xml:space="preserve"> </w:t>
      </w:r>
      <w:r>
        <w:rPr>
          <w:rFonts w:ascii="Times New Roman;serif" w:hAnsi="Times New Roman;serif"/>
          <w:b w:val="false"/>
          <w:sz w:val="24"/>
        </w:rPr>
        <w:t xml:space="preserve">AND THE SECURITIES ISSUABLE UPON EXERCISE OF THIS WARRANT </w:t>
      </w:r>
      <w:r>
        <w:rPr>
          <w:rFonts w:ascii="Times New Roman;serif" w:hAnsi="Times New Roman;serif"/>
          <w:b w:val="false"/>
          <w:caps/>
          <w:sz w:val="24"/>
        </w:rPr>
        <w:t>certificate</w:t>
      </w:r>
      <w:r>
        <w:rPr>
          <w:rFonts w:ascii="Times New Roman" w:hAnsi="Times New Roman"/>
          <w:sz w:val="20"/>
        </w:rPr>
        <w:t xml:space="preserve"> </w:t>
      </w:r>
      <w:r>
        <w:rPr>
          <w:rFonts w:ascii="Times New Roman;serif" w:hAnsi="Times New Roman;serif"/>
          <w:b w:val="false"/>
          <w:sz w:val="24"/>
        </w:rPr>
        <w:t>HAVE NOT BEEN REGISTERED UNDER THE SECURITIES ACT OF 1933, AS AMENDED (THE “</w:t>
      </w:r>
      <w:r>
        <w:rPr>
          <w:rFonts w:ascii="Times New Roman;serif" w:hAnsi="Times New Roman;serif"/>
          <w:b/>
          <w:i/>
          <w:sz w:val="24"/>
        </w:rPr>
        <w:t>SECURITIES ACT</w:t>
      </w:r>
      <w:r>
        <w:rPr>
          <w:rFonts w:ascii="Times New Roman" w:hAnsi="Times New Roman"/>
          <w:sz w:val="20"/>
        </w:rPr>
        <w:t>”</w:t>
      </w:r>
      <w:r>
        <w:rPr>
          <w:rFonts w:ascii="Times New Roman;serif" w:hAnsi="Times New Roman;serif"/>
          <w:b w:val="false"/>
          <w:sz w:val="24"/>
        </w:rPr>
        <w:t>), OR QUALIFIED UNDER ANY STATE OR FOREIGN SECURITIES LAWS AND MAY NOT BE OFFERED FOR SALE, SOLD, PLEDGED, HYPOTHECATED OR OTHERWISE TRANSFERRED OR ASSIGNED UNLESS (I) A REGISTRATION STATEMENT COVERING SUCH SHARES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Warrant Shares Issuable: Up to 500,000 Shares of Common Stock</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Warrant Certificate No.: HW-02</w:t>
      </w:r>
    </w:p>
    <w:p>
      <w:pPr>
        <w:pStyle w:val="TextBody"/>
        <w:bidi w:val="0"/>
        <w:spacing w:before="0" w:after="240"/>
        <w:jc w:val="left"/>
        <w:rPr>
          <w:rFonts w:ascii="Times New Roman" w:hAnsi="Times New Roman"/>
          <w:sz w:val="20"/>
        </w:rPr>
      </w:pPr>
      <w:r>
        <w:rPr>
          <w:rFonts w:ascii="Times New Roman;serif" w:hAnsi="Times New Roman;serif"/>
          <w:b w:val="false"/>
          <w:sz w:val="24"/>
        </w:rPr>
        <w:t>Issue Date: May 10, 2023 (the “</w:t>
      </w:r>
      <w:r>
        <w:rPr>
          <w:rFonts w:ascii="Times New Roman;serif" w:hAnsi="Times New Roman;serif"/>
          <w:b/>
          <w:i/>
          <w:sz w:val="24"/>
        </w:rPr>
        <w:t>Issue Date</w:t>
      </w:r>
      <w:r>
        <w:rPr>
          <w:rFonts w:ascii="Times New Roman" w:hAnsi="Times New Roman"/>
          <w:sz w:val="20"/>
        </w:rPr>
        <w:t>”</w:t>
      </w:r>
      <w:r>
        <w:rPr>
          <w:rFonts w:ascii="Times New Roman;serif" w:hAnsi="Times New Roman;serif"/>
          <w:b w:val="false"/>
          <w:sz w:val="24"/>
        </w:rPr>
        <w:t>)</w:t>
      </w:r>
    </w:p>
    <w:p>
      <w:pPr>
        <w:pStyle w:val="TextBody"/>
        <w:bidi w:val="0"/>
        <w:spacing w:before="0" w:after="240"/>
        <w:jc w:val="both"/>
        <w:rPr>
          <w:rFonts w:ascii="Times New Roman" w:hAnsi="Times New Roman"/>
          <w:sz w:val="20"/>
        </w:rPr>
      </w:pPr>
      <w:r>
        <w:rPr>
          <w:rFonts w:ascii="Times New Roman;serif" w:hAnsi="Times New Roman;serif"/>
          <w:b w:val="false"/>
          <w:sz w:val="24"/>
        </w:rPr>
        <w:t>FOR VALUE RECEIVED, Biodesix, Inc. a Delaware corporation (the “</w:t>
      </w:r>
      <w:r>
        <w:rPr>
          <w:rFonts w:ascii="Times New Roman;serif" w:hAnsi="Times New Roman;serif"/>
          <w:b/>
          <w:i/>
          <w:sz w:val="24"/>
        </w:rPr>
        <w:t>Company</w:t>
      </w:r>
      <w:r>
        <w:rPr>
          <w:rFonts w:ascii="Times New Roman" w:hAnsi="Times New Roman"/>
          <w:sz w:val="20"/>
        </w:rPr>
        <w:t>”</w:t>
      </w:r>
      <w:r>
        <w:rPr>
          <w:rFonts w:ascii="Times New Roman;serif" w:hAnsi="Times New Roman;serif"/>
          <w:b w:val="false"/>
          <w:sz w:val="24"/>
        </w:rPr>
        <w:t>), hereby certifies that Perceptive Credit Holdings IV, LP or any of its registered assigns (collectively, the “</w:t>
      </w:r>
      <w:r>
        <w:rPr>
          <w:rFonts w:ascii="Times New Roman;serif" w:hAnsi="Times New Roman;serif"/>
          <w:b/>
          <w:i/>
          <w:sz w:val="24"/>
        </w:rPr>
        <w:t>Holder</w:t>
      </w:r>
      <w:r>
        <w:rPr>
          <w:rFonts w:ascii="Times New Roman" w:hAnsi="Times New Roman"/>
          <w:sz w:val="20"/>
        </w:rPr>
        <w:t>”</w:t>
      </w:r>
      <w:r>
        <w:rPr>
          <w:rFonts w:ascii="Times New Roman;serif" w:hAnsi="Times New Roman;serif"/>
          <w:b w:val="false"/>
          <w:sz w:val="24"/>
        </w:rPr>
        <w:t xml:space="preserve">) is entitled to purchase from the Company up to 500,000 duly authorized, validly issued, fully paid and nonassessable shares of the Company’s Common Stock at the applicable per share Exercise Price (defined below), all subject to the terms, conditions and adjustments set forth below in this Warrant Certificate. Certain capitalized terms used herein are defined in </w:t>
      </w:r>
      <w:r>
        <w:rPr>
          <w:rFonts w:ascii="Times New Roman;serif" w:hAnsi="Times New Roman;serif"/>
          <w:b/>
          <w:sz w:val="24"/>
        </w:rPr>
        <w:t>Section 1</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This Warrant Certificate has been issued pursuant to the terms of the Credit and Guaranty Agreement, dated as of November 16, 2022 (as amended by the First Amendment to Credit Agreement and Guaranty dated as of the date hereof and as may be further amended or otherwise modified from time to time, the “</w:t>
      </w:r>
      <w:r>
        <w:rPr>
          <w:rFonts w:ascii="Times New Roman;serif" w:hAnsi="Times New Roman;serif"/>
          <w:b/>
          <w:i/>
          <w:sz w:val="24"/>
        </w:rPr>
        <w:t>Credit Agreement</w:t>
      </w:r>
      <w:r>
        <w:rPr>
          <w:rFonts w:ascii="Times New Roman" w:hAnsi="Times New Roman"/>
          <w:sz w:val="20"/>
        </w:rPr>
        <w:t>”</w:t>
      </w:r>
      <w:r>
        <w:rPr>
          <w:rFonts w:ascii="Times New Roman;serif" w:hAnsi="Times New Roman;serif"/>
          <w:b w:val="false"/>
          <w:sz w:val="24"/>
        </w:rPr>
        <w:t>), among the Company, as the borrower, the guarantors party thereto and Perceptive Credit Opportunities Fund IV, LP, as the lender.</w:t>
      </w:r>
    </w:p>
    <w:p>
      <w:pPr>
        <w:pStyle w:val="TextBody"/>
        <w:bidi w:val="0"/>
        <w:spacing w:before="0" w:after="240"/>
        <w:jc w:val="left"/>
        <w:rPr>
          <w:rFonts w:ascii="Times New Roman" w:hAnsi="Times New Roman"/>
          <w:b/>
          <w:sz w:val="24"/>
        </w:rPr>
      </w:pPr>
      <w:r>
        <w:rPr>
          <w:rFonts w:ascii="Times New Roman" w:hAnsi="Times New Roman"/>
          <w:b/>
          <w:sz w:val="24"/>
        </w:rPr>
        <w:t>Section 1.</w:t>
      </w:r>
    </w:p>
    <w:p>
      <w:pPr>
        <w:pStyle w:val="TextBody"/>
        <w:bidi w:val="0"/>
        <w:spacing w:before="0" w:after="240"/>
        <w:jc w:val="left"/>
        <w:rPr/>
      </w:pPr>
      <w:r>
        <w:rPr>
          <w:rFonts w:ascii="Times New Roman;serif" w:hAnsi="Times New Roman;serif"/>
          <w:b/>
          <w:sz w:val="24"/>
        </w:rPr>
        <w:t>Definitions</w:t>
      </w:r>
      <w:r>
        <w:rPr>
          <w:rFonts w:ascii="Times New Roman;serif" w:hAnsi="Times New Roman;serif"/>
          <w:b w:val="false"/>
          <w:sz w:val="24"/>
        </w:rPr>
        <w:t>. The following terms when used herein have the following meanings:</w:t>
      </w:r>
    </w:p>
    <w:p>
      <w:pPr>
        <w:pStyle w:val="TextBody"/>
        <w:bidi w:val="0"/>
        <w:spacing w:before="0" w:after="240"/>
        <w:jc w:val="both"/>
        <w:rPr/>
      </w:pPr>
      <w:r>
        <w:rPr/>
        <w:t>“</w:t>
      </w:r>
      <w:r>
        <w:rPr>
          <w:rFonts w:ascii="Times New Roman;serif" w:hAnsi="Times New Roman;serif"/>
          <w:b/>
          <w:i/>
          <w:sz w:val="24"/>
        </w:rPr>
        <w:t>Acquisition</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3(m)</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i/>
          <w:sz w:val="24"/>
        </w:rPr>
        <w:t>Aggregate Exercise Price</w:t>
      </w:r>
      <w:r>
        <w:rPr>
          <w:rFonts w:ascii="Times New Roman" w:hAnsi="Times New Roman"/>
          <w:sz w:val="20"/>
        </w:rPr>
        <w:t xml:space="preserve">” </w:t>
      </w:r>
      <w:r>
        <w:rPr>
          <w:rFonts w:ascii="Times New Roman;serif" w:hAnsi="Times New Roman;serif"/>
          <w:b w:val="false"/>
          <w:sz w:val="24"/>
        </w:rPr>
        <w:t xml:space="preserve">means, with respect to any exercise of this Warrant Certificate for Warrant Shares, an amount equal to the product of (i) the number of Warrant Shares in respect of which this Warrant Certificate is then being exercised pursuant to </w:t>
      </w:r>
      <w:r>
        <w:rPr>
          <w:rFonts w:ascii="Times New Roman;serif" w:hAnsi="Times New Roman;serif"/>
          <w:b/>
          <w:sz w:val="24"/>
        </w:rPr>
        <w:t xml:space="preserve">Sections 3 </w:t>
      </w:r>
      <w:r>
        <w:rPr>
          <w:rFonts w:ascii="Times New Roman;serif" w:hAnsi="Times New Roman;serif"/>
          <w:b w:val="false"/>
          <w:sz w:val="24"/>
        </w:rPr>
        <w:t>multiplied by (ii) the applicable Exercise Price.</w:t>
      </w:r>
    </w:p>
    <w:p>
      <w:pPr>
        <w:pStyle w:val="TextBody"/>
        <w:bidi w:val="0"/>
        <w:spacing w:before="0" w:after="240"/>
        <w:jc w:val="left"/>
        <w:rPr/>
      </w:pPr>
      <w:r>
        <w:rPr/>
        <w:t>“</w:t>
      </w:r>
      <w:r>
        <w:rPr>
          <w:rFonts w:ascii="Times New Roman;serif" w:hAnsi="Times New Roman;serif"/>
          <w:b/>
          <w:i/>
          <w:sz w:val="24"/>
        </w:rPr>
        <w:t>Anticipated Sale</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3(j)</w:t>
      </w:r>
      <w:r>
        <w:rPr>
          <w:rFonts w:ascii="Times New Roman;serif" w:hAnsi="Times New Roman;serif"/>
          <w:b w:val="false"/>
          <w:sz w:val="24"/>
        </w:rPr>
        <w:t>.</w:t>
      </w:r>
    </w:p>
    <w:p>
      <w:pPr>
        <w:pStyle w:val="TextBody"/>
        <w:bidi w:val="0"/>
        <w:spacing w:before="0" w:after="240"/>
        <w:jc w:val="left"/>
        <w:rPr/>
      </w:pPr>
      <w:r>
        <w:rPr/>
        <w:t>“</w:t>
      </w:r>
      <w:r>
        <w:rPr>
          <w:rFonts w:ascii="Times New Roman;serif" w:hAnsi="Times New Roman;serif"/>
          <w:b/>
          <w:i/>
          <w:sz w:val="24"/>
        </w:rPr>
        <w:t>Bloomberg</w:t>
      </w:r>
      <w:r>
        <w:rPr>
          <w:rFonts w:ascii="Times New Roman" w:hAnsi="Times New Roman"/>
          <w:sz w:val="20"/>
        </w:rPr>
        <w:t xml:space="preserve">” </w:t>
      </w:r>
      <w:r>
        <w:rPr>
          <w:rFonts w:ascii="Times New Roman;serif" w:hAnsi="Times New Roman;serif"/>
          <w:b w:val="false"/>
          <w:sz w:val="24"/>
        </w:rPr>
        <w:t>has the meaning set forth within the definition of VWAP.</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i/>
          <w:sz w:val="24"/>
        </w:rPr>
        <w:t>Board</w:t>
      </w:r>
      <w:r>
        <w:rPr>
          <w:rFonts w:ascii="Times New Roman" w:hAnsi="Times New Roman"/>
          <w:sz w:val="20"/>
        </w:rPr>
        <w:t xml:space="preserve">” </w:t>
      </w:r>
      <w:r>
        <w:rPr>
          <w:rFonts w:ascii="Times New Roman;serif" w:hAnsi="Times New Roman;serif"/>
          <w:b w:val="false"/>
          <w:sz w:val="24"/>
        </w:rPr>
        <w:t>means the board of directors of the Company.</w:t>
      </w:r>
    </w:p>
    <w:p>
      <w:pPr>
        <w:pStyle w:val="TextBody"/>
        <w:bidi w:val="0"/>
        <w:spacing w:before="0" w:after="240"/>
        <w:jc w:val="both"/>
        <w:rPr/>
      </w:pPr>
      <w:r>
        <w:rPr/>
        <w:t>“</w:t>
      </w:r>
      <w:r>
        <w:rPr>
          <w:rFonts w:ascii="Times New Roman;serif" w:hAnsi="Times New Roman;serif"/>
          <w:b/>
          <w:i/>
          <w:sz w:val="24"/>
        </w:rPr>
        <w:t>Business Day</w:t>
      </w:r>
      <w:r>
        <w:rPr>
          <w:rFonts w:ascii="Times New Roman" w:hAnsi="Times New Roman"/>
          <w:sz w:val="20"/>
        </w:rPr>
        <w:t xml:space="preserve">” </w:t>
      </w:r>
      <w:r>
        <w:rPr>
          <w:rFonts w:ascii="Times New Roman;serif" w:hAnsi="Times New Roman;serif"/>
          <w:b w:val="false"/>
          <w:sz w:val="24"/>
        </w:rPr>
        <w:t>means any day, except a Saturday, Sunday or legal holiday, on which banking institutions in the city of New York, New York are authorized or obligated by law or executive order to close.</w:t>
      </w:r>
    </w:p>
    <w:p>
      <w:pPr>
        <w:pStyle w:val="TextBody"/>
        <w:bidi w:val="0"/>
        <w:spacing w:before="0" w:after="240"/>
        <w:jc w:val="both"/>
        <w:rPr/>
      </w:pPr>
      <w:r>
        <w:rPr/>
        <w:t>“</w:t>
      </w:r>
      <w:r>
        <w:rPr>
          <w:rFonts w:ascii="Times New Roman;serif" w:hAnsi="Times New Roman;serif"/>
          <w:b/>
          <w:i/>
          <w:sz w:val="24"/>
        </w:rPr>
        <w:t>Cash Acquisition</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3(m)</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Cashless Exercise</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3(b)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Charter</w:t>
      </w:r>
      <w:r>
        <w:rPr>
          <w:rFonts w:ascii="Times New Roman" w:hAnsi="Times New Roman"/>
          <w:sz w:val="20"/>
        </w:rPr>
        <w:t xml:space="preserve">” </w:t>
      </w:r>
      <w:r>
        <w:rPr>
          <w:rFonts w:ascii="Times New Roman;serif" w:hAnsi="Times New Roman;serif"/>
          <w:b w:val="false"/>
          <w:sz w:val="24"/>
        </w:rPr>
        <w:t>means the Company’s Amended and Restated Certificate of Incorporation filed with the Secretary of State of the State of Delaware on October 30, 2020 (as the same may be amended).</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i/>
          <w:sz w:val="24"/>
        </w:rPr>
        <w:t>Common Stock</w:t>
      </w:r>
      <w:r>
        <w:rPr>
          <w:rFonts w:ascii="Times New Roman" w:hAnsi="Times New Roman"/>
          <w:sz w:val="20"/>
        </w:rPr>
        <w:t xml:space="preserve">” </w:t>
      </w:r>
      <w:r>
        <w:rPr>
          <w:rFonts w:ascii="Times New Roman;serif" w:hAnsi="Times New Roman;serif"/>
          <w:b w:val="false"/>
          <w:sz w:val="24"/>
        </w:rPr>
        <w:t>means the common stock, par value $0.001 per share, of the Company, and any capital stock into which such Common Stock shall have been converted, exchanged or reclassified following the date hereof.</w:t>
      </w:r>
    </w:p>
    <w:p>
      <w:pPr>
        <w:pStyle w:val="TextBody"/>
        <w:bidi w:val="0"/>
        <w:spacing w:before="0" w:after="240"/>
        <w:jc w:val="both"/>
        <w:rPr/>
      </w:pPr>
      <w:r>
        <w:rPr/>
        <w:t>“</w:t>
      </w:r>
      <w:r>
        <w:rPr>
          <w:rFonts w:ascii="Times New Roman;serif" w:hAnsi="Times New Roman;serif"/>
          <w:b/>
          <w:i/>
          <w:sz w:val="24"/>
        </w:rPr>
        <w:t>Company</w:t>
      </w:r>
      <w:r>
        <w:rPr>
          <w:rFonts w:ascii="Times New Roman" w:hAnsi="Times New Roman"/>
          <w:sz w:val="20"/>
        </w:rPr>
        <w:t xml:space="preserve">” </w:t>
      </w:r>
      <w:r>
        <w:rPr>
          <w:rFonts w:ascii="Times New Roman;serif" w:hAnsi="Times New Roman;serif"/>
          <w:b w:val="false"/>
          <w:sz w:val="24"/>
        </w:rPr>
        <w:t>has the meaning set forth in the preamble.</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i/>
          <w:sz w:val="24"/>
        </w:rPr>
        <w:t>Credit Agreement</w:t>
      </w:r>
      <w:r>
        <w:rPr>
          <w:rFonts w:ascii="Times New Roman" w:hAnsi="Times New Roman"/>
          <w:sz w:val="20"/>
        </w:rPr>
        <w:t xml:space="preserve">” </w:t>
      </w:r>
      <w:r>
        <w:rPr>
          <w:rFonts w:ascii="Times New Roman;serif" w:hAnsi="Times New Roman;serif"/>
          <w:b w:val="false"/>
          <w:sz w:val="24"/>
        </w:rPr>
        <w:t>has the meaning set forth in the preamble.</w:t>
      </w:r>
    </w:p>
    <w:p>
      <w:pPr>
        <w:pStyle w:val="TextBody"/>
        <w:bidi w:val="0"/>
        <w:spacing w:before="0" w:after="240"/>
        <w:jc w:val="both"/>
        <w:rPr/>
      </w:pPr>
      <w:r>
        <w:rPr/>
        <w:t>“</w:t>
      </w:r>
      <w:r>
        <w:rPr>
          <w:rFonts w:ascii="Times New Roman;serif" w:hAnsi="Times New Roman;serif"/>
          <w:b/>
          <w:i/>
          <w:sz w:val="24"/>
        </w:rPr>
        <w:t xml:space="preserve">Delivery Deadline” </w:t>
      </w:r>
      <w:r>
        <w:rPr>
          <w:rFonts w:ascii="Times New Roman;serif" w:hAnsi="Times New Roman;serif"/>
          <w:b w:val="false"/>
          <w:sz w:val="24"/>
        </w:rPr>
        <w:t>means two (2) Business Days after delivery of an Exercise Certificate in respect of such exercise.</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i/>
          <w:sz w:val="24"/>
        </w:rPr>
        <w:t>Delivery Failure</w:t>
      </w:r>
      <w:r>
        <w:rPr>
          <w:rFonts w:ascii="Times New Roman" w:hAnsi="Times New Roman"/>
          <w:sz w:val="20"/>
        </w:rPr>
        <w:t xml:space="preserve">” </w:t>
      </w:r>
      <w:r>
        <w:rPr>
          <w:rFonts w:ascii="Times New Roman;serif" w:hAnsi="Times New Roman;serif"/>
          <w:b w:val="false"/>
          <w:sz w:val="24"/>
        </w:rPr>
        <w:t>means the failure by the Company, for any reason, to deliver Warrant Shares to the Holder or its designee on or prior to the Delivery Deadline.</w:t>
      </w:r>
    </w:p>
    <w:p>
      <w:pPr>
        <w:pStyle w:val="TextBody"/>
        <w:bidi w:val="0"/>
        <w:spacing w:before="0" w:after="240"/>
        <w:jc w:val="both"/>
        <w:rPr/>
      </w:pPr>
      <w:r>
        <w:rPr/>
        <w:t>“</w:t>
      </w:r>
      <w:r>
        <w:rPr>
          <w:rFonts w:ascii="Times New Roman;serif" w:hAnsi="Times New Roman;serif"/>
          <w:b/>
          <w:i/>
          <w:sz w:val="24"/>
        </w:rPr>
        <w:t>Demand Registration</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6(b)</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DTC</w:t>
      </w:r>
      <w:r>
        <w:rPr>
          <w:rFonts w:ascii="Times New Roman" w:hAnsi="Times New Roman"/>
          <w:sz w:val="20"/>
        </w:rPr>
        <w:t xml:space="preserve">” </w:t>
      </w:r>
      <w:r>
        <w:rPr>
          <w:rFonts w:ascii="Times New Roman;serif" w:hAnsi="Times New Roman;serif"/>
          <w:b w:val="false"/>
          <w:sz w:val="24"/>
        </w:rPr>
        <w:t>means the Depository Trust Company.</w:t>
      </w:r>
    </w:p>
    <w:p>
      <w:pPr>
        <w:pStyle w:val="TextBody"/>
        <w:bidi w:val="0"/>
        <w:spacing w:before="0" w:after="240"/>
        <w:jc w:val="both"/>
        <w:rPr/>
      </w:pPr>
      <w:r>
        <w:rPr/>
        <w:t>“</w:t>
      </w:r>
      <w:r>
        <w:rPr>
          <w:rFonts w:ascii="Times New Roman;serif" w:hAnsi="Times New Roman;serif"/>
          <w:b/>
          <w:i/>
          <w:sz w:val="24"/>
        </w:rPr>
        <w:t>DWAC</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3(i)</w:t>
      </w:r>
      <w:r>
        <w:rPr>
          <w:rFonts w:ascii="Times New Roman;serif" w:hAnsi="Times New Roman;serif"/>
          <w:b w:val="false"/>
          <w:sz w:val="24"/>
        </w:rPr>
        <w:t>.</w:t>
      </w:r>
    </w:p>
    <w:p>
      <w:pPr>
        <w:pStyle w:val="TextBody"/>
        <w:bidi w:val="0"/>
        <w:spacing w:before="0" w:after="0"/>
        <w:jc w:val="both"/>
        <w:rPr/>
      </w:pPr>
      <w:r>
        <w:rPr/>
        <w:t>“</w:t>
      </w:r>
      <w:r>
        <w:rPr>
          <w:rFonts w:ascii="Times New Roman;serif" w:hAnsi="Times New Roman;serif"/>
          <w:b/>
          <w:i/>
          <w:sz w:val="24"/>
        </w:rPr>
        <w:t>Exchange Act</w:t>
      </w:r>
      <w:r>
        <w:rPr>
          <w:rFonts w:ascii="Times New Roman" w:hAnsi="Times New Roman"/>
          <w:sz w:val="20"/>
        </w:rPr>
        <w:t xml:space="preserve">” </w:t>
      </w:r>
      <w:r>
        <w:rPr>
          <w:rFonts w:ascii="Times New Roman;serif" w:hAnsi="Times New Roman;serif"/>
          <w:b w:val="false"/>
          <w:sz w:val="24"/>
        </w:rPr>
        <w:t>means the Exchange Act of 1934, as amended.</w:t>
      </w:r>
    </w:p>
    <w:p>
      <w:pPr>
        <w:pStyle w:val="TextBody"/>
        <w:bidi w:val="0"/>
        <w:spacing w:before="0" w:after="0"/>
        <w:jc w:val="both"/>
        <w:rPr/>
      </w:pPr>
      <w:r>
        <w:rPr/>
        <w:t> </w:t>
      </w:r>
    </w:p>
    <w:p>
      <w:pPr>
        <w:pStyle w:val="TextBody"/>
        <w:bidi w:val="0"/>
        <w:spacing w:before="0" w:after="240"/>
        <w:jc w:val="both"/>
        <w:rPr/>
      </w:pPr>
      <w:r>
        <w:rPr/>
        <w:t>“</w:t>
      </w:r>
      <w:r>
        <w:rPr>
          <w:rFonts w:ascii="Times New Roman;serif" w:hAnsi="Times New Roman;serif"/>
          <w:b/>
          <w:i/>
          <w:sz w:val="24"/>
        </w:rPr>
        <w:t>Exercise Certificate</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3(a)(i)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Exercise Date</w:t>
      </w:r>
      <w:r>
        <w:rPr>
          <w:rFonts w:ascii="Times New Roman" w:hAnsi="Times New Roman"/>
          <w:sz w:val="20"/>
        </w:rPr>
        <w:t xml:space="preserve">” </w:t>
      </w:r>
      <w:r>
        <w:rPr>
          <w:rFonts w:ascii="Times New Roman;serif" w:hAnsi="Times New Roman;serif"/>
          <w:b w:val="false"/>
          <w:sz w:val="24"/>
        </w:rPr>
        <w:t xml:space="preserve">means, for any given exercise of this Warrant Certificate, whether in whole or in part, the date on which the conditions to such exercise as set forth in </w:t>
      </w:r>
      <w:r>
        <w:rPr>
          <w:rFonts w:ascii="Times New Roman;serif" w:hAnsi="Times New Roman;serif"/>
          <w:b/>
          <w:sz w:val="24"/>
        </w:rPr>
        <w:t>Section 3</w:t>
      </w:r>
      <w:r>
        <w:rPr>
          <w:rFonts w:ascii="Times New Roman" w:hAnsi="Times New Roman"/>
          <w:sz w:val="20"/>
        </w:rPr>
        <w:t xml:space="preserve"> </w:t>
      </w:r>
      <w:r>
        <w:rPr>
          <w:rFonts w:ascii="Times New Roman;serif" w:hAnsi="Times New Roman;serif"/>
          <w:b w:val="false"/>
          <w:sz w:val="24"/>
        </w:rPr>
        <w:t>shall have been satisfied at or prior to 5:00 p.m., Eastern time, on a Business Day, including, without limitation, the receipt by the Company of the Exercise Certificate and the applicable Aggregate Exercise Price.</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i/>
          <w:sz w:val="24"/>
        </w:rPr>
        <w:t>Exercise Period</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2</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Exercise Price</w:t>
      </w:r>
      <w:r>
        <w:rPr>
          <w:rFonts w:ascii="Times New Roman" w:hAnsi="Times New Roman"/>
          <w:sz w:val="20"/>
        </w:rPr>
        <w:t xml:space="preserve">” </w:t>
      </w:r>
      <w:r>
        <w:rPr>
          <w:rFonts w:ascii="Times New Roman;serif" w:hAnsi="Times New Roman;serif"/>
          <w:b w:val="false"/>
          <w:sz w:val="24"/>
        </w:rPr>
        <w:t>means $1.6254.</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i/>
          <w:sz w:val="24"/>
        </w:rPr>
        <w:t>Fair Market Value</w:t>
      </w:r>
      <w:r>
        <w:rPr>
          <w:rFonts w:ascii="Times New Roman" w:hAnsi="Times New Roman"/>
          <w:sz w:val="20"/>
        </w:rPr>
        <w:t xml:space="preserve">” </w:t>
      </w:r>
      <w:r>
        <w:rPr>
          <w:rFonts w:ascii="Times New Roman;serif" w:hAnsi="Times New Roman;serif"/>
          <w:b w:val="false"/>
          <w:sz w:val="24"/>
        </w:rPr>
        <w:t>means, if the Company’s equity securities are listed on a Trading Market, as of any particular Trading Day, (i) the VWAP of such equity securities for such day or (ii) if there have been no sales on any Trading Market on any such day, the average of the highest bid and lowest asked prices for the Company’s equity securities on all applicable Trading Markets at the end of such day. If the Company’s equity securities are not listed, quoted or otherwise available for trading, the “Fair Market Value” of the applicable class of equity securities shall be the fair market value, per share, of such equity securities as determined jointly by the Board and the Holder.</w:t>
      </w:r>
    </w:p>
    <w:p>
      <w:pPr>
        <w:pStyle w:val="TextBody"/>
        <w:bidi w:val="0"/>
        <w:spacing w:before="0" w:after="240"/>
        <w:jc w:val="both"/>
        <w:rPr/>
      </w:pPr>
      <w:r>
        <w:rPr/>
        <w:t>“</w:t>
      </w:r>
      <w:r>
        <w:rPr>
          <w:rFonts w:ascii="Times New Roman;serif" w:hAnsi="Times New Roman;serif"/>
          <w:b/>
          <w:i/>
          <w:sz w:val="24"/>
        </w:rPr>
        <w:t>FAST</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3(i)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Fundamental Change</w:t>
      </w:r>
      <w:r>
        <w:rPr>
          <w:rFonts w:ascii="Times New Roman" w:hAnsi="Times New Roman"/>
          <w:sz w:val="20"/>
        </w:rPr>
        <w:t xml:space="preserve">” </w:t>
      </w:r>
      <w:r>
        <w:rPr>
          <w:rFonts w:ascii="Times New Roman;serif" w:hAnsi="Times New Roman;serif"/>
          <w:b w:val="false"/>
          <w:sz w:val="24"/>
        </w:rPr>
        <w:t>means any event or circumstance that constitutes or results in (i) a Change in Control, as defined in the Credit Agreement (as in effect as of the date hereof) or (ii) the liquidation, bankruptcy, dissolution or winding-up (or the occurrence of any analogous proceeding) of the Company.</w:t>
      </w:r>
    </w:p>
    <w:p>
      <w:pPr>
        <w:pStyle w:val="TextBody"/>
        <w:bidi w:val="0"/>
        <w:spacing w:before="0" w:after="240"/>
        <w:jc w:val="both"/>
        <w:rPr/>
      </w:pPr>
      <w:r>
        <w:rPr/>
        <w:t>“</w:t>
      </w:r>
      <w:r>
        <w:rPr>
          <w:rFonts w:ascii="Times New Roman;serif" w:hAnsi="Times New Roman;serif"/>
          <w:b/>
          <w:i/>
          <w:sz w:val="24"/>
        </w:rPr>
        <w:t>Holder</w:t>
      </w:r>
      <w:r>
        <w:rPr>
          <w:rFonts w:ascii="Times New Roman" w:hAnsi="Times New Roman"/>
          <w:sz w:val="20"/>
        </w:rPr>
        <w:t xml:space="preserve">” </w:t>
      </w:r>
      <w:r>
        <w:rPr>
          <w:rFonts w:ascii="Times New Roman;serif" w:hAnsi="Times New Roman;serif"/>
          <w:b w:val="false"/>
          <w:sz w:val="24"/>
        </w:rPr>
        <w:t>has the meaning set forth in the preamble.</w:t>
      </w:r>
    </w:p>
    <w:p>
      <w:pPr>
        <w:pStyle w:val="TextBody"/>
        <w:bidi w:val="0"/>
        <w:spacing w:before="0" w:after="240"/>
        <w:jc w:val="both"/>
        <w:rPr/>
      </w:pPr>
      <w:r>
        <w:rPr/>
        <w:t>“</w:t>
      </w:r>
      <w:r>
        <w:rPr>
          <w:rFonts w:ascii="Times New Roman;serif" w:hAnsi="Times New Roman;serif"/>
          <w:b/>
          <w:i/>
          <w:sz w:val="24"/>
        </w:rPr>
        <w:t>Issue Date</w:t>
      </w:r>
      <w:r>
        <w:rPr>
          <w:rFonts w:ascii="Times New Roman" w:hAnsi="Times New Roman"/>
          <w:sz w:val="20"/>
        </w:rPr>
        <w:t xml:space="preserve">” </w:t>
      </w:r>
      <w:r>
        <w:rPr>
          <w:rFonts w:ascii="Times New Roman;serif" w:hAnsi="Times New Roman;serif"/>
          <w:b w:val="false"/>
          <w:sz w:val="24"/>
        </w:rPr>
        <w:t>has the meaning set forth in the preamble.</w:t>
      </w:r>
    </w:p>
    <w:p>
      <w:pPr>
        <w:pStyle w:val="TextBody"/>
        <w:bidi w:val="0"/>
        <w:spacing w:before="0" w:after="240"/>
        <w:jc w:val="both"/>
        <w:rPr/>
      </w:pPr>
      <w:r>
        <w:rPr/>
        <w:t>“</w:t>
      </w:r>
      <w:r>
        <w:rPr>
          <w:rFonts w:ascii="Times New Roman;serif" w:hAnsi="Times New Roman;serif"/>
          <w:b/>
          <w:i/>
          <w:sz w:val="24"/>
        </w:rPr>
        <w:t>Liquidity Event</w:t>
      </w:r>
      <w:r>
        <w:rPr>
          <w:rFonts w:ascii="Times New Roman" w:hAnsi="Times New Roman"/>
          <w:sz w:val="20"/>
        </w:rPr>
        <w:t xml:space="preserve">” </w:t>
      </w:r>
      <w:r>
        <w:rPr>
          <w:rFonts w:ascii="Times New Roman;serif" w:hAnsi="Times New Roman;serif"/>
          <w:b w:val="false"/>
          <w:sz w:val="24"/>
        </w:rPr>
        <w:t>means: (a) a merger or consolidation in which the Company is a constituent party or a subsidiary of the Company is a constituent party and the Company issues shares of its capital stock pursuant to such merger or consolidation, 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(b)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 or (c) the liquidation, dissolution or winding up of the Company, whether voluntary or involuntary.</w:t>
      </w:r>
    </w:p>
    <w:p>
      <w:pPr>
        <w:pStyle w:val="TextBody"/>
        <w:bidi w:val="0"/>
        <w:spacing w:before="0" w:after="240"/>
        <w:jc w:val="both"/>
        <w:rPr/>
      </w:pPr>
      <w:r>
        <w:rPr/>
        <w:t>“</w:t>
      </w:r>
      <w:r>
        <w:rPr>
          <w:rFonts w:ascii="Times New Roman;serif" w:hAnsi="Times New Roman;serif"/>
          <w:b/>
          <w:i/>
          <w:sz w:val="24"/>
        </w:rPr>
        <w:t>Nasdaq</w:t>
      </w:r>
      <w:r>
        <w:rPr>
          <w:rFonts w:ascii="Times New Roman" w:hAnsi="Times New Roman"/>
          <w:sz w:val="20"/>
        </w:rPr>
        <w:t xml:space="preserve">” </w:t>
      </w:r>
      <w:r>
        <w:rPr>
          <w:rFonts w:ascii="Times New Roman;serif" w:hAnsi="Times New Roman;serif"/>
          <w:b w:val="false"/>
          <w:sz w:val="24"/>
        </w:rPr>
        <w:t>means The Nasdaq Stock Market, Inc.</w:t>
      </w:r>
    </w:p>
    <w:p>
      <w:pPr>
        <w:pStyle w:val="TextBody"/>
        <w:bidi w:val="0"/>
        <w:spacing w:before="0" w:after="240"/>
        <w:jc w:val="both"/>
        <w:rPr/>
      </w:pPr>
      <w:r>
        <w:rPr/>
        <w:t>“</w:t>
      </w:r>
      <w:r>
        <w:rPr>
          <w:rFonts w:ascii="Times New Roman;serif" w:hAnsi="Times New Roman;serif"/>
          <w:b/>
          <w:i/>
          <w:sz w:val="24"/>
        </w:rPr>
        <w:t>OTC Bulletin Board</w:t>
      </w:r>
      <w:r>
        <w:rPr>
          <w:rFonts w:ascii="Times New Roman" w:hAnsi="Times New Roman"/>
          <w:sz w:val="20"/>
        </w:rPr>
        <w:t xml:space="preserve">” </w:t>
      </w:r>
      <w:r>
        <w:rPr>
          <w:rFonts w:ascii="Times New Roman;serif" w:hAnsi="Times New Roman;serif"/>
          <w:b w:val="false"/>
          <w:sz w:val="24"/>
        </w:rPr>
        <w:t>means the National Association of Securities Dealers, Inc. OTC Bulletin Board.</w:t>
      </w:r>
    </w:p>
    <w:p>
      <w:pPr>
        <w:pStyle w:val="TextBody"/>
        <w:bidi w:val="0"/>
        <w:spacing w:before="0" w:after="240"/>
        <w:jc w:val="both"/>
        <w:rPr/>
      </w:pPr>
      <w:r>
        <w:rPr/>
        <w:t>“</w:t>
      </w:r>
      <w:r>
        <w:rPr>
          <w:rFonts w:ascii="Times New Roman;serif" w:hAnsi="Times New Roman;serif"/>
          <w:b/>
          <w:i/>
          <w:sz w:val="24"/>
        </w:rPr>
        <w:t>Person</w:t>
      </w:r>
      <w:r>
        <w:rPr>
          <w:rFonts w:ascii="Times New Roman" w:hAnsi="Times New Roman"/>
          <w:sz w:val="20"/>
        </w:rPr>
        <w:t xml:space="preserve">” </w:t>
      </w:r>
      <w:r>
        <w:rPr>
          <w:rFonts w:ascii="Times New Roman;serif" w:hAnsi="Times New Roman;serif"/>
          <w:b w:val="false"/>
          <w:sz w:val="24"/>
        </w:rPr>
        <w:t>means any individual, sole proprietorship, partnership, limited liability company, corporation, joint venture, trust, incorporated organization or government or department or agency thereof.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i/>
          <w:sz w:val="24"/>
        </w:rPr>
        <w:t>Prospectus</w:t>
      </w:r>
      <w:r>
        <w:rPr>
          <w:rFonts w:ascii="Times New Roman" w:hAnsi="Times New Roman"/>
          <w:sz w:val="20"/>
        </w:rPr>
        <w:t xml:space="preserve">” </w:t>
      </w:r>
      <w:r>
        <w:rPr>
          <w:rFonts w:ascii="Times New Roman;serif" w:hAnsi="Times New Roman;serif"/>
          <w:b w:val="false"/>
          <w:sz w:val="24"/>
        </w:rPr>
        <w:t>means the prospectus or prospectuses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pStyle w:val="TextBody"/>
        <w:bidi w:val="0"/>
        <w:spacing w:before="0" w:after="240"/>
        <w:jc w:val="both"/>
        <w:rPr/>
      </w:pPr>
      <w:r>
        <w:rPr/>
        <w:t>“</w:t>
      </w:r>
      <w:r>
        <w:rPr>
          <w:rFonts w:ascii="Times New Roman;serif" w:hAnsi="Times New Roman;serif"/>
          <w:b/>
          <w:i/>
          <w:sz w:val="24"/>
        </w:rPr>
        <w:t>Purchase Rights</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5</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Registrable Securities</w:t>
      </w:r>
      <w:r>
        <w:rPr>
          <w:rFonts w:ascii="Times New Roman" w:hAnsi="Times New Roman"/>
          <w:sz w:val="20"/>
        </w:rPr>
        <w:t xml:space="preserve">” </w:t>
      </w:r>
      <w:r>
        <w:rPr>
          <w:rFonts w:ascii="Times New Roman;serif" w:hAnsi="Times New Roman;serif"/>
          <w:b w:val="false"/>
          <w:sz w:val="24"/>
        </w:rPr>
        <w:t>shall mean the Warrant Shares issuable upon the exercise of this Warrant Certificate. The parties hereto agree that, as such term is used in this Warrant Certificate, the Warrant Shares shall be deemed to be Registrable Securities for the purposes of the registration rights set forth herein at all times that the Holder has the right to acquire or obtain from the Company the Warrant Shares, whether or not such acquisition has actually been effected.</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i/>
          <w:sz w:val="24"/>
        </w:rPr>
        <w:t>Registration Statement</w:t>
      </w:r>
      <w:r>
        <w:rPr>
          <w:rFonts w:ascii="Times New Roman" w:hAnsi="Times New Roman"/>
          <w:sz w:val="20"/>
        </w:rPr>
        <w:t xml:space="preserve">” </w:t>
      </w:r>
      <w:r>
        <w:rPr>
          <w:rFonts w:ascii="Times New Roman;serif" w:hAnsi="Times New Roman;serif"/>
          <w:b w:val="false"/>
          <w:sz w:val="24"/>
        </w:rPr>
        <w:t>means any registration statement of the Company which covers any of the Registrable Securities, including the Prospectus, amendments and supplements to such Registration Statement, including post-effective amendments, all exhibits and all materials incorporated by reference in such Registration Statement.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i/>
          <w:sz w:val="24"/>
        </w:rPr>
        <w:t>SEC</w:t>
      </w:r>
      <w:r>
        <w:rPr>
          <w:rFonts w:ascii="Times New Roman" w:hAnsi="Times New Roman"/>
          <w:sz w:val="20"/>
        </w:rPr>
        <w:t xml:space="preserve">” </w:t>
      </w:r>
      <w:r>
        <w:rPr>
          <w:rFonts w:ascii="Times New Roman;serif" w:hAnsi="Times New Roman;serif"/>
          <w:b w:val="false"/>
          <w:sz w:val="24"/>
        </w:rPr>
        <w:t>means the Securities and Exchange Commission or any successor thereto.</w:t>
      </w:r>
    </w:p>
    <w:p>
      <w:pPr>
        <w:pStyle w:val="TextBody"/>
        <w:bidi w:val="0"/>
        <w:spacing w:before="0" w:after="240"/>
        <w:jc w:val="both"/>
        <w:rPr/>
      </w:pPr>
      <w:r>
        <w:rPr/>
        <w:t>“</w:t>
      </w:r>
      <w:r>
        <w:rPr>
          <w:rFonts w:ascii="Times New Roman;serif" w:hAnsi="Times New Roman;serif"/>
          <w:b/>
          <w:i/>
          <w:sz w:val="24"/>
        </w:rPr>
        <w:t>Securities Act</w:t>
      </w:r>
      <w:r>
        <w:rPr>
          <w:rFonts w:ascii="Times New Roman" w:hAnsi="Times New Roman"/>
          <w:sz w:val="20"/>
        </w:rPr>
        <w:t xml:space="preserve">” </w:t>
      </w:r>
      <w:r>
        <w:rPr>
          <w:rFonts w:ascii="Times New Roman;serif" w:hAnsi="Times New Roman;serif"/>
          <w:b w:val="false"/>
          <w:sz w:val="24"/>
        </w:rPr>
        <w:t>means the Securities Act of 1933, as amended.</w:t>
      </w:r>
    </w:p>
    <w:p>
      <w:pPr>
        <w:pStyle w:val="TextBody"/>
        <w:bidi w:val="0"/>
        <w:spacing w:before="0" w:after="240"/>
        <w:jc w:val="both"/>
        <w:rPr/>
      </w:pPr>
      <w:r>
        <w:rPr/>
        <w:t>“</w:t>
      </w:r>
      <w:r>
        <w:rPr>
          <w:rFonts w:ascii="Times New Roman;serif" w:hAnsi="Times New Roman;serif"/>
          <w:b/>
          <w:i/>
          <w:sz w:val="24"/>
        </w:rPr>
        <w:t>Trading Day</w:t>
      </w:r>
      <w:r>
        <w:rPr>
          <w:rFonts w:ascii="Times New Roman" w:hAnsi="Times New Roman"/>
          <w:sz w:val="20"/>
        </w:rPr>
        <w:t xml:space="preserve">” </w:t>
      </w:r>
      <w:r>
        <w:rPr>
          <w:rFonts w:ascii="Times New Roman;serif" w:hAnsi="Times New Roman;serif"/>
          <w:b w:val="false"/>
          <w:sz w:val="24"/>
        </w:rPr>
        <w:t>means a day on which the principal Trading Market is open for trading.</w:t>
      </w:r>
    </w:p>
    <w:p>
      <w:pPr>
        <w:pStyle w:val="TextBody"/>
        <w:bidi w:val="0"/>
        <w:spacing w:before="0" w:after="240"/>
        <w:jc w:val="both"/>
        <w:rPr/>
      </w:pPr>
      <w:r>
        <w:rPr/>
        <w:t>“</w:t>
      </w:r>
      <w:r>
        <w:rPr>
          <w:rFonts w:ascii="Times New Roman;serif" w:hAnsi="Times New Roman;serif"/>
          <w:b/>
          <w:i/>
          <w:sz w:val="24"/>
        </w:rPr>
        <w:t>Trading Market</w:t>
      </w:r>
      <w:r>
        <w:rPr>
          <w:rFonts w:ascii="Times New Roman" w:hAnsi="Times New Roman"/>
          <w:sz w:val="20"/>
        </w:rPr>
        <w:t xml:space="preserve">” </w:t>
      </w:r>
      <w:r>
        <w:rPr>
          <w:rFonts w:ascii="Times New Roman;serif" w:hAnsi="Times New Roman;serif"/>
          <w:b w:val="false"/>
          <w:sz w:val="24"/>
        </w:rPr>
        <w:t>means Nasdaq or, if the Company’s equity securities are not listed on Nasdaq, such other principal US or foreign exchange or market (including the OTC Bulletin Board) on which the Company’s equity securities are quoted or available for trading.</w:t>
      </w:r>
    </w:p>
    <w:p>
      <w:pPr>
        <w:pStyle w:val="TextBody"/>
        <w:bidi w:val="0"/>
        <w:spacing w:before="0" w:after="240"/>
        <w:jc w:val="both"/>
        <w:rPr/>
      </w:pPr>
      <w:r>
        <w:rPr/>
        <w:t>“</w:t>
      </w:r>
      <w:r>
        <w:rPr>
          <w:rFonts w:ascii="Times New Roman;serif" w:hAnsi="Times New Roman;serif"/>
          <w:b/>
          <w:i/>
          <w:sz w:val="24"/>
        </w:rPr>
        <w:t>Transfer Agent</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3(c)(ii)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Unlegended Shares</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12(a)(iii)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Unrestricted Conditions</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12(a)(ii)</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VWAP</w:t>
      </w:r>
      <w:r>
        <w:rPr>
          <w:rFonts w:ascii="Times New Roman" w:hAnsi="Times New Roman"/>
          <w:sz w:val="20"/>
        </w:rPr>
        <w:t xml:space="preserve">” </w:t>
      </w:r>
      <w:r>
        <w:rPr>
          <w:rFonts w:ascii="Times New Roman;serif" w:hAnsi="Times New Roman;serif"/>
          <w:b w:val="false"/>
          <w:sz w:val="24"/>
        </w:rPr>
        <w:t>means, for any security as of any day or period of days (as the case may be), the volume weighted average sale price on Nasdaq as reported by, or based upon data reported by Bloomberg Financial Markets or an equivalent, reliable reporting service reasonably acceptable to the Holder and the Company (collectively, “</w:t>
      </w:r>
      <w:r>
        <w:rPr>
          <w:rFonts w:ascii="Times New Roman;serif" w:hAnsi="Times New Roman;serif"/>
          <w:b/>
          <w:i/>
          <w:sz w:val="24"/>
        </w:rPr>
        <w:t>Bloomberg</w:t>
      </w:r>
      <w:r>
        <w:rPr>
          <w:rFonts w:ascii="Times New Roman" w:hAnsi="Times New Roman"/>
          <w:sz w:val="20"/>
        </w:rPr>
        <w:t>”</w:t>
      </w:r>
      <w:r>
        <w:rPr>
          <w:rFonts w:ascii="Times New Roman;serif" w:hAnsi="Times New Roman;serif"/>
          <w:b w:val="false"/>
          <w:sz w:val="24"/>
        </w:rPr>
        <w:t xml:space="preserve">) or, if Nasdaq is not the principal trading market for such security, the volume weighted average sale price of such security on the principal securities exchange or trading market where such security is listed or traded as reported by Bloomberg or, if no volume weighted average sale price is reported for such security by Bloomberg, then the last closing trade price of such security as reported by Bloomberg, or, if no last closing trade price is reported for such security by Bloomberg, the average of the bid prices of any market makers for such security that are listed in the over the counter market by the Financial Industry Regulatory Authority, Inc. or on the OTC Bulletin Board (or any successor) or in the “pink sheets” (or any successor) by the OTC Markets Group, Inc.;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if VWAP cannot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be calculated for such security on such date in the manner provided above, the VWAP shall be the fair market value as mutually determined by the Company and the Holder.</w:t>
      </w:r>
    </w:p>
    <w:p>
      <w:pPr>
        <w:pStyle w:val="TextBody"/>
        <w:bidi w:val="0"/>
        <w:spacing w:before="0" w:after="240"/>
        <w:jc w:val="both"/>
        <w:rPr/>
      </w:pPr>
      <w:r>
        <w:rPr/>
        <w:t>“</w:t>
      </w:r>
      <w:r>
        <w:rPr>
          <w:rFonts w:ascii="Times New Roman;serif" w:hAnsi="Times New Roman;serif"/>
          <w:b/>
          <w:i/>
          <w:sz w:val="24"/>
        </w:rPr>
        <w:t>Warrant</w:t>
      </w:r>
      <w:r>
        <w:rPr>
          <w:rFonts w:ascii="Times New Roman" w:hAnsi="Times New Roman"/>
          <w:sz w:val="20"/>
        </w:rPr>
        <w:t xml:space="preserve">” </w:t>
      </w:r>
      <w:r>
        <w:rPr>
          <w:rFonts w:ascii="Times New Roman;serif" w:hAnsi="Times New Roman;serif"/>
          <w:b w:val="false"/>
          <w:sz w:val="24"/>
        </w:rPr>
        <w:t>or</w:t>
      </w:r>
      <w:r>
        <w:rPr>
          <w:rFonts w:ascii="Times New Roman" w:hAnsi="Times New Roman"/>
          <w:sz w:val="20"/>
        </w:rPr>
        <w:t xml:space="preserve"> “</w:t>
      </w:r>
      <w:r>
        <w:rPr>
          <w:rFonts w:ascii="Times New Roman;serif" w:hAnsi="Times New Roman;serif"/>
          <w:b/>
          <w:i/>
          <w:sz w:val="24"/>
        </w:rPr>
        <w:t>Warrant Certificate</w:t>
      </w:r>
      <w:r>
        <w:rPr>
          <w:rFonts w:ascii="Times New Roman" w:hAnsi="Times New Roman"/>
          <w:sz w:val="20"/>
        </w:rPr>
        <w:t xml:space="preserve">” </w:t>
      </w:r>
      <w:r>
        <w:rPr>
          <w:rFonts w:ascii="Times New Roman;serif" w:hAnsi="Times New Roman;serif"/>
          <w:b w:val="false"/>
          <w:sz w:val="24"/>
        </w:rPr>
        <w:t>means this Warrant Certificate and all subsequent warrant certificates issued upon division, combination or transfer of, or in substitution for, this Warrant Certificate.</w:t>
      </w:r>
    </w:p>
    <w:p>
      <w:pPr>
        <w:pStyle w:val="TextBody"/>
        <w:bidi w:val="0"/>
        <w:spacing w:before="0" w:after="240"/>
        <w:jc w:val="both"/>
        <w:rPr/>
      </w:pPr>
      <w:r>
        <w:rPr/>
        <w:t>“</w:t>
      </w:r>
      <w:r>
        <w:rPr>
          <w:rFonts w:ascii="Times New Roman;serif" w:hAnsi="Times New Roman;serif"/>
          <w:b/>
          <w:i/>
          <w:sz w:val="24"/>
        </w:rPr>
        <w:t>Warrant Register</w:t>
      </w:r>
      <w:r>
        <w:rPr>
          <w:rFonts w:ascii="Times New Roman" w:hAnsi="Times New Roman"/>
          <w:sz w:val="20"/>
        </w:rPr>
        <w:t xml:space="preserve">” </w:t>
      </w:r>
      <w:r>
        <w:rPr>
          <w:rFonts w:ascii="Times New Roman;serif" w:hAnsi="Times New Roman;serif"/>
          <w:b w:val="false"/>
          <w:sz w:val="24"/>
        </w:rPr>
        <w:t xml:space="preserve">has the meaning set forth in </w:t>
      </w:r>
      <w:r>
        <w:rPr>
          <w:rFonts w:ascii="Times New Roman;serif" w:hAnsi="Times New Roman;serif"/>
          <w:b/>
          <w:sz w:val="24"/>
        </w:rPr>
        <w:t>Section 7</w:t>
      </w:r>
      <w:r>
        <w:rPr>
          <w:rFonts w:ascii="Times New Roman;serif" w:hAnsi="Times New Roman;serif"/>
          <w:b w:val="false"/>
          <w:sz w:val="24"/>
        </w:rPr>
        <w:t>.</w:t>
      </w:r>
    </w:p>
    <w:p>
      <w:pPr>
        <w:pStyle w:val="TextBody"/>
        <w:bidi w:val="0"/>
        <w:spacing w:before="0" w:after="240"/>
        <w:jc w:val="both"/>
        <w:rPr/>
      </w:pPr>
      <w:r>
        <w:rPr/>
        <w:t>“</w:t>
      </w:r>
      <w:r>
        <w:rPr>
          <w:rFonts w:ascii="Times New Roman;serif" w:hAnsi="Times New Roman;serif"/>
          <w:b/>
          <w:i/>
          <w:sz w:val="24"/>
        </w:rPr>
        <w:t>Warrant Shares</w:t>
      </w:r>
      <w:r>
        <w:rPr>
          <w:rFonts w:ascii="Times New Roman" w:hAnsi="Times New Roman"/>
          <w:sz w:val="20"/>
        </w:rPr>
        <w:t xml:space="preserve">” </w:t>
      </w:r>
      <w:r>
        <w:rPr>
          <w:rFonts w:ascii="Times New Roman;serif" w:hAnsi="Times New Roman;serif"/>
          <w:b w:val="false"/>
          <w:sz w:val="24"/>
        </w:rPr>
        <w:t>means the shares of Common Stock or other capital stock of the Company then purchasable upon exercise of this Warrant Certificate in accordance with the terms of this Warrant Certificate.</w:t>
      </w:r>
    </w:p>
    <w:p>
      <w:pPr>
        <w:pStyle w:val="TextBody"/>
        <w:bidi w:val="0"/>
        <w:spacing w:before="0" w:after="240"/>
        <w:jc w:val="both"/>
        <w:rPr>
          <w:rFonts w:ascii="Times New Roman" w:hAnsi="Times New Roman"/>
          <w:b/>
          <w:sz w:val="24"/>
        </w:rPr>
      </w:pPr>
      <w:r>
        <w:rPr>
          <w:rFonts w:ascii="Times New Roman" w:hAnsi="Times New Roman"/>
          <w:b/>
          <w:sz w:val="24"/>
        </w:rPr>
        <w:t>Section 2.</w:t>
      </w:r>
    </w:p>
    <w:p>
      <w:pPr>
        <w:pStyle w:val="TextBody"/>
        <w:bidi w:val="0"/>
        <w:spacing w:before="0" w:after="240"/>
        <w:jc w:val="both"/>
        <w:rPr/>
      </w:pPr>
      <w:r>
        <w:rPr>
          <w:rFonts w:ascii="Times New Roman;serif" w:hAnsi="Times New Roman;serif"/>
          <w:b/>
          <w:sz w:val="24"/>
        </w:rPr>
        <w:t xml:space="preserve">Exercise Period. </w:t>
      </w:r>
      <w:r>
        <w:rPr>
          <w:rFonts w:ascii="Times New Roman;serif" w:hAnsi="Times New Roman;serif"/>
          <w:b w:val="false"/>
          <w:sz w:val="24"/>
        </w:rPr>
        <w:t xml:space="preserve">Subject to the terms and conditions hereof, and subject to any automatic exercise pursuant to </w:t>
      </w:r>
      <w:r>
        <w:rPr>
          <w:rFonts w:ascii="Times New Roman;serif" w:hAnsi="Times New Roman;serif"/>
          <w:b/>
          <w:sz w:val="24"/>
        </w:rPr>
        <w:t>Section 3(m)</w:t>
      </w:r>
      <w:r>
        <w:rPr>
          <w:rFonts w:ascii="Times New Roman;serif" w:hAnsi="Times New Roman;serif"/>
          <w:b w:val="false"/>
          <w:sz w:val="24"/>
        </w:rPr>
        <w:t>, at any time or from time to time on or after the date hereof and prior to 5:00 p.m., Eastern time, on the tenth anniversary of such date or, if such day is not a Business Day, on the next preceding Business Day (the “</w:t>
      </w:r>
      <w:r>
        <w:rPr>
          <w:rFonts w:ascii="Times New Roman;serif" w:hAnsi="Times New Roman;serif"/>
          <w:b/>
          <w:i/>
          <w:sz w:val="24"/>
        </w:rPr>
        <w:t>Exercise Period</w:t>
      </w:r>
      <w:r>
        <w:rPr/>
        <w:t>”</w:t>
      </w:r>
      <w:r>
        <w:rPr>
          <w:rFonts w:ascii="Times New Roman;serif" w:hAnsi="Times New Roman;serif"/>
          <w:b w:val="false"/>
          <w:sz w:val="24"/>
        </w:rPr>
        <w:t xml:space="preserve">), the Holder of this Warrant Certificate may exercise this Warrant Certificate for all or any part of the Warrant Shares purchasable hereunder (subject to adjustment as provided herein). </w:t>
      </w:r>
    </w:p>
    <w:p>
      <w:pPr>
        <w:pStyle w:val="TextBody"/>
        <w:bidi w:val="0"/>
        <w:spacing w:before="0" w:after="240"/>
        <w:jc w:val="left"/>
        <w:rPr>
          <w:rFonts w:ascii="Times New Roman" w:hAnsi="Times New Roman"/>
          <w:b/>
          <w:sz w:val="24"/>
        </w:rPr>
      </w:pPr>
      <w:r>
        <w:rPr>
          <w:rFonts w:ascii="Times New Roman" w:hAnsi="Times New Roman"/>
          <w:b/>
          <w:sz w:val="24"/>
        </w:rPr>
        <w:t>Section 3.</w:t>
      </w:r>
    </w:p>
    <w:p>
      <w:pPr>
        <w:pStyle w:val="TextBody"/>
        <w:bidi w:val="0"/>
        <w:spacing w:before="0" w:after="240"/>
        <w:jc w:val="left"/>
        <w:rPr/>
      </w:pPr>
      <w:r>
        <w:rPr>
          <w:rFonts w:ascii="Times New Roman;serif" w:hAnsi="Times New Roman;serif"/>
          <w:b/>
          <w:sz w:val="24"/>
        </w:rPr>
        <w:t>Exercise of Warrant Certificate</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sz w:val="24"/>
        </w:rPr>
        <w:t>Exercise Procedure</w:t>
      </w:r>
      <w:r>
        <w:rPr>
          <w:rFonts w:ascii="Times New Roman;serif" w:hAnsi="Times New Roman;serif"/>
          <w:b w:val="false"/>
          <w:sz w:val="24"/>
        </w:rPr>
        <w:t>. This Warrant Certificate may be exercised from time to time on any Business Day during the Exercise Period, for all or any part of the unexercised Warrant Shares, upon:</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delivery to the Company at its then principal executive office of an Exercise Certificate in the form attached hereto as </w:t>
      </w:r>
      <w:r>
        <w:rPr>
          <w:rFonts w:ascii="Times New Roman;serif" w:hAnsi="Times New Roman;serif"/>
          <w:b/>
          <w:sz w:val="24"/>
        </w:rPr>
        <w:t>Exhibit A</w:t>
      </w:r>
      <w:r>
        <w:rPr/>
        <w:t xml:space="preserve"> </w:t>
      </w:r>
      <w:r>
        <w:rPr>
          <w:rFonts w:ascii="Times New Roman;serif" w:hAnsi="Times New Roman;serif"/>
          <w:b w:val="false"/>
          <w:sz w:val="24"/>
        </w:rPr>
        <w:t>(each, an “</w:t>
      </w:r>
      <w:r>
        <w:rPr>
          <w:rFonts w:ascii="Times New Roman;serif" w:hAnsi="Times New Roman;serif"/>
          <w:b/>
          <w:i/>
          <w:sz w:val="24"/>
        </w:rPr>
        <w:t>Exercise Certificate</w:t>
      </w:r>
      <w:r>
        <w:rPr/>
        <w:t>”</w:t>
      </w:r>
      <w:r>
        <w:rPr>
          <w:rFonts w:ascii="Times New Roman;serif" w:hAnsi="Times New Roman;serif"/>
          <w:b w:val="false"/>
          <w:sz w:val="24"/>
        </w:rPr>
        <w:t>), duly completed (including specifying the number of Warrant Shares to be purchased) and executed; and</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payment to the Company of the Aggregate Exercise Price in accordance with </w:t>
      </w:r>
      <w:r>
        <w:rPr>
          <w:rFonts w:ascii="Times New Roman;serif" w:hAnsi="Times New Roman;serif"/>
          <w:b/>
          <w:sz w:val="24"/>
        </w:rPr>
        <w:t>Section 3(b)</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sz w:val="24"/>
        </w:rPr>
        <w:t>Payment of the Aggregate Exercise Price</w:t>
      </w:r>
      <w:r>
        <w:rPr>
          <w:rFonts w:ascii="Times New Roman;serif" w:hAnsi="Times New Roman;serif"/>
          <w:b w:val="false"/>
          <w:sz w:val="24"/>
        </w:rPr>
        <w:t xml:space="preserve">. Payment of the Aggregate Exercise Price shall be made, at the option of the Holder as expressed in the Exercise Certificate, by any of the following methods: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by delivery to the Company of a certified or official bank check payable to the order of the Company or by wire transfer of immediately available funds to an account designated in writing by the Company, in the amount of such Aggregate Exercise Price;</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by instructing the Company to withhold a number of Warrant Shares then issuable upon exercise of this Warrant Certificate with an aggregate Fair Market Value as of the Exercise Date equal to such Aggregate Exercise Price;</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by surrendering to the Company (x) Warrant Shares previously acquired by the Holder with an aggregate Fair Market Value as of the Exercise Date equal to such Aggregate Exercise Price or (y) any other securities or any debt of the Company (including shares of Common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Stock) having a value as of the Exercise Date equal to the Aggregate Exercise Price (which value (A) in the case of debt, shall be the principal amount thereof plus accrued and unpaid interest, and (B) in the case of shares of Common Stock, shall be the Fair Market Value thereof); or</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any combination of the foregoing.</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In the event of any withholding of Warrant Shares or surrender of other equity securities pursuant to </w:t>
      </w:r>
      <w:r>
        <w:rPr>
          <w:rFonts w:ascii="Times New Roman;serif" w:hAnsi="Times New Roman;serif"/>
          <w:b/>
          <w:sz w:val="24"/>
        </w:rPr>
        <w:t>Section 3(b)(ii)</w:t>
      </w:r>
      <w:r>
        <w:rPr>
          <w:rFonts w:ascii="Times New Roman;serif" w:hAnsi="Times New Roman;serif"/>
          <w:b w:val="false"/>
          <w:sz w:val="24"/>
        </w:rPr>
        <w:t xml:space="preserve">, </w:t>
      </w:r>
      <w:r>
        <w:rPr>
          <w:rFonts w:ascii="Times New Roman;serif" w:hAnsi="Times New Roman;serif"/>
          <w:b/>
          <w:sz w:val="24"/>
        </w:rPr>
        <w:t>(iii)</w:t>
      </w:r>
      <w:r>
        <w:rPr>
          <w:rFonts w:ascii="Times New Roman" w:hAnsi="Times New Roman"/>
          <w:sz w:val="20"/>
        </w:rPr>
        <w:t xml:space="preserve"> </w:t>
      </w:r>
      <w:r>
        <w:rPr>
          <w:rFonts w:ascii="Times New Roman;serif" w:hAnsi="Times New Roman;serif"/>
          <w:b w:val="false"/>
          <w:sz w:val="24"/>
        </w:rPr>
        <w:t xml:space="preserve">or </w:t>
      </w:r>
      <w:r>
        <w:rPr>
          <w:rFonts w:ascii="Times New Roman;serif" w:hAnsi="Times New Roman;serif"/>
          <w:b/>
          <w:sz w:val="24"/>
        </w:rPr>
        <w:t>(iv)</w:t>
      </w:r>
      <w:r>
        <w:rPr>
          <w:rFonts w:ascii="Times New Roman" w:hAnsi="Times New Roman"/>
          <w:sz w:val="20"/>
        </w:rPr>
        <w:t xml:space="preserve"> </w:t>
      </w:r>
      <w:r>
        <w:rPr>
          <w:rFonts w:ascii="Times New Roman;serif" w:hAnsi="Times New Roman;serif"/>
          <w:b w:val="false"/>
          <w:sz w:val="24"/>
        </w:rPr>
        <w:t>(solely to the extent of such withholding or surrender, a “</w:t>
      </w:r>
      <w:r>
        <w:rPr>
          <w:rFonts w:ascii="Times New Roman;serif" w:hAnsi="Times New Roman;serif"/>
          <w:b/>
          <w:i/>
          <w:sz w:val="24"/>
        </w:rPr>
        <w:t>Cashless Exercise</w:t>
      </w:r>
      <w:r>
        <w:rPr>
          <w:rFonts w:ascii="Times New Roman" w:hAnsi="Times New Roman"/>
          <w:sz w:val="20"/>
        </w:rPr>
        <w:t>”</w:t>
      </w:r>
      <w:r>
        <w:rPr>
          <w:rFonts w:ascii="Times New Roman;serif" w:hAnsi="Times New Roman;serif"/>
          <w:b w:val="false"/>
          <w:sz w:val="24"/>
        </w:rPr>
        <w:t xml:space="preserve">) where the number of shares whose value is equal to the Aggregate Exercise Price is not a whole number, the number of shares withheld by or surrendered to the Company shall be rounded up to the nearest whole share and the Company shall make a cash payment to the Holder (by delivery of a certified or official bank check or by wire transfer of immediately available funds) based on the incremental fraction of a share being so withheld by or surrendered to the Company in an amount equal to the product of (x) such incremental fraction of a share being so withheld or surrendered multiplied by (y) the value thereof as of the Exercise Date determined in accordance with </w:t>
      </w:r>
      <w:r>
        <w:rPr>
          <w:rFonts w:ascii="Times New Roman;serif" w:hAnsi="Times New Roman;serif"/>
          <w:b/>
          <w:sz w:val="24"/>
        </w:rPr>
        <w:t>Section 3(b)(iii)</w:t>
      </w:r>
      <w:r>
        <w:rPr>
          <w:rFonts w:ascii="Times New Roman;serif" w:hAnsi="Times New Roman;serif"/>
          <w:b w:val="false"/>
          <w:sz w:val="24"/>
        </w:rPr>
        <w:t>.</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purposes of Rule 144, it is acknowledged and agreed that (i) the Warrant Shares issuable upon any exercise of this Warrant Certificate in any Cashless Exercise transaction shall be deemed to have been acquired on the Issue Date, and (ii) the holding period for any Warrant Shares issuable upon the exercise of this Warrant Certificate in any Cashless Exercise transaction shall be deemed to have commenced on the Issue Date.</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pPr>
      <w:r>
        <w:rPr>
          <w:rFonts w:ascii="Times New Roman;serif" w:hAnsi="Times New Roman;serif"/>
          <w:b/>
          <w:sz w:val="24"/>
        </w:rPr>
        <w:t>Delivery of Stock Certificates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With respect to any exercise of this Warrant Certificate by the Holder, upon receipt by the Company of an Exercise Certificate and delivery of the Aggregate Exercise Price (in accordance with </w:t>
      </w:r>
      <w:r>
        <w:rPr>
          <w:rFonts w:ascii="Times New Roman;serif" w:hAnsi="Times New Roman;serif"/>
          <w:b/>
          <w:sz w:val="24"/>
        </w:rPr>
        <w:t>Section 3(b)</w:t>
      </w:r>
      <w:r>
        <w:rPr>
          <w:rFonts w:ascii="Times New Roman;serif" w:hAnsi="Times New Roman;serif"/>
          <w:b w:val="false"/>
          <w:sz w:val="24"/>
        </w:rPr>
        <w:t xml:space="preserve">), the Company shall, on or before the applicable Delivery Deadline, issue and deliver (or cause its Transfer Agent to issue and deliver) in accordance with the terms hereof to or upon the order of the Holder that number Warrant Shares for the portion of this Warrant Certificate so exercised on such date, together with cash in lieu of any fraction of a share, as provided in </w:t>
      </w:r>
      <w:r>
        <w:rPr>
          <w:rFonts w:ascii="Times New Roman;serif" w:hAnsi="Times New Roman;serif"/>
          <w:b/>
          <w:sz w:val="24"/>
        </w:rPr>
        <w:t>Section 3(d)</w:t>
      </w:r>
      <w:r>
        <w:rPr>
          <w:rFonts w:ascii="Times New Roman;serif" w:hAnsi="Times New Roman;serif"/>
          <w:b w:val="false"/>
          <w:sz w:val="24"/>
        </w:rPr>
        <w:t xml:space="preserve">. The stock certificate or certificates so delivered shall be, to the extent possible, in such denomination or denominations as the exercising Holder shall reasonably request in the Exercise Certificate and shall be registered in the name of the Holder or, subject to compliance with </w:t>
      </w:r>
      <w:r>
        <w:rPr>
          <w:rFonts w:ascii="Times New Roman;serif" w:hAnsi="Times New Roman;serif"/>
          <w:b/>
          <w:sz w:val="24"/>
        </w:rPr>
        <w:t>Section 8</w:t>
      </w:r>
      <w:r>
        <w:rPr>
          <w:rFonts w:ascii="Times New Roman;serif" w:hAnsi="Times New Roman;serif"/>
          <w:b w:val="false"/>
          <w:sz w:val="24"/>
        </w:rPr>
        <w:t xml:space="preserve">, such other Person’s name as shall be designated in the Exercise Certificate. This Warrant Certificate shall be deemed to have been exercised and such certificate or certificates of Warrant Shares shall be deemed to have been issued, and the Holder or any other Person so designated to be named therein shall be deemed to have become a holder of record of such Warrant Shares for all purposes, as of the applicable Exercise Date. </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If, at the time of exercise, the Company has a Transfer Agent, then upon the exercise this Warrant Certificate in whole or in part, the Company shall, at its own cost and expense, take all necessary action, including obtaining and delivering an opinion of counsel, to assure that the Company’s transfer agent (the “</w:t>
      </w:r>
      <w:r>
        <w:rPr>
          <w:rFonts w:ascii="Times New Roman;serif" w:hAnsi="Times New Roman;serif"/>
          <w:b/>
          <w:i/>
          <w:sz w:val="24"/>
        </w:rPr>
        <w:t>Transfer Agent</w:t>
      </w:r>
      <w:r>
        <w:rPr/>
        <w:t>”</w:t>
      </w:r>
      <w:r>
        <w:rPr>
          <w:rFonts w:ascii="Times New Roman;serif" w:hAnsi="Times New Roman;serif"/>
          <w:b w:val="false"/>
          <w:sz w:val="24"/>
        </w:rPr>
        <w:t xml:space="preserve">) shall issue Warrant Shares in the name of the Holder (or its nominee) or such other Persons as designated by the Holder (in compliance with </w:t>
      </w:r>
      <w:r>
        <w:rPr>
          <w:rFonts w:ascii="Times New Roman;serif" w:hAnsi="Times New Roman;serif"/>
          <w:b/>
          <w:sz w:val="24"/>
        </w:rPr>
        <w:t>Section 8</w:t>
      </w:r>
      <w:r>
        <w:rPr>
          <w:rFonts w:ascii="Times New Roman;serif" w:hAnsi="Times New Roman;serif"/>
          <w:b w:val="false"/>
          <w:sz w:val="24"/>
        </w:rPr>
        <w:t xml:space="preserve">) and in such denominations to be specified in the applicable Exercise Certificate. The Company represents and warrants that no instructions other than the foregoing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instructions will be given to the Transfer Agent and that, unless waived by the Holder, this Warrant Certificate and the Warrant Shares will be free-trading, and freely transferable, and will not contain a legend restricting the resale or transferability of the Warrant Shares if the Unrestricted Conditions are met.</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In addition to any other remedies which may be available to the Holder, in the event of any Delivery Failure relating to the issuance of Warrant Shares upon exercise of this Warrant Certificate, the Holder will be entitled to revoke all or part of the relevant Exercise Certificate by delivery of a notice to such effect to the Company whereupon the Company and the Holder shall each be restored to their respective positions immediately prior to the delivery of such Exercise Certificate.</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pPr>
      <w:r>
        <w:rPr>
          <w:rFonts w:ascii="Times New Roman;serif" w:hAnsi="Times New Roman;serif"/>
          <w:b/>
          <w:sz w:val="24"/>
        </w:rPr>
        <w:t>Fractional Shares</w:t>
      </w:r>
      <w:r>
        <w:rPr>
          <w:rFonts w:ascii="Times New Roman;serif" w:hAnsi="Times New Roman;serif"/>
          <w:b w:val="false"/>
          <w:sz w:val="24"/>
        </w:rPr>
        <w:t>. The Company shall not be required to issue a fractional Warrant Share upon exercise of any Warrant Certificate. As to any fraction of a Warrant Share that the Holder would otherwise be entitled to purchase upon such exercise, the Company shall (unless waived by the Holder) pay to such Holder an amount in cash (by delivery of a certified or official bank check or by wire transfer of immediately available funds) equal to the product of (i) such fraction multiplied by (ii) the Fair Market Value of one Warrant Share on the Exercise Date.</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pPr>
      <w:r>
        <w:rPr>
          <w:rFonts w:ascii="Times New Roman;serif" w:hAnsi="Times New Roman;serif"/>
          <w:b/>
          <w:sz w:val="24"/>
        </w:rPr>
        <w:t>Surrender of this Warrant Certificate; Delivery of New Warrant Certificate</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The Holder shall not be required to physically surrender this Warrant Certificate to the Company until the Holder has purchased all of the Warrant Shares available hereunder and this Warrant Certificate has been exercised in full,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Holder and any assignee, by acceptance of this Warrant Certificate, acknowledge and agree that, by reason of the provisions of this </w:t>
      </w:r>
      <w:r>
        <w:rPr>
          <w:rFonts w:ascii="Times New Roman;serif" w:hAnsi="Times New Roman;serif"/>
          <w:b/>
          <w:sz w:val="24"/>
        </w:rPr>
        <w:t>Section 3(e)</w:t>
      </w:r>
      <w:r>
        <w:rPr>
          <w:rFonts w:ascii="Times New Roman;serif" w:hAnsi="Times New Roman;serif"/>
          <w:b w:val="false"/>
          <w:sz w:val="24"/>
        </w:rPr>
        <w:t xml:space="preserve">, following the purchase of a portion of the Warrant Shares hereunder, the number of Warrant Shares available for purchase hereunder at any given time may be less than the amount stated on the face hereof. </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Notwithstanding the foregoing, the Holder may request that the Company (and the Company shall), at the time of delivery of the certificate or certificates representing the Warrant Shares being issued in accordance with </w:t>
      </w:r>
      <w:r>
        <w:rPr>
          <w:rFonts w:ascii="Times New Roman;serif" w:hAnsi="Times New Roman;serif"/>
          <w:b/>
          <w:sz w:val="24"/>
        </w:rPr>
        <w:t>Section 3(c)</w:t>
      </w:r>
      <w:r>
        <w:rPr>
          <w:rFonts w:ascii="Times New Roman;serif" w:hAnsi="Times New Roman;serif"/>
          <w:b w:val="false"/>
          <w:sz w:val="24"/>
        </w:rPr>
        <w:t xml:space="preserve">, deliver to the Holder a new Warrant Certificate evidencing the rights of the Holder to purchase the unexpired and unexercised Warrant Shares called for by this Warrant Certificate. Unless otherwise agreed upon by the Holder in its sole discretion, such new Warrant Certificate shall in all other respects be identical to this Warrant Certificate. </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pPr>
      <w:r>
        <w:rPr>
          <w:rFonts w:ascii="Times New Roman;serif" w:hAnsi="Times New Roman;serif"/>
          <w:b/>
          <w:sz w:val="24"/>
        </w:rPr>
        <w:t>Valid Issuance of Warrant Certificate and Warrant Shares; Payment of Taxes</w:t>
      </w:r>
      <w:r>
        <w:rPr>
          <w:rFonts w:ascii="Times New Roman;serif" w:hAnsi="Times New Roman;serif"/>
          <w:b w:val="false"/>
          <w:sz w:val="24"/>
        </w:rPr>
        <w:t>. The Company hereby represents, covenants and agrees: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This Warrant Certificate is, and any Warrant Certificate issued in substitution for or replacement of this Warrant Certificate shall be, upon issuance, duly authorized and validly issued.</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All Warrant Shares issuable upon the exercise of this Warrant Certificate (or any substitute or replacement Warrant Certificate) pursuant to the terms hereof shall be, upon issuance, and the Company shall take all such actions as may be necessary or appropriate in order that such Warrant Shares are, validly issued, fully paid and non-assessable, issued without violation of any preemptive or similar rights of any stockholder of the Company and free and clear of all taxes, liens and charges.</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Company shall take all such actions as may be necessary to ensure that all such Warrant Shares are issued without violation by the Company of any applicable law or governmental regulation or any requirements of any Trading Market upon which shares of Common Stock or other securities constituting Warrant Shares may be listed at the time of such exercise (except for official notice of issuance which shall be immediately delivered by the Company upon each such issuance).</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Company shall pay all expenses in connection with, and all taxes and other governmental charges that may be imposed with respect to, the issuance or delivery of Warrant Shares upon exercise of this Warrant Certificate.</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pPr>
      <w:r>
        <w:rPr>
          <w:rFonts w:ascii="Times New Roman;serif" w:hAnsi="Times New Roman;serif"/>
          <w:b/>
          <w:sz w:val="24"/>
        </w:rPr>
        <w:t>Conditional Exercise</w:t>
      </w:r>
      <w:r>
        <w:rPr>
          <w:rFonts w:ascii="Times New Roman;serif" w:hAnsi="Times New Roman;serif"/>
          <w:b w:val="false"/>
          <w:sz w:val="24"/>
        </w:rPr>
        <w:t>. Notwithstanding any other provision hereof, if an exercise of any portion of this Warrant Certificate is to be made in connection with a public offering, a Fundamental Change or any sale of the Company (pursuant to a merger, sale of stock, or otherwise), such exercise may, at the election of the Holder, be conditioned upon the consummation of such transaction, in which case such exercise shall not be deemed to be effective until immediately prior to the consummation of such transaction.</w:t>
      </w:r>
    </w:p>
    <w:p>
      <w:pPr>
        <w:pStyle w:val="TextBody"/>
        <w:bidi w:val="0"/>
        <w:spacing w:before="0" w:after="240"/>
        <w:jc w:val="left"/>
        <w:rPr>
          <w:rFonts w:ascii="Times New Roman" w:hAnsi="Times New Roman"/>
          <w:b w:val="false"/>
          <w:sz w:val="24"/>
        </w:rPr>
      </w:pPr>
      <w:r>
        <w:rPr>
          <w:rFonts w:ascii="Times New Roman" w:hAnsi="Times New Roman"/>
          <w:b w:val="false"/>
          <w:sz w:val="24"/>
        </w:rPr>
        <w:t>(h)</w:t>
      </w:r>
    </w:p>
    <w:p>
      <w:pPr>
        <w:pStyle w:val="TextBody"/>
        <w:bidi w:val="0"/>
        <w:spacing w:before="0" w:after="240"/>
        <w:jc w:val="left"/>
        <w:rPr/>
      </w:pPr>
      <w:r>
        <w:rPr>
          <w:rFonts w:ascii="Times New Roman;serif" w:hAnsi="Times New Roman;serif"/>
          <w:b/>
          <w:sz w:val="24"/>
        </w:rPr>
        <w:t>Reservation of Shares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During the Exercise Period, the Company shall at all times reserve and keep available out of its authorized but unissued shares of Common Stock or other securities constituting Warrant Shares, solely for the purpose of issuance upon the exercise of this Warrant Certificate, the maximum number of Warrant Shares issuable upon the exercise of this Warrant Certificate, and the par value per Warrant Share shall at all times be less than or equal to the lowest applicable Exercise Price. The Company shall not increase the par value of any Warrant Shares receivable upon the exercise of this Warrant Certificate above the lowest applicable Exercise Price, and shall take all such actions as may be necessary or appropriate in order that the Company may validly and legally issue fully paid and nonassessable shares of Common Stock upon the exercise of this Warrant Certificate.</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sz w:val="24"/>
        </w:rPr>
        <w:t>Delivery of Electronic Shares</w:t>
      </w:r>
      <w:r>
        <w:rPr>
          <w:rFonts w:ascii="Times New Roman;serif" w:hAnsi="Times New Roman;serif"/>
          <w:b w:val="false"/>
          <w:sz w:val="24"/>
        </w:rPr>
        <w:t>. If the Company has a Transfer Agent and the Transfer Agent is participating in the DTC Fast Automated Securities Transfer (“</w:t>
      </w:r>
      <w:r>
        <w:rPr>
          <w:rFonts w:ascii="Times New Roman;serif" w:hAnsi="Times New Roman;serif"/>
          <w:b/>
          <w:i/>
          <w:sz w:val="24"/>
        </w:rPr>
        <w:t>FAST</w:t>
      </w:r>
      <w:r>
        <w:rPr/>
        <w:t>”</w:t>
      </w:r>
      <w:r>
        <w:rPr>
          <w:rFonts w:ascii="Times New Roman;serif" w:hAnsi="Times New Roman;serif"/>
          <w:b w:val="false"/>
          <w:sz w:val="24"/>
        </w:rPr>
        <w:t xml:space="preserve">) program, upon written request of the Holder and in lieu of delivering physical certificates representing any shares of Common Stock (including any Warrant Shares) to be delivered under or in connection with this Warrant Certificate, the Company shall use its commercially reasonable best efforts to cause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Transfer Agent to electronically transmit the such Common Stock to the Holder by crediting the account of the Holder’s prime broker with the DTC through its Deposit Withdrawal Agent Commission (“</w:t>
      </w:r>
      <w:r>
        <w:rPr>
          <w:rFonts w:ascii="Times New Roman;serif" w:hAnsi="Times New Roman;serif"/>
          <w:b/>
          <w:i/>
          <w:sz w:val="24"/>
        </w:rPr>
        <w:t>DWAC</w:t>
      </w:r>
      <w:r>
        <w:rPr/>
        <w:t>”</w:t>
      </w:r>
      <w:r>
        <w:rPr>
          <w:rFonts w:ascii="Times New Roman;serif" w:hAnsi="Times New Roman;serif"/>
          <w:b w:val="false"/>
          <w:sz w:val="24"/>
        </w:rPr>
        <w:t>) system. The time periods for delivery and penalties described herein shall apply to the electronic transmittals described herein. Any delivery not effected by electronic transmission shall be effected by delivery of physical certificates.</w:t>
      </w:r>
    </w:p>
    <w:p>
      <w:pPr>
        <w:pStyle w:val="TextBody"/>
        <w:bidi w:val="0"/>
        <w:spacing w:before="0" w:after="240"/>
        <w:jc w:val="both"/>
        <w:rPr>
          <w:rFonts w:ascii="Times New Roman" w:hAnsi="Times New Roman"/>
          <w:b w:val="false"/>
          <w:sz w:val="24"/>
        </w:rPr>
      </w:pPr>
      <w:r>
        <w:rPr>
          <w:rFonts w:ascii="Times New Roman" w:hAnsi="Times New Roman"/>
          <w:b w:val="false"/>
          <w:sz w:val="24"/>
        </w:rPr>
        <w:t>(j)</w:t>
      </w:r>
    </w:p>
    <w:p>
      <w:pPr>
        <w:pStyle w:val="TextBody"/>
        <w:bidi w:val="0"/>
        <w:spacing w:before="0" w:after="240"/>
        <w:jc w:val="both"/>
        <w:rPr/>
      </w:pPr>
      <w:r>
        <w:rPr>
          <w:rFonts w:ascii="Times New Roman;serif" w:hAnsi="Times New Roman;serif"/>
          <w:b/>
          <w:sz w:val="24"/>
        </w:rPr>
        <w:t>Make Whole</w:t>
      </w:r>
      <w:r>
        <w:rPr>
          <w:rFonts w:ascii="Times New Roman;serif" w:hAnsi="Times New Roman;serif"/>
          <w:b w:val="false"/>
          <w:sz w:val="24"/>
        </w:rPr>
        <w:t>. In addition to any other rights available to the Holder, if as a result of a Delivery Failure in respect of Warrant Shares the Holder is required by its broker to purchase (in an open market transaction or otherwise) or the Holder’s brokerage firm otherwise purchases shares of Common Stock to deliver in satisfaction of a sale anticipated to be made by the Holder of all or portion of such Warrant Shares which are the subject of such Delivery Failure (an “</w:t>
      </w:r>
      <w:r>
        <w:rPr>
          <w:rFonts w:ascii="Times New Roman;serif" w:hAnsi="Times New Roman;serif"/>
          <w:b/>
          <w:sz w:val="24"/>
        </w:rPr>
        <w:t>Anticipated Sale</w:t>
      </w:r>
      <w:r>
        <w:rPr/>
        <w:t>”</w:t>
      </w:r>
      <w:r>
        <w:rPr>
          <w:rFonts w:ascii="Times New Roman;serif" w:hAnsi="Times New Roman;serif"/>
          <w:b w:val="false"/>
          <w:sz w:val="24"/>
        </w:rPr>
        <w:t>), then the Company shall (i) pay in cash to the Holder the amount by which (x) the Holder’s total purchase price (including brokerage commissions, if any) for the shares of Common Stock so purchased exceeds (y) an amount equal to the product of (A) the number of Warrant Shares that the Holder anticipated to sell in such Anticipated Sale, multiplied by (B) the Exercise Price that would have been payable for such Warrant Shares, and (ii) at the option of the Holder, either reinstate the portion of this Warrant Certificate and equivalent number of Warrant Shares in respect of which such Delivery Failure occurred or deliver to the Holder the number of Warrant Shares that would have been issued had the Company timely complied with its obligations hereunder to issue such Warrant Shares upon such exercise. The Holder shall provide the Company written notice indicating the amounts payable to the Holder, together with applicable confirmations and other evidence reasonably requested by the Company. Nothing herein shall limit the Holder’s right to pursue any other remedies available to it hereunder at law or in equity including, without limitation, a decree of specific performance and/or injunctive relief with respect to any Delivery Failure.</w:t>
      </w:r>
    </w:p>
    <w:p>
      <w:pPr>
        <w:pStyle w:val="TextBody"/>
        <w:bidi w:val="0"/>
        <w:spacing w:before="0" w:after="240"/>
        <w:jc w:val="both"/>
        <w:rPr>
          <w:rFonts w:ascii="Times New Roman" w:hAnsi="Times New Roman"/>
          <w:b w:val="false"/>
          <w:sz w:val="24"/>
        </w:rPr>
      </w:pPr>
      <w:r>
        <w:rPr>
          <w:rFonts w:ascii="Times New Roman" w:hAnsi="Times New Roman"/>
          <w:b w:val="false"/>
          <w:sz w:val="24"/>
        </w:rPr>
        <w:t>(k)</w:t>
      </w:r>
    </w:p>
    <w:p>
      <w:pPr>
        <w:pStyle w:val="TextBody"/>
        <w:bidi w:val="0"/>
        <w:spacing w:before="0" w:after="240"/>
        <w:jc w:val="both"/>
        <w:rPr/>
      </w:pPr>
      <w:r>
        <w:rPr>
          <w:rFonts w:ascii="Times New Roman;serif" w:hAnsi="Times New Roman;serif"/>
          <w:b/>
          <w:sz w:val="24"/>
        </w:rPr>
        <w:t>Dispute Resolution</w:t>
      </w:r>
      <w:r>
        <w:rPr>
          <w:rFonts w:ascii="Times New Roman;serif" w:hAnsi="Times New Roman;serif"/>
          <w:b w:val="false"/>
          <w:sz w:val="24"/>
        </w:rPr>
        <w:t>. In the case of any dispute as to the determination of Fair Market Value, any closing sales price or VWAP of the Common Stock, the arithmetic calculation of the Exercise Price or any other computation required to be made hereunder, in the event the Holder and the Company are unable to settle such dispute within five (5) Business Days, then either party may elect to submit the disputed matter(s) for resolution. Such investment bank’s determination of such disputed matter(s) shall be binding upon all parties absent demonstrable error, and the Company and the Holder shall each pay one half of the fees and costs of such investment banker or accountant.</w:t>
      </w:r>
    </w:p>
    <w:p>
      <w:pPr>
        <w:pStyle w:val="TextBody"/>
        <w:bidi w:val="0"/>
        <w:spacing w:before="0" w:after="240"/>
        <w:jc w:val="both"/>
        <w:rPr>
          <w:rFonts w:ascii="Times New Roman" w:hAnsi="Times New Roman"/>
          <w:b w:val="false"/>
          <w:sz w:val="24"/>
        </w:rPr>
      </w:pPr>
      <w:r>
        <w:rPr>
          <w:rFonts w:ascii="Times New Roman" w:hAnsi="Times New Roman"/>
          <w:b w:val="false"/>
          <w:sz w:val="24"/>
        </w:rPr>
        <w:t>(l)</w:t>
      </w:r>
    </w:p>
    <w:p>
      <w:pPr>
        <w:pStyle w:val="TextBody"/>
        <w:bidi w:val="0"/>
        <w:spacing w:before="0" w:after="240"/>
        <w:jc w:val="both"/>
        <w:rPr/>
      </w:pPr>
      <w:r>
        <w:rPr>
          <w:rFonts w:ascii="Times New Roman;serif" w:hAnsi="Times New Roman;serif"/>
          <w:b/>
          <w:sz w:val="24"/>
        </w:rPr>
        <w:t>Automatic Exercise</w:t>
      </w:r>
      <w:r>
        <w:rPr>
          <w:rFonts w:ascii="Times New Roman;serif" w:hAnsi="Times New Roman;serif"/>
          <w:b w:val="false"/>
          <w:sz w:val="24"/>
        </w:rPr>
        <w:t xml:space="preserve">. If a Liquidity Event occurs with respect to the Company at any time prior to the expiration of the Exercise Period and there remain any Warrant Shares subject to this Warrant Certificate, this Warrant Certificate shall be deemed to be automatically exercised in full for the full number of remaining Warrant Shares, without the requirement for the delivery of an Exercise Certificate, and the Holder shall receive its pro rata share of the proceeds from such Liquidity Event as if the Warrant Shares were outstanding immediately prior to the Liquidity Event (subject to set-off against the Aggregate Exercise Price); </w:t>
      </w:r>
      <w:r>
        <w:rPr>
          <w:rFonts w:ascii="Times New Roman;serif" w:hAnsi="Times New Roman;serif"/>
          <w:b w:val="false"/>
          <w:i/>
          <w:sz w:val="24"/>
        </w:rPr>
        <w:t xml:space="preserve">provided that </w:t>
      </w:r>
      <w:r>
        <w:rPr>
          <w:rFonts w:ascii="Times New Roman;serif" w:hAnsi="Times New Roman;serif"/>
          <w:b w:val="false"/>
          <w:sz w:val="24"/>
        </w:rPr>
        <w:t xml:space="preserve">unless the giving of notice is not possible due to the circumstances of the Liquidity Event, the Company shall give the Holder notice of any anticipated Liquidity Event as soon as practicable but in any event not less than ten (10) Business Days prior to the anticipated consummation of the Liquidity Event and if the Holder does not wish to automatically have this Warrant Certificate exercised, the Holder may opt out of such automatic exercise by written notice to the Company in advance of the consummation of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Liquidity Event. For the avoidance of doubt, if the Holder opts out of having the Warrant Certificate exercised in connection with a Liquidity Event then, if the Liquidity Event involves a merger or consolidation of the Company with or into another entity and (x) the Company is the surviving entity, this Warrant Certificate shall continue to remain outstanding following the consummation of the Liquidity Event for the duration of the applicable Exercise Periods or (y) if the Company is not the surviving entity, this Warrant Certificate shall be reissued for equity securities in the entity that survives the Liquidity Event and shall remain outstanding for the duration of the applicable Exercise Periods..</w:t>
      </w:r>
    </w:p>
    <w:p>
      <w:pPr>
        <w:pStyle w:val="TextBody"/>
        <w:bidi w:val="0"/>
        <w:spacing w:before="0" w:after="240"/>
        <w:jc w:val="both"/>
        <w:rPr>
          <w:rFonts w:ascii="Times New Roman" w:hAnsi="Times New Roman"/>
          <w:b w:val="false"/>
          <w:sz w:val="24"/>
        </w:rPr>
      </w:pPr>
      <w:r>
        <w:rPr>
          <w:rFonts w:ascii="Times New Roman" w:hAnsi="Times New Roman"/>
          <w:b w:val="false"/>
          <w:sz w:val="24"/>
        </w:rPr>
        <w:t>(m)</w:t>
      </w:r>
    </w:p>
    <w:p>
      <w:pPr>
        <w:pStyle w:val="TextBody"/>
        <w:bidi w:val="0"/>
        <w:spacing w:before="0" w:after="240"/>
        <w:jc w:val="both"/>
        <w:rPr/>
      </w:pPr>
      <w:r>
        <w:rPr>
          <w:rFonts w:ascii="Times New Roman;serif" w:hAnsi="Times New Roman;serif"/>
          <w:b/>
          <w:sz w:val="24"/>
        </w:rPr>
        <w:t>Treatment of Warrant Certificate Upon Acquisition of Company</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For the purpose of this Warrant Certificate, “</w:t>
      </w:r>
      <w:r>
        <w:rPr>
          <w:rFonts w:ascii="Times New Roman;serif" w:hAnsi="Times New Roman;serif"/>
          <w:b/>
          <w:sz w:val="24"/>
        </w:rPr>
        <w:t>Acquisition</w:t>
      </w:r>
      <w:r>
        <w:rPr/>
        <w:t xml:space="preserve">” </w:t>
      </w:r>
      <w:r>
        <w:rPr>
          <w:rFonts w:ascii="Times New Roman;serif" w:hAnsi="Times New Roman;serif"/>
          <w:b w:val="false"/>
          <w:sz w:val="24"/>
        </w:rPr>
        <w:t>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 majority of the Company’s then-total outstanding combined voting power.</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In the event of an Acquisition in which the consideration to be received by the Company’s stockholders consists solely of cash (a “</w:t>
      </w:r>
      <w:r>
        <w:rPr>
          <w:rFonts w:ascii="Times New Roman;serif" w:hAnsi="Times New Roman;serif"/>
          <w:b/>
          <w:sz w:val="24"/>
        </w:rPr>
        <w:t>Cash Acquisition</w:t>
      </w:r>
      <w:r>
        <w:rPr/>
        <w:t>”</w:t>
      </w:r>
      <w:r>
        <w:rPr>
          <w:rFonts w:ascii="Times New Roman;serif" w:hAnsi="Times New Roman;serif"/>
          <w:b w:val="false"/>
          <w:sz w:val="24"/>
        </w:rPr>
        <w:t xml:space="preserve">), either (x) Holder shall exercise this Warrant Certificate pursuant to </w:t>
      </w:r>
      <w:r>
        <w:rPr>
          <w:rFonts w:ascii="Times New Roman;serif" w:hAnsi="Times New Roman;serif"/>
          <w:b w:val="false"/>
          <w:sz w:val="24"/>
          <w:u w:val="single"/>
        </w:rPr>
        <w:t>Section 3</w:t>
      </w:r>
      <w:r>
        <w:rPr/>
        <w:t xml:space="preserve"> </w:t>
      </w:r>
      <w:r>
        <w:rPr>
          <w:rFonts w:ascii="Times New Roman;serif" w:hAnsi="Times New Roman;serif"/>
          <w:b w:val="false"/>
          <w:sz w:val="24"/>
        </w:rPr>
        <w:t>and such exercise will be deemed effective immediately prior to and contingent upon the consummation of such Cash Acquisition or (y) if Holder elects not to exercise the Warrant, this Warrant will expire immediately prior to the consummation of such Cash Acquisition.</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Company shall provide Holder with written notice of its request relating to the Cash Acquisition (together with such information as Holder may reasonably require regarding the treatment of this Warrant in connection with such contemplated Cash Acquisition giving rise to such notice), which is to be delivered to Holder not less than thirty (30) days prior to the closing of the proposed Cash Acquisition. Notwithstanding the foregoing, if, immediately prior to the Cash Acquisition, the fair market value of one Warrant Share above would be greater than the appliable Exercise Price in effect on such date, then this Warrant shall automatically be deemed on and as of such date to be exercised pursuant a Cashless Exercise with respect to all Warrant Shares for which it shall not previously have been exercised, and the Company shall promptly notify the Holder of the number of shares of Common Stock (or such other securities) issued upon such exercise to the Holder.</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Upon the closing of any Acquisition other than a Cash Acquisition defined above, the acquiring, surviving or successor entity shall assume the obligations of this Warrant, and this Warrant shall thereafter be exercisable for the same securities and/or other property as would have been paid for the shares of Common Stock issuable upon exercise of the unexercised portion of this Warrant as if such shares of Common Stock were outstanding on and as of the closing of such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Acquisition, subject to further adjustment from time to time in accordance with the provisions of this Warrant.</w:t>
      </w:r>
    </w:p>
    <w:p>
      <w:pPr>
        <w:pStyle w:val="TextBody"/>
        <w:bidi w:val="0"/>
        <w:spacing w:before="0" w:after="240"/>
        <w:jc w:val="both"/>
        <w:rPr>
          <w:rFonts w:ascii="Times New Roman" w:hAnsi="Times New Roman"/>
          <w:b w:val="false"/>
          <w:sz w:val="24"/>
        </w:rPr>
      </w:pPr>
      <w:r>
        <w:rPr>
          <w:rFonts w:ascii="Times New Roman" w:hAnsi="Times New Roman"/>
          <w:b w:val="false"/>
          <w:sz w:val="24"/>
        </w:rPr>
        <w:t>(n)</w:t>
      </w:r>
    </w:p>
    <w:p>
      <w:pPr>
        <w:pStyle w:val="TextBody"/>
        <w:bidi w:val="0"/>
        <w:spacing w:before="0" w:after="240"/>
        <w:jc w:val="both"/>
        <w:rPr/>
      </w:pPr>
      <w:r>
        <w:rPr>
          <w:rFonts w:ascii="Times New Roman;serif" w:hAnsi="Times New Roman;serif"/>
          <w:b/>
          <w:sz w:val="24"/>
        </w:rPr>
        <w:t>Holder’s Exercise Limitations</w:t>
      </w:r>
      <w:r>
        <w:rPr>
          <w:rFonts w:ascii="Times New Roman;serif" w:hAnsi="Times New Roman;serif"/>
          <w:b w:val="false"/>
          <w:sz w:val="24"/>
        </w:rPr>
        <w:t xml:space="preserve">. The Company shall not effect any exercise of this Warrant, and a Holder shall not have the right to exercise any portion of this Warrant, pursuant to this </w:t>
      </w:r>
      <w:r>
        <w:rPr>
          <w:rFonts w:ascii="Times New Roman;serif" w:hAnsi="Times New Roman;serif"/>
          <w:b/>
          <w:sz w:val="24"/>
        </w:rPr>
        <w:t>Section 3</w:t>
      </w:r>
      <w:r>
        <w:rPr/>
        <w:t xml:space="preserve"> </w:t>
      </w:r>
      <w:r>
        <w:rPr>
          <w:rFonts w:ascii="Times New Roman;serif" w:hAnsi="Times New Roman;serif"/>
          <w:b w:val="false"/>
          <w:sz w:val="24"/>
        </w:rPr>
        <w:t xml:space="preserve">or otherwise, to the extent that after giving effect to such issuance after exercise as set forth on the applicable Exercise Certificate,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equivalents beneficially owned by the Holder and its affiliates shall include the number of shares of Common Stock equivalents issuable upon exercise of this Warrant with respect to which such determination is being made, but shall exclude the number of shares of Common Stock equivalents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w:t>
      </w:r>
      <w:r>
        <w:rPr>
          <w:rFonts w:ascii="Times New Roman;serif" w:hAnsi="Times New Roman;serif"/>
          <w:b/>
          <w:sz w:val="24"/>
        </w:rPr>
        <w:t>Section 3(n)</w:t>
      </w:r>
      <w:r>
        <w:rPr>
          <w:rFonts w:ascii="Times New Roman;serif" w:hAnsi="Times New Roman;serif"/>
          <w:b w:val="false"/>
          <w:sz w:val="24"/>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serif" w:hAnsi="Times New Roman;serif"/>
          <w:b/>
          <w:sz w:val="24"/>
        </w:rPr>
        <w:t>Section 3(n)</w:t>
      </w:r>
      <w:r>
        <w:rPr/>
        <w:t xml:space="preserve"> </w:t>
      </w:r>
      <w:r>
        <w:rPr>
          <w:rFonts w:ascii="Times New Roman;serif" w:hAnsi="Times New Roman;serif"/>
          <w:b w:val="false"/>
          <w:sz w:val="24"/>
        </w:rPr>
        <w:t xml:space="preserve">applies, the determination of whether this Warrant is exercisable (in relation to other securities owned by the Holder together with any affiliates) and of which portion of this Warrant is exercisable shall be in the sole discretion of the Holder, and the submission of an Exercise Certificate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serif" w:hAnsi="Times New Roman;serif"/>
          <w:b/>
          <w:sz w:val="24"/>
        </w:rPr>
        <w:t>Section 3(n)</w:t>
      </w:r>
      <w:r>
        <w:rPr>
          <w:rFonts w:ascii="Times New Roman;serif" w:hAnsi="Times New Roman;serif"/>
          <w:b w:val="false"/>
          <w:sz w:val="24"/>
        </w:rPr>
        <w:t>,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from the Company or the Transfer Agent setting forth the number of shares of Common Stock outstanding. Upon the written request of a Holder, the Company shall within three (3) Business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Times New Roman;serif" w:hAnsi="Times New Roman;serif"/>
          <w:b/>
          <w:i/>
          <w:sz w:val="24"/>
        </w:rPr>
        <w:t>Beneficial Ownership Limitation</w:t>
      </w:r>
      <w:r>
        <w:rPr/>
        <w:t xml:space="preserve">” </w:t>
      </w:r>
      <w:r>
        <w:rPr>
          <w:rFonts w:ascii="Times New Roman;serif" w:hAnsi="Times New Roman;serif"/>
          <w:b w:val="false"/>
          <w:sz w:val="24"/>
        </w:rPr>
        <w:t xml:space="preserve">shall be 9.99% of the number of shares of Common Stock and Common Stock equivalents outstanding immediately after giving effect to the applicable issuance of Warrant Shares issuable upon exercise of this Warrant if at the time of exercise the Company is a “reporting issuer” under the Securities Exchange Act of 1934.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 xml:space="preserve">The provisions of this paragraph shall be construed and implemented in a manner otherwise than in strict conformity with the terms of this </w:t>
      </w:r>
      <w:r>
        <w:rPr>
          <w:rFonts w:ascii="Times New Roman;serif" w:hAnsi="Times New Roman;serif"/>
          <w:b/>
          <w:sz w:val="24"/>
        </w:rPr>
        <w:t>Section 3(n)</w:t>
      </w:r>
      <w:r>
        <w:rPr/>
        <w:t xml:space="preserve"> </w:t>
      </w:r>
      <w:r>
        <w:rPr>
          <w:rFonts w:ascii="Times New Roman;serif" w:hAnsi="Times New Roman;serif"/>
          <w:b w:val="false"/>
          <w:sz w:val="24"/>
        </w:rPr>
        <w:t>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b/>
          <w:sz w:val="24"/>
        </w:rPr>
      </w:pPr>
      <w:r>
        <w:rPr>
          <w:rFonts w:ascii="Times New Roman" w:hAnsi="Times New Roman"/>
          <w:b/>
          <w:sz w:val="24"/>
        </w:rPr>
        <w:t>Section 4.</w:t>
      </w:r>
    </w:p>
    <w:p>
      <w:pPr>
        <w:pStyle w:val="TextBody"/>
        <w:bidi w:val="0"/>
        <w:spacing w:before="0" w:after="240"/>
        <w:jc w:val="both"/>
        <w:rPr/>
      </w:pPr>
      <w:r>
        <w:rPr>
          <w:rFonts w:ascii="Times New Roman;serif" w:hAnsi="Times New Roman;serif"/>
          <w:b/>
          <w:sz w:val="24"/>
        </w:rPr>
        <w:t>Anti-Dilution Adjustments</w:t>
      </w:r>
      <w:r>
        <w:rPr>
          <w:rFonts w:ascii="Times New Roman;serif" w:hAnsi="Times New Roman;serif"/>
          <w:b w:val="false"/>
          <w:sz w:val="24"/>
        </w:rPr>
        <w:t xml:space="preserve">. In order to prevent dilution of the purchase rights granted under this Warrant Certificate, the number of Warrant Shares issuable upon exercise of this Warrant Certificate shall be subject to adjustment from time to time as provided in this </w:t>
      </w:r>
      <w:r>
        <w:rPr>
          <w:rFonts w:ascii="Times New Roman;serif" w:hAnsi="Times New Roman;serif"/>
          <w:b/>
          <w:sz w:val="24"/>
        </w:rPr>
        <w:t>Section 4</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sz w:val="24"/>
        </w:rPr>
        <w:t>Adjustment to Number of Warrant Shares Upon Dividend, Subdivision or Combination of Common Stock</w:t>
      </w:r>
      <w:r>
        <w:rPr>
          <w:rFonts w:ascii="Times New Roman;serif" w:hAnsi="Times New Roman;serif"/>
          <w:b w:val="false"/>
          <w:sz w:val="24"/>
        </w:rPr>
        <w:t xml:space="preserve">. If the Company shall, at any time or from time to time after the Issue Date, (i) pay a dividend or make any other distribution upon the Common Stock or any other capital stock of the Company payable in shares of Common Stock or in options or convertible securities, or (ii) subdivide (by any stock split, recapitalization or otherwise) its outstanding shares of Common Stock into a greater number of shares, the number of Warrant Shares issuable upon exercise of this Warrant Certificate immediately prior to any such dividend, distribution or subdivision shall be proportionately increased. If the Company at any time combines (by combination, reverse stock split or otherwise) its outstanding shares of Common Stock into a smaller number of shares, the number of Warrant Shares issuable upon exercise of this Warrant Certificate immediately prior to such combination shall be proportionately decreased. Any adjustment under this </w:t>
      </w:r>
      <w:r>
        <w:rPr>
          <w:rFonts w:ascii="Times New Roman;serif" w:hAnsi="Times New Roman;serif"/>
          <w:b/>
          <w:sz w:val="24"/>
        </w:rPr>
        <w:t>Section 4(a)</w:t>
      </w:r>
      <w:r>
        <w:rPr/>
        <w:t xml:space="preserve"> </w:t>
      </w:r>
      <w:r>
        <w:rPr>
          <w:rFonts w:ascii="Times New Roman;serif" w:hAnsi="Times New Roman;serif"/>
          <w:b w:val="false"/>
          <w:sz w:val="24"/>
        </w:rPr>
        <w:t>shall become effective at the close of business on the date the dividend, subdivision or combination becomes effective.</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sz w:val="24"/>
        </w:rPr>
        <w:t>Adjustment to Number of Warrant Shares Upon Reorganization, Reclassification, Consolidation or Merger</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Unless the Holder otherwise consents (in its sole discretion), the event of any (A) capital reorganization of the Company, (B) reclassification of the stock of the Company (other than a change in par value or from par value to no par value or from no par value to par value or as a result of a stock dividend or subdivision, split-up or combination of shares), (C) Fundamental Change or (D) other similar transaction (other than any such transaction covered by </w:t>
      </w:r>
      <w:r>
        <w:rPr>
          <w:rFonts w:ascii="Times New Roman;serif" w:hAnsi="Times New Roman;serif"/>
          <w:b/>
          <w:sz w:val="24"/>
        </w:rPr>
        <w:t xml:space="preserve">Section 3(m) </w:t>
      </w:r>
      <w:r>
        <w:rPr>
          <w:rFonts w:ascii="Times New Roman;serif" w:hAnsi="Times New Roman;serif"/>
          <w:b w:val="false"/>
          <w:sz w:val="24"/>
        </w:rPr>
        <w:t xml:space="preserve">or </w:t>
      </w:r>
      <w:r>
        <w:rPr>
          <w:rFonts w:ascii="Times New Roman;serif" w:hAnsi="Times New Roman;serif"/>
          <w:b/>
          <w:sz w:val="24"/>
        </w:rPr>
        <w:t>Section 4(a)</w:t>
      </w:r>
      <w:r>
        <w:rPr>
          <w:rFonts w:ascii="Times New Roman;serif" w:hAnsi="Times New Roman;serif"/>
          <w:b w:val="false"/>
          <w:sz w:val="24"/>
        </w:rPr>
        <w:t>), including a Liquidity Event in which the Warrant Certificate is not exercised, in each case which entitles the holders of Common Stock to receive (either directly or upon subsequent liquidation) stock, securities or assets with respect to or in exchange for Common Stock:</w:t>
      </w:r>
    </w:p>
    <w:p>
      <w:pPr>
        <w:pStyle w:val="TextBody"/>
        <w:bidi w:val="0"/>
        <w:spacing w:before="0" w:after="240"/>
        <w:jc w:val="both"/>
        <w:rPr>
          <w:rFonts w:ascii="Times New Roman" w:hAnsi="Times New Roman"/>
          <w:b w:val="false"/>
          <w:sz w:val="24"/>
        </w:rPr>
      </w:pPr>
      <w:r>
        <w:rPr>
          <w:rFonts w:ascii="Times New Roman" w:hAnsi="Times New Roman"/>
          <w:b w:val="false"/>
          <w:sz w:val="24"/>
        </w:rPr>
        <w:t>(1)</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this Warrant Certificate shall, immediately after such reorganization, reclassification, consolidation, merger, sale or similar transaction, remain outstanding and shall thereafter, in lieu of or in addition to (as the case may be) the number of Warrant Shares then exercisable under this Warrant Certificate,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Certificate in full immediately prior to the time of such reorganization,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reclassification, consolidation, merger, sale or similar transaction and acquired the applicable number of Warrant Shares then issuable hereunder as a result of such exercise (without taking into account any limitations or restrictions on the exercisability of this Warrant Certificate); and</w:t>
      </w:r>
    </w:p>
    <w:p>
      <w:pPr>
        <w:pStyle w:val="TextBody"/>
        <w:bidi w:val="0"/>
        <w:spacing w:before="0" w:after="240"/>
        <w:jc w:val="both"/>
        <w:rPr>
          <w:rFonts w:ascii="Times New Roman" w:hAnsi="Times New Roman"/>
          <w:b w:val="false"/>
          <w:sz w:val="24"/>
        </w:rPr>
      </w:pPr>
      <w:r>
        <w:rPr>
          <w:rFonts w:ascii="Times New Roman" w:hAnsi="Times New Roman"/>
          <w:b w:val="false"/>
          <w:sz w:val="24"/>
        </w:rPr>
        <w:t>(2)</w:t>
      </w:r>
    </w:p>
    <w:p>
      <w:pPr>
        <w:pStyle w:val="TextBody"/>
        <w:bidi w:val="0"/>
        <w:spacing w:before="0" w:after="240"/>
        <w:jc w:val="both"/>
        <w:rPr/>
      </w:pPr>
      <w:r>
        <w:rPr>
          <w:rFonts w:ascii="Times New Roman;serif" w:hAnsi="Times New Roman;serif"/>
          <w:b w:val="false"/>
          <w:sz w:val="24"/>
        </w:rPr>
        <w:t xml:space="preserve">appropriate adjustment (in form and substance satisfactory to the Holder) shall be made with respect to the Holder’s rights under this Warrant Certificate to insure that the provisions of this </w:t>
      </w:r>
      <w:r>
        <w:rPr>
          <w:rFonts w:ascii="Times New Roman;serif" w:hAnsi="Times New Roman;serif"/>
          <w:b/>
          <w:sz w:val="24"/>
        </w:rPr>
        <w:t>Section 4</w:t>
      </w:r>
      <w:r>
        <w:rPr/>
        <w:t xml:space="preserve"> </w:t>
      </w:r>
      <w:r>
        <w:rPr>
          <w:rFonts w:ascii="Times New Roman;serif" w:hAnsi="Times New Roman;serif"/>
          <w:b w:val="false"/>
          <w:sz w:val="24"/>
        </w:rPr>
        <w:t>shall thereafter be applicable, as nearly as possible, to this Warrant Certificate in relation to any shares of stock, securities or assets thereafter acquirable upon exercise of this Warrant Certificate.</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The provisions of this </w:t>
      </w:r>
      <w:r>
        <w:rPr>
          <w:rFonts w:ascii="Times New Roman;serif" w:hAnsi="Times New Roman;serif"/>
          <w:b/>
          <w:sz w:val="24"/>
        </w:rPr>
        <w:t>Section 4(b)</w:t>
      </w:r>
      <w:r>
        <w:rPr>
          <w:rFonts w:ascii="Times New Roman" w:hAnsi="Times New Roman"/>
          <w:sz w:val="20"/>
        </w:rPr>
        <w:t xml:space="preserve"> </w:t>
      </w:r>
      <w:r>
        <w:rPr>
          <w:rFonts w:ascii="Times New Roman;serif" w:hAnsi="Times New Roman;serif"/>
          <w:b w:val="false"/>
          <w:sz w:val="24"/>
        </w:rPr>
        <w:t>shall similarly apply to successive reorganizations, reclassifications, consolidations, mergers, sales or similar transactions.</w:t>
      </w:r>
      <w:r>
        <w:rPr>
          <w:rFonts w:ascii="Times New Roman" w:hAnsi="Times New Roman"/>
          <w:sz w:val="20"/>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Notwithstanding anything to the contrary contained herein, with respect to any corporate event or other transaction contemplated by this </w:t>
      </w:r>
      <w:r>
        <w:rPr>
          <w:rFonts w:ascii="Times New Roman;serif" w:hAnsi="Times New Roman;serif"/>
          <w:b/>
          <w:sz w:val="24"/>
        </w:rPr>
        <w:t>Section 4(b)</w:t>
      </w:r>
      <w:r>
        <w:rPr>
          <w:rFonts w:ascii="Times New Roman;serif" w:hAnsi="Times New Roman;serif"/>
          <w:b w:val="false"/>
          <w:sz w:val="24"/>
        </w:rPr>
        <w:t xml:space="preserve">, the Holder shall have the right to elect, prior to the consummation of such event or transaction, to exercise its rights under </w:t>
      </w:r>
      <w:r>
        <w:rPr>
          <w:rFonts w:ascii="Times New Roman;serif" w:hAnsi="Times New Roman;serif"/>
          <w:b/>
          <w:sz w:val="24"/>
        </w:rPr>
        <w:t>Section 2</w:t>
      </w:r>
      <w:r>
        <w:rPr/>
        <w:t xml:space="preserve"> </w:t>
      </w:r>
      <w:r>
        <w:rPr>
          <w:rFonts w:ascii="Times New Roman;serif" w:hAnsi="Times New Roman;serif"/>
          <w:b w:val="false"/>
          <w:sz w:val="24"/>
        </w:rPr>
        <w:t xml:space="preserve">instead of giving effect to </w:t>
      </w:r>
      <w:r>
        <w:rPr>
          <w:rFonts w:ascii="Times New Roman;serif" w:hAnsi="Times New Roman;serif"/>
          <w:b/>
          <w:sz w:val="24"/>
        </w:rPr>
        <w:t>Section 4(b)(i)</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sz w:val="24"/>
        </w:rPr>
        <w:t>Certain Events</w:t>
      </w:r>
      <w:r>
        <w:rPr>
          <w:rFonts w:ascii="Times New Roman;serif" w:hAnsi="Times New Roman;serif"/>
          <w:b w:val="false"/>
          <w:sz w:val="24"/>
        </w:rPr>
        <w:t xml:space="preserve">. If any event of the type contemplated by the provisions of this </w:t>
      </w:r>
      <w:r>
        <w:rPr>
          <w:rFonts w:ascii="Times New Roman;serif" w:hAnsi="Times New Roman;serif"/>
          <w:b/>
          <w:sz w:val="24"/>
        </w:rPr>
        <w:t>Section 4</w:t>
      </w:r>
      <w:r>
        <w:rPr/>
        <w:t xml:space="preserve"> </w:t>
      </w:r>
      <w:r>
        <w:rPr>
          <w:rFonts w:ascii="Times New Roman;serif" w:hAnsi="Times New Roman;serif"/>
          <w:b w:val="false"/>
          <w:sz w:val="24"/>
        </w:rPr>
        <w:t xml:space="preserve">but not expressly provided for by such provisions (including, without limitation, the granting of stock appreciation rights, phantom stock rights or other rights with equity features) occurs, then the Board shall make an appropriate adjustment in the number of Warrant Shares issuable upon exercise of this Warrant Certificate so as to protect the rights of the Holder in a manner consistent with the provisions of this </w:t>
      </w:r>
      <w:r>
        <w:rPr>
          <w:rFonts w:ascii="Times New Roman;serif" w:hAnsi="Times New Roman;serif"/>
          <w:b/>
          <w:sz w:val="24"/>
        </w:rPr>
        <w:t>Section 4</w:t>
      </w:r>
      <w:r>
        <w:rPr>
          <w:rFonts w:ascii="Times New Roman;serif" w:hAnsi="Times New Roman;serif"/>
          <w:b w:val="false"/>
          <w:sz w:val="24"/>
        </w:rPr>
        <w:t xml:space="preserve">;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no such adjustment pursuant to this </w:t>
      </w:r>
      <w:r>
        <w:rPr>
          <w:rFonts w:ascii="Times New Roman;serif" w:hAnsi="Times New Roman;serif"/>
          <w:b/>
          <w:sz w:val="24"/>
        </w:rPr>
        <w:t>Section 4(c)</w:t>
      </w:r>
      <w:r>
        <w:rPr/>
        <w:t xml:space="preserve"> </w:t>
      </w:r>
      <w:r>
        <w:rPr>
          <w:rFonts w:ascii="Times New Roman;serif" w:hAnsi="Times New Roman;serif"/>
          <w:b w:val="false"/>
          <w:sz w:val="24"/>
        </w:rPr>
        <w:t xml:space="preserve">shall decrease the number of Warrant Shares issuable hereunder as otherwise determined pursuant to this </w:t>
      </w:r>
      <w:r>
        <w:rPr>
          <w:rFonts w:ascii="Times New Roman;serif" w:hAnsi="Times New Roman;serif"/>
          <w:b/>
          <w:sz w:val="24"/>
        </w:rPr>
        <w:t>Section 4</w:t>
      </w:r>
      <w:r>
        <w:rPr>
          <w:rFonts w:ascii="Times New Roman;serif" w:hAnsi="Times New Roman;serif"/>
          <w:b w:val="false"/>
          <w:sz w:val="24"/>
        </w:rPr>
        <w:t>.</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pPr>
      <w:r>
        <w:rPr>
          <w:rFonts w:ascii="Times New Roman;serif" w:hAnsi="Times New Roman;serif"/>
          <w:b/>
          <w:sz w:val="24"/>
        </w:rPr>
        <w:t>Certificate as to Adjustment</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As promptly as reasonably practicable following any adjustment of the number of Warrant Shares issuable upon exercise of this Warrant Certificate, but in any event not later than three Business Days thereafter, the Company shall furnish to the Holder a certificate of an executive officer setting forth in reasonable detail such adjustment and the facts upon which it is based and certifying the calculation thereof.</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As promptly as reasonably practicable following the receipt by the Company of a written request by the Holder, but in any event not later than three Business Days thereafter, the Company shall furnish to the Holder a certificate of an executive officer certifying the number of Warrant Shares for which this Warrant Certificate is exercisable, or the amount, if any, of other shares of stock, securities or assets then issuable upon exercise of this Warrant Certificate. </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sz w:val="24"/>
        </w:rPr>
        <w:t>Notices</w:t>
      </w:r>
      <w:r>
        <w:rPr>
          <w:rFonts w:ascii="Times New Roman;serif" w:hAnsi="Times New Roman;serif"/>
          <w:b w:val="false"/>
          <w:sz w:val="24"/>
        </w:rPr>
        <w:t>. In the event that the Company shall take a record of the holders of its Common Stock (or other capital stock or securities at the time issuable upon exercise of this Warrant Certificate):</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for the purpose of entitling or enabling them to receive any dividend or other distribution, to vote at a meeting (or by written consent), to receive any right to subscribe for or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purchase any shares of capital stock of any class or any other securities, or to receive any other security; or</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approving or enabling any capital reorganization of the Company, any reclassification of the Common Stock of the Company or any Fundamental Change;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then, and in each such case, the Company shall send or cause to be sent to the Holder at least thirty (30)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Fundamental Change is proposed to take place, and the date, if any is to be fixed, as of which the books of the Company shall close or a record shall be taken with respect to which the holders of record of Common Stock (or such other capital stock or securities at the time issuable upon exercise of this Warrant Certificate) shall be entitled to exchange their shares of Common Stock (or such other capital stock or securities) for securities or other property deliverable upon such Fundamental Change, and the amount per share and character of such exchange applicable to this Warrant Certificate and the Warrant Shares.</w:t>
      </w:r>
    </w:p>
    <w:p>
      <w:pPr>
        <w:pStyle w:val="TextBody"/>
        <w:bidi w:val="0"/>
        <w:spacing w:before="0" w:after="240"/>
        <w:jc w:val="both"/>
        <w:rPr>
          <w:rFonts w:ascii="Times New Roman" w:hAnsi="Times New Roman"/>
          <w:b/>
          <w:sz w:val="24"/>
        </w:rPr>
      </w:pPr>
      <w:r>
        <w:rPr>
          <w:rFonts w:ascii="Times New Roman" w:hAnsi="Times New Roman"/>
          <w:b/>
          <w:sz w:val="24"/>
        </w:rPr>
        <w:t>Section 5.</w:t>
      </w:r>
    </w:p>
    <w:p>
      <w:pPr>
        <w:pStyle w:val="TextBody"/>
        <w:bidi w:val="0"/>
        <w:spacing w:before="0" w:after="240"/>
        <w:jc w:val="both"/>
        <w:rPr/>
      </w:pPr>
      <w:r>
        <w:rPr>
          <w:rFonts w:ascii="Times New Roman;serif" w:hAnsi="Times New Roman;serif"/>
          <w:b/>
          <w:sz w:val="24"/>
        </w:rPr>
        <w:t>Purchase Rights</w:t>
      </w:r>
      <w:r>
        <w:rPr>
          <w:rFonts w:ascii="Times New Roman;serif" w:hAnsi="Times New Roman;serif"/>
          <w:b w:val="false"/>
          <w:sz w:val="24"/>
        </w:rPr>
        <w:t xml:space="preserve">. In addition to any adjustments pursuant to </w:t>
      </w:r>
      <w:r>
        <w:rPr>
          <w:rFonts w:ascii="Times New Roman;serif" w:hAnsi="Times New Roman;serif"/>
          <w:b/>
          <w:sz w:val="24"/>
        </w:rPr>
        <w:t>Section 4</w:t>
      </w:r>
      <w:r>
        <w:rPr>
          <w:rFonts w:ascii="Times New Roman;serif" w:hAnsi="Times New Roman;serif"/>
          <w:b w:val="false"/>
          <w:sz w:val="24"/>
        </w:rPr>
        <w:t xml:space="preserve">, if at any time the Company grants, issues or sells any shares of Common Stock or rights to purchase capital stock, securities or other property </w:t>
      </w:r>
      <w:r>
        <w:rPr>
          <w:rFonts w:ascii="Times New Roman;serif" w:hAnsi="Times New Roman;serif"/>
          <w:b w:val="false"/>
          <w:i/>
          <w:sz w:val="24"/>
        </w:rPr>
        <w:t>pro rata</w:t>
      </w:r>
      <w:r>
        <w:rPr/>
        <w:t xml:space="preserve"> </w:t>
      </w:r>
      <w:r>
        <w:rPr>
          <w:rFonts w:ascii="Times New Roman;serif" w:hAnsi="Times New Roman;serif"/>
          <w:b w:val="false"/>
          <w:sz w:val="24"/>
        </w:rPr>
        <w:t>to the record holders of Common Stock (the “</w:t>
      </w:r>
      <w:r>
        <w:rPr>
          <w:rFonts w:ascii="Times New Roman;serif" w:hAnsi="Times New Roman;serif"/>
          <w:b/>
          <w:i/>
          <w:sz w:val="24"/>
        </w:rPr>
        <w:t>Purchase Rights</w:t>
      </w:r>
      <w:r>
        <w:rPr/>
        <w:t>”</w:t>
      </w:r>
      <w:r>
        <w:rPr>
          <w:rFonts w:ascii="Times New Roman;serif" w:hAnsi="Times New Roman;serif"/>
          <w:b w:val="false"/>
          <w:sz w:val="24"/>
        </w:rPr>
        <w:t>), then the Holder shall be entitled (but not required) to acquire, upon the same terms applicable to such Purchase Rights, the aggregate Purchase Rights which the Holder would have acquired if the Holder had held the number of Warrant Shares acquirable upon complete exercise of this Warrant Certificate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240"/>
        <w:jc w:val="both"/>
        <w:rPr>
          <w:rFonts w:ascii="Times New Roman" w:hAnsi="Times New Roman"/>
          <w:b/>
          <w:sz w:val="24"/>
        </w:rPr>
      </w:pPr>
      <w:r>
        <w:rPr>
          <w:rFonts w:ascii="Times New Roman" w:hAnsi="Times New Roman"/>
          <w:b/>
          <w:sz w:val="24"/>
        </w:rPr>
        <w:t>Section 6.</w:t>
      </w:r>
    </w:p>
    <w:p>
      <w:pPr>
        <w:pStyle w:val="TextBody"/>
        <w:bidi w:val="0"/>
        <w:spacing w:before="0" w:after="240"/>
        <w:jc w:val="both"/>
        <w:rPr/>
      </w:pPr>
      <w:r>
        <w:rPr>
          <w:rFonts w:ascii="Times New Roman;serif" w:hAnsi="Times New Roman;serif"/>
          <w:b/>
          <w:sz w:val="24"/>
        </w:rPr>
        <w:t>Registration Rights</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sz w:val="24"/>
        </w:rPr>
        <w:t xml:space="preserve">Piggyback Registration Rights. </w:t>
      </w:r>
      <w:r>
        <w:rPr>
          <w:rFonts w:ascii="Times New Roman;serif" w:hAnsi="Times New Roman;serif"/>
          <w:b w:val="false"/>
          <w:sz w:val="24"/>
        </w:rPr>
        <w:t xml:space="preserve">If the Company proposes to register (including, for this purpose, a registration effected by the Company for stockholders other than the Holders) any of its securities, the Company shall, at such time, promptly give the Holder notice of such registration. Upon the request of the Holder given within twenty (20) days after such notice is given by the Company, the Company shall cause to be registered all of the Warrant Shares that the Holder has requested to be included in such registration. The Company shall have the right to terminate or withdraw any registration initiated by it under this </w:t>
      </w:r>
      <w:r>
        <w:rPr>
          <w:rFonts w:ascii="Times New Roman;serif" w:hAnsi="Times New Roman;serif"/>
          <w:b/>
          <w:sz w:val="24"/>
        </w:rPr>
        <w:t xml:space="preserve">Section 6(a) </w:t>
      </w:r>
      <w:r>
        <w:rPr>
          <w:rFonts w:ascii="Times New Roman;serif" w:hAnsi="Times New Roman;serif"/>
          <w:b w:val="false"/>
          <w:sz w:val="24"/>
        </w:rPr>
        <w:t xml:space="preserve">before the effective date of such registration, whether or not the Holder has elected to include Warrant Shares in such registration. </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sz w:val="24"/>
        </w:rPr>
        <w:t xml:space="preserve">Demand Registration Rights. </w:t>
      </w:r>
      <w:r>
        <w:rPr>
          <w:rFonts w:ascii="Times New Roman;serif" w:hAnsi="Times New Roman;serif"/>
          <w:b w:val="false"/>
          <w:sz w:val="24"/>
        </w:rPr>
        <w:t xml:space="preserve">In addition to the rights set forth in </w:t>
      </w:r>
      <w:r>
        <w:rPr>
          <w:rFonts w:ascii="Times New Roman;serif" w:hAnsi="Times New Roman;serif"/>
          <w:b/>
          <w:sz w:val="24"/>
        </w:rPr>
        <w:t>Section 6(a),</w:t>
      </w:r>
      <w:r>
        <w:rPr/>
        <w:t xml:space="preserve"> </w:t>
      </w:r>
      <w:r>
        <w:rPr>
          <w:rFonts w:ascii="Times New Roman;serif" w:hAnsi="Times New Roman;serif"/>
          <w:b w:val="false"/>
          <w:sz w:val="24"/>
        </w:rPr>
        <w:t>the Company shall use its commercially reasonable best efforts remain qualified to register securities under the Securities Act pursuant to a Registration Statement on Form S-3 or any successor form thereto. The Holder shall have the right to request up to three separate registrations of Warrant Shares on Form S-3 (or any similar short form registration statement) (a “</w:t>
      </w:r>
      <w:r>
        <w:rPr>
          <w:rFonts w:ascii="Times New Roman;serif" w:hAnsi="Times New Roman;serif"/>
          <w:b/>
          <w:i/>
          <w:sz w:val="24"/>
        </w:rPr>
        <w:t xml:space="preserve">Demand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i/>
          <w:sz w:val="24"/>
        </w:rPr>
        <w:t>Registration</w:t>
      </w:r>
      <w:r>
        <w:rPr/>
        <w:t>”</w:t>
      </w:r>
      <w:r>
        <w:rPr>
          <w:rFonts w:ascii="Times New Roman;serif" w:hAnsi="Times New Roman;serif"/>
          <w:b w:val="false"/>
          <w:sz w:val="24"/>
        </w:rPr>
        <w:t>). Each Demand Registration request shall specify the approximate number of Warrant Shares to be registered on the applicable Registration Statement. Upon receipt of a Demand Registration request, the Company shall cause a Registration Statement on Form S-3 (or any successor form) to register that number of Warrant Shares set forth on the Demand Registration request to be filed within thirty (30) days after the date that the initial Demand Registration request is given and shall use its commercially reasonable best efforts to cause such Registration Statement to be declared effective by the SEC as soon as practicable thereafter. The Company shall notify the Holder promptly after the Company receives notice that the Registration Statement has been declared effective or a supplement to any Prospectus forming part of such Registration Statement has been filed. The Company shall notify the Holder of its receipt of any notice of the issuance of any stop order by the SEC suspending the effectiveness of such Registration Statement (or the initiation or threatening of any proceedings for such purpose) and shall use its commercially reasonable best efforts to prevent the issuance of any such stop order or to obtain the withdrawal of such stop order, should it be issued. All expenses of a Demand Registration shall be borne by the Company unless the Demand Registration is withdrawn at the request of the Holder.</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sz w:val="24"/>
        </w:rPr>
        <w:t>Company Obligations; Cooperation</w:t>
      </w:r>
      <w:r>
        <w:rPr>
          <w:rFonts w:ascii="Times New Roman;serif" w:hAnsi="Times New Roman;serif"/>
          <w:b w:val="false"/>
          <w:sz w:val="24"/>
        </w:rPr>
        <w:t xml:space="preserve">. With respect to any Registration Statement covering any Warrant Shares, the Company shall be responsible for preparing and filing the Registration Statement, keeping such Registration Statement effective for a reasonable amount of time, preparing amendments and supplements to such Registration Statement, entering into a customary underwriting agreement with respect to such registration (if applicable), and complying with all other legal and regulatory requirements relating to such Registration Statement. The Holder shall reasonably cooperate with the Company with respect to the preparation and filing of any Registration Statement pursuant to which any of its Registrable Securities shall be registered. All expenses associated with a registration under this </w:t>
      </w:r>
      <w:r>
        <w:rPr>
          <w:rFonts w:ascii="Times New Roman;serif" w:hAnsi="Times New Roman;serif"/>
          <w:b/>
          <w:sz w:val="24"/>
        </w:rPr>
        <w:t xml:space="preserve">Section 6 </w:t>
      </w:r>
      <w:r>
        <w:rPr>
          <w:rFonts w:ascii="Times New Roman;serif" w:hAnsi="Times New Roman;serif"/>
          <w:b w:val="false"/>
          <w:sz w:val="24"/>
        </w:rPr>
        <w:t>shall be borne by the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sz w:val="24"/>
        </w:rPr>
      </w:pPr>
      <w:r>
        <w:rPr>
          <w:rFonts w:ascii="Times New Roman;serif" w:hAnsi="Times New Roman;serif"/>
          <w:b/>
          <w:sz w:val="24"/>
        </w:rPr>
        <w:t>Indemnification.</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 xml:space="preserve">To the extent permitted by law, the Company will indemnify and hold harmless the Holder, and the partners, members, officers, directors, and stockholders of the Holder; legal counsel and accountants for the Holder; any underwriter (as defined in the Securities Act) for the Holder; and each Person, if any, who controls the Holder or underwriter within the meaning of the Securities Act or the Exchange Act, against any loss, damage, claim or liability, and the Company will pay to each such Holder, underwriter, controlling Person, or other aforementioned Person any legal or other expenses reasonably incurred thereby in connection with investigating or defending any claim or proceeding from which any loss, damage, claim or liability may result, as such expenses are incurred;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xml:space="preserve">, that the indemnity agreement contained in this </w:t>
      </w:r>
      <w:r>
        <w:rPr>
          <w:rFonts w:ascii="Times New Roman;serif" w:hAnsi="Times New Roman;serif"/>
          <w:b/>
          <w:sz w:val="24"/>
        </w:rPr>
        <w:t>Section 6(d)(i)</w:t>
      </w:r>
      <w:r>
        <w:rPr/>
        <w:t xml:space="preserve"> </w:t>
      </w:r>
      <w:r>
        <w:rPr>
          <w:rFonts w:ascii="Times New Roman;serif" w:hAnsi="Times New Roman;serif"/>
          <w:b w:val="false"/>
          <w:sz w:val="24"/>
        </w:rPr>
        <w:t>shall not apply to amounts paid in settlement of any such claim or proceeding if such settlement is effected without the consent of the Company, which consent shall not be unreasonably withheld, nor shall the Company be liable for any loss, damage, claim or liability to the extent arising out of or based upon actions or omissions made in reliance upon and in conformity with written information furnished by or on behalf of the Holder, underwriter, controlling Person, or other aforementioned Person expressly for use in connection with such registration.</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To the extent permitted by law, the Holder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Person selling securities in such registration statement, and any controlling Person of any such underwriter or other Person, against any loss, damage, claim or liability, in each case only to the extent that such loss, damage, claim or liability arises out of or is based upon actions or omissions made in reliance upon and in conformity with written information furnished by or on behalf of the Holder expressly for use in connection with such registration; and the Holder will pay to the Company and each other aforementioned Person any legal or other expenses reasonably incurred thereby in connection with investigating or defending any claim or proceeding from which loss, damage, claim or liability may result, as such expenses are incurred;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xml:space="preserve">, that the indemnity agreement contained in this </w:t>
      </w:r>
      <w:r>
        <w:rPr>
          <w:rFonts w:ascii="Times New Roman;serif" w:hAnsi="Times New Roman;serif"/>
          <w:b/>
          <w:sz w:val="24"/>
        </w:rPr>
        <w:t>Section 6(d)(ii)</w:t>
      </w:r>
      <w:r>
        <w:rPr/>
        <w:t xml:space="preserve"> </w:t>
      </w:r>
      <w:r>
        <w:rPr>
          <w:rFonts w:ascii="Times New Roman;serif" w:hAnsi="Times New Roman;serif"/>
          <w:b w:val="false"/>
          <w:sz w:val="24"/>
        </w:rPr>
        <w:t xml:space="preserve">shall not apply to amounts paid in settlement of any such claim or proceeding if such settlement is effected without the consent of the Holder, which consent shall not be unreasonably withheld; and </w:t>
      </w:r>
      <w:r>
        <w:rPr>
          <w:rFonts w:ascii="Times New Roman;serif" w:hAnsi="Times New Roman;serif"/>
          <w:b w:val="false"/>
          <w:sz w:val="24"/>
          <w:u w:val="single"/>
        </w:rPr>
        <w:t>provided</w:t>
      </w:r>
      <w:r>
        <w:rPr/>
        <w:t xml:space="preserve"> </w:t>
      </w:r>
      <w:r>
        <w:rPr>
          <w:rFonts w:ascii="Times New Roman;serif" w:hAnsi="Times New Roman;serif"/>
          <w:b w:val="false"/>
          <w:sz w:val="24"/>
          <w:u w:val="single"/>
        </w:rPr>
        <w:t>further</w:t>
      </w:r>
      <w:r>
        <w:rPr/>
        <w:t xml:space="preserve"> </w:t>
      </w:r>
      <w:r>
        <w:rPr>
          <w:rFonts w:ascii="Times New Roman;serif" w:hAnsi="Times New Roman;serif"/>
          <w:b w:val="false"/>
          <w:sz w:val="24"/>
        </w:rPr>
        <w:t xml:space="preserve">that in no event shall the aggregate amounts payable by the Holder by way of indemnity or contribution under this </w:t>
      </w:r>
      <w:r>
        <w:rPr>
          <w:rFonts w:ascii="Times New Roman;serif" w:hAnsi="Times New Roman;serif"/>
          <w:b/>
          <w:sz w:val="24"/>
        </w:rPr>
        <w:t>Section 6(d)</w:t>
      </w:r>
      <w:r>
        <w:rPr/>
        <w:t xml:space="preserve"> </w:t>
      </w:r>
      <w:r>
        <w:rPr>
          <w:rFonts w:ascii="Times New Roman;serif" w:hAnsi="Times New Roman;serif"/>
          <w:b w:val="false"/>
          <w:sz w:val="24"/>
        </w:rPr>
        <w:t>exceed the proceeds from the offering received by the Holder (net of expenses), except in the case of fraud or willful misconduct by the Holder.</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sz w:val="24"/>
        </w:rPr>
        <w:t>Rule 144 Reporting</w:t>
      </w:r>
      <w:r>
        <w:rPr>
          <w:rFonts w:ascii="Times New Roman;serif" w:hAnsi="Times New Roman;serif"/>
          <w:b w:val="false"/>
          <w:sz w:val="24"/>
        </w:rPr>
        <w:t>. With a view to making available to the Holder the benefits of SEC Rule 144 and any other rule or regulation of the SEC that may at any time permit the Holder to sell securities of the Company to the public without registration or pursuant to a registration on Form S</w:t>
        <w:noBreakHyphen/>
        <w:t>3, the Company shall:</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make and keep available adequate current</w:t>
      </w:r>
      <w:r>
        <w:rPr>
          <w:u w:val="single"/>
        </w:rPr>
        <w:t xml:space="preserve"> </w:t>
      </w:r>
      <w:r>
        <w:rPr>
          <w:rFonts w:ascii="Times New Roman;serif" w:hAnsi="Times New Roman;serif"/>
          <w:b w:val="false"/>
          <w:sz w:val="24"/>
        </w:rPr>
        <w:t>public information, as those terms are understood and defined in SEC Rule 144, at all times after the effective date of the registration statement filed by the Company for its initial public offering;</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pPr>
      <w:r>
        <w:rPr>
          <w:rFonts w:ascii="Times New Roman;serif" w:hAnsi="Times New Roman;serif"/>
          <w:b w:val="false"/>
          <w:sz w:val="24"/>
        </w:rPr>
        <w:t>furnish to the Holder, so long as the Holder owns any Registrable Securities, forthwith upon request (A) to the extent accurate,</w:t>
      </w:r>
      <w:r>
        <w:rPr>
          <w:u w:val="single"/>
        </w:rPr>
        <w:t xml:space="preserve"> </w:t>
      </w:r>
      <w:r>
        <w:rPr>
          <w:rFonts w:ascii="Times New Roman;serif" w:hAnsi="Times New Roman;serif"/>
          <w:b w:val="false"/>
          <w:sz w:val="24"/>
        </w:rPr>
        <w:t>a written statement by the Company that it qualifies as a registrant whose securities may be resold pursuant to Form S</w:t>
        <w:noBreakHyphen/>
        <w:t>3; and (B) such other information as may be reasonably requested in availing the Holder of any rule or regulation of the SEC that permits the selling of any such securities without registration or pursuant to Form S</w:t>
        <w:noBreakHyphen/>
        <w:t>3.</w:t>
      </w:r>
    </w:p>
    <w:p>
      <w:pPr>
        <w:pStyle w:val="TextBody"/>
        <w:bidi w:val="0"/>
        <w:spacing w:before="0" w:after="240"/>
        <w:jc w:val="both"/>
        <w:rPr>
          <w:rFonts w:ascii="Times New Roman" w:hAnsi="Times New Roman"/>
          <w:b/>
          <w:sz w:val="24"/>
        </w:rPr>
      </w:pPr>
      <w:r>
        <w:rPr>
          <w:rFonts w:ascii="Times New Roman" w:hAnsi="Times New Roman"/>
          <w:b/>
          <w:sz w:val="24"/>
        </w:rPr>
        <w:t>Section 7.</w:t>
      </w:r>
    </w:p>
    <w:p>
      <w:pPr>
        <w:pStyle w:val="TextBody"/>
        <w:bidi w:val="0"/>
        <w:spacing w:before="0" w:after="240"/>
        <w:jc w:val="both"/>
        <w:rPr/>
      </w:pPr>
      <w:r>
        <w:rPr>
          <w:rFonts w:ascii="Times New Roman;serif" w:hAnsi="Times New Roman;serif"/>
          <w:b/>
          <w:sz w:val="24"/>
        </w:rPr>
        <w:t>Warrant Register</w:t>
      </w:r>
      <w:r>
        <w:rPr>
          <w:rFonts w:ascii="Times New Roman;serif" w:hAnsi="Times New Roman;serif"/>
          <w:b w:val="false"/>
          <w:sz w:val="24"/>
        </w:rPr>
        <w:t>. The Company shall keep and properly maintain at its principal executive offices a register (the “</w:t>
      </w:r>
      <w:r>
        <w:rPr>
          <w:rFonts w:ascii="Times New Roman;serif" w:hAnsi="Times New Roman;serif"/>
          <w:b/>
          <w:i/>
          <w:sz w:val="24"/>
        </w:rPr>
        <w:t>Warrant Register</w:t>
      </w:r>
      <w:r>
        <w:rPr/>
        <w:t>”</w:t>
      </w:r>
      <w:r>
        <w:rPr>
          <w:rFonts w:ascii="Times New Roman;serif" w:hAnsi="Times New Roman;serif"/>
          <w:b w:val="false"/>
          <w:sz w:val="24"/>
        </w:rPr>
        <w:t>) for the registration of this Warrant Certificate and any transfers thereof. The Company may deem and treat the Person in whose 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Section 8.</w:t>
      </w:r>
    </w:p>
    <w:p>
      <w:pPr>
        <w:pStyle w:val="TextBody"/>
        <w:bidi w:val="0"/>
        <w:spacing w:before="0" w:after="240"/>
        <w:jc w:val="both"/>
        <w:rPr/>
      </w:pPr>
      <w:r>
        <w:rPr>
          <w:rFonts w:ascii="Times New Roman;serif" w:hAnsi="Times New Roman;serif"/>
          <w:b/>
          <w:sz w:val="24"/>
        </w:rPr>
        <w:t>Transfer of Warrant Certificate</w:t>
      </w:r>
      <w:r>
        <w:rPr>
          <w:rFonts w:ascii="Times New Roman;serif" w:hAnsi="Times New Roman;serif"/>
          <w:b w:val="false"/>
          <w:sz w:val="24"/>
        </w:rPr>
        <w:t xml:space="preserve">. Subject to </w:t>
      </w:r>
      <w:r>
        <w:rPr>
          <w:rFonts w:ascii="Times New Roman;serif" w:hAnsi="Times New Roman;serif"/>
          <w:b/>
          <w:sz w:val="24"/>
        </w:rPr>
        <w:t>Section 12</w:t>
      </w:r>
      <w:r>
        <w:rPr/>
        <w:t xml:space="preserve"> </w:t>
      </w:r>
      <w:r>
        <w:rPr>
          <w:rFonts w:ascii="Times New Roman;serif" w:hAnsi="Times New Roman;serif"/>
          <w:b w:val="false"/>
          <w:sz w:val="24"/>
        </w:rPr>
        <w:t xml:space="preserve">hereof, this Warrant Certificate and all rights hereunder are transferable, in whole or in part, by the Holder without charge to the Holder, upon surrender of this Warrant Certificate to the Company at its then principal executive offices with a properly completed and duly executed Assignment in the form attached hereto as </w:t>
      </w:r>
      <w:r>
        <w:rPr>
          <w:rFonts w:ascii="Times New Roman;serif" w:hAnsi="Times New Roman;serif"/>
          <w:b/>
          <w:sz w:val="24"/>
        </w:rPr>
        <w:t>Exhibit B</w:t>
      </w:r>
      <w:r>
        <w:rPr>
          <w:rFonts w:ascii="Times New Roman;serif" w:hAnsi="Times New Roman;serif"/>
          <w:b w:val="false"/>
          <w:sz w:val="24"/>
        </w:rPr>
        <w:t xml:space="preserve">. Upon such compliance, surrender and delivery,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 </w:t>
      </w:r>
    </w:p>
    <w:p>
      <w:pPr>
        <w:pStyle w:val="TextBody"/>
        <w:bidi w:val="0"/>
        <w:spacing w:before="0" w:after="240"/>
        <w:jc w:val="both"/>
        <w:rPr>
          <w:rFonts w:ascii="Times New Roman" w:hAnsi="Times New Roman"/>
          <w:b/>
          <w:sz w:val="24"/>
        </w:rPr>
      </w:pPr>
      <w:r>
        <w:rPr>
          <w:rFonts w:ascii="Times New Roman" w:hAnsi="Times New Roman"/>
          <w:b/>
          <w:sz w:val="24"/>
        </w:rPr>
        <w:t>Section 9.</w:t>
      </w:r>
    </w:p>
    <w:p>
      <w:pPr>
        <w:pStyle w:val="TextBody"/>
        <w:bidi w:val="0"/>
        <w:spacing w:before="0" w:after="240"/>
        <w:jc w:val="both"/>
        <w:rPr/>
      </w:pPr>
      <w:r>
        <w:rPr>
          <w:rFonts w:ascii="Times New Roman;serif" w:hAnsi="Times New Roman;serif"/>
          <w:b/>
          <w:sz w:val="24"/>
        </w:rPr>
        <w:t>The Holder Not Deemed a Stockholder; Limitations on Liability</w:t>
      </w:r>
      <w:r>
        <w:rPr>
          <w:rFonts w:ascii="Times New Roman;serif" w:hAnsi="Times New Roman;serif"/>
          <w:b w:val="false"/>
          <w:sz w:val="24"/>
        </w:rPr>
        <w:t xml:space="preserve">. Except as otherwise specifically provided herein, prior to the issuance to the Holder of the Warrant Shares to which the Holder is then entitled to receive upon the due exercise of this Warrant Certificate, the Holder shall not be entitled to vote or receive dividends or be deemed the holder of shares of capital stock of the Company for any purpose, nor shall anything contained in this Warrant Certificate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In addition, nothing contained in this Warrant Certificate shall be construed as imposing any liabilities on the Holder to purchase any securities (upon exercise of this Warrant Certificate or otherwise) or as a stockholder of the Company, whether such liabilities are asserted by the Company or by creditors of the Company. Notwithstanding this </w:t>
      </w:r>
      <w:r>
        <w:rPr>
          <w:rFonts w:ascii="Times New Roman;serif" w:hAnsi="Times New Roman;serif"/>
          <w:b/>
          <w:sz w:val="24"/>
        </w:rPr>
        <w:t>Section 9</w:t>
      </w:r>
      <w:r>
        <w:rPr>
          <w:rFonts w:ascii="Times New Roman;serif" w:hAnsi="Times New Roman;serif"/>
          <w:b w:val="false"/>
          <w:sz w:val="24"/>
        </w:rPr>
        <w:t>, the Company shall provide the Holder with copies of the same notices and other information given to the stockholders of the Company generally, contemporaneously with the giving thereof to the stockholders.</w:t>
      </w:r>
    </w:p>
    <w:p>
      <w:pPr>
        <w:pStyle w:val="TextBody"/>
        <w:bidi w:val="0"/>
        <w:spacing w:before="0" w:after="240"/>
        <w:jc w:val="both"/>
        <w:rPr>
          <w:rFonts w:ascii="Times New Roman" w:hAnsi="Times New Roman"/>
          <w:b/>
          <w:sz w:val="24"/>
        </w:rPr>
      </w:pPr>
      <w:r>
        <w:rPr>
          <w:rFonts w:ascii="Times New Roman" w:hAnsi="Times New Roman"/>
          <w:b/>
          <w:sz w:val="24"/>
        </w:rPr>
        <w:t>Section 10.</w:t>
      </w:r>
    </w:p>
    <w:p>
      <w:pPr>
        <w:pStyle w:val="TextBody"/>
        <w:bidi w:val="0"/>
        <w:spacing w:before="0" w:after="240"/>
        <w:jc w:val="both"/>
        <w:rPr/>
      </w:pPr>
      <w:r>
        <w:rPr>
          <w:rFonts w:ascii="Times New Roman;serif" w:hAnsi="Times New Roman;serif"/>
          <w:b/>
          <w:sz w:val="24"/>
        </w:rPr>
        <w:t>Replacement on Loss; Division and Combination</w:t>
      </w:r>
      <w:r>
        <w:rPr>
          <w:rFonts w:ascii="Times New Roman;serif" w:hAnsi="Times New Roman;serif"/>
          <w:b w:val="false"/>
          <w:sz w:val="24"/>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sz w:val="24"/>
        </w:rPr>
        <w:t>Replacement of Warrant Certificate</w:t>
      </w:r>
      <w:r>
        <w:rPr/>
        <w:t xml:space="preserve"> </w:t>
      </w:r>
      <w:r>
        <w:rPr>
          <w:rFonts w:ascii="Times New Roman;serif" w:hAnsi="Times New Roman;serif"/>
          <w:b/>
          <w:sz w:val="24"/>
        </w:rPr>
        <w:t>on Loss</w:t>
      </w:r>
      <w:r>
        <w:rPr>
          <w:rFonts w:ascii="Times New Roman;serif" w:hAnsi="Times New Roman;serif"/>
          <w:b w:val="false"/>
          <w:sz w:val="24"/>
        </w:rPr>
        <w:t xml:space="preserve">. Upon receipt of evidence reasonably satisfactory to the Company of the loss, 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serif" w:hAnsi="Times New Roman;serif"/>
          <w:b w:val="false"/>
          <w:sz w:val="24"/>
          <w:u w:val="single"/>
        </w:rPr>
        <w:t>provided</w:t>
      </w:r>
      <w:r>
        <w:rPr/>
        <w:t xml:space="preserve"> </w:t>
      </w:r>
      <w:r>
        <w:rPr>
          <w:rFonts w:ascii="Times New Roman;serif" w:hAnsi="Times New Roman;serif"/>
          <w:b w:val="false"/>
          <w:sz w:val="24"/>
        </w:rPr>
        <w:t>that, in the case of mutilation, no indemnity shall be required if this Warrant Certificate in identifiable form is surrendered to the Company for cancellation.</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sz w:val="24"/>
        </w:rPr>
        <w:t>Division and Combination of Warrant Certificate</w:t>
      </w:r>
      <w:r>
        <w:rPr>
          <w:rFonts w:ascii="Times New Roman;serif" w:hAnsi="Times New Roman;serif"/>
          <w:b w:val="false"/>
          <w:sz w:val="24"/>
        </w:rPr>
        <w:t xml:space="preserve">. Subject to compliance with the applicable provisions of this Warrant 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the respective Holders or their agents or attorneys. Subject to compliance with the applicable provisions of this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r>
        <w:rPr/>
        <w:t xml:space="preserve"> </w:t>
      </w:r>
    </w:p>
    <w:p>
      <w:pPr>
        <w:pStyle w:val="TextBody"/>
        <w:bidi w:val="0"/>
        <w:spacing w:before="0" w:after="240"/>
        <w:jc w:val="both"/>
        <w:rPr>
          <w:rFonts w:ascii="Times New Roman" w:hAnsi="Times New Roman"/>
          <w:b/>
          <w:sz w:val="24"/>
        </w:rPr>
      </w:pPr>
      <w:r>
        <w:rPr>
          <w:rFonts w:ascii="Times New Roman" w:hAnsi="Times New Roman"/>
          <w:b/>
          <w:sz w:val="24"/>
        </w:rPr>
        <w:t>Section 11.</w:t>
      </w:r>
    </w:p>
    <w:p>
      <w:pPr>
        <w:pStyle w:val="TextBody"/>
        <w:bidi w:val="0"/>
        <w:spacing w:before="0" w:after="240"/>
        <w:jc w:val="both"/>
        <w:rPr/>
      </w:pPr>
      <w:r>
        <w:rPr>
          <w:rFonts w:ascii="Times New Roman;serif" w:hAnsi="Times New Roman;serif"/>
          <w:b/>
          <w:sz w:val="24"/>
        </w:rPr>
        <w:t>No Impairment</w:t>
      </w:r>
      <w:r>
        <w:rPr>
          <w:rFonts w:ascii="Times New Roman;serif" w:hAnsi="Times New Roman;serif"/>
          <w:b w:val="false"/>
          <w:sz w:val="24"/>
        </w:rPr>
        <w:t>. 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Certificate and in the taking of all such action as may reasonably be requested by the Holder in order to protect the exercise rights of the Holder against dilution or other impairment, consistent with the tenor and purpose of this Warrant Certificate.</w:t>
      </w:r>
    </w:p>
    <w:p>
      <w:pPr>
        <w:pStyle w:val="TextBody"/>
        <w:bidi w:val="0"/>
        <w:spacing w:before="0" w:after="240"/>
        <w:jc w:val="left"/>
        <w:rPr>
          <w:rFonts w:ascii="Times New Roman" w:hAnsi="Times New Roman"/>
          <w:b/>
          <w:sz w:val="24"/>
        </w:rPr>
      </w:pPr>
      <w:r>
        <w:rPr>
          <w:rFonts w:ascii="Times New Roman" w:hAnsi="Times New Roman"/>
          <w:b/>
          <w:sz w:val="24"/>
        </w:rPr>
        <w:t>Section 12.</w:t>
      </w:r>
    </w:p>
    <w:p>
      <w:pPr>
        <w:pStyle w:val="TextBody"/>
        <w:bidi w:val="0"/>
        <w:spacing w:before="0" w:after="240"/>
        <w:jc w:val="left"/>
        <w:rPr/>
      </w:pPr>
      <w:r>
        <w:rPr>
          <w:rFonts w:ascii="Times New Roman;serif" w:hAnsi="Times New Roman;serif"/>
          <w:b/>
          <w:sz w:val="24"/>
        </w:rPr>
        <w:t>Compliance with the Securities Act</w:t>
      </w:r>
      <w:r>
        <w:rPr>
          <w:rFonts w:ascii="Times New Roman;serif" w:hAnsi="Times New Roman;serif"/>
          <w:b w:val="false"/>
          <w:sz w:val="24"/>
        </w:rPr>
        <w:t xml:space="preserve">. </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sz w:val="24"/>
        </w:rPr>
        <w:t>Agreement to Comply with the Securities Act, etc.</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sz w:val="24"/>
        </w:rPr>
        <w:t>Legend</w:t>
      </w:r>
      <w:r>
        <w:rPr>
          <w:rFonts w:ascii="Times New Roman;serif" w:hAnsi="Times New Roman;serif"/>
          <w:b w:val="false"/>
          <w:sz w:val="24"/>
        </w:rPr>
        <w:t xml:space="preserve">. The Holder, by acceptance of this Warrant Certificate, agrees to comply in all respects with the provisions of this </w:t>
      </w:r>
      <w:r>
        <w:rPr>
          <w:rFonts w:ascii="Times New Roman;serif" w:hAnsi="Times New Roman;serif"/>
          <w:b/>
          <w:sz w:val="24"/>
        </w:rPr>
        <w:t>Section 12</w:t>
      </w:r>
      <w:r>
        <w:rPr/>
        <w:t xml:space="preserve"> </w:t>
      </w:r>
      <w:r>
        <w:rPr>
          <w:rFonts w:ascii="Times New Roman;serif" w:hAnsi="Times New Roman;serif"/>
          <w:b w:val="false"/>
          <w:sz w:val="24"/>
        </w:rPr>
        <w:t xml:space="preserve">and the restrictive legend requirements set forth on the face of this Warrant Certificate and further agrees that such Holder shall not offer, sell or otherwise dispose of this Warrant Certificate or any Warrant Shares to be issued upon exercise hereof except under circumstances that will not result in a violation of the Securities Act. Subject to </w:t>
      </w:r>
      <w:r>
        <w:rPr>
          <w:rFonts w:ascii="Times New Roman;serif" w:hAnsi="Times New Roman;serif"/>
          <w:b/>
          <w:sz w:val="24"/>
        </w:rPr>
        <w:t>clause (ii)</w:t>
      </w:r>
      <w:r>
        <w:rPr/>
        <w:t xml:space="preserve"> </w:t>
      </w:r>
      <w:r>
        <w:rPr>
          <w:rFonts w:ascii="Times New Roman;serif" w:hAnsi="Times New Roman;serif"/>
          <w:b w:val="false"/>
          <w:sz w:val="24"/>
        </w:rPr>
        <w:t>below, this Warrant Certificate and all Warrant Shares issued upon exercise of this Warrant Certificate (unless registered under the Securities Act) shall be stamped or imprinted with a legend in substantially the following form:</w:t>
      </w:r>
    </w:p>
    <w:p>
      <w:pPr>
        <w:pStyle w:val="TextBody"/>
        <w:bidi w:val="0"/>
        <w:spacing w:before="0" w:after="240"/>
        <w:jc w:val="both"/>
        <w:rPr/>
      </w:pPr>
      <w:r>
        <w:rPr/>
        <w:t>“</w:t>
      </w:r>
      <w:r>
        <w:rPr>
          <w:rFonts w:ascii="Times New Roman;serif" w:hAnsi="Times New Roman;serif"/>
          <w:b w:val="false"/>
          <w:sz w:val="24"/>
        </w:rPr>
        <w:t xml:space="preserve">THIS WARRANT </w:t>
      </w:r>
      <w:r>
        <w:rPr>
          <w:rFonts w:ascii="Times New Roman;serif" w:hAnsi="Times New Roman;serif"/>
          <w:b w:val="false"/>
          <w:caps/>
          <w:sz w:val="24"/>
        </w:rPr>
        <w:t>Certificate</w:t>
      </w:r>
      <w:r>
        <w:rPr>
          <w:rFonts w:ascii="Times New Roman" w:hAnsi="Times New Roman"/>
          <w:sz w:val="20"/>
        </w:rPr>
        <w:t xml:space="preserve"> </w:t>
      </w:r>
      <w:r>
        <w:rPr>
          <w:rFonts w:ascii="Times New Roman;serif" w:hAnsi="Times New Roman;serif"/>
          <w:b w:val="false"/>
          <w:sz w:val="24"/>
        </w:rPr>
        <w:t xml:space="preserve">AND THE SECURITIES ISSUABLE UPON EXERCISE OF THIS WARRANT </w:t>
      </w:r>
      <w:r>
        <w:rPr>
          <w:rFonts w:ascii="Times New Roman;serif" w:hAnsi="Times New Roman;serif"/>
          <w:b w:val="false"/>
          <w:caps/>
          <w:sz w:val="24"/>
        </w:rPr>
        <w:t>Certificate</w:t>
      </w:r>
      <w:r>
        <w:rPr>
          <w:rFonts w:ascii="Times New Roman" w:hAnsi="Times New Roman"/>
          <w:sz w:val="20"/>
        </w:rPr>
        <w:t xml:space="preserve"> </w:t>
      </w:r>
      <w:r>
        <w:rPr>
          <w:rFonts w:ascii="Times New Roman;serif" w:hAnsi="Times New Roman;serif"/>
          <w:b w:val="false"/>
          <w:sz w:val="24"/>
        </w:rPr>
        <w:t>HAVE NOT BEEN REGISTERED UNDER THE SECURITIES ACT OF 1933, AS AMENDED (THE “</w:t>
      </w:r>
      <w:r>
        <w:rPr>
          <w:rFonts w:ascii="Times New Roman;serif" w:hAnsi="Times New Roman;serif"/>
          <w:b/>
          <w:i/>
          <w:sz w:val="24"/>
        </w:rPr>
        <w:t>ACT</w:t>
      </w:r>
      <w:r>
        <w:rPr>
          <w:rFonts w:ascii="Times New Roman" w:hAnsi="Times New Roman"/>
          <w:sz w:val="20"/>
        </w:rPr>
        <w:t>”</w:t>
      </w:r>
      <w:r>
        <w:rPr>
          <w:rFonts w:ascii="Times New Roman;serif" w:hAnsi="Times New Roman;serif"/>
          <w:b w:val="false"/>
          <w:sz w:val="24"/>
        </w:rPr>
        <w: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 UNDER THE ACT AND THE QUALIFICATION REQUIREMENTS UNDER APPLICABLE STATE AND FOREIGN LAW AND, IF THE COMPANY REQUESTS, AN OPINION SATISFACTORY TO THE COMPANY TO SUCH EFFECT HAS BEEN RENDERED BY COUNSEL.”</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sz w:val="24"/>
        </w:rPr>
        <w:t>Removal of Restrictive Legends</w:t>
      </w:r>
      <w:r>
        <w:rPr>
          <w:rFonts w:ascii="Times New Roman;serif" w:hAnsi="Times New Roman;serif"/>
          <w:b w:val="false"/>
          <w:sz w:val="24"/>
        </w:rPr>
        <w:t xml:space="preserve">. Neither this Warrant Certificate nor any certificates evidencing Warrant Shares or any other shares of Common Stock issuable or deliverable under or in connection with this Warrant Certificate shall contain any legend restricting the transfer thereof (including the legend set forth above in </w:t>
      </w:r>
      <w:r>
        <w:rPr>
          <w:rFonts w:ascii="Times New Roman;serif" w:hAnsi="Times New Roman;serif"/>
          <w:b/>
          <w:sz w:val="24"/>
        </w:rPr>
        <w:t>clause (i)</w:t>
      </w:r>
      <w:r>
        <w:rPr>
          <w:rFonts w:ascii="Times New Roman;serif" w:hAnsi="Times New Roman;serif"/>
          <w:b w:val="false"/>
          <w:sz w:val="24"/>
        </w:rPr>
        <w:t>) in any of the following circumstances: (A) while a Registration Statement covering the sale or resale of Warrant Shares is effective under the Securities Act, (B) following any sale of this Warrant Certificate, any Warrant Shares or any other shares of Common Stock issued or delivered to the Holder under or in connection here with pursuant to Rule 144, (C) if this Warrant Certificate, Warrant Shares or any other such share of Common Stock are eligible for sale under Rule 144(b)(1), or (D) if such legend is not required under applicable requirements of the Securities Act (including judicial interpretations and pronouncements issued by the staff of the SEC) (collectively, the “</w:t>
      </w:r>
      <w:r>
        <w:rPr>
          <w:rFonts w:ascii="Times New Roman;serif" w:hAnsi="Times New Roman;serif"/>
          <w:b/>
          <w:i/>
          <w:sz w:val="24"/>
        </w:rPr>
        <w:t>Unrestricted Conditions</w:t>
      </w:r>
      <w:r>
        <w:rPr/>
        <w:t>”</w:t>
      </w:r>
      <w:r>
        <w:rPr>
          <w:rFonts w:ascii="Times New Roman;serif" w:hAnsi="Times New Roman;serif"/>
          <w:b w:val="false"/>
          <w:sz w:val="24"/>
        </w:rPr>
        <w:t xml:space="preserve">). The Company shall cause its counsel to issue a legal opinion to the Transfer Agent if required by such Transfer Agent to effect the issuance of Warrant Shares or the or any other shares of equity securities issuable or deliverable under or in connection with this Warrant Certificate, as applicable, without a restrictive legend or removal of the legend hereunder. If the Unrestricted Conditions are met at the time of issuance of this Warrant Certificate, the Warrant Shares or such other shares of equity securities, then this Warrant Certificate, Warrant Shares or other equity securities, as the case may be, shall be issued free of all legends. </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pPr>
      <w:r>
        <w:rPr>
          <w:rFonts w:ascii="Times New Roman;serif" w:hAnsi="Times New Roman;serif"/>
          <w:b/>
          <w:sz w:val="24"/>
        </w:rPr>
        <w:t>Replacement Warrant Certificate</w:t>
      </w:r>
      <w:r>
        <w:rPr>
          <w:rFonts w:ascii="Times New Roman;serif" w:hAnsi="Times New Roman;serif"/>
          <w:b w:val="false"/>
          <w:sz w:val="24"/>
        </w:rPr>
        <w:t>. The Company agrees that at such time as the Unrestricted Conditions have been satisfied it shall promptly (but in any event within three (3) Business Days) following written request from the Holder issue a replacement Warrant Certificate or replacement Warrant Shares or replacement shares in respect of such other Common Stock, as the case may be, free of all restrictive legends.</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pPr>
      <w:r>
        <w:rPr>
          <w:rFonts w:ascii="Times New Roman;serif" w:hAnsi="Times New Roman;serif"/>
          <w:b/>
          <w:sz w:val="24"/>
        </w:rPr>
        <w:t>Sale of Unlegended Shares</w:t>
      </w:r>
      <w:r>
        <w:rPr>
          <w:rFonts w:ascii="Times New Roman;serif" w:hAnsi="Times New Roman;serif"/>
          <w:b w:val="false"/>
          <w:sz w:val="24"/>
        </w:rPr>
        <w:t xml:space="preserve">. The Holder agrees that the removal of the restrictive legend from this Warrant Certificate and any certificates representing securities as set forth in </w:t>
      </w:r>
      <w:r>
        <w:rPr>
          <w:rFonts w:ascii="Times New Roman;serif" w:hAnsi="Times New Roman;serif"/>
          <w:b/>
          <w:sz w:val="24"/>
        </w:rPr>
        <w:t>Section 12(a)(ii)</w:t>
      </w:r>
      <w:r>
        <w:rPr/>
        <w:t xml:space="preserve"> </w:t>
      </w:r>
      <w:r>
        <w:rPr>
          <w:rFonts w:ascii="Times New Roman;serif" w:hAnsi="Times New Roman;serif"/>
          <w:b w:val="false"/>
          <w:sz w:val="24"/>
        </w:rPr>
        <w:t>above is predicated upon the Company’s reliance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sz w:val="24"/>
        </w:rPr>
        <w:t>Representations of the Holder</w:t>
      </w:r>
      <w:r>
        <w:rPr>
          <w:rFonts w:ascii="Times New Roman;serif" w:hAnsi="Times New Roman;serif"/>
          <w:b w:val="false"/>
          <w:sz w:val="24"/>
        </w:rPr>
        <w:t>. In connection with the issuance of this Warrant Certificate, the Holder specifically represents, as of the date hereof, to the Company by acceptance of this Warrant Certificate as follows:</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Holder is an “accredited investor” as defined in Rule 501 of Regulation D promulgated under the Securities Act. The Holder is acquiring this Warrant Certificate and the Warrant Shares to be issued upon exercise hereof for investment for its own account and not with a view towards, or for resale in connection with, the public sale or distribution of this Warrant Certificate or the Warrant Shares, except pursuant to sales registered or exempted under the Securities Act. </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Holder understands and acknowledges that this Warrant Certificate and the Warrant Shares to be issued upon exercise hereof are “restricted securities” under the federal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and understands the resale limitations imposed thereby and by the Securities Act.</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Holder acknowledges that it can bear the economic and financial risk of its investment for an indefinite period, and has such knowledge and experience in financial or business matters that it is capable of evaluating the merits and risks of the investment in this Warrant Certificate and the Warrant Shares. The Holder has had an opportunity to ask questions and receive answers from the Company regarding the terms and conditions of the offering of this Warrant Certificate and the business, properties, prospects and financial condition of the Company.</w:t>
      </w:r>
    </w:p>
    <w:p>
      <w:pPr>
        <w:pStyle w:val="TextBody"/>
        <w:bidi w:val="0"/>
        <w:spacing w:before="0" w:after="240"/>
        <w:jc w:val="both"/>
        <w:rPr>
          <w:rFonts w:ascii="Times New Roman" w:hAnsi="Times New Roman"/>
          <w:b/>
          <w:sz w:val="24"/>
        </w:rPr>
      </w:pPr>
      <w:r>
        <w:rPr>
          <w:rFonts w:ascii="Times New Roman" w:hAnsi="Times New Roman"/>
          <w:b/>
          <w:sz w:val="24"/>
        </w:rPr>
        <w:t>Section 13.</w:t>
      </w:r>
    </w:p>
    <w:p>
      <w:pPr>
        <w:pStyle w:val="TextBody"/>
        <w:bidi w:val="0"/>
        <w:spacing w:before="0" w:after="240"/>
        <w:jc w:val="both"/>
        <w:rPr/>
      </w:pPr>
      <w:r>
        <w:rPr>
          <w:rFonts w:ascii="Times New Roman;serif" w:hAnsi="Times New Roman;serif"/>
          <w:b/>
          <w:sz w:val="24"/>
        </w:rPr>
        <w:t>Notices</w:t>
      </w:r>
      <w:r>
        <w:rPr>
          <w:rFonts w:ascii="Times New Roman;serif" w:hAnsi="Times New Roman;serif"/>
          <w:b w:val="false"/>
          <w:sz w:val="24"/>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serif" w:hAnsi="Times New Roman;serif"/>
          <w:b/>
          <w:sz w:val="24"/>
        </w:rPr>
        <w:t>Section 13</w:t>
      </w:r>
      <w:r>
        <w:rPr>
          <w:rFonts w:ascii="Times New Roman;serif" w:hAnsi="Times New Roman;serif"/>
          <w:b w:val="false"/>
          <w:sz w:val="24"/>
        </w:rPr>
        <w:t xml:space="preserv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If to the Company: Biodesix, Inc.</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2970 Wilderness Place, Suite 100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Boulder, CO 80301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Attention: Scott Hutton/Robin Harper Cowie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 xml:space="preserve">E-mail: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with a copy to: Sidley Austin LLP</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555 California Street, Suite 2000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San Francisco, CA 94104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Attention: Frank Rahmani/Samir Gandhi</w:t>
      </w:r>
    </w:p>
    <w:p>
      <w:pPr>
        <w:pStyle w:val="TextBody"/>
        <w:bidi w:val="0"/>
        <w:spacing w:before="0" w:after="0"/>
        <w:jc w:val="left"/>
        <w:rPr>
          <w:rFonts w:ascii="Times New Roman" w:hAnsi="Times New Roman"/>
          <w:sz w:val="20"/>
        </w:rPr>
      </w:pPr>
      <w:r>
        <w:rPr>
          <w:rFonts w:ascii="Times New Roman;serif" w:hAnsi="Times New Roman;serif"/>
          <w:b w:val="false"/>
          <w:sz w:val="24"/>
        </w:rPr>
        <w:t>E-mail: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If to the Holder: Perceptive Credit Holdings IV, LP</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c/o Perceptive Advisors LLC</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51 Astor Place, 10th Floor</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New York, NY 10003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Attention: Sandeep Dixit</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 xml:space="preserve">E-mail: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with a copy to: Chapman and Cutler LLP</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1270 Avenue of the Americas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New York, NY 10020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Attention: Nicholas Whitney</w:t>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Section 14.</w:t>
      </w:r>
    </w:p>
    <w:p>
      <w:pPr>
        <w:pStyle w:val="TextBody"/>
        <w:bidi w:val="0"/>
        <w:spacing w:before="0" w:after="240"/>
        <w:jc w:val="both"/>
        <w:rPr/>
      </w:pPr>
      <w:r>
        <w:rPr>
          <w:rFonts w:ascii="Times New Roman;serif" w:hAnsi="Times New Roman;serif"/>
          <w:b/>
          <w:sz w:val="24"/>
        </w:rPr>
        <w:t>Cumulative Remedies</w:t>
      </w:r>
      <w:r>
        <w:rPr>
          <w:rFonts w:ascii="Times New Roman;serif" w:hAnsi="Times New Roman;serif"/>
          <w:b w:val="false"/>
          <w:sz w:val="24"/>
        </w:rPr>
        <w:t xml:space="preserve">. The rights and remedies provided in this Warrant Certificate are cumulative and are not exclusive of, and are in addition to and not in substitution for, any other rights or remedies available at law, in equity or otherwise. </w:t>
      </w:r>
    </w:p>
    <w:p>
      <w:pPr>
        <w:pStyle w:val="TextBody"/>
        <w:bidi w:val="0"/>
        <w:spacing w:before="0" w:after="240"/>
        <w:jc w:val="both"/>
        <w:rPr>
          <w:rFonts w:ascii="Times New Roman" w:hAnsi="Times New Roman"/>
          <w:b/>
          <w:sz w:val="24"/>
        </w:rPr>
      </w:pPr>
      <w:r>
        <w:rPr>
          <w:rFonts w:ascii="Times New Roman" w:hAnsi="Times New Roman"/>
          <w:b/>
          <w:sz w:val="24"/>
        </w:rPr>
        <w:t>Section 15.</w:t>
      </w:r>
    </w:p>
    <w:p>
      <w:pPr>
        <w:pStyle w:val="TextBody"/>
        <w:bidi w:val="0"/>
        <w:spacing w:before="0" w:after="240"/>
        <w:jc w:val="both"/>
        <w:rPr/>
      </w:pPr>
      <w:r>
        <w:rPr>
          <w:rFonts w:ascii="Times New Roman;serif" w:hAnsi="Times New Roman;serif"/>
          <w:b/>
          <w:sz w:val="24"/>
        </w:rPr>
        <w:t>Equitable Relief</w:t>
      </w:r>
      <w:r>
        <w:rPr>
          <w:rFonts w:ascii="Times New Roman;serif" w:hAnsi="Times New Roman;serif"/>
          <w:b w:val="false"/>
          <w:sz w:val="24"/>
        </w:rPr>
        <w:t>. Each of the Company and the Holder acknowledges that a breach or threatened breach by such party of any of its obligations under this Warrant Certificate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 The Holder and the Company further acknowledge and agree that (i) sums payable hereunder are meant to be treated as liquidated damages and not penalties, (ii) the amount of loss or damages likely to be incurred by the Holder as a result of the Company’s breach of any its obligations hereunder is incapable or is difficult to precisely estimate, (iii) the amounts payable hereunder (and calculations in respect thereof) are reasonable and are not plainly or grossly disproportionate to the probable loss likely to be incurred by the Holder, and (iv) the parties hereto are sophisticated business parties and have been represented by sophisticated and able legal and financial counsel and negotiated this Agreement at arm’s length.</w:t>
      </w:r>
    </w:p>
    <w:p>
      <w:pPr>
        <w:pStyle w:val="TextBody"/>
        <w:bidi w:val="0"/>
        <w:spacing w:before="0" w:after="240"/>
        <w:jc w:val="both"/>
        <w:rPr>
          <w:rFonts w:ascii="Times New Roman" w:hAnsi="Times New Roman"/>
          <w:b/>
          <w:sz w:val="24"/>
        </w:rPr>
      </w:pPr>
      <w:r>
        <w:rPr>
          <w:rFonts w:ascii="Times New Roman" w:hAnsi="Times New Roman"/>
          <w:b/>
          <w:sz w:val="24"/>
        </w:rPr>
        <w:t>Section 16.</w:t>
      </w:r>
    </w:p>
    <w:p>
      <w:pPr>
        <w:pStyle w:val="TextBody"/>
        <w:bidi w:val="0"/>
        <w:spacing w:before="0" w:after="240"/>
        <w:jc w:val="both"/>
        <w:rPr/>
      </w:pPr>
      <w:r>
        <w:rPr>
          <w:rFonts w:ascii="Times New Roman;serif" w:hAnsi="Times New Roman;serif"/>
          <w:b/>
          <w:sz w:val="24"/>
        </w:rPr>
        <w:t>Entire Agreement</w:t>
      </w:r>
      <w:r>
        <w:rPr>
          <w:rFonts w:ascii="Times New Roman;serif" w:hAnsi="Times New Roman;serif"/>
          <w:b w:val="false"/>
          <w:sz w:val="24"/>
        </w:rPr>
        <w:t xml:space="preserve">. This Warrant Certificate constitutes the sole and entire agreement of the parties to this Warrant Certificate with respect to the subject matter contained herein, and supersedes all prior and contemporaneous understandings and agreements, both written and oral, with respect to such subject matter. </w:t>
      </w:r>
    </w:p>
    <w:p>
      <w:pPr>
        <w:pStyle w:val="TextBody"/>
        <w:bidi w:val="0"/>
        <w:spacing w:before="0" w:after="240"/>
        <w:jc w:val="both"/>
        <w:rPr>
          <w:rFonts w:ascii="Times New Roman" w:hAnsi="Times New Roman"/>
          <w:b/>
          <w:sz w:val="24"/>
        </w:rPr>
      </w:pPr>
      <w:r>
        <w:rPr>
          <w:rFonts w:ascii="Times New Roman" w:hAnsi="Times New Roman"/>
          <w:b/>
          <w:sz w:val="24"/>
        </w:rPr>
        <w:t>Section 17.</w:t>
      </w:r>
    </w:p>
    <w:p>
      <w:pPr>
        <w:pStyle w:val="TextBody"/>
        <w:bidi w:val="0"/>
        <w:spacing w:before="0" w:after="240"/>
        <w:jc w:val="both"/>
        <w:rPr/>
      </w:pPr>
      <w:r>
        <w:rPr>
          <w:rFonts w:ascii="Times New Roman;serif" w:hAnsi="Times New Roman;serif"/>
          <w:b/>
          <w:sz w:val="24"/>
        </w:rPr>
        <w:t>Successor and Assigns</w:t>
      </w:r>
      <w:r>
        <w:rPr>
          <w:rFonts w:ascii="Times New Roman;serif" w:hAnsi="Times New Roman;serif"/>
          <w:b w:val="false"/>
          <w:sz w:val="24"/>
        </w:rPr>
        <w:t xml:space="preserve">. This Warrant Certificate and the rights evidenced hereby shall be binding upon and shall inure to the benefit of the parties hereto and the successors of the Company and the successors and permitted assigns of the Holder. Such successors and/or permitted assigns of the Holder shall be deemed to be a “Holder” for all purposes hereunder. </w:t>
      </w:r>
    </w:p>
    <w:p>
      <w:pPr>
        <w:pStyle w:val="TextBody"/>
        <w:bidi w:val="0"/>
        <w:spacing w:before="0" w:after="240"/>
        <w:jc w:val="both"/>
        <w:rPr>
          <w:rFonts w:ascii="Times New Roman" w:hAnsi="Times New Roman"/>
          <w:b/>
          <w:sz w:val="24"/>
        </w:rPr>
      </w:pPr>
      <w:r>
        <w:rPr>
          <w:rFonts w:ascii="Times New Roman" w:hAnsi="Times New Roman"/>
          <w:b/>
          <w:sz w:val="24"/>
        </w:rPr>
        <w:t>Section 18.</w:t>
      </w:r>
    </w:p>
    <w:p>
      <w:pPr>
        <w:pStyle w:val="TextBody"/>
        <w:bidi w:val="0"/>
        <w:spacing w:before="0" w:after="240"/>
        <w:jc w:val="both"/>
        <w:rPr/>
      </w:pPr>
      <w:r>
        <w:rPr>
          <w:rFonts w:ascii="Times New Roman;serif" w:hAnsi="Times New Roman;serif"/>
          <w:b/>
          <w:sz w:val="24"/>
        </w:rPr>
        <w:t>No Third-Party Beneficiaries</w:t>
      </w:r>
      <w:r>
        <w:rPr>
          <w:rFonts w:ascii="Times New Roman;serif" w:hAnsi="Times New Roman;serif"/>
          <w:b w:val="false"/>
          <w:sz w:val="24"/>
        </w:rPr>
        <w:t>. This Warrant Certificate is for the sole benefit of the Company and the Holder and their respective 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pStyle w:val="TextBody"/>
        <w:bidi w:val="0"/>
        <w:spacing w:before="0" w:after="240"/>
        <w:jc w:val="both"/>
        <w:rPr>
          <w:rFonts w:ascii="Times New Roman" w:hAnsi="Times New Roman"/>
          <w:b/>
          <w:sz w:val="24"/>
        </w:rPr>
      </w:pPr>
      <w:r>
        <w:rPr>
          <w:rFonts w:ascii="Times New Roman" w:hAnsi="Times New Roman"/>
          <w:b/>
          <w:sz w:val="24"/>
        </w:rPr>
        <w:t>Section 19.</w:t>
      </w:r>
    </w:p>
    <w:p>
      <w:pPr>
        <w:pStyle w:val="TextBody"/>
        <w:bidi w:val="0"/>
        <w:spacing w:before="0" w:after="240"/>
        <w:jc w:val="both"/>
        <w:rPr/>
      </w:pPr>
      <w:r>
        <w:rPr>
          <w:rFonts w:ascii="Times New Roman;serif" w:hAnsi="Times New Roman;serif"/>
          <w:b/>
          <w:sz w:val="24"/>
        </w:rPr>
        <w:t>Headings</w:t>
      </w:r>
      <w:r>
        <w:rPr>
          <w:rFonts w:ascii="Times New Roman;serif" w:hAnsi="Times New Roman;serif"/>
          <w:b w:val="false"/>
          <w:sz w:val="24"/>
        </w:rPr>
        <w:t>. The headings in this Warrant Certificate are for reference only and shall not affect the interpretation of this Warrant Certificate.</w:t>
      </w:r>
    </w:p>
    <w:p>
      <w:pPr>
        <w:pStyle w:val="TextBody"/>
        <w:bidi w:val="0"/>
        <w:spacing w:before="0" w:after="240"/>
        <w:jc w:val="both"/>
        <w:rPr>
          <w:rFonts w:ascii="Times New Roman" w:hAnsi="Times New Roman"/>
          <w:b/>
          <w:sz w:val="24"/>
        </w:rPr>
      </w:pPr>
      <w:r>
        <w:rPr>
          <w:rFonts w:ascii="Times New Roman" w:hAnsi="Times New Roman"/>
          <w:b/>
          <w:sz w:val="24"/>
        </w:rPr>
        <w:t>Section 20.</w:t>
      </w:r>
    </w:p>
    <w:p>
      <w:pPr>
        <w:pStyle w:val="TextBody"/>
        <w:bidi w:val="0"/>
        <w:spacing w:before="0" w:after="240"/>
        <w:jc w:val="both"/>
        <w:rPr/>
      </w:pPr>
      <w:r>
        <w:rPr>
          <w:rFonts w:ascii="Times New Roman;serif" w:hAnsi="Times New Roman;serif"/>
          <w:b/>
          <w:sz w:val="24"/>
        </w:rPr>
        <w:t>Amendment and Modification; Waiver</w:t>
      </w:r>
      <w:r>
        <w:rPr>
          <w:rFonts w:ascii="Times New Roman;serif" w:hAnsi="Times New Roman;serif"/>
          <w:b w:val="false"/>
          <w:sz w:val="24"/>
        </w:rPr>
        <w:t xml:space="preserve">. Except as otherwise provided herein, this Warrant Certificate may only be amended, modified or supplemented by an agreement in writing signed by each party hereto. No waiver by the Company or the Holder of any of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r>
        <w:rPr/>
        <w:t xml:space="preserve"> </w:t>
      </w:r>
    </w:p>
    <w:p>
      <w:pPr>
        <w:pStyle w:val="TextBody"/>
        <w:bidi w:val="0"/>
        <w:spacing w:before="0" w:after="240"/>
        <w:jc w:val="both"/>
        <w:rPr>
          <w:rFonts w:ascii="Times New Roman" w:hAnsi="Times New Roman"/>
          <w:b/>
          <w:sz w:val="24"/>
        </w:rPr>
      </w:pPr>
      <w:r>
        <w:rPr>
          <w:rFonts w:ascii="Times New Roman" w:hAnsi="Times New Roman"/>
          <w:b/>
          <w:sz w:val="24"/>
        </w:rPr>
        <w:t>Section 21.</w:t>
      </w:r>
    </w:p>
    <w:p>
      <w:pPr>
        <w:pStyle w:val="TextBody"/>
        <w:bidi w:val="0"/>
        <w:spacing w:before="0" w:after="240"/>
        <w:jc w:val="both"/>
        <w:rPr/>
      </w:pPr>
      <w:r>
        <w:rPr>
          <w:rFonts w:ascii="Times New Roman;serif" w:hAnsi="Times New Roman;serif"/>
          <w:b/>
          <w:sz w:val="24"/>
        </w:rPr>
        <w:t>Severability</w:t>
      </w:r>
      <w:r>
        <w:rPr>
          <w:rFonts w:ascii="Times New Roman;serif" w:hAnsi="Times New Roman;serif"/>
          <w:b w:val="false"/>
          <w:sz w:val="24"/>
        </w:rPr>
        <w:t xml:space="preserve">. If any term or provision of this Warrant Certificate is invalid, illegal or unenforceable in any jurisdiction, such invalidity, illegality or unenforceability shall not affect any other term or provision of this Warrant Certificate or invalidate or render unenforceable such term or provision in any other jurisdiction. </w:t>
      </w:r>
    </w:p>
    <w:p>
      <w:pPr>
        <w:pStyle w:val="TextBody"/>
        <w:bidi w:val="0"/>
        <w:spacing w:before="0" w:after="240"/>
        <w:jc w:val="both"/>
        <w:rPr>
          <w:rFonts w:ascii="Times New Roman" w:hAnsi="Times New Roman"/>
          <w:b/>
          <w:sz w:val="24"/>
        </w:rPr>
      </w:pPr>
      <w:r>
        <w:rPr>
          <w:rFonts w:ascii="Times New Roman" w:hAnsi="Times New Roman"/>
          <w:b/>
          <w:sz w:val="24"/>
        </w:rPr>
        <w:t>Section 22.</w:t>
      </w:r>
    </w:p>
    <w:p>
      <w:pPr>
        <w:pStyle w:val="TextBody"/>
        <w:bidi w:val="0"/>
        <w:spacing w:before="0" w:after="240"/>
        <w:jc w:val="both"/>
        <w:rPr/>
      </w:pPr>
      <w:r>
        <w:rPr>
          <w:rFonts w:ascii="Times New Roman;serif" w:hAnsi="Times New Roman;serif"/>
          <w:b/>
          <w:sz w:val="24"/>
        </w:rPr>
        <w:t>Governing Law</w:t>
      </w:r>
      <w:r>
        <w:rPr>
          <w:rFonts w:ascii="Times New Roman;serif" w:hAnsi="Times New Roman;serif"/>
          <w:b w:val="false"/>
          <w:sz w:val="24"/>
        </w:rPr>
        <w:t xml:space="preserve">. This Warrant Certificate shall be governed by and construed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 New York. </w:t>
      </w:r>
    </w:p>
    <w:p>
      <w:pPr>
        <w:pStyle w:val="TextBody"/>
        <w:bidi w:val="0"/>
        <w:spacing w:before="0" w:after="240"/>
        <w:jc w:val="both"/>
        <w:rPr>
          <w:rFonts w:ascii="Times New Roman" w:hAnsi="Times New Roman"/>
          <w:b/>
          <w:sz w:val="24"/>
        </w:rPr>
      </w:pPr>
      <w:r>
        <w:rPr>
          <w:rFonts w:ascii="Times New Roman" w:hAnsi="Times New Roman"/>
          <w:b/>
          <w:sz w:val="24"/>
        </w:rPr>
        <w:t>Section 23.</w:t>
      </w:r>
    </w:p>
    <w:p>
      <w:pPr>
        <w:pStyle w:val="TextBody"/>
        <w:bidi w:val="0"/>
        <w:spacing w:before="0" w:after="240"/>
        <w:jc w:val="both"/>
        <w:rPr/>
      </w:pPr>
      <w:r>
        <w:rPr>
          <w:rFonts w:ascii="Times New Roman;serif" w:hAnsi="Times New Roman;serif"/>
          <w:b/>
          <w:sz w:val="24"/>
        </w:rPr>
        <w:t>Submission to Jurisdiction</w:t>
      </w:r>
      <w:r>
        <w:rPr>
          <w:rFonts w:ascii="Times New Roman;serif" w:hAnsi="Times New Roman;serif"/>
          <w:b w:val="false"/>
          <w:sz w:val="24"/>
        </w:rPr>
        <w:t>. Any legal suit, action or proceeding arising out of or based upon this Warrant Certificate or the transactions contemplated hereby may be instituted in the federal courts of the United States of America or the courts of the State of New York in each case located in the city of New York and County of New York,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pStyle w:val="TextBody"/>
        <w:bidi w:val="0"/>
        <w:spacing w:before="0" w:after="240"/>
        <w:jc w:val="both"/>
        <w:rPr>
          <w:rFonts w:ascii="Times New Roman" w:hAnsi="Times New Roman"/>
          <w:b/>
          <w:sz w:val="24"/>
        </w:rPr>
      </w:pPr>
      <w:r>
        <w:rPr>
          <w:rFonts w:ascii="Times New Roman" w:hAnsi="Times New Roman"/>
          <w:b/>
          <w:sz w:val="24"/>
        </w:rPr>
        <w:t>Section 24.</w:t>
      </w:r>
    </w:p>
    <w:p>
      <w:pPr>
        <w:pStyle w:val="TextBody"/>
        <w:bidi w:val="0"/>
        <w:spacing w:before="0" w:after="240"/>
        <w:jc w:val="both"/>
        <w:rPr/>
      </w:pPr>
      <w:r>
        <w:rPr>
          <w:rFonts w:ascii="Times New Roman;serif" w:hAnsi="Times New Roman;serif"/>
          <w:b/>
          <w:sz w:val="24"/>
        </w:rPr>
        <w:t>Waiver of Jury Trial</w:t>
      </w:r>
      <w:r>
        <w:rPr>
          <w:rFonts w:ascii="Times New Roman;serif" w:hAnsi="Times New Roman;serif"/>
          <w:b w:val="false"/>
          <w:sz w:val="24"/>
        </w:rPr>
        <w:t xml:space="preserve">. </w:t>
      </w:r>
      <w:r>
        <w:rPr>
          <w:rFonts w:ascii="Times New Roman;serif" w:hAnsi="Times New Roman;serif"/>
          <w:b/>
          <w:smallCaps/>
          <w:sz w:val="24"/>
        </w:rPr>
        <w:t>Each of the Company and the Holder acknowledges and agrees that any controversy which may arise under this Warrant Certificate is likely to involve complicated and difficult issues and, therefore, each such party irrevocably and unconditionally waives any right it may have to a trial by jury in respect of any legal action arising out of or relating to this Warrant Certificate or the transactions contemplated hereby.</w:t>
      </w:r>
    </w:p>
    <w:p>
      <w:pPr>
        <w:pStyle w:val="TextBody"/>
        <w:bidi w:val="0"/>
        <w:spacing w:before="0" w:after="240"/>
        <w:jc w:val="both"/>
        <w:rPr>
          <w:rFonts w:ascii="Times New Roman" w:hAnsi="Times New Roman"/>
          <w:b/>
          <w:sz w:val="24"/>
        </w:rPr>
      </w:pPr>
      <w:r>
        <w:rPr>
          <w:rFonts w:ascii="Times New Roman" w:hAnsi="Times New Roman"/>
          <w:b/>
          <w:sz w:val="24"/>
        </w:rPr>
        <w:t>Section 25.</w:t>
      </w:r>
    </w:p>
    <w:p>
      <w:pPr>
        <w:pStyle w:val="TextBody"/>
        <w:bidi w:val="0"/>
        <w:spacing w:before="0" w:after="240"/>
        <w:jc w:val="both"/>
        <w:rPr/>
      </w:pPr>
      <w:r>
        <w:rPr>
          <w:rFonts w:ascii="Times New Roman;serif" w:hAnsi="Times New Roman;serif"/>
          <w:b/>
          <w:sz w:val="24"/>
        </w:rPr>
        <w:t>Counterparts</w:t>
      </w:r>
      <w:r>
        <w:rPr>
          <w:rFonts w:ascii="Times New Roman;serif" w:hAnsi="Times New Roman;serif"/>
          <w:b w:val="false"/>
          <w:sz w:val="24"/>
        </w:rPr>
        <w:t>. This Warrant Certificate may be executed in counterparts, each of which shall be deemed an original, but all of 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pStyle w:val="TextBody"/>
        <w:bidi w:val="0"/>
        <w:spacing w:before="0" w:after="240"/>
        <w:jc w:val="both"/>
        <w:rPr>
          <w:rFonts w:ascii="Times New Roman" w:hAnsi="Times New Roman"/>
          <w:b/>
          <w:sz w:val="24"/>
        </w:rPr>
      </w:pPr>
      <w:r>
        <w:rPr>
          <w:rFonts w:ascii="Times New Roman" w:hAnsi="Times New Roman"/>
          <w:b/>
          <w:sz w:val="24"/>
        </w:rPr>
        <w:t>Section 26.</w:t>
      </w:r>
    </w:p>
    <w:p>
      <w:pPr>
        <w:pStyle w:val="TextBody"/>
        <w:bidi w:val="0"/>
        <w:spacing w:before="0" w:after="240"/>
        <w:jc w:val="both"/>
        <w:rPr/>
      </w:pPr>
      <w:r>
        <w:rPr>
          <w:rFonts w:ascii="Times New Roman;serif" w:hAnsi="Times New Roman;serif"/>
          <w:b/>
          <w:sz w:val="24"/>
        </w:rPr>
        <w:t>No Strict Construction</w:t>
      </w:r>
      <w:r>
        <w:rPr>
          <w:rFonts w:ascii="Times New Roman;serif" w:hAnsi="Times New Roman;serif"/>
          <w:b w:val="false"/>
          <w:sz w:val="24"/>
        </w:rPr>
        <w:t xml:space="preserve">. This Warrant Certificate shall be construed without regard to any presumption or rule requiring construction or interpretation against the party drafting an instrument or causing any instrument to be drafted.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[SIGNATURE PAGE FOLLOWS]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IN WITNESS WHEREOF, the Company has duly executed this Warrant Certificate on the Issue Date.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BIODESIX, INC.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Robin Harper Cowie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 Robin Harper Cowie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 Chief Financial Officer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18"/>
        </w:rPr>
        <w:t>Signature Page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Warrant Certificate (First Amendment Effective Date)</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Accepted and agreed,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PERCEPTIVE CREDIT HOLDINGS IV, LP</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By: Perceptive Credit Opportunities GP, LLC, its general partner</w:t>
      </w:r>
    </w:p>
    <w:p>
      <w:pPr>
        <w:pStyle w:val="TextBody"/>
        <w:bidi w:val="0"/>
        <w:spacing w:before="0" w:after="0"/>
        <w:jc w:val="left"/>
        <w:rPr/>
      </w:pPr>
      <w:r>
        <w:rPr/>
        <w:t> </w:t>
      </w:r>
    </w:p>
    <w:p>
      <w:pPr>
        <w:pStyle w:val="TextBody"/>
        <w:bidi w:val="0"/>
        <w:spacing w:before="400" w:after="0"/>
        <w:jc w:val="both"/>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Sandeep Dixit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Name: Sandeep Dixit</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Title: Chief Credit Officer</w:t>
      </w:r>
    </w:p>
    <w:p>
      <w:pPr>
        <w:pStyle w:val="TextBody"/>
        <w:bidi w:val="0"/>
        <w:spacing w:before="400" w:after="0"/>
        <w:jc w:val="both"/>
        <w:rPr>
          <w:rFonts w:ascii="Times New Roman" w:hAnsi="Times New Roman"/>
          <w:sz w:val="20"/>
        </w:rPr>
      </w:pPr>
      <w:r>
        <w:rPr>
          <w:rFonts w:ascii="Times New Roman;serif" w:hAnsi="Times New Roman;serif"/>
          <w:b w:val="false"/>
          <w:sz w:val="24"/>
        </w:rPr>
        <w:t>By:</w:t>
      </w:r>
      <w:r>
        <w:rPr>
          <w:rFonts w:ascii="Times New Roman;serif" w:hAnsi="Times New Roman;serif"/>
          <w:b w:val="false"/>
          <w:sz w:val="24"/>
          <w:u w:val="single"/>
        </w:rPr>
        <w:t xml:space="preserve">/s/ Sam Chawla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Name: Sam Chawla</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 Portfolio Manager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18"/>
        </w:rPr>
        <w:t>Signature Page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Warrant Certificate (First Amendment Effective Date)</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right"/>
        <w:rPr>
          <w:rFonts w:ascii="Times New Roman;serif" w:hAnsi="Times New Roman;serif"/>
          <w:b/>
          <w:sz w:val="24"/>
        </w:rPr>
      </w:pPr>
      <w:r>
        <w:rPr>
          <w:rFonts w:ascii="Times New Roman;serif" w:hAnsi="Times New Roman;serif"/>
          <w:b/>
          <w:sz w:val="24"/>
        </w:rPr>
        <w:t xml:space="preserve">Exhibit A </w:t>
        <w:br/>
        <w:t>to Warrant Certificate</w:t>
      </w:r>
    </w:p>
    <w:p>
      <w:pPr>
        <w:pStyle w:val="TextBody"/>
        <w:bidi w:val="0"/>
        <w:spacing w:before="0" w:after="240"/>
        <w:jc w:val="center"/>
        <w:rPr>
          <w:rFonts w:ascii="Times New Roman;serif" w:hAnsi="Times New Roman;serif"/>
          <w:b w:val="false"/>
          <w:caps/>
          <w:sz w:val="24"/>
        </w:rPr>
      </w:pPr>
      <w:r>
        <w:rPr>
          <w:rFonts w:ascii="Times New Roman;serif" w:hAnsi="Times New Roman;serif"/>
          <w:b w:val="false"/>
          <w:caps/>
          <w:sz w:val="24"/>
        </w:rPr>
        <w:t>Form of Exercise CERTIFICATE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(To be signed only upon exercise of Warrant Certificate)</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To: ________________</w:t>
      </w:r>
    </w:p>
    <w:p>
      <w:pPr>
        <w:pStyle w:val="TextBody"/>
        <w:bidi w:val="0"/>
        <w:spacing w:before="0" w:after="240"/>
        <w:jc w:val="both"/>
        <w:rPr>
          <w:rFonts w:ascii="Times New Roman" w:hAnsi="Times New Roman"/>
          <w:sz w:val="20"/>
        </w:rPr>
      </w:pPr>
      <w:r>
        <w:rPr>
          <w:rFonts w:ascii="Times New Roman;serif" w:hAnsi="Times New Roman;serif"/>
          <w:b w:val="false"/>
          <w:sz w:val="24"/>
        </w:rPr>
        <w:t>The undersigned, as holder of a right to purchase shares of Common Stock of Biodesix, Inc. a Delaware corporation (the “</w:t>
      </w:r>
      <w:r>
        <w:rPr>
          <w:rFonts w:ascii="Times New Roman;serif" w:hAnsi="Times New Roman;serif"/>
          <w:b/>
          <w:i/>
          <w:sz w:val="24"/>
        </w:rPr>
        <w:t>Company</w:t>
      </w:r>
      <w:r>
        <w:rPr>
          <w:rFonts w:ascii="Times New Roman" w:hAnsi="Times New Roman"/>
          <w:sz w:val="20"/>
        </w:rPr>
        <w:t>”</w:t>
      </w:r>
      <w:r>
        <w:rPr>
          <w:rFonts w:ascii="Times New Roman;serif" w:hAnsi="Times New Roman;serif"/>
          <w:b w:val="false"/>
          <w:sz w:val="24"/>
        </w:rPr>
        <w:t>), pursuant to that certain Warrant Certificate of the Company, dated as of May 10, 2023 and bearing Warrant Certificate No. [__] (the “</w:t>
      </w:r>
      <w:r>
        <w:rPr>
          <w:rFonts w:ascii="Times New Roman;serif" w:hAnsi="Times New Roman;serif"/>
          <w:b/>
          <w:i/>
          <w:sz w:val="24"/>
        </w:rPr>
        <w:t>Warrant Certificate</w:t>
      </w:r>
      <w:r>
        <w:rPr>
          <w:rFonts w:ascii="Times New Roman" w:hAnsi="Times New Roman"/>
          <w:sz w:val="20"/>
        </w:rPr>
        <w:t>”</w:t>
      </w:r>
      <w:r>
        <w:rPr>
          <w:rFonts w:ascii="Times New Roman;serif" w:hAnsi="Times New Roman;serif"/>
          <w:b w:val="false"/>
          <w:sz w:val="24"/>
        </w:rPr>
        <w:t>), hereby irrevocably elects to exercise the purchase right represented by such Warrant Certificate for, and to purchase thereunder, [________ (_____)] shares of Common Stock of the Company comprising Warrant Shares and herewith makes payment of [___________ Dollars ($________)] therefor by the following method: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(Check all that apply):</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______ (check if applicable) The undersigned hereby elects to make payment of the Aggregate Exercise Price of [__________ Dollars ($_______)] for [(______)] shares of Common Stock comprising Warrant Shares using the method described in </w:t>
      </w:r>
      <w:r>
        <w:rPr>
          <w:rFonts w:ascii="Times New Roman;serif" w:hAnsi="Times New Roman;serif"/>
          <w:b/>
          <w:sz w:val="24"/>
        </w:rPr>
        <w:t>Section 3(b)(i)</w:t>
      </w:r>
      <w:r>
        <w:rPr>
          <w:rFonts w:ascii="Times New Roman;serif" w:hAnsi="Times New Roman;serif"/>
          <w:b w:val="false"/>
          <w:sz w:val="24"/>
        </w:rPr>
        <w:t>.</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______ (check if applicable) The undersigned hereby elects to make payment of the Aggregate Exercise Price of [__________ Dollars ($_______)] for [(______)] shares of Common Stock comprising Warrant Shares using the method described in </w:t>
      </w:r>
      <w:r>
        <w:rPr>
          <w:rFonts w:ascii="Times New Roman;serif" w:hAnsi="Times New Roman;serif"/>
          <w:b/>
          <w:sz w:val="24"/>
        </w:rPr>
        <w:t>Section 3(b)(ii)</w:t>
      </w:r>
      <w:r>
        <w:rPr>
          <w:rFonts w:ascii="Times New Roman;serif" w:hAnsi="Times New Roman;serif"/>
          <w:b w:val="false"/>
          <w:sz w:val="24"/>
        </w:rPr>
        <w:t>.</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______ (check if applicable) The undersigned hereby elects to make payment of the Aggregate Exercise Price of [__________ Dollars ($_______)] for [(______)] shares of Common Stock comprising Warrant Shares using the method described in </w:t>
      </w:r>
      <w:r>
        <w:rPr>
          <w:rFonts w:ascii="Times New Roman;serif" w:hAnsi="Times New Roman;serif"/>
          <w:b/>
          <w:sz w:val="24"/>
        </w:rPr>
        <w:t>Section 3(b)(iii)</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Unless otherwise defined herein, capitalized terms have the meanings provided in the Warrant Certificate.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DATED: ______________</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PERCEPTIVE CREDIT HOLDINGS IV, LP</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By: Perceptive Credit Opportunities GP, LLC, its general partner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By _______________________________________</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By _______________________________________</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A-1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right"/>
        <w:rPr>
          <w:rFonts w:ascii="Times New Roman;serif" w:hAnsi="Times New Roman;serif"/>
          <w:b/>
          <w:sz w:val="24"/>
        </w:rPr>
      </w:pPr>
      <w:r>
        <w:rPr>
          <w:rFonts w:ascii="Times New Roman;serif" w:hAnsi="Times New Roman;serif"/>
          <w:b/>
          <w:sz w:val="24"/>
        </w:rPr>
        <w:t>Exhibit B</w:t>
        <w:br/>
        <w:t>to Warrant Certificate</w:t>
      </w:r>
    </w:p>
    <w:p>
      <w:pPr>
        <w:pStyle w:val="TextBody"/>
        <w:bidi w:val="0"/>
        <w:spacing w:before="0" w:after="240"/>
        <w:jc w:val="center"/>
        <w:rPr>
          <w:rFonts w:ascii="Times New Roman;serif" w:hAnsi="Times New Roman;serif"/>
          <w:b w:val="false"/>
          <w:caps/>
          <w:sz w:val="24"/>
        </w:rPr>
      </w:pPr>
      <w:r>
        <w:rPr>
          <w:rFonts w:ascii="Times New Roman;serif" w:hAnsi="Times New Roman;serif"/>
          <w:b w:val="false"/>
          <w:caps/>
          <w:sz w:val="24"/>
        </w:rPr>
        <w:t>Form of Assignment</w:t>
      </w:r>
    </w:p>
    <w:p>
      <w:pPr>
        <w:pStyle w:val="TextBody"/>
        <w:bidi w:val="0"/>
        <w:spacing w:before="0" w:after="240"/>
        <w:jc w:val="both"/>
        <w:rPr>
          <w:rFonts w:ascii="Times New Roman" w:hAnsi="Times New Roman"/>
          <w:sz w:val="20"/>
        </w:rPr>
      </w:pPr>
      <w:r>
        <w:rPr>
          <w:rFonts w:ascii="Times New Roman;serif" w:hAnsi="Times New Roman;serif"/>
          <w:b w:val="false"/>
          <w:sz w:val="24"/>
        </w:rPr>
        <w:t>THE UNDERSIGNED, Perceptive Credit Holdings IV, LP, is the holder (in such capacity, the “</w:t>
      </w:r>
      <w:r>
        <w:rPr>
          <w:rFonts w:ascii="Times New Roman;serif" w:hAnsi="Times New Roman;serif"/>
          <w:b/>
          <w:i/>
          <w:sz w:val="24"/>
        </w:rPr>
        <w:t>Holder</w:t>
      </w:r>
      <w:r>
        <w:rPr>
          <w:rFonts w:ascii="Times New Roman" w:hAnsi="Times New Roman"/>
          <w:sz w:val="20"/>
        </w:rPr>
        <w:t>”</w:t>
      </w:r>
      <w:r>
        <w:rPr>
          <w:rFonts w:ascii="Times New Roman;serif" w:hAnsi="Times New Roman;serif"/>
          <w:b w:val="false"/>
          <w:sz w:val="24"/>
        </w:rPr>
        <w:t>) of a warrant certificate issued by Biodesix, Inc., a Delaware corporation (the “</w:t>
      </w:r>
      <w:r>
        <w:rPr>
          <w:rFonts w:ascii="Times New Roman;serif" w:hAnsi="Times New Roman;serif"/>
          <w:b/>
          <w:i/>
          <w:sz w:val="24"/>
        </w:rPr>
        <w:t>Company</w:t>
      </w:r>
      <w:r>
        <w:rPr>
          <w:rFonts w:ascii="Times New Roman" w:hAnsi="Times New Roman"/>
          <w:sz w:val="20"/>
        </w:rPr>
        <w:t>”</w:t>
      </w:r>
      <w:r>
        <w:rPr>
          <w:rFonts w:ascii="Times New Roman;serif" w:hAnsi="Times New Roman;serif"/>
          <w:b w:val="false"/>
          <w:sz w:val="24"/>
        </w:rPr>
        <w:t>), bearing Warrant Certificate No. [__] (the “</w:t>
      </w:r>
      <w:r>
        <w:rPr>
          <w:rFonts w:ascii="Times New Roman;serif" w:hAnsi="Times New Roman;serif"/>
          <w:b/>
          <w:i/>
          <w:sz w:val="24"/>
        </w:rPr>
        <w:t>Warrant Certificate</w:t>
      </w:r>
      <w:r>
        <w:rPr>
          <w:rFonts w:ascii="Times New Roman" w:hAnsi="Times New Roman"/>
          <w:sz w:val="20"/>
        </w:rPr>
        <w:t>”</w:t>
      </w:r>
      <w:r>
        <w:rPr>
          <w:rFonts w:ascii="Times New Roman;serif" w:hAnsi="Times New Roman;serif"/>
          <w:b w:val="false"/>
          <w:sz w:val="24"/>
        </w:rPr>
        <w:t>), entitling the Holder to purchase up to [___] shares of the Company’s Common Stock. Unless otherwise defined, capitalized terms used herein have the meanings ascribed thereto in the Warrant Certificate.</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4"/>
        </w:rPr>
        <w:t>FOR VALUE RECEIVED, the Holder hereby sells, assigns and transfers to [NAME OF ASSIGNEE] (the “</w:t>
      </w:r>
      <w:r>
        <w:rPr>
          <w:rFonts w:ascii="Times New Roman;serif" w:hAnsi="Times New Roman;serif"/>
          <w:b/>
          <w:i/>
          <w:sz w:val="24"/>
        </w:rPr>
        <w:t>Assignee</w:t>
      </w:r>
      <w:r>
        <w:rPr>
          <w:rFonts w:ascii="Times New Roman" w:hAnsi="Times New Roman"/>
          <w:sz w:val="20"/>
        </w:rPr>
        <w:t>”</w:t>
      </w:r>
      <w:r>
        <w:rPr>
          <w:rFonts w:ascii="Times New Roman;serif" w:hAnsi="Times New Roman;serif"/>
          <w:b w:val="false"/>
          <w:sz w:val="24"/>
        </w:rPr>
        <w:t xml:space="preserve">) the right to acquire [all Warrant Shares entitled to be purchased upon exercise of the Warrant Certificate] [______ of the Warrant Shares entitled to be purchased upon exercise of the Warrant Certificate]. In furtherance of the foregoing assignment, the Holder hereby irrevocably instructs the Company to (i) memorialize such assignment on the Warrant Register as required pursuant to </w:t>
      </w:r>
      <w:r>
        <w:rPr>
          <w:rFonts w:ascii="Times New Roman;serif" w:hAnsi="Times New Roman;serif"/>
          <w:b/>
          <w:sz w:val="24"/>
        </w:rPr>
        <w:t>Section 7</w:t>
      </w:r>
      <w:r>
        <w:rPr>
          <w:rFonts w:ascii="Times New Roman" w:hAnsi="Times New Roman"/>
          <w:sz w:val="20"/>
        </w:rPr>
        <w:t xml:space="preserve"> </w:t>
      </w:r>
      <w:r>
        <w:rPr>
          <w:rFonts w:ascii="Times New Roman;serif" w:hAnsi="Times New Roman;serif"/>
          <w:b w:val="false"/>
          <w:sz w:val="24"/>
        </w:rPr>
        <w:t xml:space="preserve">of the Warrant Certificate, and (ii) pursuant to </w:t>
      </w:r>
      <w:r>
        <w:rPr>
          <w:rFonts w:ascii="Times New Roman;serif" w:hAnsi="Times New Roman;serif"/>
          <w:b/>
          <w:sz w:val="24"/>
        </w:rPr>
        <w:t>Section 8</w:t>
      </w:r>
      <w:r>
        <w:rPr>
          <w:rFonts w:ascii="Times New Roman" w:hAnsi="Times New Roman"/>
          <w:sz w:val="20"/>
        </w:rPr>
        <w:t xml:space="preserve"> </w:t>
      </w:r>
      <w:r>
        <w:rPr>
          <w:rFonts w:ascii="Times New Roman;serif" w:hAnsi="Times New Roman;serif"/>
          <w:b w:val="false"/>
          <w:sz w:val="24"/>
        </w:rPr>
        <w:t>of the Warrant Certificate, execute and deliver to the Assignee [and the Holder] a new Warrant Certificate [new Warrant Certificates] reflecting the foregoing assignment ([each] a “</w:t>
      </w:r>
      <w:r>
        <w:rPr>
          <w:rFonts w:ascii="Times New Roman;serif" w:hAnsi="Times New Roman;serif"/>
          <w:b/>
          <w:i/>
          <w:sz w:val="24"/>
        </w:rPr>
        <w:t>Substitute Warrant Certificate</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The Assignee represents and warrants for the benefit of the Company that the Assignee is an “accredited investor” within the meaning of Rule 501 of Regulation D promulgated under the Securities Act of 1933, as amended.</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To the extent required pursuant to </w:t>
      </w:r>
      <w:r>
        <w:rPr>
          <w:rFonts w:ascii="Times New Roman;serif" w:hAnsi="Times New Roman;serif"/>
          <w:b/>
          <w:sz w:val="24"/>
        </w:rPr>
        <w:t>Section 12</w:t>
      </w:r>
      <w:r>
        <w:rPr>
          <w:rFonts w:ascii="Times New Roman" w:hAnsi="Times New Roman"/>
          <w:sz w:val="20"/>
        </w:rPr>
        <w:t xml:space="preserve"> </w:t>
      </w:r>
      <w:r>
        <w:rPr>
          <w:rFonts w:ascii="Times New Roman;serif" w:hAnsi="Times New Roman;serif"/>
          <w:b w:val="false"/>
          <w:sz w:val="24"/>
        </w:rPr>
        <w:t xml:space="preserve">of the Warrant Certificate, the Assignee acknowledges and agrees that a restrictive legend shall be applied to the Assignee’s Substitute Warrant Certificate and the Warrant Shares issuable upon exercise of such certificate substantially consistent with the legend set forth in </w:t>
      </w:r>
      <w:r>
        <w:rPr>
          <w:rFonts w:ascii="Times New Roman;serif" w:hAnsi="Times New Roman;serif"/>
          <w:b/>
          <w:sz w:val="24"/>
        </w:rPr>
        <w:t>Section 12(a)(i)</w:t>
      </w:r>
      <w:r>
        <w:rPr>
          <w:rFonts w:ascii="Times New Roman;serif" w:hAnsi="Times New Roman;serif"/>
          <w:b w:val="false"/>
          <w:sz w:val="24"/>
        </w:rPr>
        <w:t>.</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[SIGNATURE PAGE FOLLOWS]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B-1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PERCEPTIVE CREDIT HOLDINGS IV, LP</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By: Perceptive Credit Opportunities GP, LLC, its general partner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By _______________________________________</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By _______________________________________</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Accepted and agreed,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 OF ASSIGNEE]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By _______________________________________</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B-2</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mallCaps/>
          <w:sz w:val="20"/>
        </w:rPr>
      </w:pPr>
      <w:bookmarkStart w:id="23" w:name="bdsx-ex10_1.htm"/>
      <w:bookmarkStart w:id="24" w:name="ksbdsxex10_1"/>
      <w:bookmarkEnd w:id="23"/>
      <w:bookmarkEnd w:id="24"/>
      <w:r>
        <w:rPr>
          <w:rFonts w:ascii="Times New Roman;serif" w:hAnsi="Times New Roman;serif"/>
          <w:b/>
          <w:smallCaps/>
          <w:sz w:val="20"/>
        </w:rPr>
        <w:t>Exhibit 10.1</w:t>
      </w:r>
      <w:r>
        <w:br w:type="page"/>
      </w:r>
    </w:p>
    <w:p>
      <w:pPr>
        <w:pStyle w:val="TextBody"/>
        <w:bidi w:val="0"/>
        <w:spacing w:before="0" w:after="0"/>
        <w:jc w:val="center"/>
        <w:rPr>
          <w:rFonts w:ascii="Times New Roman" w:hAnsi="Times New Roman"/>
          <w:sz w:val="20"/>
        </w:rPr>
      </w:pPr>
      <w:r>
        <w:rPr>
          <w:rFonts w:ascii="Times New Roman;serif" w:hAnsi="Times New Roman;serif"/>
          <w:b/>
          <w:smallCaps/>
          <w:sz w:val="22"/>
        </w:rPr>
        <w:t>Limited Waiver</w:t>
      </w:r>
      <w:r>
        <w:rPr>
          <w:rFonts w:ascii="Times New Roman" w:hAnsi="Times New Roman"/>
          <w:smallCaps/>
          <w:sz w:val="20"/>
        </w:rPr>
        <w:t xml:space="preserve"> </w:t>
      </w:r>
    </w:p>
    <w:p>
      <w:pPr>
        <w:pStyle w:val="TextBody"/>
        <w:bidi w:val="0"/>
        <w:spacing w:before="0" w:after="0"/>
        <w:jc w:val="center"/>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This Limited Waiver, dated as of April 7, 2023 (this </w:t>
      </w:r>
      <w:r>
        <w:rPr>
          <w:rFonts w:ascii="Times New Roman" w:hAnsi="Times New Roman"/>
          <w:sz w:val="20"/>
        </w:rPr>
        <w:t>“</w:t>
      </w:r>
      <w:r>
        <w:rPr>
          <w:rFonts w:ascii="Times New Roman;serif" w:hAnsi="Times New Roman;serif"/>
          <w:b w:val="false"/>
          <w:i/>
          <w:sz w:val="22"/>
        </w:rPr>
        <w:t>Waiver”</w:t>
      </w:r>
      <w:r>
        <w:rPr>
          <w:rFonts w:ascii="Times New Roman;serif" w:hAnsi="Times New Roman;serif"/>
          <w:b w:val="false"/>
          <w:sz w:val="22"/>
        </w:rPr>
        <w:t xml:space="preserve">), is entered into by and among </w:t>
      </w:r>
      <w:r>
        <w:rPr>
          <w:rFonts w:ascii="Times New Roman;serif" w:hAnsi="Times New Roman;serif"/>
          <w:b w:val="false"/>
          <w:smallCaps/>
          <w:sz w:val="22"/>
        </w:rPr>
        <w:t>Biodesix, Inc.</w:t>
      </w:r>
      <w:r>
        <w:rPr>
          <w:rFonts w:ascii="Times New Roman;serif" w:hAnsi="Times New Roman;serif"/>
          <w:b w:val="false"/>
          <w:sz w:val="22"/>
        </w:rPr>
        <w:t>, a Delaware corporation (the “</w:t>
      </w:r>
      <w:r>
        <w:rPr>
          <w:rFonts w:ascii="Times New Roman;serif" w:hAnsi="Times New Roman;serif"/>
          <w:b w:val="false"/>
          <w:i/>
          <w:sz w:val="22"/>
        </w:rPr>
        <w:t>Borrower</w:t>
      </w:r>
      <w:r>
        <w:rPr>
          <w:rFonts w:ascii="Times New Roman" w:hAnsi="Times New Roman"/>
          <w:sz w:val="20"/>
        </w:rPr>
        <w:t>”</w:t>
      </w:r>
      <w:r>
        <w:rPr>
          <w:rFonts w:ascii="Times New Roman;serif" w:hAnsi="Times New Roman;serif"/>
          <w:b w:val="false"/>
          <w:sz w:val="22"/>
        </w:rPr>
        <w:t xml:space="preserve">), the Lenders party hereto constituting Majority Lenders and </w:t>
      </w:r>
      <w:r>
        <w:rPr>
          <w:rFonts w:ascii="Times New Roman;serif" w:hAnsi="Times New Roman;serif"/>
          <w:b w:val="false"/>
          <w:smallCaps/>
          <w:sz w:val="22"/>
        </w:rPr>
        <w:t xml:space="preserve">Perceptive Credit Holdings IV, LP, </w:t>
      </w:r>
      <w:r>
        <w:rPr>
          <w:rFonts w:ascii="Times New Roman;serif" w:hAnsi="Times New Roman;serif"/>
          <w:b w:val="false"/>
          <w:sz w:val="22"/>
        </w:rPr>
        <w:t xml:space="preserve">a Delaware limited partnership, as administrative agent for the Lenders (in such capacity, together with its successors and assigns, the </w:t>
      </w:r>
      <w:r>
        <w:rPr>
          <w:rFonts w:ascii="Times New Roman" w:hAnsi="Times New Roman"/>
          <w:sz w:val="20"/>
        </w:rPr>
        <w:t>“</w:t>
      </w:r>
      <w:r>
        <w:rPr>
          <w:rFonts w:ascii="Times New Roman;serif" w:hAnsi="Times New Roman;serif"/>
          <w:b w:val="false"/>
          <w:i/>
          <w:sz w:val="22"/>
        </w:rPr>
        <w:t>Administrative Agent”</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360"/>
        <w:jc w:val="center"/>
        <w:rPr>
          <w:rFonts w:ascii="Times New Roman;serif" w:hAnsi="Times New Roman;serif"/>
          <w:b/>
          <w:smallCaps/>
          <w:sz w:val="22"/>
        </w:rPr>
      </w:pPr>
      <w:r>
        <w:rPr>
          <w:rFonts w:ascii="Times New Roman;serif" w:hAnsi="Times New Roman;serif"/>
          <w:b/>
          <w:smallCaps/>
          <w:sz w:val="22"/>
        </w:rPr>
        <w:t>Recitals</w:t>
      </w:r>
    </w:p>
    <w:p>
      <w:pPr>
        <w:pStyle w:val="TextBody"/>
        <w:bidi w:val="0"/>
        <w:spacing w:before="0" w:after="240"/>
        <w:jc w:val="both"/>
        <w:rPr>
          <w:rFonts w:ascii="Times New Roman" w:hAnsi="Times New Roman"/>
          <w:sz w:val="20"/>
        </w:rPr>
      </w:pPr>
      <w:r>
        <w:rPr>
          <w:rFonts w:ascii="Times New Roman;serif" w:hAnsi="Times New Roman;serif"/>
          <w:b w:val="false"/>
          <w:smallCaps/>
          <w:sz w:val="22"/>
        </w:rPr>
        <w:t>Whereas</w:t>
      </w:r>
      <w:r>
        <w:rPr>
          <w:rFonts w:ascii="Times New Roman;serif" w:hAnsi="Times New Roman;serif"/>
          <w:b w:val="false"/>
          <w:sz w:val="22"/>
        </w:rPr>
        <w:t xml:space="preserve">, the Borrower, the Guarantors from time to time party thereto, the Lenders from time to time party thereto and the Administrative Agent are parties to that certain Credit Agreement and Guaranty, dated as of November 16, 2022 (as may be further amended, restated, supplemented or otherwise modified from time to time, the </w:t>
      </w:r>
      <w:r>
        <w:rPr>
          <w:rFonts w:ascii="Times New Roman" w:hAnsi="Times New Roman"/>
          <w:sz w:val="20"/>
        </w:rPr>
        <w:t>“</w:t>
      </w:r>
      <w:r>
        <w:rPr>
          <w:rFonts w:ascii="Times New Roman;serif" w:hAnsi="Times New Roman;serif"/>
          <w:b w:val="false"/>
          <w:i/>
          <w:sz w:val="22"/>
        </w:rPr>
        <w:t>Credit Agreement”</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mallCaps/>
          <w:sz w:val="22"/>
        </w:rPr>
        <w:t>Whereas</w:t>
      </w:r>
      <w:r>
        <w:rPr>
          <w:rFonts w:ascii="Times New Roman;serif" w:hAnsi="Times New Roman;serif"/>
          <w:b w:val="false"/>
          <w:sz w:val="22"/>
        </w:rPr>
        <w:t>, the Obligors are required to attain a Minimum Net Revenue as agreed to in writing between the Borrower and the Administative Agent as set forth in Section 8.15(b) of the Credit Agreement;</w:t>
      </w:r>
    </w:p>
    <w:p>
      <w:pPr>
        <w:pStyle w:val="TextBody"/>
        <w:bidi w:val="0"/>
        <w:spacing w:before="0" w:after="240"/>
        <w:jc w:val="both"/>
        <w:rPr>
          <w:rFonts w:ascii="Times New Roman" w:hAnsi="Times New Roman"/>
          <w:sz w:val="20"/>
        </w:rPr>
      </w:pPr>
      <w:r>
        <w:rPr>
          <w:rFonts w:ascii="Times New Roman;serif" w:hAnsi="Times New Roman;serif"/>
          <w:b w:val="false"/>
          <w:smallCaps/>
          <w:sz w:val="22"/>
        </w:rPr>
        <w:t>Whereas</w:t>
      </w:r>
      <w:r>
        <w:rPr>
          <w:rFonts w:ascii="Times New Roman;serif" w:hAnsi="Times New Roman;serif"/>
          <w:b w:val="false"/>
          <w:sz w:val="22"/>
        </w:rPr>
        <w:t>, the Obligors have advised the Administrative Agent that they failed to attain the Minimum Net Revenue required as of March 31, 2023 (the “</w:t>
      </w:r>
      <w:r>
        <w:rPr>
          <w:rFonts w:ascii="Times New Roman;serif" w:hAnsi="Times New Roman;serif"/>
          <w:b w:val="false"/>
          <w:i/>
          <w:sz w:val="22"/>
        </w:rPr>
        <w:t>Specified Event of Default</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mallCaps/>
          <w:sz w:val="22"/>
        </w:rPr>
        <w:t>Whereas</w:t>
      </w:r>
      <w:r>
        <w:rPr>
          <w:rFonts w:ascii="Times New Roman;serif" w:hAnsi="Times New Roman;serif"/>
          <w:b w:val="false"/>
          <w:sz w:val="22"/>
        </w:rPr>
        <w:t>, the Borrower has requested that the Majority Lenders agree to waive the Specified Event of Default; and</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mallCaps/>
          <w:sz w:val="22"/>
        </w:rPr>
        <w:t xml:space="preserve">Whereas, </w:t>
      </w:r>
      <w:r>
        <w:rPr>
          <w:rFonts w:ascii="Times New Roman;serif" w:hAnsi="Times New Roman;serif"/>
          <w:b w:val="false"/>
          <w:sz w:val="22"/>
        </w:rPr>
        <w:t>the Majority Lenders are willing to grant such waiver in accordance with and subject to the terms and conditions of this Waiver.</w:t>
      </w:r>
    </w:p>
    <w:p>
      <w:pPr>
        <w:pStyle w:val="TextBody"/>
        <w:bidi w:val="0"/>
        <w:spacing w:before="0" w:after="240"/>
        <w:jc w:val="both"/>
        <w:rPr>
          <w:rFonts w:ascii="Times New Roman" w:hAnsi="Times New Roman"/>
          <w:sz w:val="20"/>
        </w:rPr>
      </w:pPr>
      <w:r>
        <w:rPr>
          <w:rFonts w:ascii="Times New Roman;serif" w:hAnsi="Times New Roman;serif"/>
          <w:b w:val="false"/>
          <w:smallCaps/>
          <w:sz w:val="22"/>
        </w:rPr>
        <w:t>Now, Therefore</w:t>
      </w:r>
      <w:r>
        <w:rPr>
          <w:rFonts w:ascii="Times New Roman;serif" w:hAnsi="Times New Roman;serif"/>
          <w:b w:val="false"/>
          <w:sz w:val="22"/>
        </w:rPr>
        <w:t>, in consideration of the premises and the mutual covenants and the agreements herein set forth, and other good and valuable consideration, the receipt and sufficiency of which are hereby acknowledged, the parties hereto, intending to be legally bound, agree as follows:</w:t>
      </w:r>
    </w:p>
    <w:p>
      <w:pPr>
        <w:pStyle w:val="TextBody"/>
        <w:bidi w:val="0"/>
        <w:jc w:val="center"/>
        <w:rPr>
          <w:rFonts w:ascii="Times New Roman" w:hAnsi="Times New Roman"/>
          <w:b/>
          <w:smallCaps/>
          <w:sz w:val="24"/>
        </w:rPr>
      </w:pPr>
      <w:r>
        <w:rPr>
          <w:rFonts w:ascii="Times New Roman" w:hAnsi="Times New Roman"/>
          <w:b/>
          <w:smallCaps/>
          <w:sz w:val="24"/>
        </w:rPr>
        <w:t>ARTICLE I</w:t>
      </w:r>
    </w:p>
    <w:p>
      <w:pPr>
        <w:pStyle w:val="TextBody"/>
        <w:bidi w:val="0"/>
        <w:spacing w:before="0" w:after="240"/>
        <w:jc w:val="center"/>
        <w:rPr>
          <w:rFonts w:ascii="Times New Roman;serif" w:hAnsi="Times New Roman;serif"/>
          <w:b/>
          <w:smallCaps/>
          <w:sz w:val="22"/>
        </w:rPr>
      </w:pPr>
      <w:r>
        <w:rPr>
          <w:rFonts w:ascii="Times New Roman;serif" w:hAnsi="Times New Roman;serif"/>
          <w:b/>
          <w:smallCaps/>
          <w:sz w:val="22"/>
        </w:rPr>
        <w:t>Definitions</w:t>
      </w:r>
    </w:p>
    <w:p>
      <w:pPr>
        <w:pStyle w:val="TextBody"/>
        <w:bidi w:val="0"/>
        <w:spacing w:before="0" w:after="240"/>
        <w:jc w:val="both"/>
        <w:rPr>
          <w:rFonts w:ascii="Times New Roman" w:hAnsi="Times New Roman"/>
          <w:b/>
          <w:sz w:val="24"/>
        </w:rPr>
      </w:pPr>
      <w:r>
        <w:rPr>
          <w:rFonts w:ascii="Times New Roman" w:hAnsi="Times New Roman"/>
          <w:b/>
          <w:sz w:val="24"/>
        </w:rPr>
        <w:t>Section 1.1.</w:t>
      </w:r>
    </w:p>
    <w:p>
      <w:pPr>
        <w:pStyle w:val="TextBody"/>
        <w:bidi w:val="0"/>
        <w:spacing w:before="0" w:after="240"/>
        <w:jc w:val="both"/>
        <w:rPr/>
      </w:pPr>
      <w:r>
        <w:rPr>
          <w:rFonts w:ascii="Times New Roman;serif" w:hAnsi="Times New Roman;serif"/>
          <w:b w:val="false"/>
          <w:i/>
          <w:sz w:val="22"/>
        </w:rPr>
        <w:t>Certain Definitions</w:t>
      </w:r>
      <w:r>
        <w:rPr>
          <w:rFonts w:ascii="Times New Roman;serif" w:hAnsi="Times New Roman;serif"/>
          <w:b w:val="false"/>
          <w:sz w:val="22"/>
        </w:rPr>
        <w:t>. Capitalized terms used herein but not otherwise defined herein shall have the meanings ascribed thereto in the Credit Agreement.</w:t>
      </w:r>
    </w:p>
    <w:p>
      <w:pPr>
        <w:pStyle w:val="TextBody"/>
        <w:bidi w:val="0"/>
        <w:jc w:val="center"/>
        <w:rPr>
          <w:rFonts w:ascii="Times New Roman" w:hAnsi="Times New Roman"/>
          <w:b/>
          <w:smallCaps/>
          <w:sz w:val="24"/>
        </w:rPr>
      </w:pPr>
      <w:r>
        <w:rPr>
          <w:rFonts w:ascii="Times New Roman" w:hAnsi="Times New Roman"/>
          <w:b/>
          <w:smallCaps/>
          <w:sz w:val="24"/>
        </w:rPr>
        <w:t>ARTICLE II</w:t>
      </w:r>
    </w:p>
    <w:p>
      <w:pPr>
        <w:pStyle w:val="TextBody"/>
        <w:bidi w:val="0"/>
        <w:spacing w:before="0" w:after="240"/>
        <w:jc w:val="center"/>
        <w:rPr>
          <w:rFonts w:ascii="Times New Roman;serif" w:hAnsi="Times New Roman;serif"/>
          <w:b/>
          <w:smallCaps/>
          <w:sz w:val="22"/>
        </w:rPr>
      </w:pPr>
      <w:r>
        <w:rPr>
          <w:rFonts w:ascii="Times New Roman;serif" w:hAnsi="Times New Roman;serif"/>
          <w:b/>
          <w:smallCaps/>
          <w:sz w:val="22"/>
        </w:rPr>
        <w:t>Limited Waiver</w:t>
      </w:r>
    </w:p>
    <w:p>
      <w:pPr>
        <w:pStyle w:val="TextBody"/>
        <w:bidi w:val="0"/>
        <w:spacing w:before="0" w:after="240"/>
        <w:jc w:val="both"/>
        <w:rPr>
          <w:rFonts w:ascii="Times New Roman" w:hAnsi="Times New Roman"/>
          <w:b/>
          <w:sz w:val="24"/>
        </w:rPr>
      </w:pPr>
      <w:r>
        <w:rPr>
          <w:rFonts w:ascii="Times New Roman" w:hAnsi="Times New Roman"/>
          <w:b/>
          <w:sz w:val="24"/>
        </w:rPr>
        <w:t>Section 2.1.</w:t>
      </w:r>
    </w:p>
    <w:p>
      <w:pPr>
        <w:pStyle w:val="TextBody"/>
        <w:bidi w:val="0"/>
        <w:spacing w:before="0" w:after="240"/>
        <w:jc w:val="both"/>
        <w:rPr/>
      </w:pPr>
      <w:r>
        <w:rPr>
          <w:rFonts w:ascii="Times New Roman;serif" w:hAnsi="Times New Roman;serif"/>
          <w:b w:val="false"/>
          <w:sz w:val="22"/>
        </w:rPr>
        <w:t xml:space="preserve">Upon satisfaction of the conditions set forth in </w:t>
      </w:r>
      <w:r>
        <w:rPr>
          <w:rFonts w:ascii="Times New Roman;serif" w:hAnsi="Times New Roman;serif"/>
          <w:b w:val="false"/>
          <w:sz w:val="22"/>
          <w:u w:val="single"/>
        </w:rPr>
        <w:t>Article IV</w:t>
      </w:r>
      <w:r>
        <w:rPr/>
        <w:t xml:space="preserve"> </w:t>
      </w:r>
      <w:r>
        <w:rPr>
          <w:rFonts w:ascii="Times New Roman;serif" w:hAnsi="Times New Roman;serif"/>
          <w:b w:val="false"/>
          <w:sz w:val="22"/>
        </w:rPr>
        <w:t>hereof, pursuant to Section 13.04 of the Credit Agreement and subject to the terms and conditions hereof, the Majority Lenders hereby waive the Specified Event of Default. For the avoidance of doubt, this waiver is effective solely as a waiver of the Specified Event of Default and does not constitute a waiver of any other Default or Event of Default.</w:t>
      </w:r>
    </w:p>
    <w:p>
      <w:pPr>
        <w:pStyle w:val="TextBody"/>
        <w:bidi w:val="0"/>
        <w:jc w:val="center"/>
        <w:rPr>
          <w:rFonts w:ascii="Times New Roman" w:hAnsi="Times New Roman"/>
          <w:b/>
          <w:smallCaps/>
          <w:sz w:val="24"/>
        </w:rPr>
      </w:pPr>
      <w:r>
        <w:rPr>
          <w:rFonts w:ascii="Times New Roman" w:hAnsi="Times New Roman"/>
          <w:b/>
          <w:smallCaps/>
          <w:sz w:val="24"/>
        </w:rPr>
        <w:t>ARTICLE III</w:t>
      </w:r>
    </w:p>
    <w:p>
      <w:pPr>
        <w:pStyle w:val="TextBody"/>
        <w:bidi w:val="0"/>
        <w:spacing w:before="0" w:after="240"/>
        <w:jc w:val="center"/>
        <w:rPr>
          <w:rFonts w:ascii="Times New Roman;serif" w:hAnsi="Times New Roman;serif"/>
          <w:b/>
          <w:smallCaps/>
          <w:sz w:val="22"/>
        </w:rPr>
      </w:pPr>
      <w:r>
        <w:rPr>
          <w:rFonts w:ascii="Times New Roman;serif" w:hAnsi="Times New Roman;serif"/>
          <w:b/>
          <w:smallCaps/>
          <w:sz w:val="22"/>
        </w:rPr>
        <w:t>Representations and Warranties</w:t>
      </w:r>
    </w:p>
    <w:p>
      <w:pPr>
        <w:pStyle w:val="TextBody"/>
        <w:bidi w:val="0"/>
        <w:spacing w:before="0" w:after="240"/>
        <w:jc w:val="both"/>
        <w:rPr>
          <w:rFonts w:ascii="Times New Roman" w:hAnsi="Times New Roman"/>
          <w:b/>
          <w:sz w:val="24"/>
        </w:rPr>
      </w:pPr>
      <w:r>
        <w:rPr>
          <w:rFonts w:ascii="Times New Roman" w:hAnsi="Times New Roman"/>
          <w:b/>
          <w:sz w:val="24"/>
        </w:rPr>
        <w:t>Section 3.1.</w:t>
      </w:r>
    </w:p>
    <w:p>
      <w:pPr>
        <w:pStyle w:val="TextBody"/>
        <w:bidi w:val="0"/>
        <w:spacing w:before="0" w:after="240"/>
        <w:jc w:val="both"/>
        <w:rPr/>
      </w:pPr>
      <w:r>
        <w:rPr>
          <w:rFonts w:ascii="Times New Roman;serif" w:hAnsi="Times New Roman;serif"/>
          <w:b w:val="false"/>
          <w:i/>
          <w:sz w:val="22"/>
        </w:rPr>
        <w:t>Representations and Warranties</w:t>
      </w:r>
      <w:r>
        <w:rPr>
          <w:rFonts w:ascii="Times New Roman;serif" w:hAnsi="Times New Roman;serif"/>
          <w:b w:val="false"/>
          <w:sz w:val="22"/>
        </w:rPr>
        <w:t>. In order to induce the Administrative Agent and the Lenders to enter into this Waiver, the Borrower hereby represents and warrants as follows: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val="false"/>
          <w:sz w:val="22"/>
        </w:rPr>
        <w:t xml:space="preserve">After giving effect to this Waiver, the representations and warranties of the Obligors contained in </w:t>
      </w:r>
      <w:r>
        <w:rPr>
          <w:rFonts w:ascii="Times New Roman;serif" w:hAnsi="Times New Roman;serif"/>
          <w:b w:val="false"/>
          <w:sz w:val="22"/>
          <w:u w:val="single"/>
        </w:rPr>
        <w:t>Article 7</w:t>
      </w:r>
      <w:r>
        <w:rPr/>
        <w:t xml:space="preserve"> </w:t>
      </w:r>
      <w:r>
        <w:rPr>
          <w:rFonts w:ascii="Times New Roman;serif" w:hAnsi="Times New Roman;serif"/>
          <w:b w:val="false"/>
          <w:sz w:val="22"/>
        </w:rPr>
        <w:t xml:space="preserve">of the Credit Agreement and in each other Loan Document shall be true and correct in all material respects on and as of the date hereof; </w:t>
      </w:r>
      <w:r>
        <w:rPr>
          <w:rFonts w:ascii="Times New Roman;serif" w:hAnsi="Times New Roman;serif"/>
          <w:b w:val="false"/>
          <w:i/>
          <w:sz w:val="22"/>
        </w:rPr>
        <w:t>provided</w:t>
      </w:r>
      <w:r>
        <w:rPr/>
        <w:t xml:space="preserve"> </w:t>
      </w:r>
      <w:r>
        <w:rPr>
          <w:rFonts w:ascii="Times New Roman;serif" w:hAnsi="Times New Roman;serif"/>
          <w:b w:val="false"/>
          <w:sz w:val="22"/>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2"/>
        </w:rPr>
        <w:t xml:space="preserve">provided further </w:t>
      </w:r>
      <w:r>
        <w:rPr>
          <w:rFonts w:ascii="Times New Roman;serif" w:hAnsi="Times New Roman;serif"/>
          <w:b w:val="false"/>
          <w:sz w:val="22"/>
        </w:rPr>
        <w:t>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 xml:space="preserve">No Default or Event of Default has occurred and is continuing or shall occur and be continuing immediately after giving effect to this Waiver. </w:t>
      </w:r>
    </w:p>
    <w:p>
      <w:pPr>
        <w:pStyle w:val="TextBody"/>
        <w:bidi w:val="0"/>
        <w:jc w:val="center"/>
        <w:rPr>
          <w:rFonts w:ascii="Times New Roman" w:hAnsi="Times New Roman"/>
          <w:b/>
          <w:smallCaps/>
          <w:sz w:val="24"/>
        </w:rPr>
      </w:pPr>
      <w:r>
        <w:rPr>
          <w:rFonts w:ascii="Times New Roman" w:hAnsi="Times New Roman"/>
          <w:b/>
          <w:smallCaps/>
          <w:sz w:val="24"/>
        </w:rPr>
        <w:t>ARTICLE IV</w:t>
      </w:r>
    </w:p>
    <w:p>
      <w:pPr>
        <w:pStyle w:val="TextBody"/>
        <w:bidi w:val="0"/>
        <w:spacing w:before="0" w:after="240"/>
        <w:jc w:val="center"/>
        <w:rPr>
          <w:rFonts w:ascii="Times New Roman;serif" w:hAnsi="Times New Roman;serif"/>
          <w:b/>
          <w:smallCaps/>
          <w:sz w:val="22"/>
        </w:rPr>
      </w:pPr>
      <w:r>
        <w:rPr>
          <w:rFonts w:ascii="Times New Roman;serif" w:hAnsi="Times New Roman;serif"/>
          <w:b/>
          <w:smallCaps/>
          <w:sz w:val="22"/>
        </w:rPr>
        <w:t>Effectiveness</w:t>
      </w:r>
    </w:p>
    <w:p>
      <w:pPr>
        <w:pStyle w:val="TextBody"/>
        <w:bidi w:val="0"/>
        <w:spacing w:before="0" w:after="240"/>
        <w:jc w:val="both"/>
        <w:rPr>
          <w:rFonts w:ascii="Times New Roman" w:hAnsi="Times New Roman"/>
          <w:b/>
          <w:sz w:val="24"/>
        </w:rPr>
      </w:pPr>
      <w:r>
        <w:rPr>
          <w:rFonts w:ascii="Times New Roman" w:hAnsi="Times New Roman"/>
          <w:b/>
          <w:sz w:val="24"/>
        </w:rPr>
        <w:t>Section 4.1.</w:t>
      </w:r>
    </w:p>
    <w:p>
      <w:pPr>
        <w:pStyle w:val="TextBody"/>
        <w:bidi w:val="0"/>
        <w:spacing w:before="0" w:after="240"/>
        <w:jc w:val="both"/>
        <w:rPr/>
      </w:pPr>
      <w:r>
        <w:rPr>
          <w:rFonts w:ascii="Times New Roman;serif" w:hAnsi="Times New Roman;serif"/>
          <w:b w:val="false"/>
          <w:i/>
          <w:sz w:val="22"/>
        </w:rPr>
        <w:t>Effectiveness</w:t>
      </w:r>
      <w:r>
        <w:rPr>
          <w:rFonts w:ascii="Times New Roman;serif" w:hAnsi="Times New Roman;serif"/>
          <w:b w:val="false"/>
          <w:sz w:val="22"/>
        </w:rPr>
        <w:t>. This Waiver shall become effective as of the date set forth above on which this Waiver shall be executed by each party hereto.</w:t>
      </w:r>
    </w:p>
    <w:p>
      <w:pPr>
        <w:pStyle w:val="TextBody"/>
        <w:bidi w:val="0"/>
        <w:spacing w:before="0" w:after="240"/>
        <w:jc w:val="center"/>
        <w:rPr>
          <w:rFonts w:ascii="Times New Roman" w:hAnsi="Times New Roman"/>
          <w:b/>
          <w:smallCaps/>
          <w:sz w:val="24"/>
        </w:rPr>
      </w:pPr>
      <w:r>
        <w:rPr>
          <w:rFonts w:ascii="Times New Roman" w:hAnsi="Times New Roman"/>
          <w:b/>
          <w:smallCaps/>
          <w:sz w:val="24"/>
        </w:rPr>
        <w:t>ARTICLE V</w:t>
      </w:r>
    </w:p>
    <w:p>
      <w:pPr>
        <w:pStyle w:val="TextBody"/>
        <w:bidi w:val="0"/>
        <w:spacing w:before="0" w:after="240"/>
        <w:jc w:val="center"/>
        <w:rPr/>
      </w:pPr>
      <w:r>
        <w:rPr>
          <w:rFonts w:ascii="Times New Roman;serif" w:hAnsi="Times New Roman;serif"/>
          <w:b w:val="false"/>
          <w:sz w:val="22"/>
        </w:rPr>
        <w:br/>
      </w:r>
      <w:r>
        <w:rPr>
          <w:rFonts w:ascii="Times New Roman;serif" w:hAnsi="Times New Roman;serif"/>
          <w:b/>
          <w:smallCaps/>
          <w:sz w:val="22"/>
        </w:rPr>
        <w:t>Miscellaneous</w:t>
      </w:r>
    </w:p>
    <w:p>
      <w:pPr>
        <w:pStyle w:val="TextBody"/>
        <w:bidi w:val="0"/>
        <w:spacing w:before="0" w:after="240"/>
        <w:jc w:val="both"/>
        <w:rPr>
          <w:rFonts w:ascii="Times New Roman" w:hAnsi="Times New Roman"/>
          <w:b/>
          <w:sz w:val="24"/>
        </w:rPr>
      </w:pPr>
      <w:r>
        <w:rPr>
          <w:rFonts w:ascii="Times New Roman" w:hAnsi="Times New Roman"/>
          <w:b/>
          <w:sz w:val="24"/>
        </w:rPr>
        <w:t>Section 5.1.</w:t>
      </w:r>
    </w:p>
    <w:p>
      <w:pPr>
        <w:pStyle w:val="TextBody"/>
        <w:bidi w:val="0"/>
        <w:spacing w:before="0" w:after="240"/>
        <w:jc w:val="both"/>
        <w:rPr/>
      </w:pPr>
      <w:r>
        <w:rPr>
          <w:rFonts w:ascii="Times New Roman;serif" w:hAnsi="Times New Roman;serif"/>
          <w:b w:val="false"/>
          <w:i/>
          <w:sz w:val="22"/>
        </w:rPr>
        <w:t>Reference to and Effect on the Loan Documents</w:t>
      </w:r>
      <w:r>
        <w:rPr>
          <w:rFonts w:ascii="Times New Roman;serif" w:hAnsi="Times New Roman;serif"/>
          <w:b w:val="false"/>
          <w:sz w:val="22"/>
        </w:rPr>
        <w:t xml:space="preserve">. </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This Waiver constitutes a Loan Document. On and after the date hereof,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Waiver.</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Except as specifically set forth in this Waiver, the Credit Agreement and the other Loan Documents shall remain in full force and effect and are hereby ratified and confirmed.</w:t>
      </w:r>
    </w:p>
    <w:p>
      <w:pPr>
        <w:pStyle w:val="TextBody"/>
        <w:bidi w:val="0"/>
        <w:spacing w:before="0" w:after="240"/>
        <w:jc w:val="both"/>
        <w:rPr>
          <w:rFonts w:ascii="Times New Roman" w:hAnsi="Times New Roman"/>
          <w:b/>
          <w:sz w:val="24"/>
        </w:rPr>
      </w:pPr>
      <w:r>
        <w:rPr>
          <w:rFonts w:ascii="Times New Roman" w:hAnsi="Times New Roman"/>
          <w:b/>
          <w:sz w:val="24"/>
        </w:rPr>
        <w:t>Section 5.2.</w:t>
      </w:r>
    </w:p>
    <w:p>
      <w:pPr>
        <w:pStyle w:val="TextBody"/>
        <w:bidi w:val="0"/>
        <w:spacing w:before="0" w:after="240"/>
        <w:jc w:val="both"/>
        <w:rPr/>
      </w:pPr>
      <w:r>
        <w:rPr>
          <w:rFonts w:ascii="Times New Roman;serif" w:hAnsi="Times New Roman;serif"/>
          <w:b w:val="false"/>
          <w:i/>
          <w:sz w:val="22"/>
        </w:rPr>
        <w:t>Headings</w:t>
      </w:r>
      <w:r>
        <w:rPr>
          <w:rFonts w:ascii="Times New Roman;serif" w:hAnsi="Times New Roman;serif"/>
          <w:b w:val="false"/>
          <w:sz w:val="22"/>
        </w:rPr>
        <w:t>. The headings in this Waiver are included for convenience of reference only and will not affect in any way the meaning or interpretation of this Waiver.</w:t>
      </w:r>
    </w:p>
    <w:p>
      <w:pPr>
        <w:pStyle w:val="TextBody"/>
        <w:bidi w:val="0"/>
        <w:spacing w:before="0" w:after="240"/>
        <w:jc w:val="both"/>
        <w:rPr>
          <w:rFonts w:ascii="Times New Roman" w:hAnsi="Times New Roman"/>
          <w:b/>
          <w:sz w:val="24"/>
        </w:rPr>
      </w:pPr>
      <w:r>
        <w:rPr>
          <w:rFonts w:ascii="Times New Roman" w:hAnsi="Times New Roman"/>
          <w:b/>
          <w:sz w:val="24"/>
        </w:rPr>
        <w:t>Section 5.3.</w:t>
      </w:r>
    </w:p>
    <w:p>
      <w:pPr>
        <w:pStyle w:val="TextBody"/>
        <w:bidi w:val="0"/>
        <w:spacing w:before="0" w:after="240"/>
        <w:jc w:val="both"/>
        <w:rPr/>
      </w:pPr>
      <w:r>
        <w:rPr>
          <w:rFonts w:ascii="Times New Roman;serif" w:hAnsi="Times New Roman;serif"/>
          <w:b w:val="false"/>
          <w:i/>
          <w:sz w:val="22"/>
        </w:rPr>
        <w:t>Governing Law</w:t>
      </w:r>
      <w:r>
        <w:rPr>
          <w:rFonts w:ascii="Times New Roman;serif" w:hAnsi="Times New Roman;serif"/>
          <w:b w:val="false"/>
          <w:sz w:val="22"/>
        </w:rPr>
        <w:t>. This Waiver, and all questions concerning the construction, validity, enforcement and interpretation of this Waiver shall be governed by and construed and enforced in accordance with the internal laws of the State of New York.</w:t>
      </w:r>
    </w:p>
    <w:p>
      <w:pPr>
        <w:pStyle w:val="TextBody"/>
        <w:bidi w:val="0"/>
        <w:spacing w:before="0" w:after="240"/>
        <w:jc w:val="both"/>
        <w:rPr>
          <w:rFonts w:ascii="Times New Roman" w:hAnsi="Times New Roman"/>
          <w:b/>
          <w:sz w:val="24"/>
        </w:rPr>
      </w:pPr>
      <w:r>
        <w:rPr>
          <w:rFonts w:ascii="Times New Roman" w:hAnsi="Times New Roman"/>
          <w:b/>
          <w:sz w:val="24"/>
        </w:rPr>
        <w:t>Section 5.4.</w:t>
      </w:r>
    </w:p>
    <w:p>
      <w:pPr>
        <w:pStyle w:val="TextBody"/>
        <w:bidi w:val="0"/>
        <w:spacing w:before="0" w:after="240"/>
        <w:jc w:val="both"/>
        <w:rPr/>
      </w:pPr>
      <w:r>
        <w:rPr>
          <w:rFonts w:ascii="Times New Roman;serif" w:hAnsi="Times New Roman;serif"/>
          <w:b w:val="false"/>
          <w:i/>
          <w:sz w:val="22"/>
        </w:rPr>
        <w:t>Counterparts.</w:t>
      </w:r>
      <w:r>
        <w:rPr/>
        <w:t xml:space="preserve"> </w:t>
      </w:r>
      <w:r>
        <w:rPr>
          <w:rFonts w:ascii="Times New Roman;serif" w:hAnsi="Times New Roman;serif"/>
          <w:b w:val="false"/>
          <w:sz w:val="22"/>
        </w:rPr>
        <w:t>This Waiver may be executed in any number of counterparts and by different parties on separate counterparts, each of which, when executed and delivered, shall be deemed to be an original, and all of which, when taken together, shall constitute but one and the same Waiver. Delivery of an executed counterpart of this Waiver by facsimile, DocuSign, or a scanned copy by electronic mail shall be equally as effective as delivery of an original executed counterpart of this Waiver.</w:t>
      </w:r>
    </w:p>
    <w:p>
      <w:pPr>
        <w:pStyle w:val="TextBody"/>
        <w:bidi w:val="0"/>
        <w:spacing w:before="0" w:after="240"/>
        <w:jc w:val="both"/>
        <w:rPr>
          <w:rFonts w:ascii="Times New Roman" w:hAnsi="Times New Roman"/>
          <w:b/>
          <w:sz w:val="24"/>
        </w:rPr>
      </w:pPr>
      <w:r>
        <w:rPr>
          <w:rFonts w:ascii="Times New Roman" w:hAnsi="Times New Roman"/>
          <w:b/>
          <w:sz w:val="24"/>
        </w:rPr>
        <w:t>Section 5.5.</w:t>
      </w:r>
    </w:p>
    <w:p>
      <w:pPr>
        <w:pStyle w:val="TextBody"/>
        <w:bidi w:val="0"/>
        <w:spacing w:before="0" w:after="240"/>
        <w:jc w:val="both"/>
        <w:rPr/>
      </w:pPr>
      <w:r>
        <w:rPr>
          <w:rFonts w:ascii="Times New Roman;serif" w:hAnsi="Times New Roman;serif"/>
          <w:b w:val="false"/>
          <w:i/>
          <w:sz w:val="22"/>
        </w:rPr>
        <w:t>Severability</w:t>
      </w:r>
      <w:r>
        <w:rPr>
          <w:rFonts w:ascii="Times New Roman;serif" w:hAnsi="Times New Roman;serif"/>
          <w:b w:val="false"/>
          <w:sz w:val="22"/>
        </w:rPr>
        <w:t xml:space="preserve">. If any term or other provision of this Waiver is invalid, illegal or incapable of being enforced by any rule of law, or public policy, all other conditions and provisions of this Waiver will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will negotiate in good faith to modify this Waiver so as to effect the original intent of the parties as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2"/>
        </w:rPr>
        <w:t>closely as possible in an acceptable manner to the end that the transactions contemplated hereby are fulfilled to the extent possible.</w:t>
      </w:r>
      <w:r>
        <w:rPr/>
        <w:t xml:space="preserve"> </w:t>
      </w:r>
    </w:p>
    <w:p>
      <w:pPr>
        <w:pStyle w:val="TextBody"/>
        <w:bidi w:val="0"/>
        <w:spacing w:before="0" w:after="240"/>
        <w:jc w:val="both"/>
        <w:rPr>
          <w:rFonts w:ascii="Times New Roman" w:hAnsi="Times New Roman"/>
          <w:b/>
          <w:sz w:val="24"/>
        </w:rPr>
      </w:pPr>
      <w:r>
        <w:rPr>
          <w:rFonts w:ascii="Times New Roman" w:hAnsi="Times New Roman"/>
          <w:b/>
          <w:sz w:val="24"/>
        </w:rPr>
        <w:t>Section 5.6.</w:t>
      </w:r>
    </w:p>
    <w:p>
      <w:pPr>
        <w:pStyle w:val="TextBody"/>
        <w:bidi w:val="0"/>
        <w:spacing w:before="0" w:after="240"/>
        <w:jc w:val="both"/>
        <w:rPr/>
      </w:pPr>
      <w:r>
        <w:rPr>
          <w:rFonts w:ascii="Times New Roman;serif" w:hAnsi="Times New Roman;serif"/>
          <w:b w:val="false"/>
          <w:i/>
          <w:sz w:val="22"/>
        </w:rPr>
        <w:t>Binding Effect</w:t>
      </w:r>
      <w:r>
        <w:rPr>
          <w:rFonts w:ascii="Times New Roman;serif" w:hAnsi="Times New Roman;serif"/>
          <w:b w:val="false"/>
          <w:sz w:val="22"/>
        </w:rPr>
        <w:t xml:space="preserve">. This Waiver will be binding upon and inure to the benefit of and is enforceable by the respective successors and permitted assigns of the parties hereto. </w:t>
      </w:r>
    </w:p>
    <w:p>
      <w:pPr>
        <w:pStyle w:val="TextBody"/>
        <w:bidi w:val="0"/>
        <w:spacing w:before="0" w:after="0"/>
        <w:jc w:val="center"/>
        <w:rPr>
          <w:rFonts w:ascii="Times New Roman" w:hAnsi="Times New Roman"/>
          <w:sz w:val="20"/>
        </w:rPr>
      </w:pPr>
      <w:r>
        <w:rPr>
          <w:rFonts w:ascii="Times New Roman;serif" w:hAnsi="Times New Roman;serif"/>
          <w:b w:val="false"/>
          <w:sz w:val="22"/>
        </w:rPr>
        <w:t>[</w:t>
      </w:r>
      <w:r>
        <w:rPr>
          <w:rFonts w:ascii="Times New Roman;serif" w:hAnsi="Times New Roman;serif"/>
          <w:b w:val="false"/>
          <w:i/>
          <w:sz w:val="22"/>
        </w:rPr>
        <w:t>Remainder of page intentionally left blank; signatures on following pages.</w:t>
      </w:r>
      <w:r>
        <w:rPr>
          <w:rFonts w:ascii="Times New Roman;serif" w:hAnsi="Times New Roman;serif"/>
          <w:b w:val="false"/>
          <w:sz w:val="22"/>
        </w:rPr>
        <w:t>]</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mallCaps/>
          <w:sz w:val="22"/>
        </w:rPr>
        <w:t>In Witness Whereof</w:t>
      </w:r>
      <w:r>
        <w:rPr>
          <w:rFonts w:ascii="Times New Roman;serif" w:hAnsi="Times New Roman;serif"/>
          <w:b w:val="false"/>
          <w:sz w:val="22"/>
        </w:rPr>
        <w:t>, the parties hereto have caused this Waiver to be duly executed and delivered by their respective officers thereunto duly authorized as of the date first written above.</w:t>
      </w:r>
    </w:p>
    <w:tbl>
      <w:tblPr>
        <w:tblW w:w="3237" w:type="dxa"/>
        <w:jc w:val="left"/>
        <w:tblInd w:w="0" w:type="dxa"/>
        <w:tblLayout w:type="fixed"/>
        <w:tblCellMar>
          <w:top w:w="28" w:type="dxa"/>
          <w:left w:w="28" w:type="dxa"/>
          <w:bottom w:w="28" w:type="dxa"/>
          <w:right w:w="28" w:type="dxa"/>
        </w:tblCellMar>
      </w:tblPr>
      <w:tblGrid>
        <w:gridCol w:w="691"/>
        <w:gridCol w:w="2546"/>
      </w:tblGrid>
      <w:tr>
        <w:trPr/>
        <w:tc>
          <w:tcPr>
            <w:tcW w:w="691"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323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mallCaps/>
                <w:sz w:val="20"/>
              </w:rPr>
            </w:pPr>
            <w:r>
              <w:rPr>
                <w:rFonts w:ascii="Times New Roman;serif" w:hAnsi="Times New Roman;serif"/>
                <w:b w:val="false"/>
                <w:smallCaps/>
                <w:sz w:val="20"/>
              </w:rPr>
              <w:t>Borrower:</w:t>
            </w:r>
          </w:p>
        </w:tc>
      </w:tr>
      <w:tr>
        <w:trPr/>
        <w:tc>
          <w:tcPr>
            <w:tcW w:w="3237" w:type="dxa"/>
            <w:gridSpan w:val="2"/>
            <w:tcBorders/>
            <w:tcMar>
              <w:top w:w="0" w:type="dxa"/>
              <w:left w:w="0" w:type="dxa"/>
              <w:bottom w:w="0" w:type="dxa"/>
              <w:right w:w="0" w:type="dxa"/>
            </w:tcMar>
            <w:vAlign w:val="center"/>
          </w:tcPr>
          <w:p>
            <w:pPr>
              <w:pStyle w:val="TableContents"/>
              <w:bidi w:val="0"/>
              <w:spacing w:before="0" w:after="120"/>
              <w:ind w:left="0" w:right="0" w:hanging="0"/>
              <w:jc w:val="left"/>
              <w:rPr>
                <w:rFonts w:ascii="Times New Roman;serif" w:hAnsi="Times New Roman;serif"/>
                <w:b w:val="false"/>
                <w:smallCaps/>
                <w:sz w:val="20"/>
              </w:rPr>
            </w:pPr>
            <w:r>
              <w:rPr>
                <w:rFonts w:ascii="Times New Roman;serif" w:hAnsi="Times New Roman;serif"/>
                <w:b w:val="false"/>
                <w:smallCaps/>
                <w:sz w:val="20"/>
              </w:rPr>
              <w:t>Biodesix, Inc.</w:t>
            </w:r>
          </w:p>
        </w:tc>
      </w:tr>
      <w:tr>
        <w:trPr/>
        <w:tc>
          <w:tcPr>
            <w:tcW w:w="6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46" w:type="dxa"/>
            <w:tcBorders>
              <w:bottom w:val="single" w:sz="4" w:space="0" w:color="000000"/>
            </w:tcBorders>
            <w:tcMar>
              <w:top w:w="0" w:type="dxa"/>
              <w:left w:w="0" w:type="dxa"/>
              <w:right w:w="0" w:type="dxa"/>
            </w:tcMar>
            <w:vAlign w:val="center"/>
          </w:tcPr>
          <w:p>
            <w:pPr>
              <w:pStyle w:val="TableContents"/>
              <w:bidi w:val="0"/>
              <w:spacing w:before="0" w:after="0"/>
              <w:ind w:left="0" w:right="0" w:firstLine="490"/>
              <w:jc w:val="left"/>
              <w:rPr>
                <w:rFonts w:ascii="Times New Roman;serif" w:hAnsi="Times New Roman;serif"/>
                <w:b w:val="false"/>
                <w:sz w:val="20"/>
              </w:rPr>
            </w:pPr>
            <w:r>
              <w:rPr>
                <w:rFonts w:ascii="Times New Roman;serif" w:hAnsi="Times New Roman;serif"/>
                <w:b w:val="false"/>
                <w:sz w:val="20"/>
              </w:rPr>
              <w:t>/s/ Robin Harper Cowie</w:t>
            </w:r>
          </w:p>
        </w:tc>
      </w:tr>
      <w:tr>
        <w:trPr/>
        <w:tc>
          <w:tcPr>
            <w:tcW w:w="691" w:type="dxa"/>
            <w:tcBorders/>
            <w:tcMar>
              <w:top w:w="0" w:type="dxa"/>
              <w:left w:w="0" w:type="dxa"/>
              <w:bottom w:w="0" w:type="dxa"/>
              <w:right w:w="0" w:type="dxa"/>
            </w:tcMar>
            <w:vAlign w:val="center"/>
          </w:tcPr>
          <w:p>
            <w:pPr>
              <w:pStyle w:val="TableContents"/>
              <w:bidi w:val="0"/>
              <w:spacing w:before="0" w:after="0"/>
              <w:ind w:left="490" w:right="0" w:hanging="0"/>
              <w:jc w:val="left"/>
              <w:rPr>
                <w:rFonts w:ascii="Times New Roman" w:hAnsi="Times New Roman"/>
                <w:sz w:val="20"/>
              </w:rPr>
            </w:pPr>
            <w:r>
              <w:rPr>
                <w:rFonts w:ascii="Times New Roman;serif" w:hAnsi="Times New Roman;serif"/>
                <w:b w:val="false"/>
                <w:sz w:val="20"/>
              </w:rPr>
              <w:t>Name:</w:t>
            </w:r>
            <w:r>
              <w:rPr>
                <w:rFonts w:ascii="Times New Roman" w:hAnsi="Times New Roman"/>
                <w:sz w:val="20"/>
              </w:rPr>
              <w:t xml:space="preserve"> </w:t>
            </w:r>
          </w:p>
        </w:tc>
        <w:tc>
          <w:tcPr>
            <w:tcW w:w="2546" w:type="dxa"/>
            <w:tcBorders/>
            <w:tcMar>
              <w:top w:w="0" w:type="dxa"/>
              <w:left w:w="0" w:type="dxa"/>
              <w:bottom w:w="0" w:type="dxa"/>
              <w:right w:w="0" w:type="dxa"/>
            </w:tcMar>
            <w:vAlign w:val="center"/>
          </w:tcPr>
          <w:p>
            <w:pPr>
              <w:pStyle w:val="TableContents"/>
              <w:bidi w:val="0"/>
              <w:spacing w:before="0" w:after="0"/>
              <w:ind w:left="0" w:right="0" w:firstLine="490"/>
              <w:jc w:val="left"/>
              <w:rPr>
                <w:rFonts w:ascii="Times New Roman;serif" w:hAnsi="Times New Roman;serif"/>
                <w:b w:val="false"/>
                <w:sz w:val="20"/>
              </w:rPr>
            </w:pPr>
            <w:r>
              <w:rPr>
                <w:rFonts w:ascii="Times New Roman;serif" w:hAnsi="Times New Roman;serif"/>
                <w:b w:val="false"/>
                <w:sz w:val="20"/>
              </w:rPr>
              <w:t>Robin Harper Cowie</w:t>
            </w:r>
          </w:p>
        </w:tc>
      </w:tr>
      <w:tr>
        <w:trPr/>
        <w:tc>
          <w:tcPr>
            <w:tcW w:w="691" w:type="dxa"/>
            <w:tcBorders/>
            <w:tcMar>
              <w:top w:w="0" w:type="dxa"/>
              <w:left w:w="0" w:type="dxa"/>
              <w:bottom w:w="0" w:type="dxa"/>
              <w:right w:w="0" w:type="dxa"/>
            </w:tcMar>
            <w:vAlign w:val="center"/>
          </w:tcPr>
          <w:p>
            <w:pPr>
              <w:pStyle w:val="TableContents"/>
              <w:bidi w:val="0"/>
              <w:spacing w:before="0" w:after="240"/>
              <w:ind w:left="490" w:right="0" w:hanging="0"/>
              <w:jc w:val="left"/>
              <w:rPr>
                <w:rFonts w:ascii="Times New Roman" w:hAnsi="Times New Roman"/>
                <w:sz w:val="20"/>
              </w:rPr>
            </w:pPr>
            <w:r>
              <w:rPr>
                <w:rFonts w:ascii="Times New Roman;serif" w:hAnsi="Times New Roman;serif"/>
                <w:b w:val="false"/>
                <w:sz w:val="20"/>
              </w:rPr>
              <w:t>Title:</w:t>
            </w:r>
            <w:r>
              <w:rPr>
                <w:rFonts w:ascii="Times New Roman" w:hAnsi="Times New Roman"/>
                <w:sz w:val="20"/>
              </w:rPr>
              <w:t xml:space="preserve"> </w:t>
            </w:r>
          </w:p>
        </w:tc>
        <w:tc>
          <w:tcPr>
            <w:tcW w:w="25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240"/>
        <w:jc w:val="left"/>
        <w:rPr>
          <w:rFonts w:ascii="Times New Roman" w:hAnsi="Times New Roman"/>
          <w:sz w:val="20"/>
        </w:rPr>
      </w:pPr>
      <w:r>
        <w:rPr>
          <w:rFonts w:ascii="Times New Roman;serif" w:hAnsi="Times New Roman;serif"/>
          <w:b w:val="false"/>
          <w:sz w:val="22"/>
        </w:rPr>
        <w:br/>
        <w:br/>
      </w:r>
      <w:r>
        <w:rPr>
          <w:rFonts w:ascii="Times New Roman" w:hAnsi="Times New Roman"/>
          <w:sz w:val="20"/>
        </w:rPr>
        <w:t> </w:t>
      </w:r>
    </w:p>
    <w:p>
      <w:pPr>
        <w:pStyle w:val="TextBody"/>
        <w:bidi w:val="0"/>
        <w:spacing w:before="0" w:after="0"/>
        <w:jc w:val="center"/>
        <w:rPr>
          <w:rFonts w:ascii="Times New Roman" w:hAnsi="Times New Roman"/>
          <w:sz w:val="20"/>
        </w:rPr>
      </w:pPr>
      <w:r>
        <w:rPr>
          <w:rFonts w:ascii="Times New Roman;serif" w:hAnsi="Times New Roman;serif"/>
          <w:b w:val="false"/>
          <w:sz w:val="18"/>
        </w:rPr>
        <w:t>Signature Page to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Limited Waiver</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207" w:type="dxa"/>
        <w:jc w:val="left"/>
        <w:tblInd w:w="0" w:type="dxa"/>
        <w:tblLayout w:type="fixed"/>
        <w:tblCellMar>
          <w:top w:w="28" w:type="dxa"/>
          <w:left w:w="28" w:type="dxa"/>
          <w:bottom w:w="28" w:type="dxa"/>
          <w:right w:w="28" w:type="dxa"/>
        </w:tblCellMar>
      </w:tblPr>
      <w:tblGrid>
        <w:gridCol w:w="691"/>
        <w:gridCol w:w="5516"/>
      </w:tblGrid>
      <w:tr>
        <w:trPr/>
        <w:tc>
          <w:tcPr>
            <w:tcW w:w="691" w:type="dxa"/>
            <w:tcBorders/>
            <w:vAlign w:val="center"/>
          </w:tcPr>
          <w:p>
            <w:pPr>
              <w:pStyle w:val="TableContents"/>
              <w:bidi w:val="0"/>
              <w:spacing w:before="0" w:after="283"/>
              <w:jc w:val="left"/>
              <w:rPr>
                <w:sz w:val="4"/>
                <w:szCs w:val="4"/>
              </w:rPr>
            </w:pPr>
            <w:r>
              <w:rPr>
                <w:sz w:val="4"/>
                <w:szCs w:val="4"/>
              </w:rPr>
            </w:r>
          </w:p>
        </w:tc>
        <w:tc>
          <w:tcPr>
            <w:tcW w:w="5516" w:type="dxa"/>
            <w:tcBorders/>
            <w:vAlign w:val="center"/>
          </w:tcPr>
          <w:p>
            <w:pPr>
              <w:pStyle w:val="TableContents"/>
              <w:bidi w:val="0"/>
              <w:spacing w:before="0" w:after="283"/>
              <w:jc w:val="left"/>
              <w:rPr>
                <w:sz w:val="4"/>
                <w:szCs w:val="4"/>
              </w:rPr>
            </w:pPr>
            <w:r>
              <w:rPr>
                <w:sz w:val="4"/>
                <w:szCs w:val="4"/>
              </w:rPr>
            </w:r>
          </w:p>
        </w:tc>
      </w:tr>
      <w:tr>
        <w:trPr/>
        <w:tc>
          <w:tcPr>
            <w:tcW w:w="620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mallCaps/>
                <w:sz w:val="20"/>
              </w:rPr>
            </w:pPr>
            <w:r>
              <w:rPr>
                <w:rFonts w:ascii="Times New Roman;serif" w:hAnsi="Times New Roman;serif"/>
                <w:b w:val="false"/>
                <w:smallCaps/>
                <w:sz w:val="20"/>
              </w:rPr>
              <w:t>Administrative Agent and Lenders</w:t>
            </w:r>
          </w:p>
        </w:tc>
      </w:tr>
      <w:tr>
        <w:trPr/>
        <w:tc>
          <w:tcPr>
            <w:tcW w:w="6207" w:type="dxa"/>
            <w:gridSpan w:val="2"/>
            <w:tcBorders/>
            <w:tcMar>
              <w:top w:w="0" w:type="dxa"/>
              <w:left w:w="0" w:type="dxa"/>
              <w:bottom w:w="0" w:type="dxa"/>
              <w:right w:w="0" w:type="dxa"/>
            </w:tcMar>
            <w:vAlign w:val="center"/>
          </w:tcPr>
          <w:p>
            <w:pPr>
              <w:pStyle w:val="TableContents"/>
              <w:bidi w:val="0"/>
              <w:spacing w:before="0" w:after="120"/>
              <w:ind w:left="0" w:right="0" w:hanging="0"/>
              <w:jc w:val="left"/>
              <w:rPr>
                <w:rFonts w:ascii="Times New Roman;serif" w:hAnsi="Times New Roman;serif"/>
                <w:b w:val="false"/>
                <w:smallCaps/>
                <w:sz w:val="20"/>
              </w:rPr>
            </w:pPr>
            <w:r>
              <w:rPr>
                <w:rFonts w:ascii="Times New Roman;serif" w:hAnsi="Times New Roman;serif"/>
                <w:b w:val="false"/>
                <w:smallCaps/>
                <w:sz w:val="20"/>
              </w:rPr>
              <w:t>Constituting Majority Lenders:</w:t>
            </w:r>
          </w:p>
        </w:tc>
      </w:tr>
      <w:tr>
        <w:trPr/>
        <w:tc>
          <w:tcPr>
            <w:tcW w:w="620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Perceptive Credit Holdings IV, LP,</w:t>
            </w:r>
          </w:p>
        </w:tc>
      </w:tr>
      <w:tr>
        <w:trPr/>
        <w:tc>
          <w:tcPr>
            <w:tcW w:w="6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516" w:type="dxa"/>
            <w:tcBorders/>
            <w:tcMar>
              <w:top w:w="0" w:type="dxa"/>
              <w:left w:w="0" w:type="dxa"/>
              <w:bottom w:w="0" w:type="dxa"/>
              <w:right w:w="0" w:type="dxa"/>
            </w:tcMar>
            <w:vAlign w:val="center"/>
          </w:tcPr>
          <w:p>
            <w:pPr>
              <w:pStyle w:val="TableContents"/>
              <w:bidi w:val="0"/>
              <w:spacing w:before="0" w:after="120"/>
              <w:ind w:left="0" w:right="0" w:firstLine="490"/>
              <w:jc w:val="left"/>
              <w:rPr>
                <w:rFonts w:ascii="Times New Roman;serif" w:hAnsi="Times New Roman;serif"/>
                <w:b w:val="false"/>
                <w:sz w:val="20"/>
              </w:rPr>
            </w:pPr>
            <w:r>
              <w:rPr>
                <w:rFonts w:ascii="Times New Roman;serif" w:hAnsi="Times New Roman;serif"/>
                <w:b w:val="false"/>
                <w:sz w:val="20"/>
              </w:rPr>
              <w:t>Perceptive Credit Opportunities GP, LLC, its general partner</w:t>
            </w:r>
          </w:p>
        </w:tc>
      </w:tr>
      <w:tr>
        <w:trPr/>
        <w:tc>
          <w:tcPr>
            <w:tcW w:w="691" w:type="dxa"/>
            <w:tcBorders/>
            <w:tcMar>
              <w:top w:w="0" w:type="dxa"/>
              <w:left w:w="0" w:type="dxa"/>
              <w:bottom w:w="0" w:type="dxa"/>
              <w:right w:w="0" w:type="dxa"/>
            </w:tcMar>
            <w:vAlign w:val="center"/>
          </w:tcPr>
          <w:p>
            <w:pPr>
              <w:pStyle w:val="TableContents"/>
              <w:bidi w:val="0"/>
              <w:spacing w:before="0" w:after="0"/>
              <w:ind w:left="490" w:right="0" w:hanging="0"/>
              <w:jc w:val="left"/>
              <w:rPr>
                <w:rFonts w:ascii="Times New Roman;serif" w:hAnsi="Times New Roman;serif"/>
                <w:b w:val="false"/>
                <w:sz w:val="20"/>
              </w:rPr>
            </w:pPr>
            <w:r>
              <w:rPr>
                <w:rFonts w:ascii="Times New Roman;serif" w:hAnsi="Times New Roman;serif"/>
                <w:b w:val="false"/>
                <w:sz w:val="20"/>
              </w:rPr>
              <w:t>By:</w:t>
            </w:r>
          </w:p>
        </w:tc>
        <w:tc>
          <w:tcPr>
            <w:tcW w:w="5516" w:type="dxa"/>
            <w:tcBorders>
              <w:bottom w:val="single" w:sz="4" w:space="0" w:color="000000"/>
            </w:tcBorders>
            <w:tcMar>
              <w:top w:w="0" w:type="dxa"/>
              <w:left w:w="0" w:type="dxa"/>
              <w:right w:w="0" w:type="dxa"/>
            </w:tcMar>
            <w:vAlign w:val="center"/>
          </w:tcPr>
          <w:p>
            <w:pPr>
              <w:pStyle w:val="TableContents"/>
              <w:bidi w:val="0"/>
              <w:spacing w:before="0" w:after="0"/>
              <w:ind w:left="0" w:right="0" w:firstLine="490"/>
              <w:jc w:val="left"/>
              <w:rPr>
                <w:rFonts w:ascii="Times New Roman;serif" w:hAnsi="Times New Roman;serif"/>
                <w:b w:val="false"/>
                <w:sz w:val="20"/>
              </w:rPr>
            </w:pPr>
            <w:r>
              <w:rPr>
                <w:rFonts w:ascii="Times New Roman;serif" w:hAnsi="Times New Roman;serif"/>
                <w:b w:val="false"/>
                <w:sz w:val="20"/>
              </w:rPr>
              <w:t>/s/ Sandeep Dixit</w:t>
            </w:r>
          </w:p>
        </w:tc>
      </w:tr>
      <w:tr>
        <w:trPr/>
        <w:tc>
          <w:tcPr>
            <w:tcW w:w="691" w:type="dxa"/>
            <w:tcBorders/>
            <w:tcMar>
              <w:top w:w="0" w:type="dxa"/>
              <w:left w:w="0" w:type="dxa"/>
              <w:bottom w:w="0" w:type="dxa"/>
              <w:right w:w="0" w:type="dxa"/>
            </w:tcMar>
            <w:vAlign w:val="center"/>
          </w:tcPr>
          <w:p>
            <w:pPr>
              <w:pStyle w:val="TableContents"/>
              <w:bidi w:val="0"/>
              <w:spacing w:before="0" w:after="0"/>
              <w:ind w:left="490" w:right="0" w:hanging="0"/>
              <w:jc w:val="left"/>
              <w:rPr>
                <w:rFonts w:ascii="Times New Roman" w:hAnsi="Times New Roman"/>
                <w:sz w:val="20"/>
              </w:rPr>
            </w:pPr>
            <w:r>
              <w:rPr>
                <w:rFonts w:ascii="Times New Roman;serif" w:hAnsi="Times New Roman;serif"/>
                <w:b w:val="false"/>
                <w:sz w:val="20"/>
              </w:rPr>
              <w:t>Name:</w:t>
            </w:r>
            <w:r>
              <w:rPr>
                <w:rFonts w:ascii="Times New Roman" w:hAnsi="Times New Roman"/>
                <w:sz w:val="20"/>
              </w:rPr>
              <w:t xml:space="preserve"> </w:t>
            </w:r>
          </w:p>
        </w:tc>
        <w:tc>
          <w:tcPr>
            <w:tcW w:w="5516" w:type="dxa"/>
            <w:tcBorders/>
            <w:tcMar>
              <w:top w:w="0" w:type="dxa"/>
              <w:left w:w="0" w:type="dxa"/>
              <w:bottom w:w="0" w:type="dxa"/>
              <w:right w:w="0" w:type="dxa"/>
            </w:tcMar>
            <w:vAlign w:val="center"/>
          </w:tcPr>
          <w:p>
            <w:pPr>
              <w:pStyle w:val="TableContents"/>
              <w:bidi w:val="0"/>
              <w:spacing w:before="0" w:after="0"/>
              <w:ind w:left="0" w:right="0" w:firstLine="490"/>
              <w:jc w:val="left"/>
              <w:rPr>
                <w:rFonts w:ascii="Times New Roman;serif" w:hAnsi="Times New Roman;serif"/>
                <w:b w:val="false"/>
                <w:sz w:val="20"/>
              </w:rPr>
            </w:pPr>
            <w:r>
              <w:rPr>
                <w:rFonts w:ascii="Times New Roman;serif" w:hAnsi="Times New Roman;serif"/>
                <w:b w:val="false"/>
                <w:sz w:val="20"/>
              </w:rPr>
              <w:t>Sandeep Dixit</w:t>
            </w:r>
          </w:p>
        </w:tc>
      </w:tr>
      <w:tr>
        <w:trPr/>
        <w:tc>
          <w:tcPr>
            <w:tcW w:w="691" w:type="dxa"/>
            <w:tcBorders/>
            <w:tcMar>
              <w:top w:w="0" w:type="dxa"/>
              <w:left w:w="0" w:type="dxa"/>
              <w:bottom w:w="0" w:type="dxa"/>
              <w:right w:w="0" w:type="dxa"/>
            </w:tcMar>
            <w:vAlign w:val="center"/>
          </w:tcPr>
          <w:p>
            <w:pPr>
              <w:pStyle w:val="TableContents"/>
              <w:bidi w:val="0"/>
              <w:spacing w:before="0" w:after="240"/>
              <w:ind w:left="490" w:right="0" w:hanging="0"/>
              <w:jc w:val="left"/>
              <w:rPr>
                <w:rFonts w:ascii="Times New Roman" w:hAnsi="Times New Roman"/>
                <w:sz w:val="20"/>
              </w:rPr>
            </w:pPr>
            <w:r>
              <w:rPr>
                <w:rFonts w:ascii="Times New Roman;serif" w:hAnsi="Times New Roman;serif"/>
                <w:b w:val="false"/>
                <w:sz w:val="20"/>
              </w:rPr>
              <w:t>Title:</w:t>
            </w:r>
            <w:r>
              <w:rPr>
                <w:rFonts w:ascii="Times New Roman" w:hAnsi="Times New Roman"/>
                <w:sz w:val="20"/>
              </w:rPr>
              <w:t xml:space="preserve"> </w:t>
            </w:r>
          </w:p>
        </w:tc>
        <w:tc>
          <w:tcPr>
            <w:tcW w:w="5516" w:type="dxa"/>
            <w:tcBorders/>
            <w:tcMar>
              <w:top w:w="0" w:type="dxa"/>
              <w:left w:w="0" w:type="dxa"/>
              <w:bottom w:w="0" w:type="dxa"/>
              <w:right w:w="0" w:type="dxa"/>
            </w:tcMar>
            <w:vAlign w:val="center"/>
          </w:tcPr>
          <w:p>
            <w:pPr>
              <w:pStyle w:val="TableContents"/>
              <w:bidi w:val="0"/>
              <w:spacing w:before="0" w:after="0"/>
              <w:ind w:left="0" w:right="0" w:firstLine="490"/>
              <w:jc w:val="left"/>
              <w:rPr>
                <w:rFonts w:ascii="Times New Roman;serif" w:hAnsi="Times New Roman;serif"/>
                <w:b w:val="false"/>
                <w:sz w:val="20"/>
              </w:rPr>
            </w:pPr>
            <w:r>
              <w:rPr>
                <w:rFonts w:ascii="Times New Roman;serif" w:hAnsi="Times New Roman;serif"/>
                <w:b w:val="false"/>
                <w:sz w:val="20"/>
              </w:rPr>
              <w:t>Chief Credit Officer</w:t>
            </w:r>
          </w:p>
        </w:tc>
      </w:tr>
      <w:tr>
        <w:trPr/>
        <w:tc>
          <w:tcPr>
            <w:tcW w:w="691" w:type="dxa"/>
            <w:tcBorders/>
            <w:tcMar>
              <w:top w:w="0" w:type="dxa"/>
              <w:left w:w="0" w:type="dxa"/>
              <w:bottom w:w="0" w:type="dxa"/>
              <w:right w:w="0" w:type="dxa"/>
            </w:tcMar>
            <w:vAlign w:val="center"/>
          </w:tcPr>
          <w:p>
            <w:pPr>
              <w:pStyle w:val="TableContents"/>
              <w:bidi w:val="0"/>
              <w:spacing w:before="0" w:after="240"/>
              <w:ind w:left="490" w:right="0" w:hanging="0"/>
              <w:jc w:val="left"/>
              <w:rPr/>
            </w:pPr>
            <w:r>
              <w:rPr/>
              <w:t> </w:t>
            </w:r>
          </w:p>
        </w:tc>
        <w:tc>
          <w:tcPr>
            <w:tcW w:w="5516" w:type="dxa"/>
            <w:tcBorders/>
            <w:tcMar>
              <w:top w:w="0" w:type="dxa"/>
              <w:left w:w="0" w:type="dxa"/>
              <w:bottom w:w="0" w:type="dxa"/>
              <w:right w:w="0" w:type="dxa"/>
            </w:tcMar>
            <w:vAlign w:val="center"/>
          </w:tcPr>
          <w:p>
            <w:pPr>
              <w:pStyle w:val="TableContents"/>
              <w:bidi w:val="0"/>
              <w:spacing w:before="0" w:after="0"/>
              <w:ind w:left="0" w:right="0" w:firstLine="490"/>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0"/>
              <w:ind w:left="490" w:right="0" w:hanging="0"/>
              <w:jc w:val="left"/>
              <w:rPr>
                <w:rFonts w:ascii="Times New Roman;serif" w:hAnsi="Times New Roman;serif"/>
                <w:b w:val="false"/>
                <w:sz w:val="20"/>
              </w:rPr>
            </w:pPr>
            <w:r>
              <w:rPr>
                <w:rFonts w:ascii="Times New Roman;serif" w:hAnsi="Times New Roman;serif"/>
                <w:b w:val="false"/>
                <w:sz w:val="20"/>
              </w:rPr>
              <w:t>By:</w:t>
            </w:r>
          </w:p>
        </w:tc>
        <w:tc>
          <w:tcPr>
            <w:tcW w:w="5516" w:type="dxa"/>
            <w:tcBorders>
              <w:bottom w:val="single" w:sz="4" w:space="0" w:color="000000"/>
            </w:tcBorders>
            <w:tcMar>
              <w:top w:w="0" w:type="dxa"/>
              <w:left w:w="0" w:type="dxa"/>
              <w:right w:w="0" w:type="dxa"/>
            </w:tcMar>
            <w:vAlign w:val="center"/>
          </w:tcPr>
          <w:p>
            <w:pPr>
              <w:pStyle w:val="TableContents"/>
              <w:bidi w:val="0"/>
              <w:spacing w:before="0" w:after="0"/>
              <w:ind w:left="0" w:right="0" w:firstLine="490"/>
              <w:jc w:val="left"/>
              <w:rPr>
                <w:rFonts w:ascii="Times New Roman;serif" w:hAnsi="Times New Roman;serif"/>
                <w:b w:val="false"/>
                <w:sz w:val="20"/>
              </w:rPr>
            </w:pPr>
            <w:r>
              <w:rPr>
                <w:rFonts w:ascii="Times New Roman;serif" w:hAnsi="Times New Roman;serif"/>
                <w:b w:val="false"/>
                <w:sz w:val="20"/>
              </w:rPr>
              <w:t>/s/ Sam Chawla</w:t>
            </w:r>
          </w:p>
        </w:tc>
      </w:tr>
      <w:tr>
        <w:trPr/>
        <w:tc>
          <w:tcPr>
            <w:tcW w:w="691" w:type="dxa"/>
            <w:tcBorders/>
            <w:tcMar>
              <w:top w:w="0" w:type="dxa"/>
              <w:left w:w="0" w:type="dxa"/>
              <w:bottom w:w="0" w:type="dxa"/>
              <w:right w:w="0" w:type="dxa"/>
            </w:tcMar>
            <w:vAlign w:val="center"/>
          </w:tcPr>
          <w:p>
            <w:pPr>
              <w:pStyle w:val="TableContents"/>
              <w:bidi w:val="0"/>
              <w:spacing w:before="0" w:after="0"/>
              <w:ind w:left="490" w:right="0" w:hanging="0"/>
              <w:jc w:val="left"/>
              <w:rPr>
                <w:rFonts w:ascii="Times New Roman;serif" w:hAnsi="Times New Roman;serif"/>
                <w:b w:val="false"/>
                <w:sz w:val="20"/>
              </w:rPr>
            </w:pPr>
            <w:r>
              <w:rPr>
                <w:rFonts w:ascii="Times New Roman;serif" w:hAnsi="Times New Roman;serif"/>
                <w:b w:val="false"/>
                <w:sz w:val="20"/>
              </w:rPr>
              <w:t>Name:</w:t>
            </w:r>
          </w:p>
        </w:tc>
        <w:tc>
          <w:tcPr>
            <w:tcW w:w="5516" w:type="dxa"/>
            <w:tcBorders/>
            <w:tcMar>
              <w:top w:w="0" w:type="dxa"/>
              <w:left w:w="0" w:type="dxa"/>
              <w:bottom w:w="0" w:type="dxa"/>
              <w:right w:w="0" w:type="dxa"/>
            </w:tcMar>
            <w:vAlign w:val="center"/>
          </w:tcPr>
          <w:p>
            <w:pPr>
              <w:pStyle w:val="TableContents"/>
              <w:bidi w:val="0"/>
              <w:spacing w:before="0" w:after="0"/>
              <w:ind w:left="0" w:right="0" w:firstLine="490"/>
              <w:jc w:val="left"/>
              <w:rPr>
                <w:rFonts w:ascii="Times New Roman;serif" w:hAnsi="Times New Roman;serif"/>
                <w:b w:val="false"/>
                <w:sz w:val="20"/>
              </w:rPr>
            </w:pPr>
            <w:r>
              <w:rPr>
                <w:rFonts w:ascii="Times New Roman;serif" w:hAnsi="Times New Roman;serif"/>
                <w:b w:val="false"/>
                <w:sz w:val="20"/>
              </w:rPr>
              <w:t>Sam Chawla</w:t>
            </w:r>
          </w:p>
        </w:tc>
      </w:tr>
      <w:tr>
        <w:trPr/>
        <w:tc>
          <w:tcPr>
            <w:tcW w:w="691" w:type="dxa"/>
            <w:tcBorders/>
            <w:tcMar>
              <w:top w:w="0" w:type="dxa"/>
              <w:left w:w="0" w:type="dxa"/>
              <w:bottom w:w="0" w:type="dxa"/>
              <w:right w:w="0" w:type="dxa"/>
            </w:tcMar>
            <w:vAlign w:val="center"/>
          </w:tcPr>
          <w:p>
            <w:pPr>
              <w:pStyle w:val="TableContents"/>
              <w:bidi w:val="0"/>
              <w:spacing w:before="0" w:after="0"/>
              <w:ind w:left="490" w:right="0" w:hanging="0"/>
              <w:jc w:val="left"/>
              <w:rPr>
                <w:rFonts w:ascii="Times New Roman;serif" w:hAnsi="Times New Roman;serif"/>
                <w:b w:val="false"/>
                <w:sz w:val="20"/>
              </w:rPr>
            </w:pPr>
            <w:r>
              <w:rPr>
                <w:rFonts w:ascii="Times New Roman;serif" w:hAnsi="Times New Roman;serif"/>
                <w:b w:val="false"/>
                <w:sz w:val="20"/>
              </w:rPr>
              <w:t>Title:</w:t>
            </w:r>
          </w:p>
        </w:tc>
        <w:tc>
          <w:tcPr>
            <w:tcW w:w="55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Portfolio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18"/>
        </w:rPr>
        <w:t>Signature Page to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Limited Waiver</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mallCaps/>
          <w:sz w:val="20"/>
        </w:rPr>
      </w:pPr>
      <w:bookmarkStart w:id="25" w:name="bdsx-ex10_2.htm"/>
      <w:bookmarkStart w:id="26" w:name="ksbdsxex10_2"/>
      <w:bookmarkEnd w:id="25"/>
      <w:bookmarkEnd w:id="26"/>
      <w:r>
        <w:rPr>
          <w:rFonts w:ascii="Times New Roman;serif" w:hAnsi="Times New Roman;serif"/>
          <w:b/>
          <w:smallCaps/>
          <w:sz w:val="20"/>
        </w:rPr>
        <w:t>Exhibit 10.2</w:t>
      </w:r>
      <w:r>
        <w:br w:type="page"/>
      </w:r>
    </w:p>
    <w:p>
      <w:pPr>
        <w:pStyle w:val="TextBody"/>
        <w:bidi w:val="0"/>
        <w:spacing w:before="0" w:after="0"/>
        <w:jc w:val="center"/>
        <w:rPr>
          <w:rFonts w:ascii="Times New Roman;serif" w:hAnsi="Times New Roman;serif"/>
          <w:b/>
          <w:sz w:val="24"/>
        </w:rPr>
      </w:pPr>
      <w:r>
        <w:rPr>
          <w:rFonts w:ascii="Times New Roman;serif" w:hAnsi="Times New Roman;serif"/>
          <w:b/>
          <w:sz w:val="24"/>
        </w:rPr>
        <w:t>AMENDMENT TO COMMERCIAL LEASE AGREEMENT</w:t>
      </w:r>
    </w:p>
    <w:p>
      <w:pPr>
        <w:pStyle w:val="TextBody"/>
        <w:bidi w:val="0"/>
        <w:spacing w:before="0" w:after="0"/>
        <w:jc w:val="center"/>
        <w:rPr/>
      </w:pPr>
      <w:r>
        <w:rPr/>
        <w:t> </w:t>
      </w:r>
    </w:p>
    <w:p>
      <w:pPr>
        <w:pStyle w:val="TextBody"/>
        <w:bidi w:val="0"/>
        <w:spacing w:before="180" w:after="0"/>
        <w:jc w:val="both"/>
        <w:rPr>
          <w:rFonts w:ascii="Times New Roman" w:hAnsi="Times New Roman"/>
          <w:sz w:val="20"/>
        </w:rPr>
      </w:pPr>
      <w:r>
        <w:rPr>
          <w:rFonts w:ascii="Times New Roman;serif" w:hAnsi="Times New Roman;serif"/>
          <w:b w:val="false"/>
          <w:sz w:val="24"/>
        </w:rPr>
        <w:t>This Amendment and Extension of Commercial Lease Agreement (this "Amendment"), entered into this 3</w:t>
      </w:r>
      <w:r>
        <w:rPr>
          <w:rFonts w:ascii="Times New Roman;serif" w:hAnsi="Times New Roman;serif"/>
          <w:b w:val="false"/>
          <w:sz w:val="16"/>
        </w:rPr>
        <w:t>rd</w:t>
      </w:r>
      <w:r>
        <w:rPr>
          <w:rFonts w:ascii="Times New Roman" w:hAnsi="Times New Roman"/>
          <w:sz w:val="20"/>
        </w:rPr>
        <w:t xml:space="preserve"> </w:t>
      </w:r>
      <w:r>
        <w:rPr>
          <w:rFonts w:ascii="Times New Roman;serif" w:hAnsi="Times New Roman;serif"/>
          <w:b w:val="false"/>
          <w:sz w:val="24"/>
        </w:rPr>
        <w:t>day of March 2023 by and between DeSoto Investments, LLC (the "Landlord") and Biodesix Inc (the ''Tenant").</w:t>
      </w:r>
    </w:p>
    <w:p>
      <w:pPr>
        <w:pStyle w:val="TextBody"/>
        <w:bidi w:val="0"/>
        <w:spacing w:before="0" w:after="0"/>
        <w:jc w:val="left"/>
        <w:rPr/>
      </w:pPr>
      <w:r>
        <w:rPr/>
        <w:t> </w:t>
      </w:r>
    </w:p>
    <w:p>
      <w:pPr>
        <w:pStyle w:val="TextBody"/>
        <w:bidi w:val="0"/>
        <w:spacing w:before="0" w:after="120"/>
        <w:jc w:val="center"/>
        <w:rPr>
          <w:rFonts w:ascii="Times New Roman;serif" w:hAnsi="Times New Roman;serif"/>
          <w:b/>
          <w:sz w:val="24"/>
        </w:rPr>
      </w:pPr>
      <w:r>
        <w:rPr>
          <w:rFonts w:ascii="Times New Roman;serif" w:hAnsi="Times New Roman;serif"/>
          <w:b/>
          <w:sz w:val="24"/>
        </w:rPr>
        <w:t>RECITALS:</w:t>
      </w:r>
    </w:p>
    <w:p>
      <w:pPr>
        <w:pStyle w:val="TextBody"/>
        <w:bidi w:val="0"/>
        <w:spacing w:before="66" w:after="0"/>
        <w:jc w:val="left"/>
        <w:rPr>
          <w:rFonts w:ascii="Times New Roman" w:hAnsi="Times New Roman"/>
          <w:b w:val="false"/>
          <w:sz w:val="18"/>
        </w:rPr>
      </w:pPr>
      <w:r>
        <w:rPr>
          <w:rFonts w:ascii="Times New Roman" w:hAnsi="Times New Roman"/>
          <w:b w:val="false"/>
          <w:sz w:val="18"/>
        </w:rPr>
        <w:t>A.</w:t>
      </w:r>
    </w:p>
    <w:p>
      <w:pPr>
        <w:pStyle w:val="TextBody"/>
        <w:bidi w:val="0"/>
        <w:spacing w:before="66" w:after="0"/>
        <w:jc w:val="left"/>
        <w:rPr>
          <w:rFonts w:ascii="Times New Roman;serif" w:hAnsi="Times New Roman;serif"/>
          <w:b w:val="false"/>
          <w:sz w:val="24"/>
        </w:rPr>
      </w:pPr>
      <w:r>
        <w:rPr>
          <w:rFonts w:ascii="Times New Roman;serif" w:hAnsi="Times New Roman;serif"/>
          <w:b w:val="false"/>
          <w:sz w:val="24"/>
        </w:rPr>
        <w:t>Landlord and Tenant have entered into that Commercial Lease Agreement dated November 1, 2020 (signed date) which is the "Lease", pursuant to which the Landlord has demised to Tenant certain premises located at 8960 Commerce Drive, De Soto, Kansas.</w:t>
      </w:r>
    </w:p>
    <w:p>
      <w:pPr>
        <w:pStyle w:val="TextBody"/>
        <w:bidi w:val="0"/>
        <w:spacing w:before="10" w:after="0"/>
        <w:jc w:val="left"/>
        <w:rPr>
          <w:rFonts w:ascii="Times New Roman" w:hAnsi="Times New Roman"/>
          <w:b w:val="false"/>
          <w:sz w:val="18"/>
        </w:rPr>
      </w:pPr>
      <w:r>
        <w:rPr>
          <w:rFonts w:ascii="Times New Roman" w:hAnsi="Times New Roman"/>
          <w:b w:val="false"/>
          <w:sz w:val="18"/>
        </w:rPr>
        <w:t>B.</w:t>
      </w:r>
    </w:p>
    <w:p>
      <w:pPr>
        <w:pStyle w:val="TextBody"/>
        <w:bidi w:val="0"/>
        <w:spacing w:before="10" w:after="0"/>
        <w:jc w:val="left"/>
        <w:rPr>
          <w:rFonts w:ascii="Times New Roman;serif" w:hAnsi="Times New Roman;serif"/>
          <w:b w:val="false"/>
          <w:sz w:val="24"/>
        </w:rPr>
      </w:pPr>
      <w:r>
        <w:rPr>
          <w:rFonts w:ascii="Times New Roman;serif" w:hAnsi="Times New Roman;serif"/>
          <w:b w:val="false"/>
          <w:sz w:val="24"/>
        </w:rPr>
        <w:t>Landlord and Tenant have agreed to extend the term of the lease for a period of three (3) years with two (2) five (5) year options, upon the terms and conditions hereinafter set forth.</w:t>
      </w:r>
    </w:p>
    <w:p>
      <w:pPr>
        <w:pStyle w:val="TextBody"/>
        <w:bidi w:val="0"/>
        <w:spacing w:before="0" w:after="0"/>
        <w:jc w:val="left"/>
        <w:rPr>
          <w:rFonts w:ascii="Times New Roman" w:hAnsi="Times New Roman"/>
          <w:b w:val="false"/>
          <w:sz w:val="18"/>
        </w:rPr>
      </w:pPr>
      <w:r>
        <w:rPr>
          <w:rFonts w:ascii="Times New Roman" w:hAnsi="Times New Roman"/>
          <w:b w:val="false"/>
          <w:sz w:val="18"/>
        </w:rPr>
        <w:t>C.</w:t>
      </w:r>
    </w:p>
    <w:p>
      <w:pPr>
        <w:pStyle w:val="TextBody"/>
        <w:bidi w:val="0"/>
        <w:spacing w:before="0" w:after="0"/>
        <w:jc w:val="left"/>
        <w:rPr/>
      </w:pPr>
      <w:r>
        <w:rPr>
          <w:rFonts w:ascii="Times New Roman;serif" w:hAnsi="Times New Roman;serif"/>
          <w:b/>
          <w:sz w:val="24"/>
        </w:rPr>
        <w:t xml:space="preserve">NOW THEREFORE, </w:t>
      </w:r>
      <w:r>
        <w:rPr>
          <w:rFonts w:ascii="Times New Roman;serif" w:hAnsi="Times New Roman;serif"/>
          <w:b w:val="false"/>
          <w:sz w:val="24"/>
        </w:rPr>
        <w:t>in consideration of the mutual covenants herein contained and other good and valuable consideration, the receipt and sufficiency of which is hereby acknowledged, Landlord and Tenant hereby agree as follows:</w:t>
      </w:r>
    </w:p>
    <w:p>
      <w:pPr>
        <w:pStyle w:val="TextBody"/>
        <w:bidi w:val="0"/>
        <w:spacing w:before="0" w:after="0"/>
        <w:jc w:val="left"/>
        <w:rPr>
          <w:rFonts w:ascii="Times New Roman" w:hAnsi="Times New Roman"/>
          <w:b w:val="false"/>
          <w:sz w:val="24"/>
        </w:rPr>
      </w:pPr>
      <w:r>
        <w:rPr>
          <w:rFonts w:ascii="Times New Roman" w:hAnsi="Times New Roman"/>
          <w:b w:val="false"/>
          <w:sz w:val="24"/>
        </w:rPr>
        <w:t>1.</w:t>
      </w:r>
    </w:p>
    <w:p>
      <w:pPr>
        <w:pStyle w:val="TextBody"/>
        <w:bidi w:val="0"/>
        <w:jc w:val="left"/>
        <w:rPr/>
      </w:pPr>
      <w:r>
        <w:rPr>
          <w:rFonts w:ascii="Times New Roman;serif" w:hAnsi="Times New Roman;serif"/>
          <w:b/>
          <w:sz w:val="24"/>
        </w:rPr>
        <w:t xml:space="preserve">Extension of Term. </w:t>
      </w:r>
      <w:r>
        <w:rPr>
          <w:rFonts w:ascii="Times New Roman;serif" w:hAnsi="Times New Roman;serif"/>
          <w:b w:val="false"/>
          <w:sz w:val="24"/>
        </w:rPr>
        <w:t>The term of the lease is hereby extended for a period of three (3)</w:t>
      </w:r>
    </w:p>
    <w:p>
      <w:pPr>
        <w:pStyle w:val="TextBody"/>
        <w:bidi w:val="0"/>
        <w:spacing w:before="38" w:after="0"/>
        <w:jc w:val="left"/>
        <w:rPr>
          <w:rFonts w:ascii="Times New Roman;serif" w:hAnsi="Times New Roman;serif"/>
          <w:b w:val="false"/>
          <w:sz w:val="24"/>
        </w:rPr>
      </w:pPr>
      <w:r>
        <w:rPr>
          <w:rFonts w:ascii="Times New Roman;serif" w:hAnsi="Times New Roman;serif"/>
          <w:b w:val="false"/>
          <w:sz w:val="24"/>
        </w:rPr>
        <w:t>years commencing November 1, 2023. And expiring October 31, 2026 (the "extended term").</w:t>
      </w:r>
    </w:p>
    <w:p>
      <w:pPr>
        <w:pStyle w:val="TextBody"/>
        <w:bidi w:val="0"/>
        <w:spacing w:before="2" w:after="0"/>
        <w:jc w:val="left"/>
        <w:rPr>
          <w:rFonts w:ascii="Times New Roman" w:hAnsi="Times New Roman"/>
          <w:b w:val="false"/>
          <w:sz w:val="24"/>
        </w:rPr>
      </w:pPr>
      <w:r>
        <w:rPr>
          <w:rFonts w:ascii="Times New Roman" w:hAnsi="Times New Roman"/>
          <w:b w:val="false"/>
          <w:sz w:val="24"/>
        </w:rPr>
        <w:t>2.</w:t>
      </w:r>
    </w:p>
    <w:p>
      <w:pPr>
        <w:pStyle w:val="TextBody"/>
        <w:bidi w:val="0"/>
        <w:spacing w:before="2" w:after="0"/>
        <w:jc w:val="left"/>
        <w:rPr/>
      </w:pPr>
      <w:r>
        <w:rPr>
          <w:rFonts w:ascii="Times New Roman;serif" w:hAnsi="Times New Roman;serif"/>
          <w:b w:val="false"/>
          <w:sz w:val="24"/>
        </w:rPr>
        <w:t xml:space="preserve">The </w:t>
      </w:r>
      <w:r>
        <w:rPr>
          <w:rFonts w:ascii="Times New Roman;serif" w:hAnsi="Times New Roman;serif"/>
          <w:b/>
          <w:sz w:val="24"/>
        </w:rPr>
        <w:t xml:space="preserve">Minimum Guaranteed Rental. </w:t>
      </w:r>
      <w:r>
        <w:rPr>
          <w:rFonts w:ascii="Times New Roman;serif" w:hAnsi="Times New Roman;serif"/>
          <w:b w:val="false"/>
          <w:sz w:val="24"/>
        </w:rPr>
        <w:t>Tenant shall pay to Landlord, as rent during the extended term, the following amounts:</w:t>
      </w:r>
    </w:p>
    <w:p>
      <w:pPr>
        <w:pStyle w:val="TextBody"/>
        <w:bidi w:val="0"/>
        <w:spacing w:before="0" w:after="0"/>
        <w:jc w:val="both"/>
        <w:rPr>
          <w:rFonts w:ascii="Arial" w:hAnsi="Arial"/>
          <w:b w:val="false"/>
          <w:sz w:val="18"/>
        </w:rPr>
      </w:pPr>
      <w:r>
        <w:rPr>
          <w:rFonts w:ascii="Arial" w:hAnsi="Arial"/>
          <w:b w:val="false"/>
          <w:sz w:val="18"/>
        </w:rPr>
        <w:t>a.</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$11, 332.50 November 1, 2023 - October 31, 2026 $15.00 per sq. ft.</w:t>
      </w:r>
    </w:p>
    <w:p>
      <w:pPr>
        <w:pStyle w:val="TextBody"/>
        <w:bidi w:val="0"/>
        <w:spacing w:before="55" w:after="0"/>
        <w:jc w:val="both"/>
        <w:rPr>
          <w:rFonts w:ascii="Times New Roman" w:hAnsi="Times New Roman"/>
          <w:b w:val="false"/>
          <w:sz w:val="24"/>
        </w:rPr>
      </w:pPr>
      <w:r>
        <w:rPr>
          <w:rFonts w:ascii="Times New Roman" w:hAnsi="Times New Roman"/>
          <w:b w:val="false"/>
          <w:sz w:val="24"/>
        </w:rPr>
        <w:t>3.</w:t>
      </w:r>
    </w:p>
    <w:p>
      <w:pPr>
        <w:pStyle w:val="TextBody"/>
        <w:bidi w:val="0"/>
        <w:spacing w:before="55" w:after="0"/>
        <w:jc w:val="both"/>
        <w:rPr/>
      </w:pPr>
      <w:r>
        <w:rPr>
          <w:rFonts w:ascii="Times New Roman;serif" w:hAnsi="Times New Roman;serif"/>
          <w:b/>
          <w:sz w:val="24"/>
        </w:rPr>
        <w:t xml:space="preserve">Common Area Maintenance. </w:t>
      </w:r>
      <w:r>
        <w:rPr>
          <w:rFonts w:ascii="Times New Roman;serif" w:hAnsi="Times New Roman;serif"/>
          <w:b w:val="false"/>
          <w:sz w:val="24"/>
        </w:rPr>
        <w:t>Tenant shall also pay to Landlord CAM charges, taxes, and insurance of approximately: $3.83 sf (based on 2021 CAM rates), not to exceed $4.50 sf. over term of extended term.</w:t>
      </w:r>
    </w:p>
    <w:p>
      <w:pPr>
        <w:pStyle w:val="TextBody"/>
        <w:bidi w:val="0"/>
        <w:spacing w:before="12" w:after="0"/>
        <w:jc w:val="both"/>
        <w:rPr>
          <w:rFonts w:ascii="Arial" w:hAnsi="Arial"/>
          <w:b w:val="false"/>
          <w:sz w:val="18"/>
        </w:rPr>
      </w:pPr>
      <w:r>
        <w:rPr>
          <w:rFonts w:ascii="Arial" w:hAnsi="Arial"/>
          <w:b w:val="false"/>
          <w:sz w:val="18"/>
        </w:rPr>
        <w:t>a.</w:t>
      </w:r>
    </w:p>
    <w:p>
      <w:pPr>
        <w:pStyle w:val="TextBody"/>
        <w:bidi w:val="0"/>
        <w:spacing w:before="12" w:after="283"/>
        <w:jc w:val="both"/>
        <w:rPr>
          <w:rFonts w:ascii="Times New Roman;serif" w:hAnsi="Times New Roman;serif"/>
          <w:b w:val="false"/>
          <w:sz w:val="24"/>
        </w:rPr>
      </w:pPr>
      <w:r>
        <w:rPr>
          <w:rFonts w:ascii="Times New Roman;serif" w:hAnsi="Times New Roman;serif"/>
          <w:b w:val="false"/>
          <w:sz w:val="24"/>
        </w:rPr>
        <w:t>$2,893.57 per month beginning November 1, 2023 $3.83 per sq. ft.</w:t>
      </w:r>
    </w:p>
    <w:p>
      <w:pPr>
        <w:pStyle w:val="TextBody"/>
        <w:bidi w:val="0"/>
        <w:spacing w:before="240" w:after="120"/>
        <w:jc w:val="center"/>
        <w:rPr>
          <w:rFonts w:ascii="Times New Roman;serif" w:hAnsi="Times New Roman;serif"/>
          <w:b/>
          <w:sz w:val="24"/>
        </w:rPr>
      </w:pPr>
      <w:r>
        <w:rPr>
          <w:rFonts w:ascii="Times New Roman;serif" w:hAnsi="Times New Roman;serif"/>
          <w:b/>
          <w:sz w:val="24"/>
        </w:rPr>
        <w:t>OPTIONS:</w:t>
      </w:r>
    </w:p>
    <w:p>
      <w:pPr>
        <w:pStyle w:val="TextBody"/>
        <w:bidi w:val="0"/>
        <w:spacing w:before="56" w:after="0"/>
        <w:jc w:val="left"/>
        <w:rPr>
          <w:rFonts w:ascii="Times New Roman" w:hAnsi="Times New Roman"/>
          <w:b w:val="false"/>
          <w:sz w:val="20"/>
        </w:rPr>
      </w:pPr>
      <w:r>
        <w:rPr>
          <w:rFonts w:ascii="Times New Roman" w:hAnsi="Times New Roman"/>
          <w:b w:val="false"/>
          <w:sz w:val="20"/>
        </w:rPr>
        <w:t>A.</w:t>
      </w:r>
    </w:p>
    <w:p>
      <w:pPr>
        <w:pStyle w:val="TextBody"/>
        <w:bidi w:val="0"/>
        <w:spacing w:before="56" w:after="0"/>
        <w:jc w:val="left"/>
        <w:rPr>
          <w:rFonts w:ascii="Times New Roman;serif" w:hAnsi="Times New Roman;serif"/>
          <w:b w:val="false"/>
          <w:sz w:val="24"/>
        </w:rPr>
      </w:pPr>
      <w:r>
        <w:rPr>
          <w:rFonts w:ascii="Times New Roman;serif" w:hAnsi="Times New Roman;serif"/>
          <w:b w:val="false"/>
          <w:sz w:val="24"/>
        </w:rPr>
        <w:t>Option to Renew Lease. Tenant must be in good standing to exercise their option to renew Amendment. Tenant shall have the right, at its option, to extend the term of this Amendment for two (2) additional five (5) years upon Tenant giving written notice to Landlord at least one hundred and eighty (180} days prior to the expiration of the extended term or renewal term, as applicable. Each Renewal Term shall be on the same terms and conditions of this Amendment.</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Monthly Base Rent during Renewal Term shall be adjusted to the greater of:</w:t>
      </w:r>
    </w:p>
    <w:p>
      <w:pPr>
        <w:pStyle w:val="TextBody"/>
        <w:bidi w:val="0"/>
        <w:spacing w:before="16" w:after="0"/>
        <w:jc w:val="left"/>
        <w:rPr>
          <w:rFonts w:ascii="Times New Roman" w:hAnsi="Times New Roman"/>
          <w:b w:val="false"/>
          <w:sz w:val="24"/>
        </w:rPr>
      </w:pPr>
      <w:r>
        <w:rPr>
          <w:rFonts w:ascii="Times New Roman" w:hAnsi="Times New Roman"/>
          <w:b w:val="false"/>
          <w:sz w:val="24"/>
        </w:rPr>
        <w:t>a.</w:t>
      </w:r>
    </w:p>
    <w:p>
      <w:pPr>
        <w:pStyle w:val="TextBody"/>
        <w:bidi w:val="0"/>
        <w:spacing w:before="16" w:after="0"/>
        <w:jc w:val="left"/>
        <w:rPr>
          <w:rFonts w:ascii="Times New Roman;serif" w:hAnsi="Times New Roman;serif"/>
          <w:b w:val="false"/>
          <w:sz w:val="24"/>
        </w:rPr>
      </w:pPr>
      <w:r>
        <w:rPr>
          <w:rFonts w:ascii="Times New Roman;serif" w:hAnsi="Times New Roman;serif"/>
          <w:b w:val="false"/>
          <w:sz w:val="24"/>
        </w:rPr>
        <w:t>Fair market rate as mutually agreed by the parties, or</w:t>
      </w:r>
    </w:p>
    <w:p>
      <w:pPr>
        <w:pStyle w:val="TextBody"/>
        <w:bidi w:val="0"/>
        <w:spacing w:before="42" w:after="0"/>
        <w:jc w:val="left"/>
        <w:rPr>
          <w:rFonts w:ascii="Times New Roman" w:hAnsi="Times New Roman"/>
          <w:b w:val="false"/>
          <w:sz w:val="24"/>
        </w:rPr>
      </w:pPr>
      <w:r>
        <w:rPr>
          <w:rFonts w:ascii="Times New Roman" w:hAnsi="Times New Roman"/>
          <w:b w:val="false"/>
          <w:sz w:val="24"/>
        </w:rPr>
        <w:t>b.</w:t>
      </w:r>
    </w:p>
    <w:p>
      <w:pPr>
        <w:pStyle w:val="TextBody"/>
        <w:bidi w:val="0"/>
        <w:spacing w:before="42" w:after="283"/>
        <w:jc w:val="left"/>
        <w:rPr>
          <w:rFonts w:ascii="Times New Roman;serif" w:hAnsi="Times New Roman;serif"/>
          <w:b w:val="false"/>
          <w:sz w:val="24"/>
        </w:rPr>
      </w:pPr>
      <w:r>
        <w:rPr>
          <w:rFonts w:ascii="Times New Roman;serif" w:hAnsi="Times New Roman;serif"/>
          <w:b w:val="false"/>
          <w:sz w:val="24"/>
        </w:rPr>
        <w:t>105% of the Base Rent in effect during the month immediately preceding the applicable Renewal Term.</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pPr>
      <w:r>
        <w:rPr/>
        <w:t> </w:t>
      </w:r>
    </w:p>
    <w:p>
      <w:pPr>
        <w:pStyle w:val="TextBody"/>
        <w:bidi w:val="0"/>
        <w:spacing w:before="3" w:after="0"/>
        <w:jc w:val="left"/>
        <w:rPr/>
      </w:pPr>
      <w:r>
        <w:rPr/>
        <w:t> </w:t>
      </w:r>
    </w:p>
    <w:p>
      <w:pPr>
        <w:pStyle w:val="TextBody"/>
        <w:bidi w:val="0"/>
        <w:spacing w:before="0" w:after="0"/>
        <w:jc w:val="left"/>
        <w:rPr/>
      </w:pPr>
      <w:r>
        <w:rPr/>
        <w:t> </w:t>
      </w:r>
    </w:p>
    <w:p>
      <w:pPr>
        <w:pStyle w:val="TextBody"/>
        <w:bidi w:val="0"/>
        <w:spacing w:before="99" w:after="0"/>
        <w:jc w:val="left"/>
        <w:rPr>
          <w:rFonts w:ascii="Times New Roman;serif" w:hAnsi="Times New Roman;serif"/>
          <w:b w:val="false"/>
          <w:sz w:val="24"/>
        </w:rPr>
      </w:pPr>
      <w:r>
        <w:rPr>
          <w:rFonts w:ascii="Times New Roman;serif" w:hAnsi="Times New Roman;serif"/>
          <w:b w:val="false"/>
          <w:sz w:val="24"/>
        </w:rPr>
        <w:t>Landlord:</w:t>
      </w:r>
    </w:p>
    <w:p>
      <w:pPr>
        <w:pStyle w:val="TextBody"/>
        <w:bidi w:val="0"/>
        <w:spacing w:before="7"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De Soto Investments, LLC</w:t>
      </w:r>
    </w:p>
    <w:tbl>
      <w:tblPr>
        <w:tblW w:w="2972" w:type="dxa"/>
        <w:jc w:val="left"/>
        <w:tblInd w:w="0" w:type="dxa"/>
        <w:tblLayout w:type="fixed"/>
        <w:tblCellMar>
          <w:top w:w="28" w:type="dxa"/>
          <w:left w:w="28" w:type="dxa"/>
          <w:bottom w:w="28" w:type="dxa"/>
          <w:right w:w="28" w:type="dxa"/>
        </w:tblCellMar>
      </w:tblPr>
      <w:tblGrid>
        <w:gridCol w:w="631"/>
        <w:gridCol w:w="2341"/>
      </w:tblGrid>
      <w:tr>
        <w:trPr/>
        <w:tc>
          <w:tcPr>
            <w:tcW w:w="63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 JOHN BICKIMER</w:t>
            </w:r>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Title:</w:t>
            </w:r>
          </w:p>
        </w:tc>
        <w:tc>
          <w:tcPr>
            <w:tcW w:w="23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Chief Financial Officer</w:t>
            </w:r>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Date:</w:t>
            </w:r>
          </w:p>
        </w:tc>
        <w:tc>
          <w:tcPr>
            <w:tcW w:w="23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April 4, 2023</w:t>
            </w:r>
          </w:p>
        </w:tc>
      </w:tr>
    </w:tbl>
    <w:p>
      <w:pPr>
        <w:pStyle w:val="TextBody"/>
        <w:bidi w:val="0"/>
        <w:spacing w:before="95" w:after="0"/>
        <w:jc w:val="left"/>
        <w:rPr/>
      </w:pPr>
      <w:r>
        <w:rPr/>
        <w:t> </w:t>
      </w:r>
    </w:p>
    <w:p>
      <w:pPr>
        <w:pStyle w:val="TextBody"/>
        <w:bidi w:val="0"/>
        <w:spacing w:before="95" w:after="0"/>
        <w:jc w:val="left"/>
        <w:rPr>
          <w:rFonts w:ascii="Times New Roman;serif" w:hAnsi="Times New Roman;serif"/>
          <w:b w:val="false"/>
          <w:sz w:val="24"/>
        </w:rPr>
      </w:pPr>
      <w:r>
        <w:rPr>
          <w:rFonts w:ascii="Times New Roman;serif" w:hAnsi="Times New Roman;serif"/>
          <w:b w:val="false"/>
          <w:sz w:val="24"/>
        </w:rPr>
        <w:t>Tenant:</w:t>
      </w:r>
    </w:p>
    <w:p>
      <w:pPr>
        <w:pStyle w:val="TextBody"/>
        <w:bidi w:val="0"/>
        <w:spacing w:before="6" w:after="0"/>
        <w:jc w:val="left"/>
        <w:rPr/>
      </w:pPr>
      <w:r>
        <w:rPr/>
        <w:t> </w:t>
      </w:r>
    </w:p>
    <w:p>
      <w:pPr>
        <w:pStyle w:val="TextBody"/>
        <w:bidi w:val="0"/>
        <w:spacing w:before="1" w:after="120"/>
        <w:jc w:val="left"/>
        <w:rPr>
          <w:rFonts w:ascii="Times New Roman;serif" w:hAnsi="Times New Roman;serif"/>
          <w:b w:val="false"/>
          <w:sz w:val="24"/>
        </w:rPr>
      </w:pPr>
      <w:r>
        <w:rPr>
          <w:rFonts w:ascii="Times New Roman;serif" w:hAnsi="Times New Roman;serif"/>
          <w:b w:val="false"/>
          <w:sz w:val="24"/>
        </w:rPr>
        <w:t>Biodesix, Inc.</w:t>
      </w:r>
    </w:p>
    <w:tbl>
      <w:tblPr>
        <w:tblW w:w="2972" w:type="dxa"/>
        <w:jc w:val="left"/>
        <w:tblInd w:w="0" w:type="dxa"/>
        <w:tblLayout w:type="fixed"/>
        <w:tblCellMar>
          <w:top w:w="28" w:type="dxa"/>
          <w:left w:w="28" w:type="dxa"/>
          <w:bottom w:w="28" w:type="dxa"/>
          <w:right w:w="28" w:type="dxa"/>
        </w:tblCellMar>
      </w:tblPr>
      <w:tblGrid>
        <w:gridCol w:w="631"/>
        <w:gridCol w:w="2341"/>
      </w:tblGrid>
      <w:tr>
        <w:trPr/>
        <w:tc>
          <w:tcPr>
            <w:tcW w:w="63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 ROBIN COWIE</w:t>
            </w:r>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Title:</w:t>
            </w:r>
          </w:p>
        </w:tc>
        <w:tc>
          <w:tcPr>
            <w:tcW w:w="23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Chief Financial Officer</w:t>
            </w:r>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Date:</w:t>
            </w:r>
          </w:p>
        </w:tc>
        <w:tc>
          <w:tcPr>
            <w:tcW w:w="23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April 3, 2023</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mallCaps/>
          <w:sz w:val="20"/>
        </w:rPr>
      </w:pPr>
      <w:bookmarkStart w:id="27" w:name="bdsx-ex10_3.htm"/>
      <w:bookmarkStart w:id="28" w:name="ksbdsxex10_3"/>
      <w:bookmarkEnd w:id="27"/>
      <w:bookmarkEnd w:id="28"/>
      <w:r>
        <w:rPr>
          <w:rFonts w:ascii="Times New Roman;serif" w:hAnsi="Times New Roman;serif"/>
          <w:b/>
          <w:smallCaps/>
          <w:sz w:val="20"/>
        </w:rPr>
        <w:t>Exhibit 10.3</w:t>
      </w:r>
      <w:r>
        <w:br w:type="page"/>
      </w:r>
    </w:p>
    <w:p>
      <w:pPr>
        <w:pStyle w:val="TextBody"/>
        <w:bidi w:val="0"/>
        <w:spacing w:before="0" w:after="0"/>
        <w:jc w:val="center"/>
        <w:rPr>
          <w:rFonts w:ascii="Times New Roman;serif" w:hAnsi="Times New Roman;serif"/>
          <w:b/>
          <w:smallCaps/>
          <w:sz w:val="22"/>
        </w:rPr>
      </w:pPr>
      <w:r>
        <w:rPr>
          <w:rFonts w:ascii="Times New Roman;serif" w:hAnsi="Times New Roman;serif"/>
          <w:b/>
          <w:smallCaps/>
          <w:sz w:val="22"/>
        </w:rPr>
        <w:t>First Amendment to Credit Agreement and Guaranty</w:t>
      </w:r>
    </w:p>
    <w:p>
      <w:pPr>
        <w:pStyle w:val="TextBody"/>
        <w:bidi w:val="0"/>
        <w:spacing w:before="280" w:after="0"/>
        <w:jc w:val="both"/>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This First Amendment to Credit Agreement and Guaranty (herein, this </w:t>
      </w:r>
      <w:r>
        <w:rPr>
          <w:rFonts w:ascii="Times New Roman" w:hAnsi="Times New Roman"/>
          <w:sz w:val="20"/>
        </w:rPr>
        <w:t>“</w:t>
      </w:r>
      <w:r>
        <w:rPr>
          <w:rFonts w:ascii="Times New Roman;serif" w:hAnsi="Times New Roman;serif"/>
          <w:b w:val="false"/>
          <w:i/>
          <w:sz w:val="22"/>
        </w:rPr>
        <w:t>Agreement”</w:t>
      </w:r>
      <w:r>
        <w:rPr>
          <w:rFonts w:ascii="Times New Roman;serif" w:hAnsi="Times New Roman;serif"/>
          <w:b w:val="false"/>
          <w:sz w:val="22"/>
        </w:rPr>
        <w:t>) is entered into as of May 10, 2023 (the “</w:t>
      </w:r>
      <w:r>
        <w:rPr>
          <w:rFonts w:ascii="Times New Roman;serif" w:hAnsi="Times New Roman;serif"/>
          <w:b w:val="false"/>
          <w:i/>
          <w:sz w:val="22"/>
        </w:rPr>
        <w:t>First Amendment Effective Date</w:t>
      </w:r>
      <w:r>
        <w:rPr>
          <w:rFonts w:ascii="Times New Roman" w:hAnsi="Times New Roman"/>
          <w:sz w:val="20"/>
        </w:rPr>
        <w:t>”</w:t>
      </w:r>
      <w:r>
        <w:rPr>
          <w:rFonts w:ascii="Times New Roman;serif" w:hAnsi="Times New Roman;serif"/>
          <w:b w:val="false"/>
          <w:sz w:val="22"/>
        </w:rPr>
        <w:t xml:space="preserve">), by and among </w:t>
      </w:r>
      <w:r>
        <w:rPr>
          <w:rFonts w:ascii="Times New Roman;serif" w:hAnsi="Times New Roman;serif"/>
          <w:b w:val="false"/>
          <w:smallCaps/>
          <w:sz w:val="22"/>
        </w:rPr>
        <w:t>Biodesix, Inc.</w:t>
      </w:r>
      <w:r>
        <w:rPr>
          <w:rFonts w:ascii="Times New Roman;serif" w:hAnsi="Times New Roman;serif"/>
          <w:b w:val="false"/>
          <w:sz w:val="22"/>
        </w:rPr>
        <w:t>, a Delaware corporation (the “</w:t>
      </w:r>
      <w:r>
        <w:rPr>
          <w:rFonts w:ascii="Times New Roman;serif" w:hAnsi="Times New Roman;serif"/>
          <w:b w:val="false"/>
          <w:i/>
          <w:sz w:val="22"/>
        </w:rPr>
        <w:t>Borrower</w:t>
      </w:r>
      <w:r>
        <w:rPr>
          <w:rFonts w:ascii="Times New Roman" w:hAnsi="Times New Roman"/>
          <w:sz w:val="20"/>
        </w:rPr>
        <w:t>”</w:t>
      </w:r>
      <w:r>
        <w:rPr>
          <w:rFonts w:ascii="Times New Roman;serif" w:hAnsi="Times New Roman;serif"/>
          <w:b w:val="false"/>
          <w:sz w:val="22"/>
        </w:rPr>
        <w:t xml:space="preserve">), the Lenders party hereto constituting Majority Lenders and </w:t>
      </w:r>
      <w:r>
        <w:rPr>
          <w:rFonts w:ascii="Times New Roman;serif" w:hAnsi="Times New Roman;serif"/>
          <w:b w:val="false"/>
          <w:smallCaps/>
          <w:sz w:val="22"/>
        </w:rPr>
        <w:t xml:space="preserve">Perceptive Credit Holdings IV, LP, </w:t>
      </w:r>
      <w:r>
        <w:rPr>
          <w:rFonts w:ascii="Times New Roman;serif" w:hAnsi="Times New Roman;serif"/>
          <w:b w:val="false"/>
          <w:sz w:val="22"/>
        </w:rPr>
        <w:t xml:space="preserve">a Delaware limited partnership, as administrative agent for the Lenders (in such capacity, together with its successors and assigns, the </w:t>
      </w:r>
      <w:r>
        <w:rPr>
          <w:rFonts w:ascii="Times New Roman" w:hAnsi="Times New Roman"/>
          <w:sz w:val="20"/>
        </w:rPr>
        <w:t>“</w:t>
      </w:r>
      <w:r>
        <w:rPr>
          <w:rFonts w:ascii="Times New Roman;serif" w:hAnsi="Times New Roman;serif"/>
          <w:b w:val="false"/>
          <w:i/>
          <w:sz w:val="22"/>
        </w:rPr>
        <w:t>Administrative Agent”</w:t>
      </w:r>
      <w:r>
        <w:rPr>
          <w:rFonts w:ascii="Times New Roman;serif" w:hAnsi="Times New Roman;serif"/>
          <w:b w:val="false"/>
          <w:sz w:val="22"/>
        </w:rPr>
        <w:t>).</w:t>
      </w:r>
      <w:r>
        <w:rPr>
          <w:rFonts w:ascii="Times New Roman" w:hAnsi="Times New Roman"/>
          <w:sz w:val="20"/>
        </w:rPr>
        <w:t xml:space="preserve"> </w:t>
      </w:r>
    </w:p>
    <w:p>
      <w:pPr>
        <w:pStyle w:val="TextBody"/>
        <w:bidi w:val="0"/>
        <w:spacing w:before="280" w:after="0"/>
        <w:jc w:val="center"/>
        <w:rPr>
          <w:rFonts w:ascii="Times New Roman" w:hAnsi="Times New Roman"/>
          <w:sz w:val="20"/>
        </w:rPr>
      </w:pPr>
      <w:r>
        <w:rPr>
          <w:rFonts w:ascii="Times New Roman;serif" w:hAnsi="Times New Roman;serif"/>
          <w:b/>
          <w:smallCaps/>
          <w:sz w:val="22"/>
        </w:rPr>
        <w:t>Recitals</w:t>
      </w:r>
      <w:r>
        <w:rPr>
          <w:rFonts w:ascii="Times New Roman;serif" w:hAnsi="Times New Roman;serif"/>
          <w:b/>
          <w:sz w:val="22"/>
        </w:rPr>
        <w:t>:</w:t>
      </w:r>
    </w:p>
    <w:p>
      <w:pPr>
        <w:pStyle w:val="TextBody"/>
        <w:bidi w:val="0"/>
        <w:spacing w:before="280" w:after="0"/>
        <w:jc w:val="both"/>
        <w:rPr>
          <w:rFonts w:ascii="Times New Roman" w:hAnsi="Times New Roman"/>
          <w:sz w:val="20"/>
        </w:rPr>
      </w:pPr>
      <w:r>
        <w:rPr>
          <w:rFonts w:ascii="Times New Roman;serif" w:hAnsi="Times New Roman;serif"/>
          <w:b w:val="false"/>
          <w:sz w:val="22"/>
        </w:rPr>
        <w:t xml:space="preserve">A. The Lenders have extended credit to the Borrower on the terms and conditions set forth in that certain Credit Agreement and Guaranty, dated as of November 16, 2022 (the </w:t>
      </w:r>
      <w:r>
        <w:rPr>
          <w:rFonts w:ascii="Times New Roman" w:hAnsi="Times New Roman"/>
          <w:sz w:val="20"/>
        </w:rPr>
        <w:t>“</w:t>
      </w:r>
      <w:r>
        <w:rPr>
          <w:rFonts w:ascii="Times New Roman;serif" w:hAnsi="Times New Roman;serif"/>
          <w:b w:val="false"/>
          <w:i/>
          <w:sz w:val="22"/>
        </w:rPr>
        <w:t>Existing</w:t>
      </w:r>
      <w:r>
        <w:rPr>
          <w:rFonts w:ascii="Times New Roman" w:hAnsi="Times New Roman"/>
          <w:sz w:val="20"/>
        </w:rPr>
        <w:t xml:space="preserve"> </w:t>
      </w:r>
      <w:r>
        <w:rPr>
          <w:rFonts w:ascii="Times New Roman;serif" w:hAnsi="Times New Roman;serif"/>
          <w:b w:val="false"/>
          <w:i/>
          <w:sz w:val="22"/>
        </w:rPr>
        <w:t>Credit Agreement”</w:t>
      </w:r>
      <w:r>
        <w:rPr>
          <w:rFonts w:ascii="Times New Roman;serif" w:hAnsi="Times New Roman;serif"/>
          <w:b w:val="false"/>
          <w:sz w:val="22"/>
        </w:rPr>
        <w:t>; the Existing Credit Agreement as amended by this Agreement, the “</w:t>
      </w:r>
      <w:r>
        <w:rPr>
          <w:rFonts w:ascii="Times New Roman;serif" w:hAnsi="Times New Roman;serif"/>
          <w:b w:val="false"/>
          <w:i/>
          <w:sz w:val="22"/>
        </w:rPr>
        <w:t>Credit Agreement</w:t>
      </w:r>
      <w:r>
        <w:rPr>
          <w:rFonts w:ascii="Times New Roman" w:hAnsi="Times New Roman"/>
          <w:sz w:val="20"/>
        </w:rPr>
        <w:t>”</w:t>
      </w:r>
      <w:r>
        <w:rPr>
          <w:rFonts w:ascii="Times New Roman;serif" w:hAnsi="Times New Roman;serif"/>
          <w:b w:val="false"/>
          <w:sz w:val="22"/>
        </w:rPr>
        <w: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2"/>
        </w:rPr>
        <w:t>B. The Borrower has requested that the Administrative Agent and the Lenders agree to amend certain provisions of the Existing Credit Agreement.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C. The parties hereto agree to amend the Existing Credit Agreement pursuant to the terms of this Agreement.</w:t>
      </w:r>
    </w:p>
    <w:p>
      <w:pPr>
        <w:pStyle w:val="TextBody"/>
        <w:bidi w:val="0"/>
        <w:spacing w:before="280" w:after="0"/>
        <w:jc w:val="both"/>
        <w:rPr>
          <w:rFonts w:ascii="Times New Roman" w:hAnsi="Times New Roman"/>
          <w:sz w:val="20"/>
        </w:rPr>
      </w:pPr>
      <w:r>
        <w:rPr>
          <w:rFonts w:ascii="Times New Roman;serif" w:hAnsi="Times New Roman;serif"/>
          <w:b w:val="false"/>
          <w:smallCaps/>
          <w:sz w:val="22"/>
        </w:rPr>
        <w:t>Now, Therefore</w:t>
      </w:r>
      <w:r>
        <w:rPr>
          <w:rFonts w:ascii="Times New Roman;serif" w:hAnsi="Times New Roman;serif"/>
          <w:b w:val="false"/>
          <w:sz w:val="22"/>
        </w:rPr>
        <w:t>, for good and valuable consideration, the receipt and sufficiency of which is hereby acknowledged, the parties hereto agree as follows:</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w:t>
      </w:r>
    </w:p>
    <w:p>
      <w:pPr>
        <w:pStyle w:val="TextBody"/>
        <w:bidi w:val="0"/>
        <w:jc w:val="both"/>
        <w:rPr/>
      </w:pPr>
      <w:r>
        <w:rPr>
          <w:rFonts w:ascii="Times New Roman;serif" w:hAnsi="Times New Roman;serif"/>
          <w:b w:val="false"/>
          <w:i/>
          <w:sz w:val="22"/>
        </w:rPr>
        <w:t>Incorporation of Recitals; Defined Terms.</w:t>
      </w:r>
      <w:r>
        <w:rPr/>
        <w:t xml:space="preserve"> </w:t>
      </w:r>
      <w:r>
        <w:rPr>
          <w:rFonts w:ascii="Times New Roman;serif" w:hAnsi="Times New Roman;serif"/>
          <w:b w:val="false"/>
          <w:sz w:val="22"/>
        </w:rPr>
        <w:t xml:space="preserve">The parties hereto acknowledge that the Recitals set forth above are true and correct in all material respects. The defined terms in the Recitals set forth above are hereby incorporated into this Agreement by reference. All other capitalized terms used herein without definition shall have the same meanings herein as such terms have in the Credit Agreement. </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2.</w:t>
      </w:r>
    </w:p>
    <w:p>
      <w:pPr>
        <w:pStyle w:val="TextBody"/>
        <w:bidi w:val="0"/>
        <w:jc w:val="both"/>
        <w:rPr/>
      </w:pPr>
      <w:r>
        <w:rPr>
          <w:rFonts w:ascii="Times New Roman;serif" w:hAnsi="Times New Roman;serif"/>
          <w:b w:val="false"/>
          <w:i/>
          <w:sz w:val="22"/>
        </w:rPr>
        <w:t>First Amendment to Existing Credit Agreement</w:t>
      </w:r>
      <w:r>
        <w:rPr>
          <w:rFonts w:ascii="Times New Roman;serif" w:hAnsi="Times New Roman;serif"/>
          <w:b w:val="false"/>
          <w:sz w:val="22"/>
        </w:rPr>
        <w:t xml:space="preserve">. Upon satisfaction of the conditions set forth in Section 5 hereof, the Borrower, the Lenders and the Administrative Agent hereby agree that the Existing Credit Agreement is hereby amended by incorporating the changes shown on the marked copy of the Existing Credit Agreement attached hereto as Annex B. Deletions of text in the Existing Credit Agreement as amended hereby are indicated by struck-through red text, and insertions of text as amended hereby are indicated by underlined blue text. Attached hereto as Annex C is a clean copy of the Credit Agreement conformed through the First Amendment. Schedule 1 to the Existing Credit Agreement is hereby amended and replaced in its entirety with the Schedule 1 attached hereto as Annex A. </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3.</w:t>
      </w:r>
    </w:p>
    <w:p>
      <w:pPr>
        <w:pStyle w:val="TextBody"/>
        <w:bidi w:val="0"/>
        <w:jc w:val="both"/>
        <w:rPr/>
      </w:pPr>
      <w:r>
        <w:rPr>
          <w:rFonts w:ascii="Times New Roman;serif" w:hAnsi="Times New Roman;serif"/>
          <w:b w:val="false"/>
          <w:i/>
          <w:sz w:val="22"/>
        </w:rPr>
        <w:t>Acknowledgement of Liens</w:t>
      </w:r>
      <w:r>
        <w:rPr>
          <w:rFonts w:ascii="Times New Roman;serif" w:hAnsi="Times New Roman;serif"/>
          <w:b w:val="false"/>
          <w:sz w:val="22"/>
        </w:rPr>
        <w:t>. The Borrower hereby acknowledges and agrees that the Obligations owing to the Administrative Agent and the Lenders arising out of or in any manner relating to the Loan Documents shall continue to be secured by the Liens granted as security therefor in the Loan Documents, to the extent provided for in the Loan Documents heretofore executed and delivered by the Borrower;</w:t>
      </w:r>
      <w:r>
        <w:rPr/>
        <w:t xml:space="preserve"> </w:t>
      </w:r>
      <w:r>
        <w:rPr>
          <w:rFonts w:ascii="Times New Roman;serif" w:hAnsi="Times New Roman;serif"/>
          <w:b w:val="false"/>
          <w:sz w:val="22"/>
        </w:rPr>
        <w:t xml:space="preserve">and nothing herein contained shall in any manner affect or impair the priority of the Liens created and provided for thereby as to the indebtedness, obligations, and liabilities which would be secured thereby prior to giving effect to this Agreement. </w:t>
      </w:r>
    </w:p>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4.</w:t>
      </w:r>
    </w:p>
    <w:p>
      <w:pPr>
        <w:pStyle w:val="TextBody"/>
        <w:bidi w:val="0"/>
        <w:spacing w:before="0" w:after="0"/>
        <w:jc w:val="both"/>
        <w:rPr/>
      </w:pPr>
      <w:r>
        <w:rPr>
          <w:rFonts w:ascii="Times New Roman;serif" w:hAnsi="Times New Roman;serif"/>
          <w:b w:val="false"/>
          <w:i/>
          <w:sz w:val="22"/>
        </w:rPr>
        <w:t xml:space="preserve">Representations And Warranties. </w:t>
      </w:r>
      <w:r>
        <w:rPr>
          <w:rFonts w:ascii="Times New Roman;serif" w:hAnsi="Times New Roman;serif"/>
          <w:b w:val="false"/>
          <w:sz w:val="22"/>
        </w:rPr>
        <w:t>In order to induce the Administrative Agent and the Lenders to enter into this Agreement, the Borrower hereby represents and warrants to the Administrative Agent and the Lenders as follows:</w:t>
      </w:r>
    </w:p>
    <w:p>
      <w:pPr>
        <w:pStyle w:val="TextBody"/>
        <w:bidi w:val="0"/>
        <w:spacing w:before="280" w:after="0"/>
        <w:jc w:val="both"/>
        <w:rPr>
          <w:rFonts w:ascii="Times New Roman" w:hAnsi="Times New Roman"/>
          <w:b w:val="false"/>
          <w:sz w:val="22"/>
        </w:rPr>
      </w:pPr>
      <w:r>
        <w:rPr>
          <w:rFonts w:ascii="Times New Roman" w:hAnsi="Times New Roman"/>
          <w:b w:val="false"/>
          <w:sz w:val="22"/>
        </w:rPr>
        <w:t>(A)</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 xml:space="preserve">After giving effect to this Agreement, the representations and warranties of the Borrower contained in Article 7 of the Credit Agreement and in each other Loan Document shall be true and correct in all material respects on and as of the date hereof;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w:t>
      </w:r>
    </w:p>
    <w:p>
      <w:pPr>
        <w:pStyle w:val="TextBody"/>
        <w:bidi w:val="0"/>
        <w:spacing w:before="280" w:after="0"/>
        <w:jc w:val="both"/>
        <w:rPr>
          <w:rFonts w:ascii="Times New Roman" w:hAnsi="Times New Roman"/>
          <w:b w:val="false"/>
          <w:sz w:val="22"/>
        </w:rPr>
      </w:pPr>
      <w:r>
        <w:rPr>
          <w:rFonts w:ascii="Times New Roman" w:hAnsi="Times New Roman"/>
          <w:b w:val="false"/>
          <w:sz w:val="22"/>
        </w:rPr>
        <w:t>(B)</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 xml:space="preserve">The execution, delivery and performance of this Agreement has been duly authorized by all necessary corporate action on the part of, and duly executed and delivered by, the Borrower. </w:t>
      </w:r>
    </w:p>
    <w:p>
      <w:pPr>
        <w:pStyle w:val="TextBody"/>
        <w:bidi w:val="0"/>
        <w:spacing w:before="280" w:after="0"/>
        <w:jc w:val="both"/>
        <w:rPr>
          <w:rFonts w:ascii="Times New Roman" w:hAnsi="Times New Roman"/>
          <w:b w:val="false"/>
          <w:sz w:val="22"/>
        </w:rPr>
      </w:pPr>
      <w:r>
        <w:rPr>
          <w:rFonts w:ascii="Times New Roman" w:hAnsi="Times New Roman"/>
          <w:b w:val="false"/>
          <w:sz w:val="22"/>
        </w:rPr>
        <w:t>(C)</w:t>
      </w:r>
    </w:p>
    <w:p>
      <w:pPr>
        <w:pStyle w:val="TextBody"/>
        <w:bidi w:val="0"/>
        <w:spacing w:before="280" w:after="283"/>
        <w:jc w:val="both"/>
        <w:rPr>
          <w:rFonts w:ascii="Times New Roman;serif" w:hAnsi="Times New Roman;serif"/>
          <w:b w:val="false"/>
          <w:sz w:val="22"/>
        </w:rPr>
      </w:pPr>
      <w:r>
        <w:rPr>
          <w:rFonts w:ascii="Times New Roman;serif" w:hAnsi="Times New Roman;serif"/>
          <w:b w:val="false"/>
          <w:sz w:val="22"/>
        </w:rPr>
        <w:t xml:space="preserve">No Default or Event of Default has occurred and is continuing or shall occur and be continuing immediately after giving effect to this Agreement. </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5.</w:t>
      </w:r>
    </w:p>
    <w:p>
      <w:pPr>
        <w:pStyle w:val="TextBody"/>
        <w:bidi w:val="0"/>
        <w:spacing w:before="0" w:after="0"/>
        <w:jc w:val="both"/>
        <w:rPr/>
      </w:pPr>
      <w:r>
        <w:rPr>
          <w:rFonts w:ascii="Times New Roman;serif" w:hAnsi="Times New Roman;serif"/>
          <w:b w:val="false"/>
          <w:i/>
          <w:sz w:val="22"/>
        </w:rPr>
        <w:t>Conditions Precedent.</w:t>
      </w:r>
      <w:r>
        <w:rPr/>
        <w:t xml:space="preserve"> </w:t>
      </w:r>
      <w:r>
        <w:rPr>
          <w:rFonts w:ascii="Times New Roman;serif" w:hAnsi="Times New Roman;serif"/>
          <w:b w:val="false"/>
          <w:sz w:val="22"/>
        </w:rPr>
        <w:t xml:space="preserve">The effectiveness of this Agreement is subject to the satisfaction of the following conditions precedent: </w:t>
      </w:r>
    </w:p>
    <w:p>
      <w:pPr>
        <w:pStyle w:val="TextBody"/>
        <w:bidi w:val="0"/>
        <w:spacing w:before="280" w:after="0"/>
        <w:jc w:val="both"/>
        <w:rPr>
          <w:rFonts w:ascii="Times New Roman" w:hAnsi="Times New Roman"/>
          <w:b w:val="false"/>
          <w:sz w:val="22"/>
        </w:rPr>
      </w:pPr>
      <w:r>
        <w:rPr>
          <w:rFonts w:ascii="Times New Roman" w:hAnsi="Times New Roman"/>
          <w:b w:val="false"/>
          <w:sz w:val="22"/>
        </w:rPr>
        <w:t>(A)</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The Agent and the Lenders shall have received executed counterparts of this Agreement and the Amended and Restated Fee Letter, dated as of the date hereof, in each case, duly executed and delivered by the Borrower.</w:t>
      </w:r>
    </w:p>
    <w:p>
      <w:pPr>
        <w:pStyle w:val="TextBody"/>
        <w:bidi w:val="0"/>
        <w:spacing w:before="280" w:after="0"/>
        <w:jc w:val="both"/>
        <w:rPr>
          <w:rFonts w:ascii="Times New Roman" w:hAnsi="Times New Roman"/>
          <w:b w:val="false"/>
          <w:sz w:val="22"/>
        </w:rPr>
      </w:pPr>
      <w:r>
        <w:rPr>
          <w:rFonts w:ascii="Times New Roman" w:hAnsi="Times New Roman"/>
          <w:b w:val="false"/>
          <w:sz w:val="22"/>
        </w:rPr>
        <w:t>(B)</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The Borrower shall have issued to the Administrative Agent a warrant that, among other things, grants the holder thereof the right to purchase 500,000 shares of unrestricted common stock of the Borrower.</w:t>
      </w:r>
    </w:p>
    <w:p>
      <w:pPr>
        <w:pStyle w:val="TextBody"/>
        <w:bidi w:val="0"/>
        <w:spacing w:before="280" w:after="0"/>
        <w:jc w:val="both"/>
        <w:rPr>
          <w:rFonts w:ascii="Times New Roman" w:hAnsi="Times New Roman"/>
          <w:b w:val="false"/>
          <w:sz w:val="22"/>
        </w:rPr>
      </w:pPr>
      <w:r>
        <w:rPr>
          <w:rFonts w:ascii="Times New Roman" w:hAnsi="Times New Roman"/>
          <w:b w:val="false"/>
          <w:sz w:val="22"/>
        </w:rPr>
        <w:t>(C)</w:t>
      </w:r>
    </w:p>
    <w:p>
      <w:pPr>
        <w:pStyle w:val="TextBody"/>
        <w:bidi w:val="0"/>
        <w:spacing w:before="280" w:after="283"/>
        <w:jc w:val="both"/>
        <w:rPr>
          <w:rFonts w:ascii="Times New Roman;serif" w:hAnsi="Times New Roman;serif"/>
          <w:b w:val="false"/>
          <w:sz w:val="22"/>
        </w:rPr>
      </w:pPr>
      <w:r>
        <w:rPr>
          <w:rFonts w:ascii="Times New Roman;serif" w:hAnsi="Times New Roman;serif"/>
          <w:b w:val="false"/>
          <w:sz w:val="22"/>
        </w:rPr>
        <w:t xml:space="preserve">The Administrative Agent and the Lenders shall have received (i) certified copies of the Organizational Documents of the Borrower (or certification of no change thereto since the Closing Date) and of resolutions of the Board (or similar governing body or committee of the board of directors, as applicable) of the Borrower approving and authorizing the execution, delivery and performance of this Agreement, certified as of the First Amendment Effective Date by a Responsible Officer of the Borrower as being in full force and effect without modification or amendment and (ii) a good standing certificate and/or compliance certificate from the applicable Governmental Authority of the Borrower’s jurisdiction of incorporation, dated a recent date prior to the First Amendment Effective Date. </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6.</w:t>
      </w:r>
    </w:p>
    <w:p>
      <w:pPr>
        <w:pStyle w:val="TextBody"/>
        <w:bidi w:val="0"/>
        <w:spacing w:before="0" w:after="0"/>
        <w:jc w:val="both"/>
        <w:rPr>
          <w:rFonts w:ascii="Times New Roman;serif" w:hAnsi="Times New Roman;serif"/>
          <w:b w:val="false"/>
          <w:i/>
          <w:sz w:val="22"/>
        </w:rPr>
      </w:pPr>
      <w:r>
        <w:rPr>
          <w:rFonts w:ascii="Times New Roman;serif" w:hAnsi="Times New Roman;serif"/>
          <w:b w:val="false"/>
          <w:i/>
          <w:sz w:val="22"/>
        </w:rPr>
        <w:t>Reference to and Effect on the Loan Documents; No Novation.</w:t>
      </w:r>
    </w:p>
    <w:p>
      <w:pPr>
        <w:pStyle w:val="TextBody"/>
        <w:bidi w:val="0"/>
        <w:spacing w:before="280" w:after="0"/>
        <w:jc w:val="both"/>
        <w:rPr>
          <w:rFonts w:ascii="Times New Roman" w:hAnsi="Times New Roman"/>
          <w:b w:val="false"/>
          <w:sz w:val="22"/>
        </w:rPr>
      </w:pPr>
      <w:r>
        <w:rPr>
          <w:rFonts w:ascii="Times New Roman" w:hAnsi="Times New Roman"/>
          <w:b w:val="false"/>
          <w:sz w:val="22"/>
        </w:rPr>
        <w:t>(A)</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This Agreement constitutes a Loan Document. On and after the date hereof,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Agreement.</w:t>
      </w:r>
    </w:p>
    <w:p>
      <w:pPr>
        <w:pStyle w:val="TextBody"/>
        <w:bidi w:val="0"/>
        <w:spacing w:before="280" w:after="0"/>
        <w:jc w:val="both"/>
        <w:rPr>
          <w:rFonts w:ascii="Times New Roman" w:hAnsi="Times New Roman"/>
          <w:b w:val="false"/>
          <w:sz w:val="22"/>
        </w:rPr>
      </w:pPr>
      <w:r>
        <w:rPr>
          <w:rFonts w:ascii="Times New Roman" w:hAnsi="Times New Roman"/>
          <w:b w:val="false"/>
          <w:sz w:val="22"/>
        </w:rPr>
        <w:t>(B)</w:t>
      </w:r>
    </w:p>
    <w:p>
      <w:pPr>
        <w:pStyle w:val="TextBody"/>
        <w:bidi w:val="0"/>
        <w:spacing w:before="280" w:after="283"/>
        <w:jc w:val="both"/>
        <w:rPr>
          <w:rFonts w:ascii="Times New Roman;serif" w:hAnsi="Times New Roman;serif"/>
          <w:b w:val="false"/>
          <w:sz w:val="22"/>
        </w:rPr>
      </w:pPr>
      <w:r>
        <w:rPr>
          <w:rFonts w:ascii="Times New Roman;serif" w:hAnsi="Times New Roman;serif"/>
          <w:b w:val="false"/>
          <w:sz w:val="22"/>
        </w:rPr>
        <w:t>Except as specifically set forth in this Agreement, the Credit Agreement and the other Loan Documents shall remain in full force and effect and are hereby ratified and confirmed.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2"/>
        </w:rPr>
      </w:pPr>
      <w:r>
        <w:rPr>
          <w:rFonts w:ascii="Times New Roman" w:hAnsi="Times New Roman"/>
          <w:b w:val="false"/>
          <w:sz w:val="22"/>
        </w:rPr>
        <w:t>(C)</w:t>
      </w:r>
    </w:p>
    <w:p>
      <w:pPr>
        <w:pStyle w:val="TextBody"/>
        <w:bidi w:val="0"/>
        <w:spacing w:before="280" w:after="283"/>
        <w:jc w:val="both"/>
        <w:rPr/>
      </w:pPr>
      <w:r>
        <w:rPr>
          <w:rFonts w:ascii="Times New Roman;serif" w:hAnsi="Times New Roman;serif"/>
          <w:b w:val="false"/>
          <w:sz w:val="22"/>
        </w:rPr>
        <w:t>Except as expressly set forth in this Agreement, the Loan Documents and all of the obligations of the Loan Parties thereunder and the rights and benefits of the Administrative Agent and the Lenders thereunder remain in full force and effect. This Agreement is not a novation nor is it to be construed as a release, waiver or modification of any of the terms, conditions, representations, warranties, covenants, rights or remedies set forth in the Loan Documents, except as specifically set forth herein. Without limiting the foregoing, the Loan Parties agree to comply with all of the terms, conditions, and provisions of the Loan Documents except to the extent such compliance is irreconcilably inconsistent with the express provisions of this Agreement. This Agreement may not be amended, supplemented, or otherwise modified except by a written agreement entered into in accordance with Section 13.04 of the Credit Agreement. THIS AGREEMENT, THE CREDIT AGREEMENT AND THE OTHER LOAN DOCUMENTS REPRESENTS THE ENTIRE AGREEMENT AMONG THE PARTIES</w:t>
      </w:r>
      <w:r>
        <w:rPr>
          <w:caps/>
        </w:rPr>
        <w:t xml:space="preserve"> </w:t>
      </w:r>
      <w:r>
        <w:rPr>
          <w:rFonts w:ascii="Times New Roman;serif" w:hAnsi="Times New Roman;serif"/>
          <w:b w:val="false"/>
          <w:caps/>
          <w:sz w:val="22"/>
        </w:rPr>
        <w:t>with respect to the subject matter hereof and thereof and supersede any and all previous agreements and understandings, oral or written, relating to the subject matter hereof.</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7.</w:t>
      </w:r>
    </w:p>
    <w:p>
      <w:pPr>
        <w:pStyle w:val="TextBody"/>
        <w:bidi w:val="0"/>
        <w:jc w:val="both"/>
        <w:rPr/>
      </w:pPr>
      <w:r>
        <w:rPr>
          <w:rFonts w:ascii="Times New Roman;serif" w:hAnsi="Times New Roman;serif"/>
          <w:b w:val="false"/>
          <w:i/>
          <w:sz w:val="22"/>
        </w:rPr>
        <w:t>Headings</w:t>
      </w:r>
      <w:r>
        <w:rPr>
          <w:rFonts w:ascii="Times New Roman;serif" w:hAnsi="Times New Roman;serif"/>
          <w:b w:val="false"/>
          <w:sz w:val="22"/>
        </w:rPr>
        <w:t>. The headings in this Agreement are included solely for convenience of reference and are not intended to affect the interpretation of any provision of this Agreement.</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8.</w:t>
      </w:r>
    </w:p>
    <w:p>
      <w:pPr>
        <w:pStyle w:val="TextBody"/>
        <w:bidi w:val="0"/>
        <w:jc w:val="both"/>
        <w:rPr/>
      </w:pPr>
      <w:r>
        <w:rPr>
          <w:rFonts w:ascii="Times New Roman;serif" w:hAnsi="Times New Roman;serif"/>
          <w:b w:val="false"/>
          <w:i/>
          <w:sz w:val="22"/>
        </w:rPr>
        <w:t>Governing Law</w:t>
      </w:r>
      <w:r>
        <w:rPr>
          <w:rFonts w:ascii="Times New Roman;serif" w:hAnsi="Times New Roman;serif"/>
          <w:b w:val="false"/>
          <w:sz w:val="22"/>
        </w:rPr>
        <w:t>. THIS AGREEMENT, THE RIGHTS AND OBLIGATIONS OF THE PARTIES HEREUNDER, AND ALL CLAIMS, DISPUTES AND MATTERS ARISING HEREUNDER OR RELATED 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9.</w:t>
      </w:r>
    </w:p>
    <w:p>
      <w:pPr>
        <w:pStyle w:val="TextBody"/>
        <w:bidi w:val="0"/>
        <w:jc w:val="both"/>
        <w:rPr/>
      </w:pPr>
      <w:r>
        <w:rPr>
          <w:rFonts w:ascii="Times New Roman;serif" w:hAnsi="Times New Roman;serif"/>
          <w:b w:val="false"/>
          <w:i/>
          <w:sz w:val="22"/>
        </w:rPr>
        <w:t>Incorporation of Sections 13.10 and 13.11 of the Credit Agreement</w:t>
      </w:r>
      <w:r>
        <w:rPr>
          <w:rFonts w:ascii="Times New Roman;serif" w:hAnsi="Times New Roman;serif"/>
          <w:b w:val="false"/>
          <w:sz w:val="22"/>
        </w:rPr>
        <w:t>. The provisions set forth in Sections 13.10 (Jurisdiction, Service of Process and Venue) and 13.11 (Waiver of Jury Trial) of the Credit Agreement shall apply to this Agreement in all respects.</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10.</w:t>
      </w:r>
    </w:p>
    <w:p>
      <w:pPr>
        <w:pStyle w:val="TextBody"/>
        <w:bidi w:val="0"/>
        <w:jc w:val="both"/>
        <w:rPr/>
      </w:pPr>
      <w:r>
        <w:rPr>
          <w:rFonts w:ascii="Times New Roman;serif" w:hAnsi="Times New Roman;serif"/>
          <w:b w:val="false"/>
          <w:i/>
          <w:sz w:val="22"/>
        </w:rPr>
        <w:t>Counterparts</w:t>
      </w:r>
      <w:r>
        <w:rPr>
          <w:rFonts w:ascii="Times New Roman;serif" w:hAnsi="Times New Roman;serif"/>
          <w:b w:val="false"/>
          <w:sz w:val="22"/>
        </w:rPr>
        <w:t xml:space="preserve">. 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0" w:after="0"/>
        <w:jc w:val="both"/>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11.</w:t>
      </w:r>
    </w:p>
    <w:p>
      <w:pPr>
        <w:pStyle w:val="TextBody"/>
        <w:bidi w:val="0"/>
        <w:jc w:val="both"/>
        <w:rPr/>
      </w:pPr>
      <w:r>
        <w:rPr>
          <w:rFonts w:ascii="Times New Roman;serif" w:hAnsi="Times New Roman;serif"/>
          <w:b w:val="false"/>
          <w:i/>
          <w:sz w:val="22"/>
        </w:rPr>
        <w:t>Severability</w:t>
      </w:r>
      <w:r>
        <w:rPr>
          <w:rFonts w:ascii="Times New Roman;serif" w:hAnsi="Times New Roman;serif"/>
          <w:b w:val="false"/>
          <w:sz w:val="22"/>
        </w:rPr>
        <w:t xml:space="preserve">. If any provision hereof is found by a court to be invalid or unenforceable, to the fullest extent permitted by applicable Law the parties agree that such invalidity or unenforceability shall not impair the validity or enforceability of any other provision hereof. </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b w:val="false"/>
          <w:sz w:val="22"/>
        </w:rPr>
      </w:pPr>
      <w:r>
        <w:rPr>
          <w:rFonts w:ascii="Times New Roman" w:hAnsi="Times New Roman"/>
          <w:b w:val="false"/>
          <w:sz w:val="22"/>
        </w:rPr>
        <w:t>12.</w:t>
      </w:r>
    </w:p>
    <w:p>
      <w:pPr>
        <w:pStyle w:val="TextBody"/>
        <w:bidi w:val="0"/>
        <w:jc w:val="both"/>
        <w:rPr/>
      </w:pPr>
      <w:r>
        <w:rPr>
          <w:rFonts w:ascii="Times New Roman;serif" w:hAnsi="Times New Roman;serif"/>
          <w:b w:val="false"/>
          <w:i/>
          <w:sz w:val="22"/>
        </w:rPr>
        <w:t>Binding Effect</w:t>
      </w:r>
      <w:r>
        <w:rPr>
          <w:rFonts w:ascii="Times New Roman;serif" w:hAnsi="Times New Roman;serif"/>
          <w:b w:val="false"/>
          <w:sz w:val="22"/>
        </w:rPr>
        <w:t xml:space="preserve">. This Agreement will be binding upon and inure to the benefit of and is enforceable by the respective successors and permitted assigns of the parties hereto. </w:t>
      </w:r>
    </w:p>
    <w:p>
      <w:pPr>
        <w:pStyle w:val="TextBody"/>
        <w:bidi w:val="0"/>
        <w:spacing w:before="400" w:after="0"/>
        <w:jc w:val="center"/>
        <w:rPr>
          <w:rFonts w:ascii="Times New Roman;serif" w:hAnsi="Times New Roman;serif"/>
          <w:b w:val="false"/>
          <w:smallCaps/>
          <w:sz w:val="22"/>
        </w:rPr>
      </w:pPr>
      <w:r>
        <w:rPr>
          <w:rFonts w:ascii="Times New Roman;serif" w:hAnsi="Times New Roman;serif"/>
          <w:b w:val="false"/>
          <w:smallCaps/>
          <w:sz w:val="22"/>
        </w:rPr>
        <w:t>[Signature Pages to Follow]</w:t>
      </w:r>
    </w:p>
    <w:p>
      <w:pPr>
        <w:pStyle w:val="TextBody"/>
        <w:bidi w:val="0"/>
        <w:spacing w:before="280" w:after="0"/>
        <w:jc w:val="both"/>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120"/>
        <w:jc w:val="both"/>
        <w:rPr>
          <w:rFonts w:ascii="Times New Roman;serif" w:hAnsi="Times New Roman;serif"/>
          <w:b w:val="false"/>
          <w:sz w:val="22"/>
        </w:rPr>
      </w:pPr>
      <w:r>
        <w:rPr>
          <w:rFonts w:ascii="Times New Roman;serif" w:hAnsi="Times New Roman;serif"/>
          <w:b w:val="false"/>
          <w:sz w:val="22"/>
        </w:rPr>
        <w:t>IN WITNESS WHEREOF, the parties hereto have caused this Agreement to be duly executed and delivered by their respective officers thereunto duly authorized as of the date first written above.</w:t>
      </w:r>
    </w:p>
    <w:p>
      <w:pPr>
        <w:pStyle w:val="TextBody"/>
        <w:bidi w:val="0"/>
        <w:spacing w:before="280" w:after="0"/>
        <w:jc w:val="left"/>
        <w:rPr>
          <w:rFonts w:ascii="Times New Roman" w:hAnsi="Times New Roman"/>
          <w:sz w:val="20"/>
        </w:rPr>
      </w:pPr>
      <w:r>
        <w:rPr>
          <w:rFonts w:ascii="Times New Roman;serif" w:hAnsi="Times New Roman;serif"/>
          <w:b w:val="false"/>
          <w:smallCaps/>
          <w:sz w:val="22"/>
        </w:rPr>
        <w:t xml:space="preserve">Biodesix, Inc., </w:t>
      </w:r>
      <w:r>
        <w:rPr>
          <w:rFonts w:ascii="Times New Roman;serif" w:hAnsi="Times New Roman;serif"/>
          <w:b w:val="false"/>
          <w:sz w:val="22"/>
        </w:rPr>
        <w:t>as Borrower</w:t>
      </w:r>
    </w:p>
    <w:p>
      <w:pPr>
        <w:pStyle w:val="TextBody"/>
        <w:bidi w:val="0"/>
        <w:spacing w:before="56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Robin Harper Cowie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Robin Harper Cowie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Chief Financial Officer, Secretary and Treasurer</w:t>
      </w:r>
    </w:p>
    <w:p>
      <w:pPr>
        <w:pStyle w:val="TextBody"/>
        <w:bidi w:val="0"/>
        <w:spacing w:before="0" w:after="0"/>
        <w:jc w:val="left"/>
        <w:rPr/>
      </w:pPr>
      <w:r>
        <w:rPr/>
        <w:t> </w:t>
      </w:r>
    </w:p>
    <w:p>
      <w:pPr>
        <w:pStyle w:val="TextBody"/>
        <w:bidi w:val="0"/>
        <w:spacing w:before="28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[Signature Page to First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mallCaps/>
          <w:sz w:val="22"/>
        </w:rPr>
      </w:pPr>
      <w:r>
        <w:rPr>
          <w:rFonts w:ascii="Times New Roman;serif" w:hAnsi="Times New Roman;serif"/>
          <w:b w:val="false"/>
          <w:smallCaps/>
          <w:sz w:val="22"/>
        </w:rPr>
        <w:t>PERCEPTIVE CREDIT HOLDINGS IV, LP,</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as Agent and Lender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By: Perceptive Credit Opportunities GP, LLC, its general partner</w:t>
      </w:r>
    </w:p>
    <w:p>
      <w:pPr>
        <w:pStyle w:val="TextBody"/>
        <w:bidi w:val="0"/>
        <w:spacing w:before="56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Sandeep Dixit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Sandeep Dixit</w:t>
      </w:r>
    </w:p>
    <w:p>
      <w:pPr>
        <w:pStyle w:val="TextBody"/>
        <w:bidi w:val="0"/>
        <w:spacing w:before="0" w:after="0"/>
        <w:jc w:val="left"/>
        <w:rPr>
          <w:rFonts w:ascii="Times New Roman" w:hAnsi="Times New Roman"/>
          <w:sz w:val="20"/>
        </w:rPr>
      </w:pPr>
      <w:r>
        <w:rPr>
          <w:rFonts w:ascii="Times New Roman;serif" w:hAnsi="Times New Roman;serif"/>
          <w:b w:val="false"/>
          <w:sz w:val="22"/>
        </w:rPr>
        <w:t>Title: Chief Credit Officer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2"/>
        </w:rPr>
        <w:t>By: /s/</w:t>
      </w:r>
      <w:r>
        <w:rPr>
          <w:rFonts w:ascii="Times New Roman;serif" w:hAnsi="Times New Roman;serif"/>
          <w:b w:val="false"/>
          <w:sz w:val="22"/>
          <w:u w:val="single"/>
        </w:rPr>
        <w:t xml:space="preserve">Sam Chawla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Sam Chawla</w:t>
      </w:r>
    </w:p>
    <w:p>
      <w:pPr>
        <w:pStyle w:val="TextBody"/>
        <w:bidi w:val="0"/>
        <w:spacing w:before="0" w:after="0"/>
        <w:jc w:val="left"/>
        <w:rPr>
          <w:rFonts w:ascii="Times New Roman" w:hAnsi="Times New Roman"/>
          <w:sz w:val="20"/>
        </w:rPr>
      </w:pPr>
      <w:r>
        <w:rPr>
          <w:rFonts w:ascii="Times New Roman;serif" w:hAnsi="Times New Roman;serif"/>
          <w:b w:val="false"/>
          <w:sz w:val="22"/>
        </w:rPr>
        <w:t>Title: Portfolio Manager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[Signature Page to First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center"/>
        <w:rPr>
          <w:rFonts w:ascii="Times New Roman;serif" w:hAnsi="Times New Roman;serif"/>
          <w:b/>
          <w:smallCaps/>
          <w:sz w:val="22"/>
        </w:rPr>
      </w:pPr>
      <w:r>
        <w:rPr>
          <w:rFonts w:ascii="Times New Roman;serif" w:hAnsi="Times New Roman;serif"/>
          <w:b/>
          <w:smallCaps/>
          <w:sz w:val="22"/>
        </w:rPr>
        <w:t>ANNEX A</w:t>
      </w:r>
    </w:p>
    <w:p>
      <w:pPr>
        <w:pStyle w:val="TextBody"/>
        <w:bidi w:val="0"/>
        <w:spacing w:before="28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mallCaps/>
          <w:sz w:val="22"/>
        </w:rPr>
      </w:pPr>
      <w:r>
        <w:rPr>
          <w:rFonts w:ascii="Times New Roman;serif" w:hAnsi="Times New Roman;serif"/>
          <w:b/>
          <w:smallCaps/>
          <w:sz w:val="22"/>
        </w:rPr>
        <w:t>Schedule 1</w:t>
        <w:br/>
        <w:t xml:space="preserve">to </w:t>
        <w:br/>
        <w:t>Credit Agreement</w:t>
      </w:r>
    </w:p>
    <w:p>
      <w:pPr>
        <w:pStyle w:val="TextBody"/>
        <w:bidi w:val="0"/>
        <w:spacing w:before="360" w:after="0"/>
        <w:jc w:val="center"/>
        <w:rPr>
          <w:rFonts w:ascii="Times New Roman;serif" w:hAnsi="Times New Roman;serif"/>
          <w:b/>
          <w:caps/>
          <w:sz w:val="22"/>
        </w:rPr>
      </w:pPr>
      <w:r>
        <w:rPr>
          <w:rFonts w:ascii="Times New Roman;serif" w:hAnsi="Times New Roman;serif"/>
          <w:b/>
          <w:caps/>
          <w:sz w:val="22"/>
        </w:rPr>
        <w:t>Tranche A Loan Commitments</w:t>
      </w:r>
    </w:p>
    <w:tbl>
      <w:tblPr>
        <w:tblW w:w="8227" w:type="dxa"/>
        <w:jc w:val="left"/>
        <w:tblInd w:w="0" w:type="dxa"/>
        <w:tblLayout w:type="fixed"/>
        <w:tblCellMar>
          <w:top w:w="28" w:type="dxa"/>
          <w:left w:w="28" w:type="dxa"/>
          <w:bottom w:w="28" w:type="dxa"/>
          <w:right w:w="28" w:type="dxa"/>
        </w:tblCellMar>
      </w:tblPr>
      <w:tblGrid>
        <w:gridCol w:w="5016"/>
        <w:gridCol w:w="3211"/>
      </w:tblGrid>
      <w:tr>
        <w:trPr/>
        <w:tc>
          <w:tcPr>
            <w:tcW w:w="501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016"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Lender</w:t>
            </w:r>
          </w:p>
        </w:tc>
        <w:tc>
          <w:tcPr>
            <w:tcW w:w="3211"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Tranche Loan A Commitment</w:t>
            </w:r>
          </w:p>
        </w:tc>
      </w:tr>
      <w:tr>
        <w:trPr/>
        <w:tc>
          <w:tcPr>
            <w:tcW w:w="5016" w:type="dxa"/>
            <w:tcBorders/>
            <w:tcMar>
              <w:top w:w="0" w:type="dxa"/>
              <w:left w:w="0" w:type="dxa"/>
              <w:bottom w:w="0" w:type="dxa"/>
              <w:right w:w="0" w:type="dxa"/>
            </w:tcMar>
            <w:vAlign w:val="center"/>
          </w:tcPr>
          <w:p>
            <w:pPr>
              <w:pStyle w:val="TableContents"/>
              <w:bidi w:val="0"/>
              <w:spacing w:before="200" w:after="0"/>
              <w:ind w:left="0" w:right="0" w:firstLine="1700"/>
              <w:jc w:val="left"/>
              <w:rPr>
                <w:rFonts w:ascii="Times New Roman;serif" w:hAnsi="Times New Roman;serif"/>
                <w:b w:val="false"/>
                <w:sz w:val="22"/>
              </w:rPr>
            </w:pPr>
            <w:r>
              <w:rPr>
                <w:rFonts w:ascii="Times New Roman;serif" w:hAnsi="Times New Roman;serif"/>
                <w:b w:val="false"/>
                <w:sz w:val="22"/>
              </w:rPr>
              <w:t>Perceptive Credit Holdings IV, LP</w:t>
            </w:r>
          </w:p>
        </w:tc>
        <w:tc>
          <w:tcPr>
            <w:tcW w:w="3211" w:type="dxa"/>
            <w:tcBorders/>
            <w:tcMar>
              <w:top w:w="0" w:type="dxa"/>
              <w:left w:w="0" w:type="dxa"/>
              <w:bottom w:w="0" w:type="dxa"/>
              <w:right w:w="0" w:type="dxa"/>
            </w:tcMar>
            <w:vAlign w:val="center"/>
          </w:tcPr>
          <w:p>
            <w:pPr>
              <w:pStyle w:val="TableContents"/>
              <w:bidi w:val="0"/>
              <w:spacing w:before="200" w:after="0"/>
              <w:ind w:left="1700" w:right="0" w:hanging="0"/>
              <w:jc w:val="right"/>
              <w:rPr>
                <w:rFonts w:ascii="Times New Roman;serif" w:hAnsi="Times New Roman;serif"/>
                <w:b w:val="false"/>
                <w:sz w:val="22"/>
              </w:rPr>
            </w:pPr>
            <w:r>
              <w:rPr>
                <w:rFonts w:ascii="Times New Roman;serif" w:hAnsi="Times New Roman;serif"/>
                <w:b w:val="false"/>
                <w:sz w:val="22"/>
              </w:rPr>
              <w:t>$30,000,000</w:t>
            </w:r>
          </w:p>
        </w:tc>
      </w:tr>
      <w:tr>
        <w:trPr/>
        <w:tc>
          <w:tcPr>
            <w:tcW w:w="501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mallCaps/>
                <w:sz w:val="22"/>
              </w:rPr>
            </w:pPr>
            <w:r>
              <w:rPr>
                <w:rFonts w:ascii="Times New Roman;serif" w:hAnsi="Times New Roman;serif"/>
                <w:b w:val="false"/>
                <w:smallCaps/>
                <w:sz w:val="22"/>
              </w:rPr>
              <w:t>Total</w:t>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$30,000,000</w:t>
            </w:r>
          </w:p>
        </w:tc>
      </w:tr>
    </w:tbl>
    <w:p>
      <w:pPr>
        <w:pStyle w:val="TextBody"/>
        <w:bidi w:val="0"/>
        <w:spacing w:before="360" w:after="0"/>
        <w:jc w:val="left"/>
        <w:rPr/>
      </w:pPr>
      <w:r>
        <w:rPr/>
        <w:t> </w:t>
      </w:r>
    </w:p>
    <w:p>
      <w:pPr>
        <w:pStyle w:val="TextBody"/>
        <w:bidi w:val="0"/>
        <w:spacing w:before="360" w:after="0"/>
        <w:jc w:val="center"/>
        <w:rPr>
          <w:rFonts w:ascii="Times New Roman;serif" w:hAnsi="Times New Roman;serif"/>
          <w:b/>
          <w:caps/>
          <w:sz w:val="22"/>
        </w:rPr>
      </w:pPr>
      <w:r>
        <w:rPr>
          <w:rFonts w:ascii="Times New Roman;serif" w:hAnsi="Times New Roman;serif"/>
          <w:b/>
          <w:caps/>
          <w:sz w:val="22"/>
        </w:rPr>
        <w:t>Tranche B Loan Commitments</w:t>
      </w:r>
    </w:p>
    <w:tbl>
      <w:tblPr>
        <w:tblW w:w="8212" w:type="dxa"/>
        <w:jc w:val="left"/>
        <w:tblInd w:w="0" w:type="dxa"/>
        <w:tblLayout w:type="fixed"/>
        <w:tblCellMar>
          <w:top w:w="28" w:type="dxa"/>
          <w:left w:w="28" w:type="dxa"/>
          <w:bottom w:w="28" w:type="dxa"/>
          <w:right w:w="28" w:type="dxa"/>
        </w:tblCellMar>
      </w:tblPr>
      <w:tblGrid>
        <w:gridCol w:w="5016"/>
        <w:gridCol w:w="3196"/>
      </w:tblGrid>
      <w:tr>
        <w:trPr/>
        <w:tc>
          <w:tcPr>
            <w:tcW w:w="501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5016"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Lender</w:t>
            </w:r>
          </w:p>
        </w:tc>
        <w:tc>
          <w:tcPr>
            <w:tcW w:w="3196"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Tranche Loan B Commitment</w:t>
            </w:r>
          </w:p>
        </w:tc>
      </w:tr>
      <w:tr>
        <w:trPr/>
        <w:tc>
          <w:tcPr>
            <w:tcW w:w="5016" w:type="dxa"/>
            <w:tcBorders/>
            <w:tcMar>
              <w:top w:w="0" w:type="dxa"/>
              <w:left w:w="0" w:type="dxa"/>
              <w:bottom w:w="0" w:type="dxa"/>
              <w:right w:w="0" w:type="dxa"/>
            </w:tcMar>
            <w:vAlign w:val="center"/>
          </w:tcPr>
          <w:p>
            <w:pPr>
              <w:pStyle w:val="TableContents"/>
              <w:bidi w:val="0"/>
              <w:spacing w:before="200" w:after="0"/>
              <w:ind w:left="0" w:right="0" w:firstLine="1700"/>
              <w:jc w:val="left"/>
              <w:rPr>
                <w:rFonts w:ascii="Times New Roman;serif" w:hAnsi="Times New Roman;serif"/>
                <w:b w:val="false"/>
                <w:sz w:val="22"/>
              </w:rPr>
            </w:pPr>
            <w:r>
              <w:rPr>
                <w:rFonts w:ascii="Times New Roman;serif" w:hAnsi="Times New Roman;serif"/>
                <w:b w:val="false"/>
                <w:sz w:val="22"/>
              </w:rPr>
              <w:t>Perceptive Credit Holdings IV, LP</w:t>
            </w:r>
          </w:p>
        </w:tc>
        <w:tc>
          <w:tcPr>
            <w:tcW w:w="3196" w:type="dxa"/>
            <w:tcBorders/>
            <w:tcMar>
              <w:top w:w="0" w:type="dxa"/>
              <w:left w:w="0" w:type="dxa"/>
              <w:bottom w:w="0" w:type="dxa"/>
              <w:right w:w="0" w:type="dxa"/>
            </w:tcMar>
            <w:vAlign w:val="center"/>
          </w:tcPr>
          <w:p>
            <w:pPr>
              <w:pStyle w:val="TableContents"/>
              <w:bidi w:val="0"/>
              <w:spacing w:before="200" w:after="0"/>
              <w:ind w:left="1700" w:right="0" w:hanging="0"/>
              <w:jc w:val="right"/>
              <w:rPr>
                <w:rFonts w:ascii="Times New Roman;serif" w:hAnsi="Times New Roman;serif"/>
                <w:b w:val="false"/>
                <w:sz w:val="22"/>
              </w:rPr>
            </w:pPr>
            <w:r>
              <w:rPr>
                <w:rFonts w:ascii="Times New Roman;serif" w:hAnsi="Times New Roman;serif"/>
                <w:b w:val="false"/>
                <w:sz w:val="22"/>
              </w:rPr>
              <w:t>$10,000,000</w:t>
            </w:r>
          </w:p>
        </w:tc>
      </w:tr>
      <w:tr>
        <w:trPr/>
        <w:tc>
          <w:tcPr>
            <w:tcW w:w="501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mallCaps/>
                <w:sz w:val="22"/>
              </w:rPr>
            </w:pPr>
            <w:r>
              <w:rPr>
                <w:rFonts w:ascii="Times New Roman;serif" w:hAnsi="Times New Roman;serif"/>
                <w:b w:val="false"/>
                <w:smallCaps/>
                <w:sz w:val="22"/>
              </w:rPr>
              <w:t>Total</w:t>
            </w:r>
          </w:p>
        </w:tc>
        <w:tc>
          <w:tcPr>
            <w:tcW w:w="319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$10,000,000</w:t>
            </w:r>
          </w:p>
        </w:tc>
      </w:tr>
      <w:tr>
        <w:trPr/>
        <w:tc>
          <w:tcPr>
            <w:tcW w:w="501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319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360" w:after="0"/>
        <w:jc w:val="center"/>
        <w:rPr>
          <w:rFonts w:ascii="Times New Roman;serif" w:hAnsi="Times New Roman;serif"/>
          <w:b/>
          <w:caps/>
          <w:sz w:val="22"/>
        </w:rPr>
      </w:pPr>
      <w:r>
        <w:rPr>
          <w:rFonts w:ascii="Times New Roman;serif" w:hAnsi="Times New Roman;serif"/>
          <w:b/>
          <w:caps/>
          <w:sz w:val="22"/>
        </w:rPr>
        <w:t>Tranche C Loan Commitments</w:t>
      </w:r>
    </w:p>
    <w:tbl>
      <w:tblPr>
        <w:tblW w:w="8212" w:type="dxa"/>
        <w:jc w:val="left"/>
        <w:tblInd w:w="0" w:type="dxa"/>
        <w:tblLayout w:type="fixed"/>
        <w:tblCellMar>
          <w:top w:w="28" w:type="dxa"/>
          <w:left w:w="28" w:type="dxa"/>
          <w:bottom w:w="28" w:type="dxa"/>
          <w:right w:w="28" w:type="dxa"/>
        </w:tblCellMar>
      </w:tblPr>
      <w:tblGrid>
        <w:gridCol w:w="5016"/>
        <w:gridCol w:w="3196"/>
      </w:tblGrid>
      <w:tr>
        <w:trPr/>
        <w:tc>
          <w:tcPr>
            <w:tcW w:w="501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5016"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Lender</w:t>
            </w:r>
          </w:p>
        </w:tc>
        <w:tc>
          <w:tcPr>
            <w:tcW w:w="3196"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Tranche Loan C Commitment</w:t>
            </w:r>
          </w:p>
        </w:tc>
      </w:tr>
      <w:tr>
        <w:trPr/>
        <w:tc>
          <w:tcPr>
            <w:tcW w:w="5016" w:type="dxa"/>
            <w:tcBorders/>
            <w:tcMar>
              <w:top w:w="0" w:type="dxa"/>
              <w:left w:w="0" w:type="dxa"/>
              <w:bottom w:w="0" w:type="dxa"/>
              <w:right w:w="0" w:type="dxa"/>
            </w:tcMar>
            <w:vAlign w:val="center"/>
          </w:tcPr>
          <w:p>
            <w:pPr>
              <w:pStyle w:val="TableContents"/>
              <w:bidi w:val="0"/>
              <w:spacing w:before="200" w:after="0"/>
              <w:ind w:left="0" w:right="0" w:firstLine="1700"/>
              <w:jc w:val="left"/>
              <w:rPr>
                <w:rFonts w:ascii="Times New Roman;serif" w:hAnsi="Times New Roman;serif"/>
                <w:b w:val="false"/>
                <w:sz w:val="22"/>
              </w:rPr>
            </w:pPr>
            <w:r>
              <w:rPr>
                <w:rFonts w:ascii="Times New Roman;serif" w:hAnsi="Times New Roman;serif"/>
                <w:b w:val="false"/>
                <w:sz w:val="22"/>
              </w:rPr>
              <w:t>Perceptive Credit Holdings IV, LP</w:t>
            </w:r>
          </w:p>
        </w:tc>
        <w:tc>
          <w:tcPr>
            <w:tcW w:w="3196" w:type="dxa"/>
            <w:tcBorders/>
            <w:tcMar>
              <w:top w:w="0" w:type="dxa"/>
              <w:left w:w="0" w:type="dxa"/>
              <w:bottom w:w="0" w:type="dxa"/>
              <w:right w:w="0" w:type="dxa"/>
            </w:tcMar>
            <w:vAlign w:val="center"/>
          </w:tcPr>
          <w:p>
            <w:pPr>
              <w:pStyle w:val="TableContents"/>
              <w:bidi w:val="0"/>
              <w:spacing w:before="200" w:after="0"/>
              <w:ind w:left="1700" w:right="0" w:hanging="0"/>
              <w:jc w:val="right"/>
              <w:rPr>
                <w:rFonts w:ascii="Times New Roman;serif" w:hAnsi="Times New Roman;serif"/>
                <w:b w:val="false"/>
                <w:sz w:val="22"/>
              </w:rPr>
            </w:pPr>
            <w:r>
              <w:rPr>
                <w:rFonts w:ascii="Times New Roman;serif" w:hAnsi="Times New Roman;serif"/>
                <w:b w:val="false"/>
                <w:sz w:val="22"/>
              </w:rPr>
              <w:t>$10,000,000</w:t>
            </w:r>
          </w:p>
        </w:tc>
      </w:tr>
      <w:tr>
        <w:trPr/>
        <w:tc>
          <w:tcPr>
            <w:tcW w:w="501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mallCaps/>
                <w:sz w:val="22"/>
              </w:rPr>
            </w:pPr>
            <w:r>
              <w:rPr>
                <w:rFonts w:ascii="Times New Roman;serif" w:hAnsi="Times New Roman;serif"/>
                <w:b w:val="false"/>
                <w:smallCaps/>
                <w:sz w:val="22"/>
              </w:rPr>
              <w:t>Total</w:t>
            </w:r>
          </w:p>
        </w:tc>
        <w:tc>
          <w:tcPr>
            <w:tcW w:w="319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$10,000,000</w:t>
            </w:r>
          </w:p>
        </w:tc>
      </w:tr>
    </w:tbl>
    <w:p>
      <w:pPr>
        <w:pStyle w:val="TextBody"/>
        <w:bidi w:val="0"/>
        <w:spacing w:before="360" w:after="0"/>
        <w:jc w:val="left"/>
        <w:rPr/>
      </w:pPr>
      <w:r>
        <w:rPr/>
        <w:t> </w:t>
      </w:r>
    </w:p>
    <w:p>
      <w:pPr>
        <w:pStyle w:val="TextBody"/>
        <w:bidi w:val="0"/>
        <w:spacing w:before="360" w:after="0"/>
        <w:jc w:val="center"/>
        <w:rPr>
          <w:rFonts w:ascii="Times New Roman;serif" w:hAnsi="Times New Roman;serif"/>
          <w:b/>
          <w:caps/>
          <w:sz w:val="22"/>
        </w:rPr>
      </w:pPr>
      <w:r>
        <w:rPr>
          <w:rFonts w:ascii="Times New Roman;serif" w:hAnsi="Times New Roman;serif"/>
          <w:b/>
          <w:caps/>
          <w:sz w:val="22"/>
        </w:rPr>
        <w:t>INITIAL Warrant Shares</w:t>
      </w:r>
    </w:p>
    <w:tbl>
      <w:tblPr>
        <w:tblW w:w="6377" w:type="dxa"/>
        <w:jc w:val="left"/>
        <w:tblInd w:w="0" w:type="dxa"/>
        <w:tblLayout w:type="fixed"/>
        <w:tblCellMar>
          <w:top w:w="28" w:type="dxa"/>
          <w:left w:w="28" w:type="dxa"/>
          <w:bottom w:w="28" w:type="dxa"/>
          <w:right w:w="28" w:type="dxa"/>
        </w:tblCellMar>
      </w:tblPr>
      <w:tblGrid>
        <w:gridCol w:w="3316"/>
        <w:gridCol w:w="3061"/>
      </w:tblGrid>
      <w:tr>
        <w:trPr/>
        <w:tc>
          <w:tcPr>
            <w:tcW w:w="331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Lender</w:t>
            </w:r>
          </w:p>
        </w:tc>
        <w:tc>
          <w:tcPr>
            <w:tcW w:w="3061"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Number of Warrant Shares</w:t>
            </w:r>
          </w:p>
        </w:tc>
      </w:tr>
      <w:tr>
        <w:trPr/>
        <w:tc>
          <w:tcPr>
            <w:tcW w:w="3316" w:type="dxa"/>
            <w:tcBorders/>
            <w:tcMar>
              <w:top w:w="0" w:type="dxa"/>
              <w:left w:w="0" w:type="dxa"/>
              <w:bottom w:w="0" w:type="dxa"/>
              <w:right w:w="0" w:type="dxa"/>
            </w:tcMar>
            <w:vAlign w:val="center"/>
          </w:tcPr>
          <w:p>
            <w:pPr>
              <w:pStyle w:val="TableContents"/>
              <w:bidi w:val="0"/>
              <w:spacing w:before="200" w:after="0"/>
              <w:ind w:left="0" w:right="0" w:hanging="0"/>
              <w:jc w:val="left"/>
              <w:rPr>
                <w:rFonts w:ascii="Times New Roman;serif" w:hAnsi="Times New Roman;serif"/>
                <w:b w:val="false"/>
                <w:sz w:val="22"/>
              </w:rPr>
            </w:pPr>
            <w:r>
              <w:rPr>
                <w:rFonts w:ascii="Times New Roman;serif" w:hAnsi="Times New Roman;serif"/>
                <w:b w:val="false"/>
                <w:sz w:val="22"/>
              </w:rPr>
              <w:t>Perceptive Credit Holdings IV, LP</w:t>
            </w:r>
          </w:p>
        </w:tc>
        <w:tc>
          <w:tcPr>
            <w:tcW w:w="3061" w:type="dxa"/>
            <w:tcBorders/>
            <w:tcMar>
              <w:top w:w="0" w:type="dxa"/>
              <w:left w:w="0" w:type="dxa"/>
              <w:bottom w:w="0" w:type="dxa"/>
              <w:right w:w="0" w:type="dxa"/>
            </w:tcMar>
            <w:vAlign w:val="center"/>
          </w:tcPr>
          <w:p>
            <w:pPr>
              <w:pStyle w:val="TableContents"/>
              <w:bidi w:val="0"/>
              <w:spacing w:before="200" w:after="0"/>
              <w:ind w:left="0" w:right="0" w:hanging="0"/>
              <w:jc w:val="right"/>
              <w:rPr>
                <w:rFonts w:ascii="Times New Roman" w:hAnsi="Times New Roman"/>
                <w:sz w:val="22"/>
              </w:rPr>
            </w:pPr>
            <w:r>
              <w:rPr>
                <w:rFonts w:ascii="Times New Roman;serif" w:hAnsi="Times New Roman;serif"/>
                <w:b w:val="false"/>
                <w:sz w:val="22"/>
              </w:rPr>
              <w:t>3,000,000</w:t>
            </w:r>
            <w:r>
              <w:rPr>
                <w:rFonts w:ascii="Times New Roman" w:hAnsi="Times New Roman"/>
                <w:sz w:val="22"/>
              </w:rPr>
              <w:t xml:space="preserve"> </w:t>
            </w:r>
          </w:p>
        </w:tc>
      </w:tr>
      <w:tr>
        <w:trPr/>
        <w:tc>
          <w:tcPr>
            <w:tcW w:w="331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mallCaps/>
                <w:sz w:val="22"/>
              </w:rPr>
            </w:pPr>
            <w:r>
              <w:rPr>
                <w:rFonts w:ascii="Times New Roman;serif" w:hAnsi="Times New Roman;serif"/>
                <w:b w:val="false"/>
                <w:smallCaps/>
                <w:sz w:val="22"/>
              </w:rPr>
              <w:t>Total</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3,000,000</w:t>
            </w:r>
          </w:p>
        </w:tc>
      </w:tr>
      <w:tr>
        <w:trPr/>
        <w:tc>
          <w:tcPr>
            <w:tcW w:w="331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377" w:type="dxa"/>
        <w:jc w:val="left"/>
        <w:tblInd w:w="0" w:type="dxa"/>
        <w:tblLayout w:type="fixed"/>
        <w:tblCellMar>
          <w:top w:w="28" w:type="dxa"/>
          <w:left w:w="28" w:type="dxa"/>
          <w:bottom w:w="28" w:type="dxa"/>
          <w:right w:w="28" w:type="dxa"/>
        </w:tblCellMar>
      </w:tblPr>
      <w:tblGrid>
        <w:gridCol w:w="3316"/>
        <w:gridCol w:w="3061"/>
      </w:tblGrid>
      <w:tr>
        <w:trPr/>
        <w:tc>
          <w:tcPr>
            <w:tcW w:w="331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6377" w:type="dxa"/>
            <w:gridSpan w:val="2"/>
            <w:tcBorders/>
            <w:tcMar>
              <w:top w:w="0" w:type="dxa"/>
              <w:left w:w="0" w:type="dxa"/>
              <w:bottom w:w="0" w:type="dxa"/>
              <w:right w:w="0" w:type="dxa"/>
            </w:tcMar>
            <w:vAlign w:val="center"/>
          </w:tcPr>
          <w:p>
            <w:pPr>
              <w:pStyle w:val="TableContents"/>
              <w:bidi w:val="0"/>
              <w:spacing w:before="360" w:after="0"/>
              <w:ind w:left="0" w:right="0" w:hanging="0"/>
              <w:jc w:val="left"/>
              <w:rPr/>
            </w:pPr>
            <w:r>
              <w:rPr/>
              <w:t> </w:t>
            </w:r>
          </w:p>
          <w:p>
            <w:pPr>
              <w:pStyle w:val="TableContents"/>
              <w:bidi w:val="0"/>
              <w:spacing w:before="360" w:after="0"/>
              <w:ind w:left="0" w:right="0" w:hanging="0"/>
              <w:jc w:val="left"/>
              <w:rPr>
                <w:rFonts w:ascii="Times New Roman;serif" w:hAnsi="Times New Roman;serif"/>
                <w:b/>
                <w:caps/>
                <w:sz w:val="22"/>
              </w:rPr>
            </w:pPr>
            <w:r>
              <w:rPr>
                <w:rFonts w:ascii="Times New Roman;serif" w:hAnsi="Times New Roman;serif"/>
                <w:b/>
                <w:caps/>
                <w:sz w:val="22"/>
              </w:rPr>
              <w:t>FIRST AMENDMENT Warrant Shares</w:t>
            </w:r>
          </w:p>
          <w:p>
            <w:pPr>
              <w:pStyle w:val="TableContents"/>
              <w:bidi w:val="0"/>
              <w:spacing w:before="0" w:after="0"/>
              <w:ind w:left="0" w:right="0" w:hanging="0"/>
              <w:jc w:val="right"/>
              <w:rPr/>
            </w:pPr>
            <w:r>
              <w:rPr/>
              <w:t> </w:t>
            </w:r>
          </w:p>
        </w:tc>
      </w:tr>
      <w:tr>
        <w:trPr/>
        <w:tc>
          <w:tcPr>
            <w:tcW w:w="33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mallCaps/>
                <w:sz w:val="22"/>
              </w:rPr>
            </w:pPr>
            <w:r>
              <w:rPr>
                <w:rFonts w:ascii="Times New Roman;serif" w:hAnsi="Times New Roman;serif"/>
                <w:b w:val="false"/>
                <w:smallCaps/>
                <w:sz w:val="22"/>
              </w:rPr>
              <w:t>Lender</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mallCaps/>
                <w:sz w:val="22"/>
              </w:rPr>
            </w:pPr>
            <w:r>
              <w:rPr>
                <w:rFonts w:ascii="Times New Roman;serif" w:hAnsi="Times New Roman;serif"/>
                <w:b w:val="false"/>
                <w:smallCaps/>
                <w:sz w:val="22"/>
              </w:rPr>
              <w:t>Number of Warrant Shares</w:t>
            </w:r>
          </w:p>
        </w:tc>
      </w:tr>
      <w:tr>
        <w:trPr/>
        <w:tc>
          <w:tcPr>
            <w:tcW w:w="33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Perceptive Credit Holdings IV, LP</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 w:hAnsi="Times New Roman"/>
                <w:sz w:val="22"/>
              </w:rPr>
            </w:pPr>
            <w:r>
              <w:rPr>
                <w:rFonts w:ascii="Times New Roman;serif" w:hAnsi="Times New Roman;serif"/>
                <w:b w:val="false"/>
                <w:sz w:val="22"/>
              </w:rPr>
              <w:t>500,000</w:t>
            </w:r>
            <w:r>
              <w:rPr>
                <w:rFonts w:ascii="Times New Roman" w:hAnsi="Times New Roman"/>
                <w:sz w:val="22"/>
              </w:rPr>
              <w:t xml:space="preserve"> </w:t>
            </w:r>
          </w:p>
        </w:tc>
      </w:tr>
      <w:tr>
        <w:trPr/>
        <w:tc>
          <w:tcPr>
            <w:tcW w:w="331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mallCaps/>
                <w:sz w:val="22"/>
              </w:rPr>
            </w:pPr>
            <w:r>
              <w:rPr>
                <w:rFonts w:ascii="Times New Roman;serif" w:hAnsi="Times New Roman;serif"/>
                <w:b w:val="false"/>
                <w:smallCaps/>
                <w:sz w:val="22"/>
              </w:rPr>
              <w:t>Total</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500,000</w:t>
            </w:r>
          </w:p>
        </w:tc>
      </w:tr>
    </w:tbl>
    <w:p>
      <w:pPr>
        <w:pStyle w:val="TextBody"/>
        <w:bidi w:val="0"/>
        <w:spacing w:before="360" w:after="0"/>
        <w:jc w:val="center"/>
        <w:rPr>
          <w:rFonts w:ascii="Times New Roman;serif" w:hAnsi="Times New Roman;serif"/>
          <w:b/>
          <w:caps/>
          <w:sz w:val="22"/>
        </w:rPr>
      </w:pPr>
      <w:r>
        <w:rPr>
          <w:rFonts w:ascii="Times New Roman;serif" w:hAnsi="Times New Roman;serif"/>
          <w:b/>
          <w:caps/>
          <w:sz w:val="22"/>
        </w:rPr>
        <w:t>SECOND TRANCHE Warrant Shares*</w:t>
      </w:r>
    </w:p>
    <w:tbl>
      <w:tblPr>
        <w:tblW w:w="6377" w:type="dxa"/>
        <w:jc w:val="left"/>
        <w:tblInd w:w="0" w:type="dxa"/>
        <w:tblLayout w:type="fixed"/>
        <w:tblCellMar>
          <w:top w:w="28" w:type="dxa"/>
          <w:left w:w="28" w:type="dxa"/>
          <w:bottom w:w="28" w:type="dxa"/>
          <w:right w:w="28" w:type="dxa"/>
        </w:tblCellMar>
      </w:tblPr>
      <w:tblGrid>
        <w:gridCol w:w="3316"/>
        <w:gridCol w:w="3061"/>
      </w:tblGrid>
      <w:tr>
        <w:trPr/>
        <w:tc>
          <w:tcPr>
            <w:tcW w:w="331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Lender</w:t>
            </w:r>
          </w:p>
        </w:tc>
        <w:tc>
          <w:tcPr>
            <w:tcW w:w="3061"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Number of Warrant Shares</w:t>
            </w:r>
          </w:p>
        </w:tc>
      </w:tr>
      <w:tr>
        <w:trPr/>
        <w:tc>
          <w:tcPr>
            <w:tcW w:w="3316" w:type="dxa"/>
            <w:tcBorders/>
            <w:tcMar>
              <w:top w:w="0" w:type="dxa"/>
              <w:left w:w="0" w:type="dxa"/>
              <w:bottom w:w="0" w:type="dxa"/>
              <w:right w:w="0" w:type="dxa"/>
            </w:tcMar>
            <w:vAlign w:val="center"/>
          </w:tcPr>
          <w:p>
            <w:pPr>
              <w:pStyle w:val="TableContents"/>
              <w:bidi w:val="0"/>
              <w:spacing w:before="200" w:after="0"/>
              <w:ind w:left="0" w:right="0" w:hanging="0"/>
              <w:jc w:val="left"/>
              <w:rPr>
                <w:rFonts w:ascii="Times New Roman;serif" w:hAnsi="Times New Roman;serif"/>
                <w:b w:val="false"/>
                <w:sz w:val="22"/>
              </w:rPr>
            </w:pPr>
            <w:r>
              <w:rPr>
                <w:rFonts w:ascii="Times New Roman;serif" w:hAnsi="Times New Roman;serif"/>
                <w:b w:val="false"/>
                <w:sz w:val="22"/>
              </w:rPr>
              <w:t>Perceptive Credit Holdings IV, LP</w:t>
            </w:r>
          </w:p>
        </w:tc>
        <w:tc>
          <w:tcPr>
            <w:tcW w:w="3061" w:type="dxa"/>
            <w:tcBorders/>
            <w:tcMar>
              <w:top w:w="0" w:type="dxa"/>
              <w:left w:w="0" w:type="dxa"/>
              <w:bottom w:w="0" w:type="dxa"/>
              <w:right w:w="0" w:type="dxa"/>
            </w:tcMar>
            <w:vAlign w:val="center"/>
          </w:tcPr>
          <w:p>
            <w:pPr>
              <w:pStyle w:val="TableContents"/>
              <w:bidi w:val="0"/>
              <w:spacing w:before="200" w:after="0"/>
              <w:ind w:left="0" w:right="0" w:hanging="0"/>
              <w:jc w:val="right"/>
              <w:rPr>
                <w:rFonts w:ascii="Times New Roman" w:hAnsi="Times New Roman"/>
                <w:sz w:val="22"/>
              </w:rPr>
            </w:pPr>
            <w:r>
              <w:rPr>
                <w:rFonts w:ascii="Times New Roman;serif" w:hAnsi="Times New Roman;serif"/>
                <w:b w:val="false"/>
                <w:sz w:val="22"/>
              </w:rPr>
              <w:t>1,000,000</w:t>
            </w:r>
            <w:r>
              <w:rPr>
                <w:rFonts w:ascii="Times New Roman" w:hAnsi="Times New Roman"/>
                <w:sz w:val="22"/>
              </w:rPr>
              <w:t xml:space="preserve"> </w:t>
            </w:r>
          </w:p>
        </w:tc>
      </w:tr>
      <w:tr>
        <w:trPr/>
        <w:tc>
          <w:tcPr>
            <w:tcW w:w="331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mallCaps/>
                <w:sz w:val="22"/>
              </w:rPr>
            </w:pPr>
            <w:r>
              <w:rPr>
                <w:rFonts w:ascii="Times New Roman;serif" w:hAnsi="Times New Roman;serif"/>
                <w:b w:val="false"/>
                <w:smallCaps/>
                <w:sz w:val="22"/>
              </w:rPr>
              <w:t>Total</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1,000,000</w:t>
            </w:r>
          </w:p>
        </w:tc>
      </w:tr>
    </w:tbl>
    <w:p>
      <w:pPr>
        <w:pStyle w:val="TextBody"/>
        <w:bidi w:val="0"/>
        <w:spacing w:before="360" w:after="0"/>
        <w:jc w:val="center"/>
        <w:rPr>
          <w:rFonts w:ascii="Times New Roman;serif" w:hAnsi="Times New Roman;serif"/>
          <w:b/>
          <w:caps/>
          <w:sz w:val="22"/>
        </w:rPr>
      </w:pPr>
      <w:r>
        <w:rPr>
          <w:rFonts w:ascii="Times New Roman;serif" w:hAnsi="Times New Roman;serif"/>
          <w:b/>
          <w:caps/>
          <w:sz w:val="22"/>
        </w:rPr>
        <w:t>THIRD TRANCHE Warrant Shares**</w:t>
      </w:r>
    </w:p>
    <w:tbl>
      <w:tblPr>
        <w:tblW w:w="6377" w:type="dxa"/>
        <w:jc w:val="left"/>
        <w:tblInd w:w="0" w:type="dxa"/>
        <w:tblLayout w:type="fixed"/>
        <w:tblCellMar>
          <w:top w:w="28" w:type="dxa"/>
          <w:left w:w="28" w:type="dxa"/>
          <w:bottom w:w="28" w:type="dxa"/>
          <w:right w:w="28" w:type="dxa"/>
        </w:tblCellMar>
      </w:tblPr>
      <w:tblGrid>
        <w:gridCol w:w="3316"/>
        <w:gridCol w:w="3061"/>
      </w:tblGrid>
      <w:tr>
        <w:trPr/>
        <w:tc>
          <w:tcPr>
            <w:tcW w:w="331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Lender</w:t>
            </w:r>
          </w:p>
        </w:tc>
        <w:tc>
          <w:tcPr>
            <w:tcW w:w="3061" w:type="dxa"/>
            <w:tcBorders/>
            <w:tcMar>
              <w:top w:w="0" w:type="dxa"/>
              <w:left w:w="0" w:type="dxa"/>
              <w:bottom w:w="0" w:type="dxa"/>
              <w:right w:w="0" w:type="dxa"/>
            </w:tcMar>
            <w:vAlign w:val="center"/>
          </w:tcPr>
          <w:p>
            <w:pPr>
              <w:pStyle w:val="TableContents"/>
              <w:bidi w:val="0"/>
              <w:spacing w:before="280" w:after="0"/>
              <w:ind w:left="0" w:right="0" w:hanging="0"/>
              <w:jc w:val="center"/>
              <w:rPr>
                <w:rFonts w:ascii="Times New Roman;serif" w:hAnsi="Times New Roman;serif"/>
                <w:b w:val="false"/>
                <w:smallCaps/>
                <w:sz w:val="22"/>
              </w:rPr>
            </w:pPr>
            <w:r>
              <w:rPr>
                <w:rFonts w:ascii="Times New Roman;serif" w:hAnsi="Times New Roman;serif"/>
                <w:b w:val="false"/>
                <w:smallCaps/>
                <w:sz w:val="22"/>
              </w:rPr>
              <w:t>Number of Warrant Shares</w:t>
            </w:r>
          </w:p>
        </w:tc>
      </w:tr>
      <w:tr>
        <w:trPr/>
        <w:tc>
          <w:tcPr>
            <w:tcW w:w="3316" w:type="dxa"/>
            <w:tcBorders/>
            <w:tcMar>
              <w:top w:w="0" w:type="dxa"/>
              <w:left w:w="0" w:type="dxa"/>
              <w:bottom w:w="0" w:type="dxa"/>
              <w:right w:w="0" w:type="dxa"/>
            </w:tcMar>
            <w:vAlign w:val="center"/>
          </w:tcPr>
          <w:p>
            <w:pPr>
              <w:pStyle w:val="TableContents"/>
              <w:bidi w:val="0"/>
              <w:spacing w:before="200" w:after="0"/>
              <w:ind w:left="0" w:right="0" w:hanging="0"/>
              <w:jc w:val="left"/>
              <w:rPr>
                <w:rFonts w:ascii="Times New Roman;serif" w:hAnsi="Times New Roman;serif"/>
                <w:b w:val="false"/>
                <w:sz w:val="22"/>
              </w:rPr>
            </w:pPr>
            <w:r>
              <w:rPr>
                <w:rFonts w:ascii="Times New Roman;serif" w:hAnsi="Times New Roman;serif"/>
                <w:b w:val="false"/>
                <w:sz w:val="22"/>
              </w:rPr>
              <w:t>Perceptive Credit Holdings IV, LP</w:t>
            </w:r>
          </w:p>
        </w:tc>
        <w:tc>
          <w:tcPr>
            <w:tcW w:w="3061" w:type="dxa"/>
            <w:tcBorders/>
            <w:tcMar>
              <w:top w:w="0" w:type="dxa"/>
              <w:left w:w="0" w:type="dxa"/>
              <w:bottom w:w="0" w:type="dxa"/>
              <w:right w:w="0" w:type="dxa"/>
            </w:tcMar>
            <w:vAlign w:val="center"/>
          </w:tcPr>
          <w:p>
            <w:pPr>
              <w:pStyle w:val="TableContents"/>
              <w:bidi w:val="0"/>
              <w:spacing w:before="200" w:after="0"/>
              <w:ind w:left="0" w:right="0" w:hanging="0"/>
              <w:jc w:val="right"/>
              <w:rPr>
                <w:rFonts w:ascii="Times New Roman" w:hAnsi="Times New Roman"/>
                <w:sz w:val="22"/>
              </w:rPr>
            </w:pPr>
            <w:r>
              <w:rPr>
                <w:rFonts w:ascii="Times New Roman;serif" w:hAnsi="Times New Roman;serif"/>
                <w:b w:val="false"/>
                <w:sz w:val="22"/>
              </w:rPr>
              <w:t>1,000,000</w:t>
            </w:r>
            <w:r>
              <w:rPr>
                <w:rFonts w:ascii="Times New Roman" w:hAnsi="Times New Roman"/>
                <w:sz w:val="22"/>
              </w:rPr>
              <w:t xml:space="preserve"> </w:t>
            </w:r>
          </w:p>
        </w:tc>
      </w:tr>
      <w:tr>
        <w:trPr/>
        <w:tc>
          <w:tcPr>
            <w:tcW w:w="331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mallCaps/>
                <w:sz w:val="22"/>
              </w:rPr>
            </w:pPr>
            <w:r>
              <w:rPr>
                <w:rFonts w:ascii="Times New Roman;serif" w:hAnsi="Times New Roman;serif"/>
                <w:b w:val="false"/>
                <w:smallCaps/>
                <w:sz w:val="22"/>
              </w:rPr>
              <w:t>Total</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1,000,000</w:t>
            </w:r>
          </w:p>
        </w:tc>
      </w:tr>
      <w:tr>
        <w:trPr/>
        <w:tc>
          <w:tcPr>
            <w:tcW w:w="331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p>
            <w:pPr>
              <w:pStyle w:val="TableContents"/>
              <w:bidi w:val="0"/>
              <w:spacing w:before="0" w:after="0"/>
              <w:ind w:left="0" w:right="0" w:hanging="0"/>
              <w:jc w:val="right"/>
              <w:rPr/>
            </w:pPr>
            <w:r>
              <w:rPr/>
              <w:t> </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20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 Issued on the Tranche B Loan Borrowing Date, if it occurs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 Issued on the Tranche C Loan Borrowing Date, if it occurs</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ANNEX B</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Marked Credit Agreement</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See attached.</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r>
        <w:rPr>
          <w:rFonts w:ascii="Times New Roman;serif" w:hAnsi="Times New Roman;serif"/>
          <w:b w:val="false"/>
          <w:smallCaps/>
          <w:strike/>
          <w:sz w:val="24"/>
        </w:rPr>
        <w:t>Execution</w:t>
      </w:r>
      <w:r>
        <w:rPr>
          <w:rFonts w:ascii="Times New Roman;serif" w:hAnsi="Times New Roman;serif"/>
          <w:b w:val="false"/>
          <w:smallCaps/>
          <w:sz w:val="24"/>
          <w:u w:val="single"/>
        </w:rPr>
        <w:t>Final</w:t>
      </w:r>
      <w:r>
        <w:rPr>
          <w:rFonts w:ascii="Times New Roman" w:hAnsi="Times New Roman"/>
          <w:smallCaps/>
          <w:sz w:val="20"/>
        </w:rPr>
        <w:t xml:space="preserve"> </w:t>
      </w:r>
      <w:r>
        <w:rPr>
          <w:rFonts w:ascii="Times New Roman;serif" w:hAnsi="Times New Roman;serif"/>
          <w:b w:val="false"/>
          <w:smallCaps/>
          <w:sz w:val="24"/>
        </w:rPr>
        <w:t>Version</w:t>
      </w:r>
    </w:p>
    <w:p>
      <w:pPr>
        <w:pStyle w:val="TextBody"/>
        <w:bidi w:val="0"/>
        <w:spacing w:before="0" w:after="0"/>
        <w:jc w:val="right"/>
        <w:rPr/>
      </w:pPr>
      <w:r>
        <w:rPr/>
        <w:t> </w:t>
      </w:r>
    </w:p>
    <w:p>
      <w:pPr>
        <w:pStyle w:val="TextBody"/>
        <w:bidi w:val="0"/>
        <w:spacing w:before="0" w:after="0"/>
        <w:jc w:val="left"/>
        <w:rPr/>
      </w:pPr>
      <w:r>
        <w:rPr/>
        <w:t> </w:t>
      </w:r>
    </w:p>
    <w:p>
      <w:pPr>
        <w:pStyle w:val="TextBody"/>
        <w:bidi w:val="0"/>
        <w:spacing w:before="0" w:after="0"/>
        <w:jc w:val="right"/>
        <w:rPr/>
      </w:pPr>
      <w:r>
        <w:rPr/>
        <w:t> </w:t>
      </w:r>
    </w:p>
    <w:p>
      <w:pPr>
        <w:pStyle w:val="TextBody"/>
        <w:pBdr>
          <w:top w:val="double" w:sz="6" w:space="1" w:color="000000"/>
        </w:pBdr>
        <w:bidi w:val="0"/>
        <w:spacing w:before="0" w:after="48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Credit Agreement and Guaranty</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dated as of</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mallCaps/>
          <w:sz w:val="24"/>
        </w:rPr>
        <w:t>November</w:t>
      </w:r>
      <w:r>
        <w:rPr>
          <w:rFonts w:ascii="Times New Roman" w:hAnsi="Times New Roman"/>
          <w:smallCaps/>
          <w:sz w:val="20"/>
        </w:rPr>
        <w:t xml:space="preserve"> </w:t>
      </w:r>
      <w:r>
        <w:rPr>
          <w:rFonts w:ascii="Times New Roman;serif" w:hAnsi="Times New Roman;serif"/>
          <w:b w:val="false"/>
          <w:smallCaps/>
          <w:sz w:val="24"/>
        </w:rPr>
        <w:t>16, 2022</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among</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mallCaps/>
          <w:sz w:val="24"/>
        </w:rPr>
        <w:t>Biodesix, Inc.,</w:t>
        <w:br/>
      </w:r>
      <w:r>
        <w:rPr>
          <w:rFonts w:ascii="Times New Roman;serif" w:hAnsi="Times New Roman;serif"/>
          <w:b w:val="false"/>
          <w:sz w:val="24"/>
        </w:rPr>
        <w:t>as the Borrower</w:t>
      </w:r>
      <w:r>
        <w:rPr>
          <w:rFonts w:ascii="Times New Roman;serif" w:hAnsi="Times New Roman;serif"/>
          <w:b w:val="false"/>
          <w:smallCaps/>
          <w:sz w:val="24"/>
        </w:rPr>
        <w:t>,</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The Guarantors from Time to Time Party hereto,</w:t>
      </w:r>
    </w:p>
    <w:p>
      <w:pPr>
        <w:pStyle w:val="TextBody"/>
        <w:bidi w:val="0"/>
        <w:spacing w:before="0" w:after="0"/>
        <w:jc w:val="center"/>
        <w:rPr>
          <w:rFonts w:ascii="Times New Roman" w:hAnsi="Times New Roman"/>
          <w:sz w:val="20"/>
        </w:rPr>
      </w:pPr>
      <w:r>
        <w:rPr>
          <w:rFonts w:ascii="Times New Roman;serif" w:hAnsi="Times New Roman;serif"/>
          <w:b w:val="false"/>
          <w:sz w:val="24"/>
        </w:rPr>
        <w:t>as Guarantors,</w:t>
        <w:br/>
      </w:r>
      <w:r>
        <w:rPr>
          <w:rFonts w:ascii="Times New Roman" w:hAnsi="Times New Roman"/>
          <w:sz w:val="20"/>
        </w:rPr>
        <w:t> </w:t>
      </w:r>
    </w:p>
    <w:p>
      <w:pPr>
        <w:pStyle w:val="TextBody"/>
        <w:bidi w:val="0"/>
        <w:spacing w:before="0" w:after="0"/>
        <w:jc w:val="center"/>
        <w:rPr>
          <w:rFonts w:ascii="Times New Roman" w:hAnsi="Times New Roman"/>
          <w:sz w:val="20"/>
        </w:rPr>
      </w:pPr>
      <w:r>
        <w:rPr>
          <w:rFonts w:ascii="Times New Roman;serif" w:hAnsi="Times New Roman;serif"/>
          <w:b w:val="false"/>
          <w:smallCaps/>
          <w:sz w:val="24"/>
        </w:rPr>
        <w:t>The Lenders from Time to Time Party hereto</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as Lenders,</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and</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Perceptive Credit Holdings IV, LP,</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as the Administrative Agent and as a Lender</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$50,000,000</w:t>
      </w:r>
    </w:p>
    <w:p>
      <w:pPr>
        <w:pStyle w:val="TextBody"/>
        <w:bidi w:val="0"/>
        <w:spacing w:before="0" w:after="0"/>
        <w:jc w:val="center"/>
        <w:rPr/>
      </w:pPr>
      <w:r>
        <w:rPr/>
        <w:t> </w:t>
      </w:r>
    </w:p>
    <w:p>
      <w:pPr>
        <w:pStyle w:val="TextBody"/>
        <w:bidi w:val="0"/>
        <w:spacing w:before="0" w:after="0"/>
        <w:jc w:val="center"/>
        <w:rPr/>
      </w:pPr>
      <w:r>
        <w:rPr/>
        <w:t>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Table of Contents</w:t>
      </w:r>
    </w:p>
    <w:p>
      <w:pPr>
        <w:pStyle w:val="TextBody"/>
        <w:bidi w:val="0"/>
        <w:spacing w:before="280" w:after="0"/>
        <w:jc w:val="both"/>
        <w:rPr>
          <w:rFonts w:ascii="Times New Roman;serif" w:hAnsi="Times New Roman;serif"/>
          <w:b w:val="false"/>
          <w:smallCaps/>
          <w:sz w:val="24"/>
        </w:rPr>
      </w:pPr>
      <w:r>
        <w:rPr>
          <w:rFonts w:ascii="Times New Roman;serif" w:hAnsi="Times New Roman;serif"/>
          <w:b w:val="false"/>
          <w:smallCaps/>
          <w:sz w:val="24"/>
        </w:rPr>
        <w:t>Section Heading Page</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I Definitions 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1.01. Certain Defined Terms 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1.02. Accounting Terms and Principles 32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1.03. Interpretation 33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1.04. Divisions 33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1.05. Interest Rates 33</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2 The Commitments 34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2.01. Term Loan 34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2.02. Proportionate Shares 35</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2.03. Fees 36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2.04. Notes 36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2.05. Use of Proceeds 36</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3 Payments of Principal and Interest 36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3.01. Repayment 36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3.02. Interest 36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3.03. Prepayments 39</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4 Payments 42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4.01. Payments 42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4.02. Computations 43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4.03. Notices 43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4.04. Set</w:t>
        <w:noBreakHyphen/>
        <w:t>Off 43</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5 Yield Protection 43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5.01. Additional Costs 43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5.02. Illegality 45</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5.03. Taxes 45</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5.04. Delay in Requests 50</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6 Conditions Precedent 51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6.01. Conditions to Closing Date 51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6.02. Conditions to Funding Date; Tranche A Loan 53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6.03. Conditions to Tranche B Loan; Tranche B Loan Borrowing Date 55</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6.04. Conditions to Tranche C Loan; Tranche C Loan Borrowing Date 56</w:t>
      </w:r>
    </w:p>
    <w:p>
      <w:pPr>
        <w:pStyle w:val="TextBody"/>
        <w:bidi w:val="0"/>
        <w:spacing w:before="0" w:after="0"/>
        <w:jc w:val="center"/>
        <w:rPr/>
      </w:pPr>
      <w:r>
        <w:rPr/>
        <w:noBreakHyphen/>
      </w:r>
      <w:r>
        <w:rPr>
          <w:rFonts w:ascii="Times New Roman;serif" w:hAnsi="Times New Roman;serif"/>
          <w:b w:val="false"/>
          <w:sz w:val="24"/>
        </w:rPr>
        <w:t>i</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7 Representations and Warranties 57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7.01. Power and Authority 57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7.02. Authorization; Enforceability 57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7.03. Governmental and Other Approvals; No Conflicts 57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7.04. Financial Statements; Projections; Material Adverse Change 58</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7.05. Properties 58</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7.06. No Actions or Proceedings 61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7.07. Compliance with Laws and Agreements 61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7.08. Taxes 62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7.09. Full Disclosure 62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7.10. Regulation 63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7.11. Solvency 63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7.12. Subsidiaries 63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7.13. Indebtedness and Liens 63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7.14. Material Agreements 63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7.15. Restrictive Agreements 64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7.16. Real Property 64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7.17. Pension and Other Benefit Plans 64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7.18. Collateral; Security Interest 64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7.19. Regulatory Approvals 64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7.20. Capitalization 67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7.21. Insurance 67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7.22. Certain Fees 67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7.23. Economic Sanctions Laws 67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7.24. Anti</w:t>
        <w:noBreakHyphen/>
        <w:t>Corruption Laws 67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7.25. Anti</w:t>
        <w:noBreakHyphen/>
        <w:t>Terrorism Laws 67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7.26. Royalty and Other Payments 68</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8 Affirmative Covenants and Financial Covenants 68</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8.01. Financial Statements and Other Information 68</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8.02. Notices of Material Events 71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8.03. Existence; Maintenance of Properties. 74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8.04. Payment of Obligations 75</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8.05. Insurance 75</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8.06. Books and Records; Inspection Rights 76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8.07. Compliance with Laws 76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8.08. Licenses 77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8.09. Action under Environmental Laws 77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8.10. Use of Proceeds 77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8.11. Certain Obligations Respecting Subsidiaries; Further Assurances 78</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8.12. Termination of Non</w:t>
        <w:noBreakHyphen/>
        <w:t>Permitted Liens 79</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8.13. Non-Consolidation 79</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8.14. Anti</w:t>
        <w:noBreakHyphen/>
        <w:t>Terrorism and Anti</w:t>
        <w:noBreakHyphen/>
        <w:t>Corruption Laws 79</w:t>
      </w:r>
    </w:p>
    <w:p>
      <w:pPr>
        <w:pStyle w:val="TextBody"/>
        <w:bidi w:val="0"/>
        <w:spacing w:before="0" w:after="0"/>
        <w:jc w:val="center"/>
        <w:rPr/>
      </w:pPr>
      <w:r>
        <w:rPr/>
        <w:noBreakHyphen/>
      </w:r>
      <w:r>
        <w:rPr>
          <w:rFonts w:ascii="Times New Roman;serif" w:hAnsi="Times New Roman;serif"/>
          <w:b w:val="false"/>
          <w:sz w:val="24"/>
        </w:rPr>
        <w:t>ii</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8.15. Financial Covenants 79</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8.16. Maintenance of Regulatory Approvals, Contracts and Intellectual Property. 80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8.17. Cash Management 80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8.18. Certain Post-Funding Obligations 81</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9 Negative Covenants 81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9.01. Indebtedness 81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9.02. Liens 83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9.03. Fundamental Changes and Acquisitions 84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9.04. Lines of Business 85</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9.05. Investments 85</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9.06. Restricted Payments 87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9.07. Payments of Indebtedness and Milestone Payments 87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9.08. Change in Fiscal Year 88</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9.09. Sales of Assets. 88</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9.10. Transactions with Affiliates 90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9.11. Restrictive Agreements 91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9.12. Organizational Documents, Material Agreements 91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9.13. [Reserved] 92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9.14. Sales and Leasebacks 92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9.15. Hazardous Material 92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9.16. Accounting Changes 92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9.17. Compliance with ERISA 92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9.18. Deposit Accounts 92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9.19. Outbound Licenses 92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9.20. Inbound Licenses 92</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10 Events of Default 93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10.01. Events of Default 93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10.02. Remedies 96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10.03. Prepayment Premium and Redemption Price 96</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11 Guarantee 97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11.01. The Guarantee 97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11.02. Obligations Unconditional 97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11.03. Reinstatement 99</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11.04. Subrogation 99</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11.05. Remedies 99</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11.06. Instrument for the Payment of Money 100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11.07. Continuing Guarantee 100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11.08. Rights of Contribution 100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11.09. General Limitation on Guarantee Obligations 101</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12 Administrative Agent 101</w:t>
      </w:r>
    </w:p>
    <w:p>
      <w:pPr>
        <w:pStyle w:val="TextBody"/>
        <w:bidi w:val="0"/>
        <w:spacing w:before="0" w:after="0"/>
        <w:jc w:val="center"/>
        <w:rPr/>
      </w:pPr>
      <w:r>
        <w:rPr/>
        <w:noBreakHyphen/>
      </w:r>
      <w:r>
        <w:rPr>
          <w:rFonts w:ascii="Times New Roman;serif" w:hAnsi="Times New Roman;serif"/>
          <w:b w:val="false"/>
          <w:sz w:val="24"/>
        </w:rPr>
        <w:t>iii</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12.01. Appointment 101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12.02. Rights as a Lender 101</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12.03. Exculpatory Provisions 102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12.04. Reliance by Administrative Agent 103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12.05. Delegation of Duties 103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12.06. Resignation of Agent 103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12.07. Non</w:t>
        <w:noBreakHyphen/>
        <w:t>Reliance on Administrative Agent and Other Lenders 104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12.08. Administrative Agent May File Proofs of Claim 104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12.09. Collateral and Guaranty Matters; Appointment of Collateral Agent 105</w:t>
      </w:r>
    </w:p>
    <w:p>
      <w:pPr>
        <w:pStyle w:val="TextBody"/>
        <w:bidi w:val="0"/>
        <w:spacing w:before="280" w:after="120"/>
        <w:jc w:val="left"/>
        <w:rPr>
          <w:rFonts w:ascii="Times New Roman;serif" w:hAnsi="Times New Roman;serif"/>
          <w:b w:val="false"/>
          <w:smallCaps/>
          <w:sz w:val="24"/>
        </w:rPr>
      </w:pPr>
      <w:r>
        <w:rPr>
          <w:rFonts w:ascii="Times New Roman;serif" w:hAnsi="Times New Roman;serif"/>
          <w:b w:val="false"/>
          <w:smallCaps/>
          <w:sz w:val="24"/>
        </w:rPr>
        <w:t>Article 13 Miscellaneous 106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13.01. No Waiver 106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13.02. Notices 106</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13.03. Expenses and Indemnification 107</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13.04. Amendments. 108</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13.05. Successors and Assigns 109</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13.06. Survival 112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13.07. Captions 112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13.08. Counterparts 112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13.09. Governing Law 112</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13.10. Jurisdiction, Service of Process and Venue 113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13.11. Waiver of Jury Trial 113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13.12. Waiver of Immunity 113</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13.13. Entire Agreement 114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13.14. Severability 114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13.15. No Fiduciary Relationship 114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13.16. USA Patriot Act 114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13.17. Treatment of Certain Information; Confidentiality 114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13.18. Releases of Guarantees and Liens 115</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Section 13.19. Acknowledgement and Consent to Bail</w:t>
        <w:noBreakHyphen/>
        <w:t>In of Affected Financial Institutions 116</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mallCaps/>
          <w:sz w:val="24"/>
        </w:rPr>
      </w:pPr>
      <w:r>
        <w:rPr>
          <w:rFonts w:ascii="Times New Roman;serif" w:hAnsi="Times New Roman;serif"/>
          <w:b w:val="false"/>
          <w:smallCaps/>
          <w:sz w:val="24"/>
        </w:rPr>
        <w:t>Schedules:</w:t>
      </w:r>
    </w:p>
    <w:p>
      <w:pPr>
        <w:pStyle w:val="TextBody"/>
        <w:bidi w:val="0"/>
        <w:spacing w:before="200" w:after="0"/>
        <w:jc w:val="left"/>
        <w:rPr>
          <w:rFonts w:ascii="Times New Roman" w:hAnsi="Times New Roman"/>
          <w:sz w:val="20"/>
        </w:rPr>
      </w:pPr>
      <w:r>
        <w:rPr>
          <w:rFonts w:ascii="Times New Roman;serif" w:hAnsi="Times New Roman;serif"/>
          <w:b w:val="false"/>
          <w:smallCaps/>
          <w:sz w:val="24"/>
        </w:rPr>
        <w:t xml:space="preserve">Schedule </w:t>
      </w:r>
      <w:r>
        <w:rPr>
          <w:rFonts w:ascii="Times New Roman;serif" w:hAnsi="Times New Roman;serif"/>
          <w:b w:val="false"/>
          <w:sz w:val="24"/>
        </w:rPr>
        <w:t>1 — Commitments and Warrant Shares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2 </w:t>
      </w:r>
      <w:r>
        <w:rPr>
          <w:rFonts w:ascii="Times New Roman" w:hAnsi="Times New Roman"/>
          <w:sz w:val="20"/>
        </w:rPr>
        <w:t>—</w:t>
      </w:r>
      <w:r>
        <w:rPr>
          <w:rFonts w:ascii="Times New Roman" w:hAnsi="Times New Roman"/>
          <w:smallCaps/>
          <w:sz w:val="20"/>
        </w:rPr>
        <w:t xml:space="preserve"> </w:t>
      </w:r>
      <w:r>
        <w:rPr>
          <w:rFonts w:ascii="Times New Roman;serif" w:hAnsi="Times New Roman;serif"/>
          <w:b w:val="false"/>
          <w:sz w:val="24"/>
        </w:rPr>
        <w:t>Notice Addresses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3 </w:t>
      </w:r>
      <w:r>
        <w:rPr>
          <w:rFonts w:ascii="Times New Roman" w:hAnsi="Times New Roman"/>
          <w:sz w:val="20"/>
        </w:rPr>
        <w:t>—</w:t>
      </w:r>
      <w:r>
        <w:rPr>
          <w:rFonts w:ascii="Times New Roman" w:hAnsi="Times New Roman"/>
          <w:smallCaps/>
          <w:sz w:val="20"/>
        </w:rPr>
        <w:t xml:space="preserve"> </w:t>
      </w:r>
      <w:r>
        <w:rPr>
          <w:rFonts w:ascii="Times New Roman;serif" w:hAnsi="Times New Roman;serif"/>
          <w:b w:val="false"/>
          <w:sz w:val="24"/>
        </w:rPr>
        <w:t>Products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7.05(</w:t>
      </w:r>
      <w:r>
        <w:rPr>
          <w:rFonts w:ascii="Times New Roman;serif" w:hAnsi="Times New Roman;serif"/>
          <w:b w:val="false"/>
          <w:sz w:val="24"/>
        </w:rPr>
        <w:t>b</w:t>
      </w:r>
      <w:r>
        <w:rPr>
          <w:rFonts w:ascii="Times New Roman;serif" w:hAnsi="Times New Roman;serif"/>
          <w:b w:val="false"/>
          <w:smallCaps/>
          <w:sz w:val="24"/>
        </w:rPr>
        <w:t>)</w:t>
      </w:r>
      <w:r>
        <w:rPr>
          <w:rFonts w:ascii="Times New Roman" w:hAnsi="Times New Roman"/>
          <w:sz w:val="20"/>
        </w:rPr>
        <w:t xml:space="preserve"> — </w:t>
      </w:r>
      <w:r>
        <w:rPr>
          <w:rFonts w:ascii="Times New Roman;serif" w:hAnsi="Times New Roman;serif"/>
          <w:b w:val="false"/>
          <w:sz w:val="24"/>
        </w:rPr>
        <w:t>Obligor Intellectual Property</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7.12</w:t>
      </w:r>
      <w:r>
        <w:rPr>
          <w:rFonts w:ascii="Times New Roman" w:hAnsi="Times New Roman"/>
          <w:sz w:val="20"/>
        </w:rPr>
        <w:t xml:space="preserve"> — </w:t>
      </w:r>
      <w:r>
        <w:rPr>
          <w:rFonts w:ascii="Times New Roman;serif" w:hAnsi="Times New Roman;serif"/>
          <w:b w:val="false"/>
          <w:sz w:val="24"/>
        </w:rPr>
        <w:t>Subsidiaries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7.13A</w:t>
      </w:r>
      <w:r>
        <w:rPr>
          <w:rFonts w:ascii="Times New Roman" w:hAnsi="Times New Roman"/>
          <w:sz w:val="20"/>
        </w:rPr>
        <w:t xml:space="preserve"> — </w:t>
      </w:r>
      <w:r>
        <w:rPr>
          <w:rFonts w:ascii="Times New Roman;serif" w:hAnsi="Times New Roman;serif"/>
          <w:b w:val="false"/>
          <w:sz w:val="24"/>
        </w:rPr>
        <w:t>Existing Indebtedness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7.13B</w:t>
      </w:r>
      <w:r>
        <w:rPr>
          <w:rFonts w:ascii="Times New Roman" w:hAnsi="Times New Roman"/>
          <w:sz w:val="20"/>
        </w:rPr>
        <w:t xml:space="preserve"> — </w:t>
      </w:r>
      <w:r>
        <w:rPr>
          <w:rFonts w:ascii="Times New Roman;serif" w:hAnsi="Times New Roman;serif"/>
          <w:b w:val="false"/>
          <w:sz w:val="24"/>
        </w:rPr>
        <w:t>Existing Liens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7.14 </w:t>
      </w:r>
      <w:r>
        <w:rPr>
          <w:rFonts w:ascii="Times New Roman" w:hAnsi="Times New Roman"/>
          <w:sz w:val="20"/>
        </w:rPr>
        <w:t xml:space="preserve">— </w:t>
      </w:r>
      <w:r>
        <w:rPr>
          <w:rFonts w:ascii="Times New Roman;serif" w:hAnsi="Times New Roman;serif"/>
          <w:b w:val="false"/>
          <w:sz w:val="24"/>
        </w:rPr>
        <w:t>Material Agreements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7.15 </w:t>
      </w:r>
      <w:r>
        <w:rPr>
          <w:rFonts w:ascii="Times New Roman" w:hAnsi="Times New Roman"/>
          <w:sz w:val="20"/>
        </w:rPr>
        <w:t xml:space="preserve">— </w:t>
      </w:r>
      <w:r>
        <w:rPr>
          <w:rFonts w:ascii="Times New Roman;serif" w:hAnsi="Times New Roman;serif"/>
          <w:b w:val="false"/>
          <w:sz w:val="24"/>
        </w:rPr>
        <w:t>Restrictive Agreements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7.16 </w:t>
      </w:r>
      <w:r>
        <w:rPr>
          <w:rFonts w:ascii="Times New Roman" w:hAnsi="Times New Roman"/>
          <w:sz w:val="20"/>
        </w:rPr>
        <w:t xml:space="preserve">— </w:t>
      </w:r>
      <w:r>
        <w:rPr>
          <w:rFonts w:ascii="Times New Roman;serif" w:hAnsi="Times New Roman;serif"/>
          <w:b w:val="false"/>
          <w:sz w:val="24"/>
        </w:rPr>
        <w:t>Real Property</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7.17 </w:t>
      </w:r>
      <w:r>
        <w:rPr>
          <w:rFonts w:ascii="Times New Roman" w:hAnsi="Times New Roman"/>
          <w:sz w:val="20"/>
        </w:rPr>
        <w:t xml:space="preserve">— </w:t>
      </w:r>
      <w:r>
        <w:rPr>
          <w:rFonts w:ascii="Times New Roman;serif" w:hAnsi="Times New Roman;serif"/>
          <w:b w:val="false"/>
          <w:sz w:val="24"/>
        </w:rPr>
        <w:t>Pension Matters</w:t>
      </w:r>
    </w:p>
    <w:p>
      <w:pPr>
        <w:pStyle w:val="TextBody"/>
        <w:bidi w:val="0"/>
        <w:spacing w:before="0" w:after="0"/>
        <w:jc w:val="center"/>
        <w:rPr/>
      </w:pPr>
      <w:r>
        <w:rPr/>
        <w:noBreakHyphen/>
      </w:r>
      <w:r>
        <w:rPr>
          <w:rFonts w:ascii="Times New Roman;serif" w:hAnsi="Times New Roman;serif"/>
          <w:b w:val="false"/>
          <w:sz w:val="24"/>
        </w:rPr>
        <w:t>iv</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7.19(</w:t>
      </w:r>
      <w:r>
        <w:rPr>
          <w:rFonts w:ascii="Times New Roman;serif" w:hAnsi="Times New Roman;serif"/>
          <w:b w:val="false"/>
          <w:sz w:val="24"/>
        </w:rPr>
        <w:t>a</w:t>
      </w:r>
      <w:r>
        <w:rPr>
          <w:rFonts w:ascii="Times New Roman;serif" w:hAnsi="Times New Roman;serif"/>
          <w:b w:val="false"/>
          <w:smallCaps/>
          <w:sz w:val="24"/>
        </w:rPr>
        <w:t>)</w:t>
      </w:r>
      <w:r>
        <w:rPr>
          <w:rFonts w:ascii="Times New Roman" w:hAnsi="Times New Roman"/>
          <w:sz w:val="20"/>
        </w:rPr>
        <w:t xml:space="preserve"> — </w:t>
      </w:r>
      <w:r>
        <w:rPr>
          <w:rFonts w:ascii="Times New Roman;serif" w:hAnsi="Times New Roman;serif"/>
          <w:b w:val="false"/>
          <w:sz w:val="24"/>
        </w:rPr>
        <w:t>Required Regulatory Approvals and Permits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7.19(</w:t>
      </w:r>
      <w:r>
        <w:rPr>
          <w:rFonts w:ascii="Times New Roman;serif" w:hAnsi="Times New Roman;serif"/>
          <w:b w:val="false"/>
          <w:sz w:val="24"/>
        </w:rPr>
        <w:t>b</w:t>
      </w:r>
      <w:r>
        <w:rPr>
          <w:rFonts w:ascii="Times New Roman;serif" w:hAnsi="Times New Roman;serif"/>
          <w:b w:val="false"/>
          <w:smallCaps/>
          <w:sz w:val="24"/>
        </w:rPr>
        <w:t>)</w:t>
      </w:r>
      <w:r>
        <w:rPr>
          <w:rFonts w:ascii="Times New Roman" w:hAnsi="Times New Roman"/>
          <w:sz w:val="20"/>
        </w:rPr>
        <w:t xml:space="preserve"> — </w:t>
      </w:r>
      <w:r>
        <w:rPr>
          <w:rFonts w:ascii="Times New Roman;serif" w:hAnsi="Times New Roman;serif"/>
          <w:b w:val="false"/>
          <w:sz w:val="24"/>
        </w:rPr>
        <w:t>Regulatory Approvals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7.19(</w:t>
      </w:r>
      <w:r>
        <w:rPr>
          <w:rFonts w:ascii="Times New Roman;serif" w:hAnsi="Times New Roman;serif"/>
          <w:b w:val="false"/>
          <w:sz w:val="24"/>
        </w:rPr>
        <w:t>e</w:t>
      </w:r>
      <w:r>
        <w:rPr>
          <w:rFonts w:ascii="Times New Roman;serif" w:hAnsi="Times New Roman;serif"/>
          <w:b w:val="false"/>
          <w:smallCaps/>
          <w:sz w:val="24"/>
        </w:rPr>
        <w:t>)</w:t>
      </w:r>
      <w:r>
        <w:rPr>
          <w:rFonts w:ascii="Times New Roman" w:hAnsi="Times New Roman"/>
          <w:sz w:val="20"/>
        </w:rPr>
        <w:t xml:space="preserve"> — </w:t>
      </w:r>
      <w:r>
        <w:rPr>
          <w:rFonts w:ascii="Times New Roman;serif" w:hAnsi="Times New Roman;serif"/>
          <w:b w:val="false"/>
          <w:sz w:val="24"/>
        </w:rPr>
        <w:t>Regulatory Authority Notices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7.20 </w:t>
      </w:r>
      <w:r>
        <w:rPr>
          <w:rFonts w:ascii="Times New Roman" w:hAnsi="Times New Roman"/>
          <w:sz w:val="20"/>
        </w:rPr>
        <w:t xml:space="preserve">— </w:t>
      </w:r>
      <w:r>
        <w:rPr>
          <w:rFonts w:ascii="Times New Roman;serif" w:hAnsi="Times New Roman;serif"/>
          <w:b w:val="false"/>
          <w:sz w:val="24"/>
        </w:rPr>
        <w:t>Capitalization</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7.22 </w:t>
      </w:r>
      <w:r>
        <w:rPr>
          <w:rFonts w:ascii="Times New Roman" w:hAnsi="Times New Roman"/>
          <w:sz w:val="20"/>
        </w:rPr>
        <w:t xml:space="preserve">— </w:t>
      </w:r>
      <w:r>
        <w:rPr>
          <w:rFonts w:ascii="Times New Roman;serif" w:hAnsi="Times New Roman;serif"/>
          <w:b w:val="false"/>
          <w:sz w:val="24"/>
        </w:rPr>
        <w:t>Broker’s Fee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7.26 </w:t>
      </w:r>
      <w:r>
        <w:rPr>
          <w:rFonts w:ascii="Times New Roman" w:hAnsi="Times New Roman"/>
          <w:sz w:val="20"/>
        </w:rPr>
        <w:t xml:space="preserve">— </w:t>
      </w:r>
      <w:r>
        <w:rPr>
          <w:rFonts w:ascii="Times New Roman;serif" w:hAnsi="Times New Roman;serif"/>
          <w:b w:val="false"/>
          <w:sz w:val="24"/>
        </w:rPr>
        <w:t>Royalty and Other Payments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8.18 </w:t>
      </w:r>
      <w:r>
        <w:rPr>
          <w:rFonts w:ascii="Times New Roman" w:hAnsi="Times New Roman"/>
          <w:sz w:val="20"/>
        </w:rPr>
        <w:t xml:space="preserve">— </w:t>
      </w:r>
      <w:r>
        <w:rPr>
          <w:rFonts w:ascii="Times New Roman;serif" w:hAnsi="Times New Roman;serif"/>
          <w:b w:val="false"/>
          <w:sz w:val="24"/>
        </w:rPr>
        <w:t>Post-Funding Obligations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9.05 </w:t>
      </w:r>
      <w:r>
        <w:rPr>
          <w:rFonts w:ascii="Times New Roman" w:hAnsi="Times New Roman"/>
          <w:sz w:val="20"/>
        </w:rPr>
        <w:t xml:space="preserve">— </w:t>
      </w:r>
      <w:r>
        <w:rPr>
          <w:rFonts w:ascii="Times New Roman;serif" w:hAnsi="Times New Roman;serif"/>
          <w:b w:val="false"/>
          <w:sz w:val="24"/>
        </w:rPr>
        <w:t>Existing Investments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9.10 </w:t>
      </w:r>
      <w:r>
        <w:rPr>
          <w:rFonts w:ascii="Times New Roman" w:hAnsi="Times New Roman"/>
          <w:sz w:val="20"/>
        </w:rPr>
        <w:t xml:space="preserve">— </w:t>
      </w:r>
      <w:r>
        <w:rPr>
          <w:rFonts w:ascii="Times New Roman;serif" w:hAnsi="Times New Roman;serif"/>
          <w:b w:val="false"/>
          <w:sz w:val="24"/>
        </w:rPr>
        <w:t>Transactions with Affiliates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mallCaps/>
          <w:sz w:val="24"/>
        </w:rPr>
      </w:pPr>
      <w:r>
        <w:rPr>
          <w:rFonts w:ascii="Times New Roman;serif" w:hAnsi="Times New Roman;serif"/>
          <w:b w:val="false"/>
          <w:smallCaps/>
          <w:sz w:val="24"/>
        </w:rPr>
        <w:t>Exhibits:</w:t>
      </w:r>
    </w:p>
    <w:p>
      <w:pPr>
        <w:pStyle w:val="TextBody"/>
        <w:bidi w:val="0"/>
        <w:spacing w:before="200" w:after="0"/>
        <w:jc w:val="left"/>
        <w:rPr>
          <w:rFonts w:ascii="Times New Roman" w:hAnsi="Times New Roman"/>
          <w:sz w:val="20"/>
        </w:rPr>
      </w:pPr>
      <w:r>
        <w:rPr>
          <w:rFonts w:ascii="Times New Roman;serif" w:hAnsi="Times New Roman;serif"/>
          <w:b w:val="false"/>
          <w:smallCaps/>
          <w:sz w:val="24"/>
        </w:rPr>
        <w:t>Exhibit A</w:t>
      </w:r>
      <w:r>
        <w:rPr>
          <w:rFonts w:ascii="Times New Roman" w:hAnsi="Times New Roman"/>
          <w:sz w:val="20"/>
        </w:rPr>
        <w:t xml:space="preserve"> — </w:t>
      </w:r>
      <w:r>
        <w:rPr>
          <w:rFonts w:ascii="Times New Roman;serif" w:hAnsi="Times New Roman;serif"/>
          <w:b w:val="false"/>
          <w:sz w:val="24"/>
        </w:rPr>
        <w:t>Form of Guarantee Assumption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B</w:t>
      </w:r>
      <w:r>
        <w:rPr>
          <w:rFonts w:ascii="Times New Roman" w:hAnsi="Times New Roman"/>
          <w:sz w:val="20"/>
        </w:rPr>
        <w:t xml:space="preserve"> — </w:t>
      </w:r>
      <w:r>
        <w:rPr>
          <w:rFonts w:ascii="Times New Roman;serif" w:hAnsi="Times New Roman;serif"/>
          <w:b w:val="false"/>
          <w:sz w:val="24"/>
        </w:rPr>
        <w:t>Form of Borrowing Notice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C</w:t>
      </w:r>
      <w:r>
        <w:rPr>
          <w:rFonts w:ascii="Times New Roman" w:hAnsi="Times New Roman"/>
          <w:sz w:val="20"/>
        </w:rPr>
        <w:t xml:space="preserve"> — </w:t>
      </w:r>
      <w:r>
        <w:rPr>
          <w:rFonts w:ascii="Times New Roman;serif" w:hAnsi="Times New Roman;serif"/>
          <w:b w:val="false"/>
          <w:sz w:val="24"/>
        </w:rPr>
        <w:t>Form of Note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D</w:t>
      </w:r>
      <w:r>
        <w:rPr>
          <w:rFonts w:ascii="Times New Roman" w:hAnsi="Times New Roman"/>
          <w:sz w:val="20"/>
        </w:rPr>
        <w:t xml:space="preserve"> — </w:t>
      </w:r>
      <w:r>
        <w:rPr>
          <w:rFonts w:ascii="Times New Roman;serif" w:hAnsi="Times New Roman;serif"/>
          <w:b w:val="false"/>
          <w:sz w:val="24"/>
        </w:rPr>
        <w:t>Form of U.S. Tax Compliance Certificate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E</w:t>
      </w:r>
      <w:r>
        <w:rPr>
          <w:rFonts w:ascii="Times New Roman" w:hAnsi="Times New Roman"/>
          <w:sz w:val="20"/>
        </w:rPr>
        <w:t xml:space="preserve"> — </w:t>
      </w:r>
      <w:r>
        <w:rPr>
          <w:rFonts w:ascii="Times New Roman;serif" w:hAnsi="Times New Roman;serif"/>
          <w:b w:val="false"/>
          <w:sz w:val="24"/>
        </w:rPr>
        <w:t>Form of Compliance Certificate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F</w:t>
      </w:r>
      <w:r>
        <w:rPr>
          <w:rFonts w:ascii="Times New Roman" w:hAnsi="Times New Roman"/>
          <w:sz w:val="20"/>
        </w:rPr>
        <w:t xml:space="preserve"> — </w:t>
      </w:r>
      <w:r>
        <w:rPr>
          <w:rFonts w:ascii="Times New Roman;serif" w:hAnsi="Times New Roman;serif"/>
          <w:b w:val="false"/>
          <w:sz w:val="24"/>
        </w:rPr>
        <w:t>Form of Assignment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G</w:t>
      </w:r>
      <w:r>
        <w:rPr>
          <w:rFonts w:ascii="Times New Roman" w:hAnsi="Times New Roman"/>
          <w:sz w:val="20"/>
        </w:rPr>
        <w:t xml:space="preserve"> — </w:t>
      </w:r>
      <w:r>
        <w:rPr>
          <w:rFonts w:ascii="Times New Roman;serif" w:hAnsi="Times New Roman;serif"/>
          <w:b w:val="false"/>
          <w:sz w:val="24"/>
        </w:rPr>
        <w:t>Form of Security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H-1</w:t>
      </w:r>
      <w:r>
        <w:rPr>
          <w:rFonts w:ascii="Times New Roman" w:hAnsi="Times New Roman"/>
          <w:sz w:val="20"/>
        </w:rPr>
        <w:t xml:space="preserve"> — </w:t>
      </w:r>
      <w:r>
        <w:rPr>
          <w:rFonts w:ascii="Times New Roman;serif" w:hAnsi="Times New Roman;serif"/>
          <w:b w:val="false"/>
          <w:sz w:val="24"/>
        </w:rPr>
        <w:t>Form of Patent &amp; Trademark Security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H-2</w:t>
      </w:r>
      <w:r>
        <w:rPr>
          <w:rFonts w:ascii="Times New Roman" w:hAnsi="Times New Roman"/>
          <w:sz w:val="20"/>
        </w:rPr>
        <w:t xml:space="preserve"> — </w:t>
      </w:r>
      <w:r>
        <w:rPr>
          <w:rFonts w:ascii="Times New Roman;serif" w:hAnsi="Times New Roman;serif"/>
          <w:b w:val="false"/>
          <w:sz w:val="24"/>
        </w:rPr>
        <w:t>Form of Copyright Security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I</w:t>
      </w:r>
      <w:r>
        <w:rPr>
          <w:rFonts w:ascii="Times New Roman" w:hAnsi="Times New Roman"/>
          <w:sz w:val="20"/>
        </w:rPr>
        <w:t xml:space="preserve"> — </w:t>
      </w:r>
      <w:r>
        <w:rPr>
          <w:rFonts w:ascii="Times New Roman;serif" w:hAnsi="Times New Roman;serif"/>
          <w:b w:val="false"/>
          <w:sz w:val="24"/>
        </w:rPr>
        <w:t>Form of Collateral Questionnaire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J</w:t>
      </w:r>
      <w:r>
        <w:rPr>
          <w:rFonts w:ascii="Times New Roman" w:hAnsi="Times New Roman"/>
          <w:sz w:val="20"/>
        </w:rPr>
        <w:t xml:space="preserve"> — </w:t>
      </w:r>
      <w:r>
        <w:rPr>
          <w:rFonts w:ascii="Times New Roman;serif" w:hAnsi="Times New Roman;serif"/>
          <w:b w:val="false"/>
          <w:sz w:val="24"/>
        </w:rPr>
        <w:t xml:space="preserve">Form of Warrant Certificate </w:t>
      </w:r>
      <w:r>
        <w:rPr>
          <w:rFonts w:ascii="Times New Roman;serif" w:hAnsi="Times New Roman;serif"/>
          <w:b w:val="false"/>
          <w:sz w:val="24"/>
          <w:u w:val="single"/>
        </w:rPr>
        <w:t>(Funding Date)</w:t>
      </w:r>
    </w:p>
    <w:p>
      <w:pPr>
        <w:pStyle w:val="TextBody"/>
        <w:bidi w:val="0"/>
        <w:spacing w:before="0" w:after="0"/>
        <w:jc w:val="center"/>
        <w:rPr/>
      </w:pPr>
      <w:r>
        <w:rPr/>
        <w:noBreakHyphen/>
      </w:r>
      <w:r>
        <w:rPr>
          <w:rFonts w:ascii="Times New Roman;serif" w:hAnsi="Times New Roman;serif"/>
          <w:b w:val="false"/>
          <w:sz w:val="24"/>
        </w:rPr>
        <w:t>v</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mallCaps/>
          <w:sz w:val="24"/>
        </w:rPr>
        <w:t>Credit Agreement And Guaranty,</w:t>
      </w:r>
      <w:r>
        <w:rPr>
          <w:rFonts w:ascii="Times New Roman" w:hAnsi="Times New Roman"/>
          <w:sz w:val="20"/>
        </w:rPr>
        <w:t xml:space="preserve"> </w:t>
      </w:r>
      <w:r>
        <w:rPr>
          <w:rFonts w:ascii="Times New Roman;serif" w:hAnsi="Times New Roman;serif"/>
          <w:b w:val="false"/>
          <w:sz w:val="24"/>
        </w:rPr>
        <w:t xml:space="preserve">dated as of November 16, 2022 (this </w:t>
      </w:r>
      <w:r>
        <w:rPr>
          <w:rFonts w:ascii="Times New Roman" w:hAnsi="Times New Roman"/>
          <w:sz w:val="20"/>
        </w:rPr>
        <w:t>“</w:t>
      </w:r>
      <w:r>
        <w:rPr>
          <w:rFonts w:ascii="Times New Roman;serif" w:hAnsi="Times New Roman;serif"/>
          <w:b w:val="false"/>
          <w:i/>
          <w:sz w:val="24"/>
        </w:rPr>
        <w:t>Agreement”</w:t>
      </w:r>
      <w:r>
        <w:rPr>
          <w:rFonts w:ascii="Times New Roman;serif" w:hAnsi="Times New Roman;serif"/>
          <w:b w:val="false"/>
          <w:sz w:val="24"/>
        </w:rPr>
        <w:t xml:space="preserve">), among </w:t>
      </w:r>
      <w:r>
        <w:rPr>
          <w:rFonts w:ascii="Times New Roman;serif" w:hAnsi="Times New Roman;serif"/>
          <w:b w:val="false"/>
          <w:smallCaps/>
          <w:sz w:val="24"/>
        </w:rPr>
        <w:t xml:space="preserve">Biodesix, Inc., </w:t>
      </w:r>
      <w:r>
        <w:rPr>
          <w:rFonts w:ascii="Times New Roman;serif" w:hAnsi="Times New Roman;serif"/>
          <w:b w:val="false"/>
          <w:sz w:val="24"/>
        </w:rPr>
        <w:t xml:space="preserve">a Delaware corporation (the </w:t>
      </w:r>
      <w:r>
        <w:rPr>
          <w:rFonts w:ascii="Times New Roman" w:hAnsi="Times New Roman"/>
          <w:sz w:val="20"/>
        </w:rPr>
        <w:t>“</w:t>
      </w:r>
      <w:r>
        <w:rPr>
          <w:rFonts w:ascii="Times New Roman;serif" w:hAnsi="Times New Roman;serif"/>
          <w:b w:val="false"/>
          <w:i/>
          <w:sz w:val="24"/>
        </w:rPr>
        <w:t>Borrower”</w:t>
      </w:r>
      <w:r>
        <w:rPr>
          <w:rFonts w:ascii="Times New Roman;serif" w:hAnsi="Times New Roman;serif"/>
          <w:b w:val="false"/>
          <w:sz w:val="24"/>
        </w:rPr>
        <w:t xml:space="preserve">), certain Guarantors from time to time parties hereto, the lenders from time to time party hereto (each, as a “Lender” and collectively, the “Lenders”) and </w:t>
      </w:r>
      <w:r>
        <w:rPr>
          <w:rFonts w:ascii="Times New Roman;serif" w:hAnsi="Times New Roman;serif"/>
          <w:b w:val="false"/>
          <w:smallCaps/>
          <w:sz w:val="24"/>
        </w:rPr>
        <w:t>Perceptive Credit Holdings IV, LP,</w:t>
      </w:r>
      <w:r>
        <w:rPr>
          <w:rFonts w:ascii="Times New Roman" w:hAnsi="Times New Roman"/>
          <w:sz w:val="20"/>
        </w:rPr>
        <w:t xml:space="preserve"> </w:t>
      </w:r>
      <w:r>
        <w:rPr>
          <w:rFonts w:ascii="Times New Roman;serif" w:hAnsi="Times New Roman;serif"/>
          <w:b w:val="false"/>
          <w:sz w:val="24"/>
        </w:rPr>
        <w:t>a Delaware limited partnership (</w:t>
      </w:r>
      <w:r>
        <w:rPr>
          <w:rFonts w:ascii="Times New Roman" w:hAnsi="Times New Roman"/>
          <w:sz w:val="20"/>
        </w:rPr>
        <w:t>“</w:t>
      </w:r>
      <w:r>
        <w:rPr>
          <w:rFonts w:ascii="Times New Roman;serif" w:hAnsi="Times New Roman;serif"/>
          <w:b w:val="false"/>
          <w:i/>
          <w:sz w:val="24"/>
        </w:rPr>
        <w:t>Perceptive”</w:t>
      </w:r>
      <w:r>
        <w:rPr>
          <w:rFonts w:ascii="Times New Roman;serif" w:hAnsi="Times New Roman;serif"/>
          <w:b w:val="false"/>
          <w:sz w:val="24"/>
        </w:rPr>
        <w:t xml:space="preserve">), as administrative agent for the Lenders (in such capacity, together with its successors and assigns, the </w:t>
      </w:r>
      <w:r>
        <w:rPr>
          <w:rFonts w:ascii="Times New Roman" w:hAnsi="Times New Roman"/>
          <w:sz w:val="20"/>
        </w:rPr>
        <w:t>“</w:t>
      </w:r>
      <w:r>
        <w:rPr>
          <w:rFonts w:ascii="Times New Roman;serif" w:hAnsi="Times New Roman;serif"/>
          <w:b w:val="false"/>
          <w:i/>
          <w:sz w:val="24"/>
        </w:rPr>
        <w:t>Administrative Agent”</w:t>
      </w:r>
      <w:r>
        <w:rPr>
          <w:rFonts w:ascii="Times New Roman;serif" w:hAnsi="Times New Roman;serif"/>
          <w:b w:val="false"/>
          <w:sz w:val="24"/>
        </w:rPr>
        <w:t>).</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Witnesseth:</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Borrower has requested the Lenders to make term loans to the Borrower, and the Lenders are prepared to make such loans on and subject to the terms and conditions hereof. Accordingly, the parties agree as follows:</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I </w:t>
        <w:br/>
        <w:br/>
        <w:t>Definitions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1.01. Certain Defined Terms</w:t>
      </w:r>
      <w:r>
        <w:rPr>
          <w:rFonts w:ascii="Times New Roman;serif" w:hAnsi="Times New Roman;serif"/>
          <w:b w:val="false"/>
          <w:sz w:val="24"/>
        </w:rPr>
        <w:t>. As used herein, the following terms have the following respective meanings:</w:t>
      </w:r>
    </w:p>
    <w:p>
      <w:pPr>
        <w:pStyle w:val="TextBody"/>
        <w:bidi w:val="0"/>
        <w:spacing w:before="280" w:after="0"/>
        <w:jc w:val="both"/>
        <w:rPr/>
      </w:pPr>
      <w:r>
        <w:rPr/>
        <w:t>“</w:t>
      </w:r>
      <w:r>
        <w:rPr>
          <w:rFonts w:ascii="Times New Roman;serif" w:hAnsi="Times New Roman;serif"/>
          <w:b w:val="false"/>
          <w:i/>
          <w:sz w:val="24"/>
        </w:rPr>
        <w:t>Accounting Change”</w:t>
      </w:r>
      <w:r>
        <w:rPr>
          <w:rFonts w:ascii="Times New Roman" w:hAnsi="Times New Roman"/>
          <w:sz w:val="20"/>
        </w:rPr>
        <w:t xml:space="preserve"> </w:t>
      </w:r>
      <w:r>
        <w:rPr>
          <w:rFonts w:ascii="Times New Roman;serif" w:hAnsi="Times New Roman;serif"/>
          <w:b w:val="false"/>
          <w:sz w:val="24"/>
        </w:rPr>
        <w:t>has the meaning set forth in Section 1.02.</w:t>
      </w:r>
    </w:p>
    <w:p>
      <w:pPr>
        <w:pStyle w:val="TextBody"/>
        <w:bidi w:val="0"/>
        <w:spacing w:before="280" w:after="0"/>
        <w:jc w:val="both"/>
        <w:rPr/>
      </w:pPr>
      <w:r>
        <w:rPr/>
        <w:t>“</w:t>
      </w:r>
      <w:r>
        <w:rPr>
          <w:rFonts w:ascii="Times New Roman;serif" w:hAnsi="Times New Roman;serif"/>
          <w:b w:val="false"/>
          <w:i/>
          <w:sz w:val="24"/>
        </w:rPr>
        <w:t>Accounting Change Notice”</w:t>
      </w:r>
      <w:r>
        <w:rPr>
          <w:rFonts w:ascii="Times New Roman" w:hAnsi="Times New Roman"/>
          <w:sz w:val="20"/>
        </w:rPr>
        <w:t xml:space="preserve"> </w:t>
      </w:r>
      <w:r>
        <w:rPr>
          <w:rFonts w:ascii="Times New Roman;serif" w:hAnsi="Times New Roman;serif"/>
          <w:b w:val="false"/>
          <w:sz w:val="24"/>
        </w:rPr>
        <w:t>has the meaning set forth in Section 1.02.</w:t>
      </w:r>
    </w:p>
    <w:p>
      <w:pPr>
        <w:pStyle w:val="TextBody"/>
        <w:bidi w:val="0"/>
        <w:spacing w:before="280" w:after="0"/>
        <w:jc w:val="both"/>
        <w:rPr/>
      </w:pPr>
      <w:r>
        <w:rPr/>
        <w:t>“</w:t>
      </w:r>
      <w:r>
        <w:rPr>
          <w:rFonts w:ascii="Times New Roman;serif" w:hAnsi="Times New Roman;serif"/>
          <w:b w:val="false"/>
          <w:i/>
          <w:sz w:val="24"/>
        </w:rPr>
        <w:t>Acquisition”</w:t>
      </w:r>
      <w:r>
        <w:rPr>
          <w:rFonts w:ascii="Times New Roman" w:hAnsi="Times New Roman"/>
          <w:sz w:val="20"/>
        </w:rPr>
        <w:t xml:space="preserve"> </w:t>
      </w:r>
      <w:r>
        <w:rPr>
          <w:rFonts w:ascii="Times New Roman;serif" w:hAnsi="Times New Roman;serif"/>
          <w:b w:val="false"/>
          <w:sz w:val="24"/>
        </w:rPr>
        <w:t>means any transaction, or any series of related transactions, by which any Person directly or indirectly, by means of an amalgamation, plan of arrangement, merger, purchase of Equity Interests or other assets, or similar transaction having the same effect as any of the foregoing, (a) acquires all or substantially all of the assets of any other Person, (b) acquires any business or all or substantially all of a business line or unit or division of any other Person, (c) acquires Control of Equity Interests of another Person representing more than fifty (50)% of the ordinary voting power for the election of directors or other governing body if the business affairs of such Person are managed by a Board or other governing body, determined on a fully diluted basis, as if converted or exercised basis, or (d) acquires Control of more than fifty (50)% of the Equity Interests in any Person engaged in any business that is not managed by a Board or other governing body, determined on a fully diluted, as if converted or exercised basis.</w:t>
      </w:r>
    </w:p>
    <w:p>
      <w:pPr>
        <w:pStyle w:val="TextBody"/>
        <w:bidi w:val="0"/>
        <w:spacing w:before="280" w:after="0"/>
        <w:jc w:val="both"/>
        <w:rPr/>
      </w:pPr>
      <w:r>
        <w:rPr/>
        <w:t>“</w:t>
      </w:r>
      <w:r>
        <w:rPr>
          <w:rFonts w:ascii="Times New Roman;serif" w:hAnsi="Times New Roman;serif"/>
          <w:b w:val="false"/>
          <w:i/>
          <w:sz w:val="24"/>
        </w:rPr>
        <w:t>Administrative Agent”</w:t>
      </w:r>
      <w:r>
        <w:rPr>
          <w:rFonts w:ascii="Times New Roman" w:hAnsi="Times New Roman"/>
          <w:sz w:val="20"/>
        </w:rPr>
        <w:t xml:space="preserve"> </w:t>
      </w:r>
      <w:r>
        <w:rPr>
          <w:rFonts w:ascii="Times New Roman;serif" w:hAnsi="Times New Roman;serif"/>
          <w:b w:val="false"/>
          <w:sz w:val="24"/>
        </w:rPr>
        <w:t>has the meaning set forth in the introduction hereto.</w:t>
      </w:r>
    </w:p>
    <w:p>
      <w:pPr>
        <w:pStyle w:val="TextBody"/>
        <w:bidi w:val="0"/>
        <w:spacing w:before="280" w:after="0"/>
        <w:jc w:val="both"/>
        <w:rPr/>
      </w:pPr>
      <w:r>
        <w:rPr/>
        <w:t>“</w:t>
      </w:r>
      <w:r>
        <w:rPr>
          <w:rFonts w:ascii="Times New Roman;serif" w:hAnsi="Times New Roman;serif"/>
          <w:b w:val="false"/>
          <w:i/>
          <w:sz w:val="24"/>
        </w:rPr>
        <w:t>Affected Financial Institution</w:t>
      </w:r>
      <w:r>
        <w:rPr>
          <w:rFonts w:ascii="Times New Roman" w:hAnsi="Times New Roman"/>
          <w:sz w:val="20"/>
        </w:rPr>
        <w:t xml:space="preserve">” </w:t>
      </w:r>
      <w:r>
        <w:rPr>
          <w:rFonts w:ascii="Times New Roman;serif" w:hAnsi="Times New Roman;serif"/>
          <w:b w:val="false"/>
          <w:sz w:val="24"/>
        </w:rPr>
        <w:t>means (a) any EEA Financial Institution or (b) any UK Financial Institution.</w:t>
      </w:r>
    </w:p>
    <w:p>
      <w:pPr>
        <w:pStyle w:val="TextBody"/>
        <w:bidi w:val="0"/>
        <w:spacing w:before="28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Affiliate”</w:t>
      </w:r>
      <w:r>
        <w:rPr>
          <w:rFonts w:ascii="Times New Roman" w:hAnsi="Times New Roman"/>
          <w:sz w:val="20"/>
        </w:rPr>
        <w:t xml:space="preserve"> </w:t>
      </w:r>
      <w:r>
        <w:rPr>
          <w:rFonts w:ascii="Times New Roman;serif" w:hAnsi="Times New Roman;serif"/>
          <w:b w:val="false"/>
          <w:sz w:val="24"/>
        </w:rPr>
        <w:t>means, with respect to a specified Person, another Person that directly, or indirectly through one or more intermediaries, Controls or is Controlled by or is under common Control with the Person specified.</w:t>
      </w:r>
    </w:p>
    <w:p>
      <w:pPr>
        <w:pStyle w:val="TextBody"/>
        <w:bidi w:val="0"/>
        <w:spacing w:before="280" w:after="0"/>
        <w:jc w:val="both"/>
        <w:rPr/>
      </w:pPr>
      <w:r>
        <w:rPr/>
        <w:t>“</w:t>
      </w:r>
      <w:r>
        <w:rPr>
          <w:rFonts w:ascii="Times New Roman;serif" w:hAnsi="Times New Roman;serif"/>
          <w:b w:val="false"/>
          <w:i/>
          <w:sz w:val="24"/>
        </w:rPr>
        <w:t>Agreement”</w:t>
      </w:r>
      <w:r>
        <w:rPr>
          <w:rFonts w:ascii="Times New Roman" w:hAnsi="Times New Roman"/>
          <w:sz w:val="20"/>
        </w:rPr>
        <w:t xml:space="preserve"> </w:t>
      </w:r>
      <w:r>
        <w:rPr>
          <w:rFonts w:ascii="Times New Roman;serif" w:hAnsi="Times New Roman;serif"/>
          <w:b w:val="false"/>
          <w:sz w:val="24"/>
        </w:rPr>
        <w:t>has the meaning set forth in the introduction hereto.</w:t>
      </w:r>
    </w:p>
    <w:p>
      <w:pPr>
        <w:pStyle w:val="TextBody"/>
        <w:bidi w:val="0"/>
        <w:spacing w:before="280" w:after="0"/>
        <w:jc w:val="both"/>
        <w:rPr/>
      </w:pPr>
      <w:r>
        <w:rPr/>
        <w:t>“</w:t>
      </w:r>
      <w:r>
        <w:rPr>
          <w:rFonts w:ascii="Times New Roman;serif" w:hAnsi="Times New Roman;serif"/>
          <w:b w:val="false"/>
          <w:i/>
          <w:sz w:val="24"/>
        </w:rPr>
        <w:t>Anti</w:t>
        <w:noBreakHyphen/>
        <w:t>Corruption Laws”</w:t>
      </w:r>
      <w:r>
        <w:rPr>
          <w:rFonts w:ascii="Times New Roman" w:hAnsi="Times New Roman"/>
          <w:sz w:val="20"/>
        </w:rPr>
        <w:t xml:space="preserve"> </w:t>
      </w:r>
      <w:r>
        <w:rPr>
          <w:rFonts w:ascii="Times New Roman;serif" w:hAnsi="Times New Roman;serif"/>
          <w:b w:val="false"/>
          <w:sz w:val="24"/>
        </w:rPr>
        <w:t xml:space="preserve">means all laws, rules and regulations of any jurisdiction applicable to the Obligors and their Affiliates concerning or relating to bribery or corruption, including, without limitation, the </w:t>
      </w:r>
      <w:r>
        <w:rPr>
          <w:rFonts w:ascii="Times New Roman;serif" w:hAnsi="Times New Roman;serif"/>
          <w:b w:val="false"/>
          <w:i/>
          <w:sz w:val="24"/>
        </w:rPr>
        <w:t>U.S. Foreign Corrupt Practices Act of 1977</w:t>
      </w:r>
      <w:r>
        <w:rPr>
          <w:rFonts w:ascii="Times New Roman;serif" w:hAnsi="Times New Roman;serif"/>
          <w:b w:val="false"/>
          <w:sz w:val="24"/>
        </w:rPr>
        <w:t>, as amended (15 U.S.C. §§78dd-1 et seq.).</w:t>
      </w:r>
    </w:p>
    <w:p>
      <w:pPr>
        <w:pStyle w:val="TextBody"/>
        <w:bidi w:val="0"/>
        <w:spacing w:before="280" w:after="0"/>
        <w:jc w:val="both"/>
        <w:rPr/>
      </w:pPr>
      <w:r>
        <w:rPr/>
        <w:t>“</w:t>
      </w:r>
      <w:r>
        <w:rPr>
          <w:rFonts w:ascii="Times New Roman;serif" w:hAnsi="Times New Roman;serif"/>
          <w:b w:val="false"/>
          <w:i/>
          <w:sz w:val="24"/>
        </w:rPr>
        <w:t>Anti</w:t>
        <w:noBreakHyphen/>
        <w:t>Terrorism Laws”</w:t>
      </w:r>
      <w:r>
        <w:rPr>
          <w:rFonts w:ascii="Times New Roman" w:hAnsi="Times New Roman"/>
          <w:sz w:val="20"/>
        </w:rPr>
        <w:t xml:space="preserve"> </w:t>
      </w:r>
      <w:r>
        <w:rPr>
          <w:rFonts w:ascii="Times New Roman;serif" w:hAnsi="Times New Roman;serif"/>
          <w:b w:val="false"/>
          <w:sz w:val="24"/>
        </w:rPr>
        <w:t xml:space="preserve">means any laws or regulations relating to terrorist financing-related activities or money laundering, including, without limitation, the </w:t>
      </w:r>
      <w:r>
        <w:rPr>
          <w:rFonts w:ascii="Times New Roman;serif" w:hAnsi="Times New Roman;serif"/>
          <w:b w:val="false"/>
          <w:i/>
          <w:sz w:val="24"/>
        </w:rPr>
        <w:t>Bank Secrecy Act</w:t>
      </w:r>
      <w:r>
        <w:rPr>
          <w:rFonts w:ascii="Times New Roman" w:hAnsi="Times New Roman"/>
          <w:sz w:val="20"/>
        </w:rPr>
        <w:t xml:space="preserve"> </w:t>
      </w:r>
      <w:r>
        <w:rPr>
          <w:rFonts w:ascii="Times New Roman;serif" w:hAnsi="Times New Roman;serif"/>
          <w:b w:val="false"/>
          <w:sz w:val="24"/>
        </w:rPr>
        <w:t xml:space="preserve">(31 U.S.C. §§ 5311 </w:t>
      </w:r>
      <w:r>
        <w:rPr>
          <w:rFonts w:ascii="Times New Roman;serif" w:hAnsi="Times New Roman;serif"/>
          <w:b w:val="false"/>
          <w:i/>
          <w:sz w:val="24"/>
        </w:rPr>
        <w:t>et seq.</w:t>
      </w:r>
      <w:r>
        <w:rPr>
          <w:rFonts w:ascii="Times New Roman;serif" w:hAnsi="Times New Roman;serif"/>
          <w:b w:val="false"/>
          <w:sz w:val="24"/>
        </w:rPr>
        <w:t xml:space="preserve">), the </w:t>
      </w:r>
      <w:r>
        <w:rPr>
          <w:rFonts w:ascii="Times New Roman;serif" w:hAnsi="Times New Roman;serif"/>
          <w:b w:val="false"/>
          <w:i/>
          <w:sz w:val="24"/>
        </w:rPr>
        <w:t>Money Laundering Control Act of 1986</w:t>
      </w:r>
      <w:r>
        <w:rPr>
          <w:rFonts w:ascii="Times New Roman" w:hAnsi="Times New Roman"/>
          <w:sz w:val="20"/>
        </w:rPr>
        <w:t xml:space="preserve"> </w:t>
      </w:r>
      <w:r>
        <w:rPr>
          <w:rFonts w:ascii="Times New Roman;serif" w:hAnsi="Times New Roman;serif"/>
          <w:b w:val="false"/>
          <w:sz w:val="24"/>
        </w:rPr>
        <w:t xml:space="preserve">(18 U.S.C. §§ 1956 </w:t>
      </w:r>
      <w:r>
        <w:rPr>
          <w:rFonts w:ascii="Times New Roman;serif" w:hAnsi="Times New Roman;serif"/>
          <w:b w:val="false"/>
          <w:i/>
          <w:sz w:val="24"/>
        </w:rPr>
        <w:t>et seq.</w:t>
      </w:r>
      <w:r>
        <w:rPr>
          <w:rFonts w:ascii="Times New Roman;serif" w:hAnsi="Times New Roman;serif"/>
          <w:b w:val="false"/>
          <w:sz w:val="24"/>
        </w:rPr>
        <w:t>), the USA Patriot Act (Title III of Pub. L. 107-56) (the “</w:t>
      </w:r>
      <w:r>
        <w:rPr>
          <w:rFonts w:ascii="Times New Roman;serif" w:hAnsi="Times New Roman;serif"/>
          <w:b w:val="false"/>
          <w:i/>
          <w:sz w:val="24"/>
        </w:rPr>
        <w:t>Patriot Act</w:t>
      </w:r>
      <w:r>
        <w:rPr>
          <w:rFonts w:ascii="Times New Roman" w:hAnsi="Times New Roman"/>
          <w:sz w:val="20"/>
        </w:rPr>
        <w:t>”</w:t>
      </w:r>
      <w:r>
        <w:rPr>
          <w:rFonts w:ascii="Times New Roman;serif" w:hAnsi="Times New Roman;serif"/>
          <w:b w:val="false"/>
          <w:sz w:val="24"/>
        </w:rPr>
        <w:t>), and any similar law enacted in the United States after the date of this Agreement.</w:t>
      </w:r>
    </w:p>
    <w:p>
      <w:pPr>
        <w:pStyle w:val="TextBody"/>
        <w:bidi w:val="0"/>
        <w:spacing w:before="280" w:after="0"/>
        <w:jc w:val="both"/>
        <w:rPr/>
      </w:pPr>
      <w:r>
        <w:rPr/>
        <w:t>“</w:t>
      </w:r>
      <w:r>
        <w:rPr>
          <w:rFonts w:ascii="Times New Roman;serif" w:hAnsi="Times New Roman;serif"/>
          <w:b w:val="false"/>
          <w:i/>
          <w:sz w:val="24"/>
        </w:rPr>
        <w:t>Applicable Margin”</w:t>
      </w:r>
      <w:r>
        <w:rPr>
          <w:rFonts w:ascii="Times New Roman" w:hAnsi="Times New Roman"/>
          <w:sz w:val="20"/>
        </w:rPr>
        <w:t xml:space="preserve"> </w:t>
      </w:r>
      <w:r>
        <w:rPr>
          <w:rFonts w:ascii="Times New Roman;serif" w:hAnsi="Times New Roman;serif"/>
          <w:b w:val="false"/>
          <w:sz w:val="24"/>
        </w:rPr>
        <w:t>means 9.00% per annum.</w:t>
      </w:r>
    </w:p>
    <w:p>
      <w:pPr>
        <w:pStyle w:val="TextBody"/>
        <w:bidi w:val="0"/>
        <w:spacing w:before="280" w:after="0"/>
        <w:jc w:val="both"/>
        <w:rPr/>
      </w:pPr>
      <w:r>
        <w:rPr/>
        <w:t>“</w:t>
      </w:r>
      <w:r>
        <w:rPr>
          <w:rFonts w:ascii="Times New Roman;serif" w:hAnsi="Times New Roman;serif"/>
          <w:b w:val="false"/>
          <w:i/>
          <w:sz w:val="24"/>
        </w:rPr>
        <w:t xml:space="preserve">Approved Fund” </w:t>
      </w:r>
      <w:r>
        <w:rPr>
          <w:rFonts w:ascii="Times New Roman;serif" w:hAnsi="Times New Roman;serif"/>
          <w:b w:val="false"/>
          <w:sz w:val="24"/>
        </w:rPr>
        <w:t>means any Person (other than a natural person and any holding company, investment vehicle or trust for, or owned and operated for the primary benefit of, a natural person) that is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or manages a Lender.</w:t>
      </w:r>
    </w:p>
    <w:p>
      <w:pPr>
        <w:pStyle w:val="TextBody"/>
        <w:bidi w:val="0"/>
        <w:spacing w:before="280" w:after="0"/>
        <w:jc w:val="both"/>
        <w:rPr/>
      </w:pPr>
      <w:r>
        <w:rPr/>
        <w:t>“</w:t>
      </w:r>
      <w:r>
        <w:rPr>
          <w:rFonts w:ascii="Times New Roman;serif" w:hAnsi="Times New Roman;serif"/>
          <w:b w:val="false"/>
          <w:i/>
          <w:sz w:val="24"/>
        </w:rPr>
        <w:t>Asset Sale”</w:t>
      </w:r>
      <w:r>
        <w:rPr>
          <w:rFonts w:ascii="Times New Roman" w:hAnsi="Times New Roman"/>
          <w:sz w:val="20"/>
        </w:rPr>
        <w:t xml:space="preserve"> </w:t>
      </w:r>
      <w:r>
        <w:rPr>
          <w:rFonts w:ascii="Times New Roman;serif" w:hAnsi="Times New Roman;serif"/>
          <w:b w:val="false"/>
          <w:sz w:val="24"/>
        </w:rPr>
        <w:t>has the meaning set forth in Section 9.09.</w:t>
      </w:r>
    </w:p>
    <w:p>
      <w:pPr>
        <w:pStyle w:val="TextBody"/>
        <w:bidi w:val="0"/>
        <w:spacing w:before="280" w:after="0"/>
        <w:jc w:val="both"/>
        <w:rPr/>
      </w:pPr>
      <w:r>
        <w:rPr/>
        <w:t>“</w:t>
      </w:r>
      <w:r>
        <w:rPr>
          <w:rFonts w:ascii="Times New Roman;serif" w:hAnsi="Times New Roman;serif"/>
          <w:b w:val="false"/>
          <w:i/>
          <w:sz w:val="24"/>
        </w:rPr>
        <w:t xml:space="preserve">Assignment Agreement” </w:t>
      </w:r>
      <w:r>
        <w:rPr>
          <w:rFonts w:ascii="Times New Roman;serif" w:hAnsi="Times New Roman;serif"/>
          <w:b w:val="false"/>
          <w:sz w:val="24"/>
        </w:rPr>
        <w:t>means an assignment and assumption entered into by a Lender and an assignee of such Lender in substantially the form of Exhibit F.</w:t>
      </w:r>
    </w:p>
    <w:p>
      <w:pPr>
        <w:pStyle w:val="TextBody"/>
        <w:bidi w:val="0"/>
        <w:spacing w:before="280" w:after="0"/>
        <w:jc w:val="both"/>
        <w:rPr/>
      </w:pPr>
      <w:r>
        <w:rPr/>
        <w:t>“</w:t>
      </w:r>
      <w:r>
        <w:rPr>
          <w:rFonts w:ascii="Times New Roman;serif" w:hAnsi="Times New Roman;serif"/>
          <w:b w:val="false"/>
          <w:i/>
          <w:sz w:val="24"/>
        </w:rPr>
        <w:t>Available Tenor</w:t>
      </w:r>
      <w:r>
        <w:rPr>
          <w:rFonts w:ascii="Times New Roman" w:hAnsi="Times New Roman"/>
          <w:sz w:val="20"/>
        </w:rPr>
        <w:t xml:space="preserve">” </w:t>
      </w:r>
      <w:r>
        <w:rPr>
          <w:rFonts w:ascii="Times New Roman;serif" w:hAnsi="Times New Roman;serif"/>
          <w:b w:val="false"/>
          <w:sz w:val="24"/>
        </w:rPr>
        <w:t xml:space="preserve">means, as of the Closing Date, the only Available Tenor for Term SOFR is an interest period of one (1) month; </w:t>
      </w:r>
      <w:r>
        <w:rPr>
          <w:rFonts w:ascii="Times New Roman;serif" w:hAnsi="Times New Roman;serif"/>
          <w:b w:val="false"/>
          <w:i/>
          <w:sz w:val="24"/>
        </w:rPr>
        <w:t xml:space="preserve">provided </w:t>
      </w:r>
      <w:r>
        <w:rPr>
          <w:rFonts w:ascii="Times New Roman;serif" w:hAnsi="Times New Roman;serif"/>
          <w:b w:val="false"/>
          <w:sz w:val="24"/>
        </w:rPr>
        <w:t>that the Administrative Agent may select to use additional interest periods in accordance with the terms of Section 3.02(c)(iv) and such interest periods shall become Available Tenors upon such selection.</w:t>
      </w:r>
    </w:p>
    <w:p>
      <w:pPr>
        <w:pStyle w:val="TextBody"/>
        <w:bidi w:val="0"/>
        <w:spacing w:before="280" w:after="0"/>
        <w:jc w:val="both"/>
        <w:rPr/>
      </w:pPr>
      <w:r>
        <w:rPr/>
        <w:t>“</w:t>
      </w:r>
      <w:r>
        <w:rPr>
          <w:rFonts w:ascii="Times New Roman;serif" w:hAnsi="Times New Roman;serif"/>
          <w:b w:val="false"/>
          <w:i/>
          <w:sz w:val="24"/>
        </w:rPr>
        <w:t>Bail</w:t>
        <w:noBreakHyphen/>
        <w:t>In Action”</w:t>
      </w:r>
      <w:r>
        <w:rPr>
          <w:rFonts w:ascii="Times New Roman" w:hAnsi="Times New Roman"/>
          <w:sz w:val="20"/>
        </w:rPr>
        <w:t xml:space="preserve"> </w:t>
      </w:r>
      <w:r>
        <w:rPr>
          <w:rFonts w:ascii="Times New Roman;serif" w:hAnsi="Times New Roman;serif"/>
          <w:b w:val="false"/>
          <w:sz w:val="24"/>
        </w:rPr>
        <w:t>means the exercise of any Write</w:t>
        <w:noBreakHyphen/>
        <w:t>Down and Conversion Powers by the applicable Resolution Authority in respect of any liability of an Affected Financial Institution.</w:t>
      </w:r>
    </w:p>
    <w:p>
      <w:pPr>
        <w:pStyle w:val="TextBody"/>
        <w:bidi w:val="0"/>
        <w:spacing w:before="280" w:after="0"/>
        <w:jc w:val="both"/>
        <w:rPr/>
      </w:pPr>
      <w:r>
        <w:rPr/>
        <w:t>“</w:t>
      </w:r>
      <w:r>
        <w:rPr>
          <w:rFonts w:ascii="Times New Roman;serif" w:hAnsi="Times New Roman;serif"/>
          <w:b w:val="false"/>
          <w:i/>
          <w:sz w:val="24"/>
        </w:rPr>
        <w:t>Bail</w:t>
        <w:noBreakHyphen/>
        <w:t>In Legislation”</w:t>
      </w:r>
      <w:r>
        <w:rPr>
          <w:rFonts w:ascii="Times New Roman" w:hAnsi="Times New Roman"/>
          <w:sz w:val="20"/>
        </w:rPr>
        <w:t xml:space="preserve"> </w:t>
      </w:r>
      <w:r>
        <w:rPr>
          <w:rFonts w:ascii="Times New Roman;serif" w:hAnsi="Times New Roman;serif"/>
          <w:b w:val="false"/>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rule or requirement applicable in the United Kingdom relating to</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resolution of unsound or failing banks, investment firms or other financial institutions or their affiliates (other than through liquidation, administration or other Insolvency Proceedings).</w:t>
      </w:r>
    </w:p>
    <w:p>
      <w:pPr>
        <w:pStyle w:val="TextBody"/>
        <w:bidi w:val="0"/>
        <w:spacing w:before="280" w:after="0"/>
        <w:jc w:val="both"/>
        <w:rPr/>
      </w:pPr>
      <w:r>
        <w:rPr/>
        <w:t>“</w:t>
      </w:r>
      <w:r>
        <w:rPr>
          <w:rFonts w:ascii="Times New Roman;serif" w:hAnsi="Times New Roman;serif"/>
          <w:b w:val="false"/>
          <w:i/>
          <w:sz w:val="24"/>
        </w:rPr>
        <w:t>Bankruptcy Code”</w:t>
      </w:r>
      <w:r>
        <w:rPr>
          <w:rFonts w:ascii="Times New Roman" w:hAnsi="Times New Roman"/>
          <w:sz w:val="20"/>
        </w:rPr>
        <w:t xml:space="preserve"> </w:t>
      </w:r>
      <w:r>
        <w:rPr>
          <w:rFonts w:ascii="Times New Roman;serif" w:hAnsi="Times New Roman;serif"/>
          <w:b w:val="false"/>
          <w:sz w:val="24"/>
        </w:rPr>
        <w:t>means Title 11 of the United States Code entitled “Bankruptcy”.</w:t>
      </w:r>
    </w:p>
    <w:p>
      <w:pPr>
        <w:pStyle w:val="TextBody"/>
        <w:bidi w:val="0"/>
        <w:spacing w:before="280" w:after="0"/>
        <w:jc w:val="both"/>
        <w:rPr/>
      </w:pPr>
      <w:r>
        <w:rPr/>
        <w:t>“</w:t>
      </w:r>
      <w:r>
        <w:rPr>
          <w:rFonts w:ascii="Times New Roman;serif" w:hAnsi="Times New Roman;serif"/>
          <w:b w:val="false"/>
          <w:i/>
          <w:sz w:val="24"/>
        </w:rPr>
        <w:t>Benchmark</w:t>
      </w:r>
      <w:r>
        <w:rPr>
          <w:rFonts w:ascii="Times New Roman" w:hAnsi="Times New Roman"/>
          <w:sz w:val="20"/>
        </w:rPr>
        <w:t xml:space="preserve">” </w:t>
      </w:r>
      <w:r>
        <w:rPr>
          <w:rFonts w:ascii="Times New Roman;serif" w:hAnsi="Times New Roman;serif"/>
          <w:b w:val="false"/>
          <w:sz w:val="24"/>
        </w:rPr>
        <w:t xml:space="preserve">means, initially Term SOFR;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if a Benchmark Transition Event has occurred with respect to the then-current Benchmark, then “Benchmark” means the applicable Benchmark Replacement to the extent that such Benchmark Replacement has replaced such prior benchmark rate pursuant to Section 3.02(c).</w:t>
      </w:r>
    </w:p>
    <w:p>
      <w:pPr>
        <w:pStyle w:val="TextBody"/>
        <w:bidi w:val="0"/>
        <w:spacing w:before="280" w:after="0"/>
        <w:jc w:val="both"/>
        <w:rPr/>
      </w:pPr>
      <w:r>
        <w:rPr/>
        <w:t>“</w:t>
      </w:r>
      <w:r>
        <w:rPr>
          <w:rFonts w:ascii="Times New Roman;serif" w:hAnsi="Times New Roman;serif"/>
          <w:b w:val="false"/>
          <w:i/>
          <w:sz w:val="24"/>
        </w:rPr>
        <w:t>Benchmark Replacement</w:t>
      </w:r>
      <w:r>
        <w:rPr>
          <w:rFonts w:ascii="Times New Roman" w:hAnsi="Times New Roman"/>
          <w:sz w:val="20"/>
        </w:rPr>
        <w:t xml:space="preserve">” </w:t>
      </w:r>
      <w:r>
        <w:rPr>
          <w:rFonts w:ascii="Times New Roman;serif" w:hAnsi="Times New Roman;serif"/>
          <w:b w:val="false"/>
          <w:sz w:val="24"/>
        </w:rPr>
        <w:t>means the first alternative set forth in the order below that can be determined by the Administrative Agent for the applicable Benchmark Replacement Date:</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Daily Simple SOFR; or</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 </w:t>
      </w:r>
    </w:p>
    <w:p>
      <w:pPr>
        <w:pStyle w:val="TextBody"/>
        <w:bidi w:val="0"/>
        <w:spacing w:before="280" w:after="0"/>
        <w:jc w:val="both"/>
        <w:rPr>
          <w:rFonts w:ascii="Times New Roman" w:hAnsi="Times New Roman"/>
          <w:sz w:val="20"/>
        </w:rPr>
      </w:pPr>
      <w:r>
        <w:rPr>
          <w:rFonts w:ascii="Times New Roman;serif" w:hAnsi="Times New Roman;serif"/>
          <w:b w:val="false"/>
          <w:i/>
          <w:sz w:val="24"/>
        </w:rPr>
        <w:t>provided</w:t>
      </w:r>
      <w:r>
        <w:rPr>
          <w:rFonts w:ascii="Times New Roman;serif" w:hAnsi="Times New Roman;serif"/>
          <w:b w:val="false"/>
          <w:sz w:val="24"/>
        </w:rPr>
        <w:t>, that, until such alternate rate of interest is agreed upon by the Administrative Agent and the Borrower, the rate of interest for purposes hereof and of each other Loan Document shall be Term SOFR (or subsequent Benchmark, as applicable), as of the end of the Interest Period ending immediately prior to the applicable Benchmark Transition Event.</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before="280" w:after="0"/>
        <w:jc w:val="both"/>
        <w:rPr/>
      </w:pPr>
      <w:r>
        <w:rPr/>
        <w:t>“</w:t>
      </w:r>
      <w:r>
        <w:rPr>
          <w:rFonts w:ascii="Times New Roman;serif" w:hAnsi="Times New Roman;serif"/>
          <w:b w:val="false"/>
          <w:i/>
          <w:sz w:val="24"/>
        </w:rPr>
        <w:t>Benchmark Replacement Adjustment”</w:t>
      </w:r>
      <w:r>
        <w:rPr>
          <w:rFonts w:ascii="Times New Roman" w:hAnsi="Times New Roman"/>
          <w:sz w:val="20"/>
        </w:rPr>
        <w:t xml:space="preserve"> </w:t>
      </w:r>
      <w:r>
        <w:rPr>
          <w:rFonts w:ascii="Times New Roman;serif" w:hAnsi="Times New Roman;serif"/>
          <w:b w:val="false"/>
          <w:sz w:val="24"/>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jc w:val="center"/>
        <w:rPr/>
      </w:pPr>
      <w:r>
        <w:rPr/>
        <w:noBreakHyphen/>
      </w:r>
      <w:r>
        <w:rPr>
          <w:rFonts w:ascii="Times New Roman;serif" w:hAnsi="Times New Roman;serif"/>
          <w:b w:val="false"/>
          <w:sz w:val="24"/>
        </w:rPr>
        <w:t>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Benchmark Replacement Date</w:t>
      </w:r>
      <w:r>
        <w:rPr>
          <w:rFonts w:ascii="Times New Roman" w:hAnsi="Times New Roman"/>
          <w:sz w:val="20"/>
        </w:rPr>
        <w:t xml:space="preserve">” </w:t>
      </w:r>
      <w:r>
        <w:rPr>
          <w:rFonts w:ascii="Times New Roman;serif" w:hAnsi="Times New Roman;serif"/>
          <w:b w:val="false"/>
          <w:sz w:val="24"/>
        </w:rPr>
        <w:t>means a date and time determined by the Administrative Agent, which date shall be no later than the earliest to occur of the following events with respect to the then-current Benchmark:</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pPr>
      <w:r>
        <w:rPr>
          <w:rFonts w:ascii="Times New Roman;serif" w:hAnsi="Times New Roman;serif"/>
          <w:b w:val="false"/>
          <w:sz w:val="24"/>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serif" w:hAnsi="Times New Roman;serif"/>
          <w:b w:val="false"/>
          <w:i/>
          <w:sz w:val="24"/>
        </w:rPr>
        <w:t>provided</w:t>
      </w:r>
      <w:r>
        <w:rPr/>
        <w:t xml:space="preserve"> </w:t>
      </w:r>
      <w:r>
        <w:rPr>
          <w:rFonts w:ascii="Times New Roman;serif" w:hAnsi="Times New Roman;serif"/>
          <w:b w:val="false"/>
          <w:sz w:val="24"/>
        </w:rPr>
        <w:t>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280" w:after="0"/>
        <w:jc w:val="both"/>
        <w:rPr/>
      </w:pPr>
      <w:r>
        <w:rPr/>
        <w:t>“</w:t>
      </w:r>
      <w:r>
        <w:rPr>
          <w:rFonts w:ascii="Times New Roman;serif" w:hAnsi="Times New Roman;serif"/>
          <w:b w:val="false"/>
          <w:i/>
          <w:sz w:val="24"/>
        </w:rPr>
        <w:t>Benchmark Transition Event</w:t>
      </w:r>
      <w:r>
        <w:rPr>
          <w:rFonts w:ascii="Times New Roman" w:hAnsi="Times New Roman"/>
          <w:sz w:val="20"/>
        </w:rPr>
        <w:t xml:space="preserve">” </w:t>
      </w:r>
      <w:r>
        <w:rPr>
          <w:rFonts w:ascii="Times New Roman;serif" w:hAnsi="Times New Roman;serif"/>
          <w:b w:val="false"/>
          <w:sz w:val="24"/>
        </w:rPr>
        <w:t>means the occurrence of one or more of the following events with respect to the then-current Benchmark:</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i/>
          <w:sz w:val="24"/>
        </w:rPr>
        <w:t xml:space="preserve">provided </w:t>
      </w:r>
      <w:r>
        <w:rPr>
          <w:rFonts w:ascii="Times New Roman;serif" w:hAnsi="Times New Roman;serif"/>
          <w:b w:val="false"/>
          <w:sz w:val="24"/>
        </w:rPr>
        <w:t>that, at the time of such statement or publication, there is no successor administrator that will continue to provide any Available Tenor of such Benchmark (or such component thereof);</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pPr>
      <w:r>
        <w:rPr>
          <w:rFonts w:ascii="Times New Roman;serif" w:hAnsi="Times New Roman;serif"/>
          <w:b w:val="false"/>
          <w:sz w:val="24"/>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i/>
          <w:sz w:val="24"/>
        </w:rPr>
        <w:t xml:space="preserve">provided </w:t>
      </w:r>
      <w:r>
        <w:rPr>
          <w:rFonts w:ascii="Times New Roman;serif" w:hAnsi="Times New Roman;serif"/>
          <w:b w:val="false"/>
          <w:sz w:val="24"/>
        </w:rPr>
        <w:t xml:space="preserve">that, at the time of such statement or publication, </w:t>
      </w:r>
    </w:p>
    <w:p>
      <w:pPr>
        <w:pStyle w:val="TextBody"/>
        <w:bidi w:val="0"/>
        <w:spacing w:before="0" w:after="0"/>
        <w:jc w:val="center"/>
        <w:rPr/>
      </w:pPr>
      <w:r>
        <w:rPr/>
        <w:noBreakHyphen/>
      </w:r>
      <w:r>
        <w:rPr>
          <w:rFonts w:ascii="Times New Roman;serif" w:hAnsi="Times New Roman;serif"/>
          <w:b w:val="false"/>
          <w:sz w:val="24"/>
        </w:rPr>
        <w:t>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there is no successor administrator that will continue to provide any Available Tenor of such Benchmark (or such component thereof); or</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80" w:after="0"/>
        <w:jc w:val="both"/>
        <w:rPr/>
      </w:pPr>
      <w:r>
        <w:rPr/>
        <w:t>“</w:t>
      </w:r>
      <w:r>
        <w:rPr>
          <w:rFonts w:ascii="Times New Roman;serif" w:hAnsi="Times New Roman;serif"/>
          <w:b w:val="false"/>
          <w:i/>
          <w:sz w:val="24"/>
        </w:rPr>
        <w:t xml:space="preserve">Benchmark Unavailability Period” </w:t>
      </w:r>
      <w:r>
        <w:rPr>
          <w:rFonts w:ascii="Times New Roman;serif" w:hAnsi="Times New Roman;serif"/>
          <w:b w:val="false"/>
          <w:sz w:val="24"/>
        </w:rPr>
        <w:t>means, the period (if any) (a) beginning at the time that a Benchmark Replacement Date has occurred if, at such time, no Benchmark Replacement has replaced the then-current Benchmark for all purposes hereunder and under any Loan Document in accordance with Section 3.02(c) and (b) ending at the time that a Benchmark Replacement has replaced the then-current Benchmark for all purposes hereunder and under any Loan Document in accordance with Section 3.02(c).</w:t>
      </w:r>
    </w:p>
    <w:p>
      <w:pPr>
        <w:pStyle w:val="TextBody"/>
        <w:bidi w:val="0"/>
        <w:spacing w:before="280" w:after="0"/>
        <w:jc w:val="both"/>
        <w:rPr/>
      </w:pPr>
      <w:r>
        <w:rPr/>
        <w:t>“</w:t>
      </w:r>
      <w:r>
        <w:rPr>
          <w:rFonts w:ascii="Times New Roman;serif" w:hAnsi="Times New Roman;serif"/>
          <w:b w:val="false"/>
          <w:i/>
          <w:sz w:val="24"/>
        </w:rPr>
        <w:t>Beneficial Ownership Regulation</w:t>
      </w:r>
      <w:r>
        <w:rPr>
          <w:rFonts w:ascii="Times New Roman" w:hAnsi="Times New Roman"/>
          <w:sz w:val="20"/>
        </w:rPr>
        <w:t xml:space="preserve">” </w:t>
      </w:r>
      <w:r>
        <w:rPr>
          <w:rFonts w:ascii="Times New Roman;serif" w:hAnsi="Times New Roman;serif"/>
          <w:b w:val="false"/>
          <w:sz w:val="24"/>
        </w:rPr>
        <w:t>has the meaning set forth in Section 13.16.</w:t>
      </w:r>
    </w:p>
    <w:p>
      <w:pPr>
        <w:pStyle w:val="TextBody"/>
        <w:bidi w:val="0"/>
        <w:spacing w:before="280" w:after="0"/>
        <w:jc w:val="both"/>
        <w:rPr/>
      </w:pPr>
      <w:r>
        <w:rPr/>
        <w:t>“</w:t>
      </w:r>
      <w:r>
        <w:rPr>
          <w:rFonts w:ascii="Times New Roman;serif" w:hAnsi="Times New Roman;serif"/>
          <w:b w:val="false"/>
          <w:i/>
          <w:sz w:val="24"/>
        </w:rPr>
        <w:t>Benefit Plan”</w:t>
      </w:r>
      <w:r>
        <w:rPr>
          <w:rFonts w:ascii="Times New Roman" w:hAnsi="Times New Roman"/>
          <w:sz w:val="20"/>
        </w:rPr>
        <w:t xml:space="preserve"> </w:t>
      </w:r>
      <w:r>
        <w:rPr>
          <w:rFonts w:ascii="Times New Roman;serif" w:hAnsi="Times New Roman;serif"/>
          <w:b w:val="false"/>
          <w:sz w:val="24"/>
        </w:rPr>
        <w:t>means any “employee benefit plan” as defined in Section 3(3) of ERISA (other than a Multiemployer Plan) to which any Obligor or Subsidiary thereof incurs, or otherwise has, any obligation or liability, contingent or otherwise.</w:t>
      </w:r>
    </w:p>
    <w:p>
      <w:pPr>
        <w:pStyle w:val="TextBody"/>
        <w:bidi w:val="0"/>
        <w:spacing w:before="280" w:after="0"/>
        <w:jc w:val="both"/>
        <w:rPr/>
      </w:pPr>
      <w:r>
        <w:rPr/>
        <w:t>“</w:t>
      </w:r>
      <w:r>
        <w:rPr>
          <w:rFonts w:ascii="Times New Roman;serif" w:hAnsi="Times New Roman;serif"/>
          <w:b w:val="false"/>
          <w:i/>
          <w:sz w:val="24"/>
        </w:rPr>
        <w:t>Board</w:t>
      </w:r>
      <w:r>
        <w:rPr>
          <w:rFonts w:ascii="Times New Roman" w:hAnsi="Times New Roman"/>
          <w:sz w:val="20"/>
        </w:rPr>
        <w:t xml:space="preserve">” </w:t>
      </w:r>
      <w:r>
        <w:rPr>
          <w:rFonts w:ascii="Times New Roman;serif" w:hAnsi="Times New Roman;serif"/>
          <w:b w:val="false"/>
          <w:sz w:val="24"/>
        </w:rPr>
        <w:t>means, with respect to any Person, the board of managers or directors (as applicable) (or equivalent governing body) of such Person or any committee thereof.</w:t>
      </w:r>
    </w:p>
    <w:p>
      <w:pPr>
        <w:pStyle w:val="TextBody"/>
        <w:bidi w:val="0"/>
        <w:spacing w:before="280" w:after="0"/>
        <w:jc w:val="both"/>
        <w:rPr/>
      </w:pPr>
      <w:r>
        <w:rPr/>
        <w:t>“</w:t>
      </w:r>
      <w:r>
        <w:rPr>
          <w:rFonts w:ascii="Times New Roman;serif" w:hAnsi="Times New Roman;serif"/>
          <w:b w:val="false"/>
          <w:i/>
          <w:sz w:val="24"/>
        </w:rPr>
        <w:t xml:space="preserve">Borrower” </w:t>
      </w:r>
      <w:r>
        <w:rPr>
          <w:rFonts w:ascii="Times New Roman;serif" w:hAnsi="Times New Roman;serif"/>
          <w:b w:val="false"/>
          <w:sz w:val="24"/>
        </w:rPr>
        <w:t>has the meaning set forth in the introduction hereto.</w:t>
      </w:r>
    </w:p>
    <w:p>
      <w:pPr>
        <w:pStyle w:val="TextBody"/>
        <w:bidi w:val="0"/>
        <w:spacing w:before="280" w:after="0"/>
        <w:jc w:val="both"/>
        <w:rPr/>
      </w:pPr>
      <w:r>
        <w:rPr/>
        <w:t>“</w:t>
      </w:r>
      <w:r>
        <w:rPr>
          <w:rFonts w:ascii="Times New Roman;serif" w:hAnsi="Times New Roman;serif"/>
          <w:b w:val="false"/>
          <w:i/>
          <w:sz w:val="24"/>
        </w:rPr>
        <w:t>Borrowing</w:t>
      </w:r>
      <w:r>
        <w:rPr>
          <w:rFonts w:ascii="Times New Roman" w:hAnsi="Times New Roman"/>
          <w:sz w:val="20"/>
        </w:rPr>
        <w:t xml:space="preserve">” </w:t>
      </w:r>
      <w:r>
        <w:rPr>
          <w:rFonts w:ascii="Times New Roman;serif" w:hAnsi="Times New Roman;serif"/>
          <w:b w:val="false"/>
          <w:sz w:val="24"/>
        </w:rPr>
        <w:t>means a borrowing consisting of a Tranche A Loan made by the Lenders on the Funding Date, a Tranche B Loan made by the Lenders on the Tranche B Loan Borrowing Date, or a Tranche C Loan made by the Lenders on the Tranche C Loan Borrowing Date, as applicable.</w:t>
      </w:r>
    </w:p>
    <w:p>
      <w:pPr>
        <w:pStyle w:val="TextBody"/>
        <w:bidi w:val="0"/>
        <w:spacing w:before="280" w:after="0"/>
        <w:jc w:val="both"/>
        <w:rPr/>
      </w:pPr>
      <w:r>
        <w:rPr/>
        <w:t>“</w:t>
      </w:r>
      <w:r>
        <w:rPr>
          <w:rFonts w:ascii="Times New Roman;serif" w:hAnsi="Times New Roman;serif"/>
          <w:b w:val="false"/>
          <w:i/>
          <w:sz w:val="24"/>
        </w:rPr>
        <w:t>Borrowing Notice”</w:t>
      </w:r>
      <w:r>
        <w:rPr>
          <w:rFonts w:ascii="Times New Roman" w:hAnsi="Times New Roman"/>
          <w:sz w:val="20"/>
        </w:rPr>
        <w:t xml:space="preserve"> </w:t>
      </w:r>
      <w:r>
        <w:rPr>
          <w:rFonts w:ascii="Times New Roman;serif" w:hAnsi="Times New Roman;serif"/>
          <w:b w:val="false"/>
          <w:sz w:val="24"/>
        </w:rPr>
        <w:t>means a notice substantially in the form attached hereto as Exhibit B.</w:t>
      </w:r>
    </w:p>
    <w:p>
      <w:pPr>
        <w:pStyle w:val="TextBody"/>
        <w:bidi w:val="0"/>
        <w:spacing w:before="280" w:after="0"/>
        <w:jc w:val="both"/>
        <w:rPr/>
      </w:pPr>
      <w:r>
        <w:rPr/>
        <w:t>“</w:t>
      </w:r>
      <w:r>
        <w:rPr>
          <w:rFonts w:ascii="Times New Roman;serif" w:hAnsi="Times New Roman;serif"/>
          <w:b w:val="false"/>
          <w:i/>
          <w:sz w:val="24"/>
        </w:rPr>
        <w:t>Business Day”</w:t>
      </w:r>
      <w:r>
        <w:rPr>
          <w:rFonts w:ascii="Times New Roman" w:hAnsi="Times New Roman"/>
          <w:sz w:val="20"/>
        </w:rPr>
        <w:t xml:space="preserve"> </w:t>
      </w:r>
      <w:r>
        <w:rPr>
          <w:rFonts w:ascii="Times New Roman;serif" w:hAnsi="Times New Roman;serif"/>
          <w:b w:val="false"/>
          <w:sz w:val="24"/>
        </w:rPr>
        <w:t>means (a) a day (other than a Saturday or Sunday) on which commercial banks are not authorized or required to close in New York City or (b) with respect to any matters relating to SOFR Loans, a U.S. Government Securities Business Day.</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Capital Lease Obligations”</w:t>
      </w:r>
      <w:r>
        <w:rPr>
          <w:rFonts w:ascii="Times New Roman" w:hAnsi="Times New Roman"/>
          <w:sz w:val="20"/>
        </w:rPr>
        <w:t xml:space="preserve"> </w:t>
      </w:r>
      <w:r>
        <w:rPr>
          <w:rFonts w:ascii="Times New Roman;serif" w:hAnsi="Times New Roman;serif"/>
          <w:b w:val="false"/>
          <w:sz w:val="24"/>
        </w:rPr>
        <w:t>means,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4"/>
        </w:rPr>
        <w:t xml:space="preserve">in accordance with GAAP;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any lease that would be characterized as an operating lease in accordance with GAAP on December 31, 2018 (whether or not such operating lease was in effect on such date) shall continue to be accounted for as an operating lease (and not as a capital lease) for purposes of this Agreement regardless of any change in GAAP following December 31, 2018 that would otherwise require such lease to be recharacterized (on a prospective or retroactive basis or otherwise) as a capital lease.</w:t>
      </w:r>
    </w:p>
    <w:p>
      <w:pPr>
        <w:pStyle w:val="TextBody"/>
        <w:bidi w:val="0"/>
        <w:spacing w:before="280" w:after="0"/>
        <w:jc w:val="both"/>
        <w:rPr/>
      </w:pPr>
      <w:r>
        <w:rPr/>
        <w:t>“</w:t>
      </w:r>
      <w:r>
        <w:rPr>
          <w:rFonts w:ascii="Times New Roman;serif" w:hAnsi="Times New Roman;serif"/>
          <w:b w:val="false"/>
          <w:i/>
          <w:sz w:val="24"/>
        </w:rPr>
        <w:t>Caprion License</w:t>
      </w:r>
      <w:r>
        <w:rPr>
          <w:rFonts w:ascii="Times New Roman" w:hAnsi="Times New Roman"/>
          <w:sz w:val="20"/>
        </w:rPr>
        <w:t xml:space="preserve">” </w:t>
      </w:r>
      <w:r>
        <w:rPr>
          <w:rFonts w:ascii="Times New Roman;serif" w:hAnsi="Times New Roman;serif"/>
          <w:b w:val="false"/>
          <w:sz w:val="24"/>
        </w:rPr>
        <w:t>means that certain Know How License Agreement, dated as of May 13, 2021 by and between the Borrower and Cellcarta Biosciences Inc. (formerly known as Caprion Biosciences, Inc.), as in effect on the Closing Date.</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Casualty Event”</w:t>
      </w:r>
      <w:r>
        <w:rPr>
          <w:rFonts w:ascii="Times New Roman" w:hAnsi="Times New Roman"/>
          <w:sz w:val="20"/>
        </w:rPr>
        <w:t xml:space="preserve"> </w:t>
      </w:r>
      <w:r>
        <w:rPr>
          <w:rFonts w:ascii="Times New Roman;serif" w:hAnsi="Times New Roman;serif"/>
          <w:b w:val="false"/>
          <w:sz w:val="24"/>
        </w:rPr>
        <w:t>means any actual or constructive loss, condemnation, destruction, confiscation, requisition, seizure or forfeiture of all or any material portion of the assets of the Borrower or any other Obligor, excluding only those assets, individually or in the aggregate, subject to any such event during any calendar year with a fair market value as of the date thereof equal to or less than $500,000.</w:t>
      </w:r>
    </w:p>
    <w:p>
      <w:pPr>
        <w:pStyle w:val="TextBody"/>
        <w:bidi w:val="0"/>
        <w:spacing w:before="280" w:after="0"/>
        <w:jc w:val="both"/>
        <w:rPr/>
      </w:pPr>
      <w:r>
        <w:rPr/>
        <w:t>“</w:t>
      </w:r>
      <w:r>
        <w:rPr>
          <w:rFonts w:ascii="Times New Roman;serif" w:hAnsi="Times New Roman;serif"/>
          <w:b w:val="false"/>
          <w:i/>
          <w:sz w:val="24"/>
        </w:rPr>
        <w:t xml:space="preserve">Change of Control” </w:t>
      </w:r>
      <w:r>
        <w:rPr>
          <w:rFonts w:ascii="Times New Roman;serif" w:hAnsi="Times New Roman;serif"/>
          <w:b w:val="false"/>
          <w:sz w:val="24"/>
        </w:rPr>
        <w:t>means and shall be deemed to have occurred if:</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any “person” or “group” (within the meaning of Rule 13d-5 of the Exchange Act as in effect on the date hereof) shall own, directly or indirectly, beneficially or of record, shares representing 40% or more of the aggregate ordinary voting power represented by the issued and outstanding Equity Interests of Borrower; </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during any period of twelve (12) consecutive calendar months, the occupation of a majority of the seats (other than vacant seats) on the Board of Borrower by Persons who were neither (i) nominated or approved by the Board of Borrower, nor (ii) appointed by directors on the Board of the Borrower on the Closing Date; and</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the Borrower shall cease to own directly or indirectly, determined on a fully diluted basis, 100% of the issued and outstanding Equity Interests of any other Obligor.</w:t>
      </w:r>
    </w:p>
    <w:p>
      <w:pPr>
        <w:pStyle w:val="TextBody"/>
        <w:bidi w:val="0"/>
        <w:spacing w:before="280" w:after="0"/>
        <w:jc w:val="both"/>
        <w:rPr/>
      </w:pPr>
      <w:r>
        <w:rPr/>
        <w:t>“</w:t>
      </w:r>
      <w:r>
        <w:rPr>
          <w:rFonts w:ascii="Times New Roman;serif" w:hAnsi="Times New Roman;serif"/>
          <w:b w:val="false"/>
          <w:i/>
          <w:sz w:val="24"/>
        </w:rPr>
        <w:t>Claims”</w:t>
      </w:r>
      <w:r>
        <w:rPr>
          <w:rFonts w:ascii="Times New Roman" w:hAnsi="Times New Roman"/>
          <w:sz w:val="20"/>
        </w:rPr>
        <w:t xml:space="preserve"> </w:t>
      </w:r>
      <w:r>
        <w:rPr>
          <w:rFonts w:ascii="Times New Roman;serif" w:hAnsi="Times New Roman;serif"/>
          <w:b w:val="false"/>
          <w:sz w:val="24"/>
        </w:rPr>
        <w:t>includes claims, litigation, demands, complaints, grievances, actions, applications, suits, causes of action, orders, charges, indictments, prosecutions, information (brought by a public prosecutor without grand jury indictment) or other similar processes, assessments or reassessments.</w:t>
      </w:r>
    </w:p>
    <w:p>
      <w:pPr>
        <w:pStyle w:val="TextBody"/>
        <w:bidi w:val="0"/>
        <w:spacing w:before="280" w:after="0"/>
        <w:jc w:val="both"/>
        <w:rPr/>
      </w:pPr>
      <w:r>
        <w:rPr/>
        <w:t>“</w:t>
      </w:r>
      <w:r>
        <w:rPr>
          <w:rFonts w:ascii="Times New Roman;serif" w:hAnsi="Times New Roman;serif"/>
          <w:b w:val="false"/>
          <w:i/>
          <w:sz w:val="24"/>
        </w:rPr>
        <w:t>CLIA”</w:t>
      </w:r>
      <w:r>
        <w:rPr>
          <w:rFonts w:ascii="Times New Roman" w:hAnsi="Times New Roman"/>
          <w:sz w:val="20"/>
        </w:rPr>
        <w:t xml:space="preserve"> </w:t>
      </w:r>
      <w:r>
        <w:rPr>
          <w:rFonts w:ascii="Times New Roman;serif" w:hAnsi="Times New Roman;serif"/>
          <w:b w:val="false"/>
          <w:sz w:val="24"/>
        </w:rPr>
        <w:t>means the Clinical Laboratory Improvement Amendments of 1988 (CLIA), as amended from time to time, and the rules and regulations promulgated thereunder.</w:t>
      </w:r>
    </w:p>
    <w:p>
      <w:pPr>
        <w:pStyle w:val="TextBody"/>
        <w:bidi w:val="0"/>
        <w:spacing w:before="280" w:after="0"/>
        <w:jc w:val="both"/>
        <w:rPr/>
      </w:pPr>
      <w:r>
        <w:rPr/>
        <w:t>“</w:t>
      </w:r>
      <w:r>
        <w:rPr>
          <w:rFonts w:ascii="Times New Roman;serif" w:hAnsi="Times New Roman;serif"/>
          <w:b w:val="false"/>
          <w:i/>
          <w:sz w:val="24"/>
        </w:rPr>
        <w:t>Closing Date”</w:t>
      </w:r>
      <w:r>
        <w:rPr>
          <w:rFonts w:ascii="Times New Roman" w:hAnsi="Times New Roman"/>
          <w:sz w:val="20"/>
        </w:rPr>
        <w:t xml:space="preserve"> </w:t>
      </w:r>
      <w:r>
        <w:rPr>
          <w:rFonts w:ascii="Times New Roman;serif" w:hAnsi="Times New Roman;serif"/>
          <w:b w:val="false"/>
          <w:sz w:val="24"/>
        </w:rPr>
        <w:t>means the Business Day on which all of the conditions set forth in Section 6.01 have been satisfied or waived by the Administrative Agent.</w:t>
      </w:r>
    </w:p>
    <w:p>
      <w:pPr>
        <w:pStyle w:val="TextBody"/>
        <w:bidi w:val="0"/>
        <w:spacing w:before="280" w:after="0"/>
        <w:jc w:val="both"/>
        <w:rPr/>
      </w:pPr>
      <w:r>
        <w:rPr/>
        <w:t>“</w:t>
      </w:r>
      <w:r>
        <w:rPr>
          <w:rFonts w:ascii="Times New Roman;serif" w:hAnsi="Times New Roman;serif"/>
          <w:b w:val="false"/>
          <w:i/>
          <w:sz w:val="24"/>
        </w:rPr>
        <w:t>Code”</w:t>
      </w:r>
      <w:r>
        <w:rPr>
          <w:rFonts w:ascii="Times New Roman" w:hAnsi="Times New Roman"/>
          <w:sz w:val="20"/>
        </w:rPr>
        <w:t xml:space="preserve"> </w:t>
      </w:r>
      <w:r>
        <w:rPr>
          <w:rFonts w:ascii="Times New Roman;serif" w:hAnsi="Times New Roman;serif"/>
          <w:b w:val="false"/>
          <w:sz w:val="24"/>
        </w:rPr>
        <w:t>means the Internal Revenue Code of 1986, as amended from time to time, and the rules and regulations promulgated thereunder from time to time.</w:t>
      </w:r>
    </w:p>
    <w:p>
      <w:pPr>
        <w:pStyle w:val="TextBody"/>
        <w:bidi w:val="0"/>
        <w:spacing w:before="0" w:after="0"/>
        <w:jc w:val="center"/>
        <w:rPr/>
      </w:pPr>
      <w:r>
        <w:rPr/>
        <w:noBreakHyphen/>
      </w:r>
      <w:r>
        <w:rPr>
          <w:rFonts w:ascii="Times New Roman;serif" w:hAnsi="Times New Roman;serif"/>
          <w:b w:val="false"/>
          <w:sz w:val="24"/>
        </w:rPr>
        <w:t>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Collateral”</w:t>
      </w:r>
      <w:r>
        <w:rPr>
          <w:rFonts w:ascii="Times New Roman" w:hAnsi="Times New Roman"/>
          <w:sz w:val="20"/>
        </w:rPr>
        <w:t xml:space="preserve"> </w:t>
      </w:r>
      <w:r>
        <w:rPr>
          <w:rFonts w:ascii="Times New Roman;serif" w:hAnsi="Times New Roman;serif"/>
          <w:b w:val="false"/>
          <w:sz w:val="24"/>
        </w:rPr>
        <w:t>means any Property in which a Lien is purported to be granted under any of the Security Documents (or all such Property, as the context may require).</w:t>
      </w:r>
    </w:p>
    <w:p>
      <w:pPr>
        <w:pStyle w:val="TextBody"/>
        <w:bidi w:val="0"/>
        <w:spacing w:before="280" w:after="0"/>
        <w:jc w:val="both"/>
        <w:rPr/>
      </w:pPr>
      <w:r>
        <w:rPr/>
        <w:t>“</w:t>
      </w:r>
      <w:r>
        <w:rPr>
          <w:rFonts w:ascii="Times New Roman;serif" w:hAnsi="Times New Roman;serif"/>
          <w:b w:val="false"/>
          <w:i/>
          <w:sz w:val="24"/>
        </w:rPr>
        <w:t>Collateral Access Agreement</w:t>
      </w:r>
      <w:r>
        <w:rPr>
          <w:rFonts w:ascii="Times New Roman" w:hAnsi="Times New Roman"/>
          <w:sz w:val="20"/>
        </w:rPr>
        <w:t xml:space="preserve">” </w:t>
      </w:r>
      <w:r>
        <w:rPr>
          <w:rFonts w:ascii="Times New Roman;serif" w:hAnsi="Times New Roman;serif"/>
          <w:b w:val="false"/>
          <w:sz w:val="24"/>
        </w:rPr>
        <w:t>means any landlord waiver or similar agreement, in form and substance reasonably satisfactory to the Administrative Agent, between the Administrative Agent and any third party (including any bailee, consignee, customs broker, or other similar Person) in possession of any Collateral, any landlord of any real property where any Collateral is located or any landlord of the real property which is the chief executive office.</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Collateral Questionnaire”</w:t>
      </w:r>
      <w:r>
        <w:rPr>
          <w:rFonts w:ascii="Times New Roman" w:hAnsi="Times New Roman"/>
          <w:sz w:val="20"/>
        </w:rPr>
        <w:t xml:space="preserve"> </w:t>
      </w:r>
      <w:r>
        <w:rPr>
          <w:rFonts w:ascii="Times New Roman;serif" w:hAnsi="Times New Roman;serif"/>
          <w:b w:val="false"/>
          <w:sz w:val="24"/>
        </w:rPr>
        <w:t>means that certain Collateral Questionnaire and certification by a Responsible Officer of the Borrower substantially in the form of attached hereto as Exhibit I and otherwise in form and substance reasonably satisfactory to the Administrative Agent.</w:t>
      </w:r>
    </w:p>
    <w:p>
      <w:pPr>
        <w:pStyle w:val="TextBody"/>
        <w:bidi w:val="0"/>
        <w:spacing w:before="280" w:after="0"/>
        <w:jc w:val="both"/>
        <w:rPr/>
      </w:pPr>
      <w:r>
        <w:rPr/>
        <w:t>“</w:t>
      </w:r>
      <w:r>
        <w:rPr>
          <w:rFonts w:ascii="Times New Roman;serif" w:hAnsi="Times New Roman;serif"/>
          <w:b w:val="false"/>
          <w:i/>
          <w:sz w:val="24"/>
        </w:rPr>
        <w:t>Commitment”</w:t>
      </w:r>
      <w:r>
        <w:rPr>
          <w:rFonts w:ascii="Times New Roman" w:hAnsi="Times New Roman"/>
          <w:sz w:val="20"/>
        </w:rPr>
        <w:t xml:space="preserve"> </w:t>
      </w:r>
      <w:r>
        <w:rPr>
          <w:rFonts w:ascii="Times New Roman;serif" w:hAnsi="Times New Roman;serif"/>
          <w:b w:val="false"/>
          <w:sz w:val="24"/>
        </w:rPr>
        <w:t>means, with respect to each Lender, such Lender’s (a) Tranche A Loan Commitment, (b) Tranche B Loan Commitment and (c) Tranche C Loan Commitment and “Commitments” means all such commitments of all Lenders. The amount of each Lender’s Commitments is set forth on Schedule 1. The aggregate Commitments of all Lenders as of the Closing Date is $50,000,000.</w:t>
      </w:r>
    </w:p>
    <w:p>
      <w:pPr>
        <w:pStyle w:val="TextBody"/>
        <w:bidi w:val="0"/>
        <w:spacing w:before="280" w:after="0"/>
        <w:jc w:val="both"/>
        <w:rPr/>
      </w:pPr>
      <w:r>
        <w:rPr/>
        <w:t>“</w:t>
      </w:r>
      <w:r>
        <w:rPr>
          <w:rFonts w:ascii="Times New Roman;serif" w:hAnsi="Times New Roman;serif"/>
          <w:b w:val="false"/>
          <w:i/>
          <w:sz w:val="24"/>
        </w:rPr>
        <w:t>Commodity Account”</w:t>
      </w:r>
      <w:r>
        <w:rPr>
          <w:rFonts w:ascii="Times New Roman" w:hAnsi="Times New Roman"/>
          <w:sz w:val="20"/>
        </w:rPr>
        <w:t xml:space="preserve"> </w:t>
      </w:r>
      <w:r>
        <w:rPr>
          <w:rFonts w:ascii="Times New Roman;serif" w:hAnsi="Times New Roman;serif"/>
          <w:b w:val="false"/>
          <w:sz w:val="24"/>
        </w:rPr>
        <w:t>has the meaning set forth in the Security Agreement.</w:t>
      </w:r>
    </w:p>
    <w:p>
      <w:pPr>
        <w:pStyle w:val="TextBody"/>
        <w:bidi w:val="0"/>
        <w:spacing w:before="280" w:after="0"/>
        <w:jc w:val="both"/>
        <w:rPr/>
      </w:pPr>
      <w:r>
        <w:rPr/>
        <w:t>“</w:t>
      </w:r>
      <w:r>
        <w:rPr>
          <w:rFonts w:ascii="Times New Roman;serif" w:hAnsi="Times New Roman;serif"/>
          <w:b w:val="false"/>
          <w:i/>
          <w:sz w:val="24"/>
        </w:rPr>
        <w:t>Compliance Certificate”</w:t>
      </w:r>
      <w:r>
        <w:rPr>
          <w:rFonts w:ascii="Times New Roman" w:hAnsi="Times New Roman"/>
          <w:sz w:val="20"/>
        </w:rPr>
        <w:t xml:space="preserve"> </w:t>
      </w:r>
      <w:r>
        <w:rPr>
          <w:rFonts w:ascii="Times New Roman;serif" w:hAnsi="Times New Roman;serif"/>
          <w:b w:val="false"/>
          <w:sz w:val="24"/>
        </w:rPr>
        <w:t>has the meaning set forth in Section 8.01(c).</w:t>
      </w:r>
    </w:p>
    <w:p>
      <w:pPr>
        <w:pStyle w:val="TextBody"/>
        <w:bidi w:val="0"/>
        <w:spacing w:before="280" w:after="0"/>
        <w:jc w:val="both"/>
        <w:rPr/>
      </w:pPr>
      <w:r>
        <w:rPr/>
        <w:t>“</w:t>
      </w:r>
      <w:r>
        <w:rPr>
          <w:rFonts w:ascii="Times New Roman;serif" w:hAnsi="Times New Roman;serif"/>
          <w:b w:val="false"/>
          <w:i/>
          <w:sz w:val="24"/>
        </w:rPr>
        <w:t>Confidential Healthcare Information”</w:t>
      </w:r>
      <w:r>
        <w:rPr>
          <w:rFonts w:ascii="Times New Roman" w:hAnsi="Times New Roman"/>
          <w:sz w:val="20"/>
        </w:rPr>
        <w:t xml:space="preserve"> </w:t>
      </w:r>
      <w:r>
        <w:rPr>
          <w:rFonts w:ascii="Times New Roman;serif" w:hAnsi="Times New Roman;serif"/>
          <w:b w:val="false"/>
          <w:sz w:val="24"/>
        </w:rPr>
        <w:t>has the meaning set forth in Section 8.06.</w:t>
      </w:r>
    </w:p>
    <w:p>
      <w:pPr>
        <w:pStyle w:val="TextBody"/>
        <w:bidi w:val="0"/>
        <w:spacing w:before="280" w:after="0"/>
        <w:jc w:val="both"/>
        <w:rPr/>
      </w:pPr>
      <w:r>
        <w:rPr/>
        <w:t>“</w:t>
      </w:r>
      <w:r>
        <w:rPr>
          <w:rFonts w:ascii="Times New Roman;serif" w:hAnsi="Times New Roman;serif"/>
          <w:b w:val="false"/>
          <w:i/>
          <w:sz w:val="24"/>
        </w:rPr>
        <w:t>Conforming Changes</w:t>
      </w:r>
      <w:r>
        <w:rPr>
          <w:rFonts w:ascii="Times New Roman" w:hAnsi="Times New Roman"/>
          <w:sz w:val="20"/>
        </w:rPr>
        <w:t xml:space="preserve">” </w:t>
      </w:r>
      <w:r>
        <w:rPr>
          <w:rFonts w:ascii="Times New Roman;serif" w:hAnsi="Times New Roman;serif"/>
          <w:b w:val="false"/>
          <w:sz w:val="24"/>
        </w:rPr>
        <w:t>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reasonably determines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reasonably determines (in consultation with the Borrower that adoption of any portion of such market practice is not administratively feasible or if the Administrative Agent determines that no market practice for the administration of any such rate exists, in such other manner of administration as the Administrative Agent reasonably determines (in consultation with the Borrower) is reasonably necessary in connection with the administration of this Agreement and the other Loan Documents).</w:t>
      </w:r>
    </w:p>
    <w:p>
      <w:pPr>
        <w:pStyle w:val="TextBody"/>
        <w:bidi w:val="0"/>
        <w:spacing w:before="280" w:after="0"/>
        <w:jc w:val="both"/>
        <w:rPr/>
      </w:pPr>
      <w:r>
        <w:rPr/>
        <w:t>“</w:t>
      </w:r>
      <w:r>
        <w:rPr>
          <w:rFonts w:ascii="Times New Roman;serif" w:hAnsi="Times New Roman;serif"/>
          <w:b w:val="false"/>
          <w:i/>
          <w:sz w:val="24"/>
        </w:rPr>
        <w:t xml:space="preserve">Connection Income Taxes” </w:t>
      </w:r>
      <w:r>
        <w:rPr>
          <w:rFonts w:ascii="Times New Roman;serif" w:hAnsi="Times New Roman;serif"/>
          <w:b w:val="false"/>
          <w:sz w:val="24"/>
        </w:rPr>
        <w:t>means Other Connection Taxes that are imposed on or measured by net income (however denominated) or that are franchise Taxes or branch profits Taxes.</w:t>
      </w:r>
    </w:p>
    <w:p>
      <w:pPr>
        <w:pStyle w:val="TextBody"/>
        <w:bidi w:val="0"/>
        <w:spacing w:before="0" w:after="0"/>
        <w:jc w:val="center"/>
        <w:rPr/>
      </w:pPr>
      <w:r>
        <w:rPr/>
        <w:noBreakHyphen/>
      </w:r>
      <w:r>
        <w:rPr>
          <w:rFonts w:ascii="Times New Roman;serif" w:hAnsi="Times New Roman;serif"/>
          <w:b w:val="false"/>
          <w:sz w:val="24"/>
        </w:rPr>
        <w:t>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Contracts”</w:t>
      </w:r>
      <w:r>
        <w:rPr>
          <w:rFonts w:ascii="Times New Roman" w:hAnsi="Times New Roman"/>
          <w:sz w:val="20"/>
        </w:rPr>
        <w:t xml:space="preserve"> </w:t>
      </w:r>
      <w:r>
        <w:rPr>
          <w:rFonts w:ascii="Times New Roman;serif" w:hAnsi="Times New Roman;serif"/>
          <w:b w:val="false"/>
          <w:sz w:val="24"/>
        </w:rPr>
        <w:t>means any contract, license, instrument,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 excluding the Loan Documents.</w:t>
      </w:r>
    </w:p>
    <w:p>
      <w:pPr>
        <w:pStyle w:val="TextBody"/>
        <w:bidi w:val="0"/>
        <w:spacing w:before="280" w:after="0"/>
        <w:jc w:val="both"/>
        <w:rPr/>
      </w:pPr>
      <w:r>
        <w:rPr/>
        <w:t>“</w:t>
      </w:r>
      <w:r>
        <w:rPr>
          <w:rFonts w:ascii="Times New Roman;serif" w:hAnsi="Times New Roman;serif"/>
          <w:b w:val="false"/>
          <w:i/>
          <w:sz w:val="24"/>
        </w:rPr>
        <w:t>Control”</w:t>
      </w:r>
      <w:r>
        <w:rPr>
          <w:rFonts w:ascii="Times New Roman" w:hAnsi="Times New Roman"/>
          <w:sz w:val="20"/>
        </w:rPr>
        <w:t xml:space="preserve"> </w:t>
      </w:r>
      <w:r>
        <w:rPr>
          <w:rFonts w:ascii="Times New Roman;serif" w:hAnsi="Times New Roman;serif"/>
          <w:b w:val="false"/>
          <w:sz w:val="24"/>
        </w:rPr>
        <w:t>means, in respect of a particular Person, the possession, directly or indirectly, of the power to direct or cause the direction of the management or policies of such Person, whether through the ability to exercise voting power, by contract or otherwise. “</w:t>
      </w:r>
      <w:r>
        <w:rPr>
          <w:rFonts w:ascii="Times New Roman;serif" w:hAnsi="Times New Roman;serif"/>
          <w:b w:val="false"/>
          <w:i/>
          <w:sz w:val="24"/>
        </w:rPr>
        <w:t>Controlling</w:t>
      </w:r>
      <w:r>
        <w:rPr>
          <w:rFonts w:ascii="Times New Roman" w:hAnsi="Times New Roman"/>
          <w:sz w:val="20"/>
        </w:rPr>
        <w:t xml:space="preserve">” </w:t>
      </w:r>
      <w:r>
        <w:rPr>
          <w:rFonts w:ascii="Times New Roman;serif" w:hAnsi="Times New Roman;serif"/>
          <w:b w:val="false"/>
          <w:sz w:val="24"/>
        </w:rPr>
        <w:t>and “</w:t>
      </w:r>
      <w:r>
        <w:rPr>
          <w:rFonts w:ascii="Times New Roman;serif" w:hAnsi="Times New Roman;serif"/>
          <w:b w:val="false"/>
          <w:i/>
          <w:sz w:val="24"/>
        </w:rPr>
        <w:t>Controlled</w:t>
      </w:r>
      <w:r>
        <w:rPr>
          <w:rFonts w:ascii="Times New Roman" w:hAnsi="Times New Roman"/>
          <w:sz w:val="20"/>
        </w:rPr>
        <w:t xml:space="preserve">” </w:t>
      </w:r>
      <w:r>
        <w:rPr>
          <w:rFonts w:ascii="Times New Roman;serif" w:hAnsi="Times New Roman;serif"/>
          <w:b w:val="false"/>
          <w:sz w:val="24"/>
        </w:rPr>
        <w:t>have meanings correlative thereto.</w:t>
      </w:r>
    </w:p>
    <w:p>
      <w:pPr>
        <w:pStyle w:val="TextBody"/>
        <w:bidi w:val="0"/>
        <w:spacing w:before="280" w:after="0"/>
        <w:jc w:val="both"/>
        <w:rPr/>
      </w:pPr>
      <w:r>
        <w:rPr/>
        <w:t>“</w:t>
      </w:r>
      <w:r>
        <w:rPr>
          <w:rFonts w:ascii="Times New Roman;serif" w:hAnsi="Times New Roman;serif"/>
          <w:b w:val="false"/>
          <w:i/>
          <w:sz w:val="24"/>
        </w:rPr>
        <w:t>Controlled Account”</w:t>
      </w:r>
      <w:r>
        <w:rPr>
          <w:rFonts w:ascii="Times New Roman" w:hAnsi="Times New Roman"/>
          <w:sz w:val="20"/>
        </w:rPr>
        <w:t xml:space="preserve"> </w:t>
      </w:r>
      <w:r>
        <w:rPr>
          <w:rFonts w:ascii="Times New Roman;serif" w:hAnsi="Times New Roman;serif"/>
          <w:b w:val="false"/>
          <w:sz w:val="24"/>
        </w:rPr>
        <w:t>has the meaning set forth in Section 8.17(a).</w:t>
      </w:r>
    </w:p>
    <w:p>
      <w:pPr>
        <w:pStyle w:val="TextBody"/>
        <w:bidi w:val="0"/>
        <w:spacing w:before="280" w:after="0"/>
        <w:jc w:val="both"/>
        <w:rPr/>
      </w:pPr>
      <w:r>
        <w:rPr/>
        <w:t>“</w:t>
      </w:r>
      <w:r>
        <w:rPr>
          <w:rFonts w:ascii="Times New Roman;serif" w:hAnsi="Times New Roman;serif"/>
          <w:b w:val="false"/>
          <w:i/>
          <w:sz w:val="24"/>
        </w:rPr>
        <w:t>Copyrights”</w:t>
      </w:r>
      <w:r>
        <w:rPr>
          <w:rFonts w:ascii="Times New Roman" w:hAnsi="Times New Roman"/>
          <w:sz w:val="20"/>
        </w:rPr>
        <w:t xml:space="preserve"> </w:t>
      </w:r>
      <w:r>
        <w:rPr>
          <w:rFonts w:ascii="Times New Roman;serif" w:hAnsi="Times New Roman;serif"/>
          <w:b w:val="false"/>
          <w:sz w:val="24"/>
        </w:rPr>
        <w:t>has the meaning set forth in the Security Agreement.</w:t>
      </w:r>
    </w:p>
    <w:p>
      <w:pPr>
        <w:pStyle w:val="TextBody"/>
        <w:bidi w:val="0"/>
        <w:spacing w:before="280" w:after="0"/>
        <w:jc w:val="both"/>
        <w:rPr/>
      </w:pPr>
      <w:r>
        <w:rPr/>
        <w:t>“</w:t>
      </w:r>
      <w:r>
        <w:rPr>
          <w:rFonts w:ascii="Times New Roman;serif" w:hAnsi="Times New Roman;serif"/>
          <w:b w:val="false"/>
          <w:i/>
          <w:sz w:val="24"/>
        </w:rPr>
        <w:t>Daily Simple SOFR</w:t>
      </w:r>
      <w:r>
        <w:rPr>
          <w:rFonts w:ascii="Times New Roman" w:hAnsi="Times New Roman"/>
          <w:sz w:val="20"/>
        </w:rPr>
        <w:t xml:space="preserve">” </w:t>
      </w:r>
      <w:r>
        <w:rPr>
          <w:rFonts w:ascii="Times New Roman;serif" w:hAnsi="Times New Roman;serif"/>
          <w:b w:val="false"/>
          <w:sz w:val="24"/>
        </w:rPr>
        <w:t xml:space="preserve">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 xml:space="preserve">that, any SOFR determined pursuant to this sentence shall be utilized for purposes of calculation of Daily Simple SOFR for no more than three (3) consecutive SOFR Rate Days; </w:t>
      </w:r>
      <w:r>
        <w:rPr>
          <w:rFonts w:ascii="Times New Roman;serif" w:hAnsi="Times New Roman;serif"/>
          <w:b w:val="false"/>
          <w:i/>
          <w:sz w:val="24"/>
        </w:rPr>
        <w:t>provided further</w:t>
      </w:r>
      <w:r>
        <w:rPr>
          <w:rFonts w:ascii="Times New Roman;serif" w:hAnsi="Times New Roman;serif"/>
          <w:b w:val="false"/>
          <w:sz w:val="24"/>
        </w:rPr>
        <w:t>, Daily Simple SOFR shall be rounded upwards to the next 1/100% (if necessary). Any change in Daily Simple SOFR due to a change in SOFR shall be effective from and including the effective date of such change in SOFR without notice to the Borrower.</w:t>
      </w:r>
    </w:p>
    <w:p>
      <w:pPr>
        <w:pStyle w:val="TextBody"/>
        <w:bidi w:val="0"/>
        <w:spacing w:before="280" w:after="0"/>
        <w:jc w:val="both"/>
        <w:rPr/>
      </w:pPr>
      <w:r>
        <w:rPr/>
        <w:t>“</w:t>
      </w:r>
      <w:r>
        <w:rPr>
          <w:rFonts w:ascii="Times New Roman;serif" w:hAnsi="Times New Roman;serif"/>
          <w:b w:val="false"/>
          <w:i/>
          <w:sz w:val="24"/>
        </w:rPr>
        <w:t>Default”</w:t>
      </w:r>
      <w:r>
        <w:rPr>
          <w:rFonts w:ascii="Times New Roman" w:hAnsi="Times New Roman"/>
          <w:sz w:val="20"/>
        </w:rPr>
        <w:t xml:space="preserve"> </w:t>
      </w:r>
      <w:r>
        <w:rPr>
          <w:rFonts w:ascii="Times New Roman;serif" w:hAnsi="Times New Roman;serif"/>
          <w:b w:val="false"/>
          <w:sz w:val="24"/>
        </w:rPr>
        <w:t>means any Event of Default and any event that, upon the giving of notice, the lapse of time or both, would constitute an Event of Default.</w:t>
      </w:r>
    </w:p>
    <w:p>
      <w:pPr>
        <w:pStyle w:val="TextBody"/>
        <w:bidi w:val="0"/>
        <w:spacing w:before="280" w:after="0"/>
        <w:jc w:val="both"/>
        <w:rPr/>
      </w:pPr>
      <w:r>
        <w:rPr/>
        <w:t>“</w:t>
      </w:r>
      <w:r>
        <w:rPr>
          <w:rFonts w:ascii="Times New Roman;serif" w:hAnsi="Times New Roman;serif"/>
          <w:b w:val="false"/>
          <w:i/>
          <w:sz w:val="24"/>
        </w:rPr>
        <w:t>Default Rate”</w:t>
      </w:r>
      <w:r>
        <w:rPr>
          <w:rFonts w:ascii="Times New Roman" w:hAnsi="Times New Roman"/>
          <w:sz w:val="20"/>
        </w:rPr>
        <w:t xml:space="preserve"> </w:t>
      </w:r>
      <w:r>
        <w:rPr>
          <w:rFonts w:ascii="Times New Roman;serif" w:hAnsi="Times New Roman;serif"/>
          <w:b w:val="false"/>
          <w:sz w:val="24"/>
        </w:rPr>
        <w:t>has the meaning set forth in Section 3.02(d).</w:t>
      </w:r>
    </w:p>
    <w:p>
      <w:pPr>
        <w:pStyle w:val="TextBody"/>
        <w:bidi w:val="0"/>
        <w:spacing w:before="280" w:after="0"/>
        <w:jc w:val="both"/>
        <w:rPr/>
      </w:pPr>
      <w:r>
        <w:rPr/>
        <w:t>“</w:t>
      </w:r>
      <w:r>
        <w:rPr>
          <w:rFonts w:ascii="Times New Roman;serif" w:hAnsi="Times New Roman;serif"/>
          <w:b w:val="false"/>
          <w:i/>
          <w:sz w:val="24"/>
        </w:rPr>
        <w:t>Deposit Account”</w:t>
      </w:r>
      <w:r>
        <w:rPr>
          <w:rFonts w:ascii="Times New Roman" w:hAnsi="Times New Roman"/>
          <w:sz w:val="20"/>
        </w:rPr>
        <w:t xml:space="preserve"> </w:t>
      </w:r>
      <w:r>
        <w:rPr>
          <w:rFonts w:ascii="Times New Roman;serif" w:hAnsi="Times New Roman;serif"/>
          <w:b w:val="false"/>
          <w:sz w:val="24"/>
        </w:rPr>
        <w:t>has the meaning set forth in the Security Agreement.</w:t>
      </w:r>
    </w:p>
    <w:p>
      <w:pPr>
        <w:pStyle w:val="TextBody"/>
        <w:bidi w:val="0"/>
        <w:spacing w:before="280" w:after="0"/>
        <w:jc w:val="both"/>
        <w:rPr/>
      </w:pPr>
      <w:r>
        <w:rPr/>
        <w:t>“</w:t>
      </w:r>
      <w:r>
        <w:rPr>
          <w:rFonts w:ascii="Times New Roman;serif" w:hAnsi="Times New Roman;serif"/>
          <w:b w:val="false"/>
          <w:i/>
          <w:sz w:val="24"/>
        </w:rPr>
        <w:t>Designated Person”</w:t>
      </w:r>
      <w:r>
        <w:rPr>
          <w:rFonts w:ascii="Times New Roman" w:hAnsi="Times New Roman"/>
          <w:sz w:val="20"/>
        </w:rPr>
        <w:t xml:space="preserve"> </w:t>
      </w:r>
      <w:r>
        <w:rPr>
          <w:rFonts w:ascii="Times New Roman;serif" w:hAnsi="Times New Roman;serif"/>
          <w:b w:val="false"/>
          <w:sz w:val="24"/>
        </w:rPr>
        <w:t>means a person or entity:</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listed in the annex to, or otherwise targeted by the provisions of, the Executive Order;</w:t>
      </w:r>
    </w:p>
    <w:p>
      <w:pPr>
        <w:pStyle w:val="TextBody"/>
        <w:bidi w:val="0"/>
        <w:spacing w:before="0" w:after="0"/>
        <w:jc w:val="center"/>
        <w:rPr/>
      </w:pPr>
      <w:r>
        <w:rPr/>
        <w:noBreakHyphen/>
      </w:r>
      <w:r>
        <w:rPr>
          <w:rFonts w:ascii="Times New Roman;serif" w:hAnsi="Times New Roman;serif"/>
          <w:b w:val="false"/>
          <w:sz w:val="24"/>
        </w:rPr>
        <w:t>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named as a “Specially Designated National and Blocked Person” on the most current list published by OFAC at its official website or any replacement website or other replacement official publication of such list; or</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with which the Lenders are prohibited from dealing or otherwise engaging in any transaction by any Economic Sanctions Laws.</w:t>
      </w:r>
    </w:p>
    <w:p>
      <w:pPr>
        <w:pStyle w:val="TextBody"/>
        <w:bidi w:val="0"/>
        <w:spacing w:before="280" w:after="0"/>
        <w:jc w:val="both"/>
        <w:rPr/>
      </w:pPr>
      <w:r>
        <w:rPr/>
        <w:t>“</w:t>
      </w:r>
      <w:r>
        <w:rPr>
          <w:rFonts w:ascii="Times New Roman;serif" w:hAnsi="Times New Roman;serif"/>
          <w:b w:val="false"/>
          <w:i/>
          <w:sz w:val="24"/>
        </w:rPr>
        <w:t>Device”</w:t>
      </w:r>
      <w:r>
        <w:rPr>
          <w:rFonts w:ascii="Times New Roman" w:hAnsi="Times New Roman"/>
          <w:sz w:val="20"/>
        </w:rPr>
        <w:t xml:space="preserve"> </w:t>
      </w:r>
      <w:r>
        <w:rPr>
          <w:rFonts w:ascii="Times New Roman;serif" w:hAnsi="Times New Roman;serif"/>
          <w:b w:val="false"/>
          <w:sz w:val="24"/>
        </w:rPr>
        <w:t>means any instrument, apparatus, implement, machine, contrivance, implant, in vitro reagent or other similar or related article, including any component, part or accessory that meets the definition of “device” as set forth in Section 201 of the FD&amp;C Act, as limited by other provisions therein, including but not limited to Section 520 of the FD&amp;C Act, developed by the Obligors.</w:t>
      </w:r>
    </w:p>
    <w:p>
      <w:pPr>
        <w:pStyle w:val="TextBody"/>
        <w:bidi w:val="0"/>
        <w:spacing w:before="280" w:after="0"/>
        <w:jc w:val="both"/>
        <w:rPr/>
      </w:pPr>
      <w:r>
        <w:rPr/>
        <w:t>“</w:t>
      </w:r>
      <w:r>
        <w:rPr>
          <w:rFonts w:ascii="Times New Roman;serif" w:hAnsi="Times New Roman;serif"/>
          <w:b w:val="false"/>
          <w:i/>
          <w:sz w:val="24"/>
        </w:rPr>
        <w:t>Device Clearance Application”</w:t>
      </w:r>
      <w:r>
        <w:rPr>
          <w:rFonts w:ascii="Times New Roman" w:hAnsi="Times New Roman"/>
          <w:sz w:val="20"/>
        </w:rPr>
        <w:t xml:space="preserve"> </w:t>
      </w:r>
      <w:r>
        <w:rPr>
          <w:rFonts w:ascii="Times New Roman;serif" w:hAnsi="Times New Roman;serif"/>
          <w:b w:val="false"/>
          <w:sz w:val="24"/>
        </w:rPr>
        <w:t xml:space="preserve">means (i) any premarket approval application submitted under Section 515 of the FD&amp;C Act (21 U.S.C. § 360e) (a </w:t>
      </w:r>
      <w:r>
        <w:rPr>
          <w:rFonts w:ascii="Times New Roman" w:hAnsi="Times New Roman"/>
          <w:sz w:val="20"/>
        </w:rPr>
        <w:t>“</w:t>
      </w:r>
      <w:r>
        <w:rPr>
          <w:rFonts w:ascii="Times New Roman;serif" w:hAnsi="Times New Roman;serif"/>
          <w:b w:val="false"/>
          <w:i/>
          <w:sz w:val="24"/>
        </w:rPr>
        <w:t>PMA”</w:t>
      </w:r>
      <w:r>
        <w:rPr>
          <w:rFonts w:ascii="Times New Roman;serif" w:hAnsi="Times New Roman;serif"/>
          <w:b w:val="false"/>
          <w:sz w:val="24"/>
        </w:rPr>
        <w:t xml:space="preserve">), (ii) any de novo request submitted under Section 513(f) of the FD&amp;C Act (21 U.S.C. § 360c(f)), (iii) any 510(k) submitted under Section 510(k) of the FD&amp;C Act (21 U.S.C. § 360(k)) seeking clearance from the FDA for a Device that is substantially equivalent to a legally marketed predicate Device, as defined in the FD&amp;C Act (a </w:t>
      </w:r>
      <w:r>
        <w:rPr>
          <w:rFonts w:ascii="Times New Roman" w:hAnsi="Times New Roman"/>
          <w:sz w:val="20"/>
        </w:rPr>
        <w:t>“</w:t>
      </w:r>
      <w:r>
        <w:rPr>
          <w:rFonts w:ascii="Times New Roman;serif" w:hAnsi="Times New Roman;serif"/>
          <w:b w:val="false"/>
          <w:i/>
          <w:sz w:val="24"/>
        </w:rPr>
        <w:t>510(k)”</w:t>
      </w:r>
      <w:r>
        <w:rPr>
          <w:rFonts w:ascii="Times New Roman;serif" w:hAnsi="Times New Roman;serif"/>
          <w:b w:val="false"/>
          <w:sz w:val="24"/>
        </w:rPr>
        <w:t>), (iv) any corresponding or substantially equivalent notification, application or clearance of a non</w:t>
        <w:noBreakHyphen/>
        <w:t>U.S. Regulatory Authority including, with respect to the European Union, any equivalent submission to a Standard Body pursuant to an applicable directive of the European Council with respect to CE marking (or, if applicable, a self</w:t>
        <w:noBreakHyphen/>
        <w:t>certification of conformity with respect to any such directive through a “declaration of conformity”), and (v) all amendments, variations, extension and renewals of any of the foregoing.</w:t>
      </w:r>
    </w:p>
    <w:p>
      <w:pPr>
        <w:pStyle w:val="TextBody"/>
        <w:bidi w:val="0"/>
        <w:spacing w:before="280" w:after="0"/>
        <w:jc w:val="both"/>
        <w:rPr/>
      </w:pPr>
      <w:r>
        <w:rPr/>
        <w:t>“</w:t>
      </w:r>
      <w:r>
        <w:rPr>
          <w:rFonts w:ascii="Times New Roman;serif" w:hAnsi="Times New Roman;serif"/>
          <w:b w:val="false"/>
          <w:i/>
          <w:sz w:val="24"/>
        </w:rPr>
        <w:t>Disqualified Equity Interests”</w:t>
      </w:r>
      <w:r>
        <w:rPr>
          <w:rFonts w:ascii="Times New Roman" w:hAnsi="Times New Roman"/>
          <w:sz w:val="20"/>
        </w:rPr>
        <w:t xml:space="preserve"> </w:t>
      </w:r>
      <w:r>
        <w:rPr>
          <w:rFonts w:ascii="Times New Roman;serif" w:hAnsi="Times New Roman;serif"/>
          <w:b w:val="false"/>
          <w:sz w:val="24"/>
        </w:rPr>
        <w:t xml:space="preserve">means, with respect to any Person, any Equity Interest of such Person that, by its terms (or by the terms of any security or other Equity Interest into which it is convertible or for which it is exchangeable upon exercise or otherwise), or upon the happening of any event or condition (i) matures or is mandatorily redeemable (other than solely for Qualified Equity Interests), including pursuant to a sinking fund obligation or otherwise, (ii) is redeemable at the option of the holder thereof (other than solely for Qualified Equity Interests), in whole or in part, (iii) provides for the scheduled payments of dividends or other distributions in cash or other securities that would constitute Disqualified Equity Interests, or (iv) is or becomes convertible into or exchangeable for Indebtedness or any other Equity Interests that would constitute Disqualified Equity Interests, in each case, prior to the date that is one hundred and eighty (180) days after the Stated Maturity Date;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pStyle w:val="TextBody"/>
        <w:bidi w:val="0"/>
        <w:spacing w:before="280" w:after="0"/>
        <w:jc w:val="both"/>
        <w:rPr/>
      </w:pPr>
      <w:r>
        <w:rPr/>
        <w:t>“</w:t>
      </w:r>
      <w:r>
        <w:rPr>
          <w:rFonts w:ascii="Times New Roman;serif" w:hAnsi="Times New Roman;serif"/>
          <w:b w:val="false"/>
          <w:i/>
          <w:sz w:val="24"/>
        </w:rPr>
        <w:t>Disqualified Lender</w:t>
      </w:r>
      <w:r>
        <w:rPr>
          <w:rFonts w:ascii="Times New Roman" w:hAnsi="Times New Roman"/>
          <w:sz w:val="20"/>
        </w:rPr>
        <w:t xml:space="preserve">” </w:t>
      </w:r>
      <w:r>
        <w:rPr>
          <w:rFonts w:ascii="Times New Roman;serif" w:hAnsi="Times New Roman;serif"/>
          <w:b w:val="false"/>
          <w:sz w:val="24"/>
        </w:rPr>
        <w:t>means (a) any Person identified to the Administrative Agent in writing on or prior to the Closing Date who in the reasonable estimation of the Borrower are (i) direct competitors of the Borrower, (ii) vulture funds or (iii) distressed debt funds, (b) any other Person identified by name in writing to the Administrative Agent after the Closing Date to the</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extent such Person is or becomes a competitor of Borrower or its Subsidiaries, (c) any other Person identified by name in writing to the Administrative Agent after the Closing Date to extent the Borrower reasonably determines in consultation with the Administrative Agent that such Person is a (i) vulture fund or (ii) distressed fund, and (d) any Affiliate of any Person referred to in clauses (a) through (c) above (other than bona fide fixed income investors or debt funds that are Affiliates of competitors, vulture funds or distressed debt funds).</w:t>
      </w:r>
    </w:p>
    <w:p>
      <w:pPr>
        <w:pStyle w:val="TextBody"/>
        <w:bidi w:val="0"/>
        <w:spacing w:before="280" w:after="0"/>
        <w:jc w:val="both"/>
        <w:rPr/>
      </w:pPr>
      <w:r>
        <w:rPr/>
        <w:t>“</w:t>
      </w:r>
      <w:r>
        <w:rPr>
          <w:rFonts w:ascii="Times New Roman;serif" w:hAnsi="Times New Roman;serif"/>
          <w:b w:val="false"/>
          <w:i/>
          <w:sz w:val="24"/>
        </w:rPr>
        <w:t>Dollars”</w:t>
      </w:r>
      <w:r>
        <w:rPr>
          <w:rFonts w:ascii="Times New Roman" w:hAnsi="Times New Roman"/>
          <w:sz w:val="20"/>
        </w:rPr>
        <w:t xml:space="preserve"> </w:t>
      </w:r>
      <w:r>
        <w:rPr>
          <w:rFonts w:ascii="Times New Roman;serif" w:hAnsi="Times New Roman;serif"/>
          <w:b w:val="false"/>
          <w:sz w:val="24"/>
        </w:rPr>
        <w:t xml:space="preserve">and </w:t>
      </w:r>
      <w:r>
        <w:rPr>
          <w:rFonts w:ascii="Times New Roman" w:hAnsi="Times New Roman"/>
          <w:sz w:val="20"/>
        </w:rPr>
        <w:t>“</w:t>
      </w:r>
      <w:r>
        <w:rPr>
          <w:rFonts w:ascii="Times New Roman;serif" w:hAnsi="Times New Roman;serif"/>
          <w:b w:val="false"/>
          <w:i/>
          <w:sz w:val="24"/>
        </w:rPr>
        <w:t>$”</w:t>
      </w:r>
      <w:r>
        <w:rPr>
          <w:rFonts w:ascii="Times New Roman" w:hAnsi="Times New Roman"/>
          <w:sz w:val="20"/>
        </w:rPr>
        <w:t xml:space="preserve"> </w:t>
      </w:r>
      <w:r>
        <w:rPr>
          <w:rFonts w:ascii="Times New Roman;serif" w:hAnsi="Times New Roman;serif"/>
          <w:b w:val="false"/>
          <w:sz w:val="24"/>
        </w:rPr>
        <w:t>means lawful money of the United States of America.</w:t>
      </w:r>
    </w:p>
    <w:p>
      <w:pPr>
        <w:pStyle w:val="TextBody"/>
        <w:bidi w:val="0"/>
        <w:spacing w:before="280" w:after="0"/>
        <w:jc w:val="both"/>
        <w:rPr/>
      </w:pPr>
      <w:r>
        <w:rPr/>
        <w:t>“</w:t>
      </w:r>
      <w:r>
        <w:rPr>
          <w:rFonts w:ascii="Times New Roman;serif" w:hAnsi="Times New Roman;serif"/>
          <w:b w:val="false"/>
          <w:i/>
          <w:sz w:val="24"/>
        </w:rPr>
        <w:t>Economic Sanctions Laws”</w:t>
      </w:r>
      <w:r>
        <w:rPr>
          <w:rFonts w:ascii="Times New Roman" w:hAnsi="Times New Roman"/>
          <w:sz w:val="20"/>
        </w:rPr>
        <w:t xml:space="preserve"> </w:t>
      </w:r>
      <w:r>
        <w:rPr>
          <w:rFonts w:ascii="Times New Roman;serif" w:hAnsi="Times New Roman;serif"/>
          <w:b w:val="false"/>
          <w:sz w:val="24"/>
        </w:rPr>
        <w:t xml:space="preserve">means: (a) the Executive Order, the </w:t>
      </w:r>
      <w:r>
        <w:rPr>
          <w:rFonts w:ascii="Times New Roman;serif" w:hAnsi="Times New Roman;serif"/>
          <w:b w:val="false"/>
          <w:i/>
          <w:sz w:val="24"/>
        </w:rPr>
        <w:t>International Emergency Economic Powers Act</w:t>
      </w:r>
      <w:r>
        <w:rPr>
          <w:rFonts w:ascii="Times New Roman" w:hAnsi="Times New Roman"/>
          <w:sz w:val="20"/>
        </w:rPr>
        <w:t xml:space="preserve"> </w:t>
      </w:r>
      <w:r>
        <w:rPr>
          <w:rFonts w:ascii="Times New Roman;serif" w:hAnsi="Times New Roman;serif"/>
          <w:b w:val="false"/>
          <w:sz w:val="24"/>
        </w:rPr>
        <w:t xml:space="preserve">(50 U.S.C. §§ 1701 </w:t>
      </w:r>
      <w:r>
        <w:rPr>
          <w:rFonts w:ascii="Times New Roman;serif" w:hAnsi="Times New Roman;serif"/>
          <w:b w:val="false"/>
          <w:i/>
          <w:sz w:val="24"/>
        </w:rPr>
        <w:t>et seq.</w:t>
      </w:r>
      <w:r>
        <w:rPr>
          <w:rFonts w:ascii="Times New Roman;serif" w:hAnsi="Times New Roman;serif"/>
          <w:b w:val="false"/>
          <w:sz w:val="24"/>
        </w:rPr>
        <w:t xml:space="preserve">), the </w:t>
      </w:r>
      <w:r>
        <w:rPr>
          <w:rFonts w:ascii="Times New Roman;serif" w:hAnsi="Times New Roman;serif"/>
          <w:b w:val="false"/>
          <w:i/>
          <w:sz w:val="24"/>
        </w:rPr>
        <w:t>Trading with the Enemy Act</w:t>
      </w:r>
      <w:r>
        <w:rPr>
          <w:rFonts w:ascii="Times New Roman" w:hAnsi="Times New Roman"/>
          <w:sz w:val="20"/>
        </w:rPr>
        <w:t xml:space="preserve"> </w:t>
      </w:r>
      <w:r>
        <w:rPr>
          <w:rFonts w:ascii="Times New Roman;serif" w:hAnsi="Times New Roman;serif"/>
          <w:b w:val="false"/>
          <w:sz w:val="24"/>
        </w:rPr>
        <w:t xml:space="preserve">(50 U.S.C. App. §§ 1 </w:t>
      </w:r>
      <w:r>
        <w:rPr>
          <w:rFonts w:ascii="Times New Roman;serif" w:hAnsi="Times New Roman;serif"/>
          <w:b w:val="false"/>
          <w:i/>
          <w:sz w:val="24"/>
        </w:rPr>
        <w:t>et seq.</w:t>
      </w:r>
      <w:r>
        <w:rPr>
          <w:rFonts w:ascii="Times New Roman;serif" w:hAnsi="Times New Roman;serif"/>
          <w:b w:val="false"/>
          <w:sz w:val="24"/>
        </w:rPr>
        <w:t>), any other law or regulation promulgated thereunder from time to time and administered by OFAC and any similar law enacted in the United States after the date of this Agreement; and (b) any other similar applicable law now or hereafter enacted in any other applicable jurisdiction.</w:t>
      </w:r>
    </w:p>
    <w:p>
      <w:pPr>
        <w:pStyle w:val="TextBody"/>
        <w:bidi w:val="0"/>
        <w:spacing w:before="280" w:after="0"/>
        <w:jc w:val="both"/>
        <w:rPr/>
      </w:pPr>
      <w:r>
        <w:rPr/>
        <w:t>“</w:t>
      </w:r>
      <w:r>
        <w:rPr>
          <w:rFonts w:ascii="Times New Roman;serif" w:hAnsi="Times New Roman;serif"/>
          <w:b w:val="false"/>
          <w:i/>
          <w:sz w:val="24"/>
        </w:rPr>
        <w:t xml:space="preserve">EEA Financial Institution” </w:t>
      </w:r>
      <w:r>
        <w:rPr>
          <w:rFonts w:ascii="Times New Roman;serif" w:hAnsi="Times New Roman;serif"/>
          <w:b w:val="false"/>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280" w:after="0"/>
        <w:jc w:val="both"/>
        <w:rPr/>
      </w:pPr>
      <w:r>
        <w:rPr/>
        <w:t>“</w:t>
      </w:r>
      <w:r>
        <w:rPr>
          <w:rFonts w:ascii="Times New Roman;serif" w:hAnsi="Times New Roman;serif"/>
          <w:b w:val="false"/>
          <w:i/>
          <w:sz w:val="24"/>
        </w:rPr>
        <w:t xml:space="preserve">EEA Member Country” </w:t>
      </w:r>
      <w:r>
        <w:rPr>
          <w:rFonts w:ascii="Times New Roman;serif" w:hAnsi="Times New Roman;serif"/>
          <w:b w:val="false"/>
          <w:sz w:val="24"/>
        </w:rPr>
        <w:t>means any of the member states of the European Union, Iceland, Liechtenstein, and Norway.</w:t>
      </w:r>
    </w:p>
    <w:p>
      <w:pPr>
        <w:pStyle w:val="TextBody"/>
        <w:bidi w:val="0"/>
        <w:spacing w:before="280" w:after="0"/>
        <w:jc w:val="both"/>
        <w:rPr/>
      </w:pPr>
      <w:r>
        <w:rPr/>
        <w:t>“</w:t>
      </w:r>
      <w:r>
        <w:rPr>
          <w:rFonts w:ascii="Times New Roman;serif" w:hAnsi="Times New Roman;serif"/>
          <w:b w:val="false"/>
          <w:i/>
          <w:sz w:val="24"/>
        </w:rPr>
        <w:t>EEA Resolution Authority”</w:t>
      </w:r>
      <w:r>
        <w:rPr>
          <w:rFonts w:ascii="Times New Roman" w:hAnsi="Times New Roman"/>
          <w:sz w:val="20"/>
        </w:rPr>
        <w:t xml:space="preserve"> </w:t>
      </w:r>
      <w:r>
        <w:rPr>
          <w:rFonts w:ascii="Times New Roman;serif" w:hAnsi="Times New Roman;serif"/>
          <w:b w:val="false"/>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80" w:after="0"/>
        <w:jc w:val="both"/>
        <w:rPr/>
      </w:pPr>
      <w:r>
        <w:rPr/>
        <w:t>“</w:t>
      </w:r>
      <w:r>
        <w:rPr>
          <w:rFonts w:ascii="Times New Roman;serif" w:hAnsi="Times New Roman;serif"/>
          <w:b w:val="false"/>
          <w:i/>
          <w:sz w:val="24"/>
        </w:rPr>
        <w:t>Environmental Law”</w:t>
      </w:r>
      <w:r>
        <w:rPr>
          <w:rFonts w:ascii="Times New Roman" w:hAnsi="Times New Roman"/>
          <w:sz w:val="20"/>
        </w:rPr>
        <w:t xml:space="preserve"> </w:t>
      </w:r>
      <w:r>
        <w:rPr>
          <w:rFonts w:ascii="Times New Roman;serif" w:hAnsi="Times New Roman;serif"/>
          <w:b w:val="false"/>
          <w:sz w:val="24"/>
        </w:rPr>
        <w:t>means any federal, state, provincial or local governmental law, rule, regulation, order, writ, 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w:t>
      </w:r>
    </w:p>
    <w:p>
      <w:pPr>
        <w:pStyle w:val="TextBody"/>
        <w:bidi w:val="0"/>
        <w:spacing w:before="280" w:after="0"/>
        <w:jc w:val="both"/>
        <w:rPr/>
      </w:pPr>
      <w:r>
        <w:rPr/>
        <w:t>“</w:t>
      </w:r>
      <w:r>
        <w:rPr>
          <w:rFonts w:ascii="Times New Roman;serif" w:hAnsi="Times New Roman;serif"/>
          <w:b w:val="false"/>
          <w:i/>
          <w:sz w:val="24"/>
        </w:rPr>
        <w:t>Equity Interest”</w:t>
      </w:r>
      <w:r>
        <w:rPr>
          <w:rFonts w:ascii="Times New Roman" w:hAnsi="Times New Roman"/>
          <w:sz w:val="20"/>
        </w:rPr>
        <w:t xml:space="preserve"> </w:t>
      </w:r>
      <w:r>
        <w:rPr>
          <w:rFonts w:ascii="Times New Roman;serif" w:hAnsi="Times New Roman;serif"/>
          <w:b w:val="false"/>
          <w:sz w:val="24"/>
        </w:rPr>
        <w:t>means,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pStyle w:val="TextBody"/>
        <w:bidi w:val="0"/>
        <w:spacing w:before="280" w:after="0"/>
        <w:jc w:val="both"/>
        <w:rPr/>
      </w:pPr>
      <w:r>
        <w:rPr/>
        <w:t>“</w:t>
      </w:r>
      <w:r>
        <w:rPr>
          <w:rFonts w:ascii="Times New Roman;serif" w:hAnsi="Times New Roman;serif"/>
          <w:b w:val="false"/>
          <w:i/>
          <w:sz w:val="24"/>
        </w:rPr>
        <w:t>ERISA”</w:t>
      </w:r>
      <w:r>
        <w:rPr>
          <w:rFonts w:ascii="Times New Roman" w:hAnsi="Times New Roman"/>
          <w:sz w:val="20"/>
        </w:rPr>
        <w:t xml:space="preserve"> </w:t>
      </w:r>
      <w:r>
        <w:rPr>
          <w:rFonts w:ascii="Times New Roman;serif" w:hAnsi="Times New Roman;serif"/>
          <w:b w:val="false"/>
          <w:sz w:val="24"/>
        </w:rPr>
        <w:t>means the United States Employee Retirement Income Security Act of 1974, as amended.</w:t>
      </w:r>
    </w:p>
    <w:p>
      <w:pPr>
        <w:pStyle w:val="TextBody"/>
        <w:bidi w:val="0"/>
        <w:spacing w:before="0" w:after="0"/>
        <w:jc w:val="center"/>
        <w:rPr/>
      </w:pPr>
      <w:r>
        <w:rPr/>
        <w:noBreakHyphen/>
      </w:r>
      <w:r>
        <w:rPr>
          <w:rFonts w:ascii="Times New Roman;serif" w:hAnsi="Times New Roman;serif"/>
          <w:b w:val="false"/>
          <w:sz w:val="24"/>
        </w:rPr>
        <w:t>10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ERISA Affiliate”</w:t>
      </w:r>
      <w:r>
        <w:rPr>
          <w:rFonts w:ascii="Times New Roman" w:hAnsi="Times New Roman"/>
          <w:sz w:val="20"/>
        </w:rPr>
        <w:t xml:space="preserve"> </w:t>
      </w:r>
      <w:r>
        <w:rPr>
          <w:rFonts w:ascii="Times New Roman;serif" w:hAnsi="Times New Roman;serif"/>
          <w:b w:val="false"/>
          <w:sz w:val="24"/>
        </w:rPr>
        <w:t>means any Person that, as of the relevant time, would be considered a single employer with an Obligor pursuant to Section 414(b), (c), (m) or (o) of the Code.</w:t>
      </w:r>
    </w:p>
    <w:p>
      <w:pPr>
        <w:pStyle w:val="TextBody"/>
        <w:bidi w:val="0"/>
        <w:spacing w:before="280" w:after="0"/>
        <w:jc w:val="both"/>
        <w:rPr/>
      </w:pPr>
      <w:r>
        <w:rPr/>
        <w:t>“</w:t>
      </w:r>
      <w:r>
        <w:rPr>
          <w:rFonts w:ascii="Times New Roman;serif" w:hAnsi="Times New Roman;serif"/>
          <w:b w:val="false"/>
          <w:i/>
          <w:sz w:val="24"/>
        </w:rPr>
        <w:t>ERISA Event”</w:t>
      </w:r>
      <w:r>
        <w:rPr>
          <w:rFonts w:ascii="Times New Roman" w:hAnsi="Times New Roman"/>
          <w:sz w:val="20"/>
        </w:rPr>
        <w:t xml:space="preserve"> </w:t>
      </w:r>
      <w:r>
        <w:rPr>
          <w:rFonts w:ascii="Times New Roman;serif" w:hAnsi="Times New Roman;serif"/>
          <w:b w:val="false"/>
          <w:sz w:val="24"/>
        </w:rPr>
        <w:t>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 (c) 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 (d) with respect to a Title IV Plan or Multiemployer Plan, as applicable, the filing of a notice of intent to terminate, the treatment of a plan amendment as a termination under Section 4041 or 4041A of ERISA, or the commencement of proceedings by the PBGC to terminate such plan; (e) the failure by any Obligor (including a failure related to contingent liability on account of an ERISA Affiliate thereof) to make any required contribution to a Multiemployer Plan, or to meet the minimum funding standard of Section 412 of the Code with respect to any Title IV Plan or the failure to make by its due date a required installment under Section 430 of the Code with respect to any Title IV Plan; (f) the determination that any Title IV Plan is in “at</w:t>
        <w:noBreakHyphen/>
        <w: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w:t>
      </w:r>
    </w:p>
    <w:p>
      <w:pPr>
        <w:pStyle w:val="TextBody"/>
        <w:bidi w:val="0"/>
        <w:spacing w:before="280" w:after="0"/>
        <w:jc w:val="both"/>
        <w:rPr/>
      </w:pPr>
      <w:r>
        <w:rPr/>
        <w:t>“</w:t>
      </w:r>
      <w:r>
        <w:rPr>
          <w:rFonts w:ascii="Times New Roman;serif" w:hAnsi="Times New Roman;serif"/>
          <w:b w:val="false"/>
          <w:i/>
          <w:sz w:val="24"/>
        </w:rPr>
        <w:t>EU Bail</w:t>
        <w:noBreakHyphen/>
        <w:t xml:space="preserve">In Legislation Schedule” </w:t>
      </w:r>
      <w:r>
        <w:rPr>
          <w:rFonts w:ascii="Times New Roman;serif" w:hAnsi="Times New Roman;serif"/>
          <w:b w:val="false"/>
          <w:sz w:val="24"/>
        </w:rPr>
        <w:t>means the EU Bail</w:t>
        <w:noBreakHyphen/>
        <w:t>In Legislation Schedule published by the Loan Market Association (or any successor Person), as in effect from time to time.</w:t>
      </w:r>
    </w:p>
    <w:p>
      <w:pPr>
        <w:pStyle w:val="TextBody"/>
        <w:bidi w:val="0"/>
        <w:spacing w:before="280" w:after="0"/>
        <w:jc w:val="both"/>
        <w:rPr/>
      </w:pPr>
      <w:r>
        <w:rPr/>
        <w:t>“</w:t>
      </w:r>
      <w:r>
        <w:rPr>
          <w:rFonts w:ascii="Times New Roman;serif" w:hAnsi="Times New Roman;serif"/>
          <w:b w:val="false"/>
          <w:i/>
          <w:sz w:val="24"/>
        </w:rPr>
        <w:t>Event of Default”</w:t>
      </w:r>
      <w:r>
        <w:rPr>
          <w:rFonts w:ascii="Times New Roman" w:hAnsi="Times New Roman"/>
          <w:sz w:val="20"/>
        </w:rPr>
        <w:t xml:space="preserve"> </w:t>
      </w:r>
      <w:r>
        <w:rPr>
          <w:rFonts w:ascii="Times New Roman;serif" w:hAnsi="Times New Roman;serif"/>
          <w:b w:val="false"/>
          <w:sz w:val="24"/>
        </w:rPr>
        <w:t>has the meaning set forth in Section 10.01.</w:t>
      </w:r>
    </w:p>
    <w:p>
      <w:pPr>
        <w:pStyle w:val="TextBody"/>
        <w:bidi w:val="0"/>
        <w:spacing w:before="280" w:after="0"/>
        <w:jc w:val="both"/>
        <w:rPr/>
      </w:pPr>
      <w:r>
        <w:rPr/>
        <w:t>“</w:t>
      </w:r>
      <w:r>
        <w:rPr>
          <w:rFonts w:ascii="Times New Roman;serif" w:hAnsi="Times New Roman;serif"/>
          <w:b w:val="false"/>
          <w:i/>
          <w:sz w:val="24"/>
        </w:rPr>
        <w:t>Excess Funding Guarantor”</w:t>
      </w:r>
      <w:r>
        <w:rPr>
          <w:rFonts w:ascii="Times New Roman" w:hAnsi="Times New Roman"/>
          <w:sz w:val="20"/>
        </w:rPr>
        <w:t xml:space="preserve"> </w:t>
      </w:r>
      <w:r>
        <w:rPr>
          <w:rFonts w:ascii="Times New Roman;serif" w:hAnsi="Times New Roman;serif"/>
          <w:b w:val="false"/>
          <w:sz w:val="24"/>
        </w:rPr>
        <w:t>has the meaning set forth in Section 11.08.</w:t>
      </w:r>
    </w:p>
    <w:p>
      <w:pPr>
        <w:pStyle w:val="TextBody"/>
        <w:bidi w:val="0"/>
        <w:spacing w:before="280" w:after="0"/>
        <w:jc w:val="both"/>
        <w:rPr/>
      </w:pPr>
      <w:r>
        <w:rPr/>
        <w:t>“</w:t>
      </w:r>
      <w:r>
        <w:rPr>
          <w:rFonts w:ascii="Times New Roman;serif" w:hAnsi="Times New Roman;serif"/>
          <w:b w:val="false"/>
          <w:i/>
          <w:sz w:val="24"/>
        </w:rPr>
        <w:t>Excess Payment”</w:t>
      </w:r>
      <w:r>
        <w:rPr>
          <w:rFonts w:ascii="Times New Roman" w:hAnsi="Times New Roman"/>
          <w:sz w:val="20"/>
        </w:rPr>
        <w:t xml:space="preserve"> </w:t>
      </w:r>
      <w:r>
        <w:rPr>
          <w:rFonts w:ascii="Times New Roman;serif" w:hAnsi="Times New Roman;serif"/>
          <w:b w:val="false"/>
          <w:sz w:val="24"/>
        </w:rPr>
        <w:t>has the meaning set forth in Section 11.08.</w:t>
      </w:r>
    </w:p>
    <w:p>
      <w:pPr>
        <w:pStyle w:val="TextBody"/>
        <w:bidi w:val="0"/>
        <w:spacing w:before="280" w:after="0"/>
        <w:jc w:val="both"/>
        <w:rPr/>
      </w:pPr>
      <w:r>
        <w:rPr/>
        <w:t>“</w:t>
      </w:r>
      <w:r>
        <w:rPr>
          <w:rFonts w:ascii="Times New Roman;serif" w:hAnsi="Times New Roman;serif"/>
          <w:b w:val="false"/>
          <w:i/>
          <w:sz w:val="24"/>
        </w:rPr>
        <w:t>Exchange Act”</w:t>
      </w:r>
      <w:r>
        <w:rPr>
          <w:rFonts w:ascii="Times New Roman" w:hAnsi="Times New Roman"/>
          <w:sz w:val="20"/>
        </w:rPr>
        <w:t xml:space="preserve"> </w:t>
      </w:r>
      <w:r>
        <w:rPr>
          <w:rFonts w:ascii="Times New Roman;serif" w:hAnsi="Times New Roman;serif"/>
          <w:b w:val="false"/>
          <w:sz w:val="24"/>
        </w:rPr>
        <w:t>means the Securities Exchange Act of 1934, as amended, and the rules and regulations promulgated thereunder.</w:t>
      </w:r>
    </w:p>
    <w:p>
      <w:pPr>
        <w:pStyle w:val="TextBody"/>
        <w:bidi w:val="0"/>
        <w:spacing w:before="280" w:after="0"/>
        <w:jc w:val="both"/>
        <w:rPr/>
      </w:pPr>
      <w:r>
        <w:rPr/>
        <w:t>“</w:t>
      </w:r>
      <w:r>
        <w:rPr>
          <w:rFonts w:ascii="Times New Roman;serif" w:hAnsi="Times New Roman;serif"/>
          <w:b w:val="false"/>
          <w:i/>
          <w:sz w:val="24"/>
        </w:rPr>
        <w:t>Excluded Accounts”</w:t>
      </w:r>
      <w:r>
        <w:rPr>
          <w:rFonts w:ascii="Times New Roman" w:hAnsi="Times New Roman"/>
          <w:sz w:val="20"/>
        </w:rPr>
        <w:t xml:space="preserve"> </w:t>
      </w:r>
      <w:r>
        <w:rPr>
          <w:rFonts w:ascii="Times New Roman;serif" w:hAnsi="Times New Roman;serif"/>
          <w:b w:val="false"/>
          <w:sz w:val="24"/>
        </w:rPr>
        <w:t>means (a) Deposit Accounts exclusively used for payroll, payroll Taxes, other employee wage and benefit payments to or for the benefit of the employees of the Borrower and its Subsidiaries, (b) Deposit Accounts with aggregate balances of $250,000 or less at any time, (c) zero balance accounts, (d) any escrow account, trust account, or deposit account otherwise maintained solely for the benefit of third parties as cash collateral for obligations owing</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to such third parties or to establish or maintain escrow amounts for third-parties with aggregate balances of $100,000 or less at any time and (e) Segregated Health Care Accounts.</w:t>
      </w:r>
    </w:p>
    <w:p>
      <w:pPr>
        <w:pStyle w:val="TextBody"/>
        <w:bidi w:val="0"/>
        <w:spacing w:before="280" w:after="0"/>
        <w:jc w:val="both"/>
        <w:rPr/>
      </w:pPr>
      <w:r>
        <w:rPr/>
        <w:t>“</w:t>
      </w:r>
      <w:r>
        <w:rPr>
          <w:rFonts w:ascii="Times New Roman;serif" w:hAnsi="Times New Roman;serif"/>
          <w:b w:val="false"/>
          <w:i/>
          <w:sz w:val="24"/>
        </w:rPr>
        <w:t>Excluded Taxes”</w:t>
      </w:r>
      <w:r>
        <w:rPr>
          <w:rFonts w:ascii="Times New Roman" w:hAnsi="Times New Roman"/>
          <w:sz w:val="20"/>
        </w:rPr>
        <w:t xml:space="preserve"> </w:t>
      </w:r>
      <w:r>
        <w:rPr>
          <w:rFonts w:ascii="Times New Roman;serif" w:hAnsi="Times New Roman;serif"/>
          <w:b w:val="false"/>
          <w:sz w:val="24"/>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Lender to the extent that the obligation to withhold amounts existed on the date that (i) Lender became a “Lender” under this Agreement or (ii) Lender changes its lending office, except in each case to the extent Lender is a direct or indirect assignee of any other Lender that was entitled, at the time the assignment of such other Lender became effective, to receive additional amounts under Section 5.03 or Lender was entitled to receive additional amounts under Section 5.03 immediately before it changed its lending office, (c) any Taxes imposed in connection with FATCA, and (d) Taxes attributable to such Recipient’s failure to comply with Section 5.03(f).</w:t>
      </w:r>
    </w:p>
    <w:p>
      <w:pPr>
        <w:pStyle w:val="TextBody"/>
        <w:bidi w:val="0"/>
        <w:spacing w:before="280" w:after="0"/>
        <w:jc w:val="both"/>
        <w:rPr/>
      </w:pPr>
      <w:r>
        <w:rPr/>
        <w:t>“</w:t>
      </w:r>
      <w:r>
        <w:rPr>
          <w:rFonts w:ascii="Times New Roman;serif" w:hAnsi="Times New Roman;serif"/>
          <w:b w:val="false"/>
          <w:i/>
          <w:sz w:val="24"/>
        </w:rPr>
        <w:t>Executive Order”</w:t>
      </w:r>
      <w:r>
        <w:rPr>
          <w:rFonts w:ascii="Times New Roman" w:hAnsi="Times New Roman"/>
          <w:sz w:val="20"/>
        </w:rPr>
        <w:t xml:space="preserve"> </w:t>
      </w:r>
      <w:r>
        <w:rPr>
          <w:rFonts w:ascii="Times New Roman;serif" w:hAnsi="Times New Roman;serif"/>
          <w:b w:val="false"/>
          <w:sz w:val="24"/>
        </w:rPr>
        <w:t>means the US Executive Order No. 13224 on Blocking Property and Prohibiting Transactions with Persons who commit, Threaten to Commit, or Support Terrorism.</w:t>
      </w:r>
    </w:p>
    <w:p>
      <w:pPr>
        <w:pStyle w:val="TextBody"/>
        <w:bidi w:val="0"/>
        <w:spacing w:before="280" w:after="0"/>
        <w:jc w:val="both"/>
        <w:rPr/>
      </w:pPr>
      <w:r>
        <w:rPr/>
        <w:t>“</w:t>
      </w:r>
      <w:r>
        <w:rPr>
          <w:rFonts w:ascii="Times New Roman;serif" w:hAnsi="Times New Roman;serif"/>
          <w:b w:val="false"/>
          <w:i/>
          <w:sz w:val="24"/>
        </w:rPr>
        <w:t>Existing Credit Agreements</w:t>
      </w:r>
      <w:r>
        <w:rPr>
          <w:rFonts w:ascii="Times New Roman" w:hAnsi="Times New Roman"/>
          <w:sz w:val="20"/>
        </w:rPr>
        <w:t xml:space="preserve">” </w:t>
      </w:r>
      <w:r>
        <w:rPr>
          <w:rFonts w:ascii="Times New Roman;serif" w:hAnsi="Times New Roman;serif"/>
          <w:b w:val="false"/>
          <w:sz w:val="24"/>
        </w:rPr>
        <w:t>means (a) that certain Loan and Security Agreement, dated as of March 19, 2021, by and between Silicon Valley Bank and the Borrower and (b) that certain Securities Purchase Agreement, dated as of May 9, 2022, by and between the Borrower and Streeterville Capital, LLC, in each case, as may be amended, restated, amended and restated, supplemented or otherwise modified prior to the Funding Date.</w:t>
      </w:r>
    </w:p>
    <w:p>
      <w:pPr>
        <w:pStyle w:val="TextBody"/>
        <w:bidi w:val="0"/>
        <w:spacing w:before="280" w:after="0"/>
        <w:jc w:val="both"/>
        <w:rPr/>
      </w:pPr>
      <w:r>
        <w:rPr/>
        <w:t>“</w:t>
      </w:r>
      <w:r>
        <w:rPr>
          <w:rFonts w:ascii="Times New Roman;serif" w:hAnsi="Times New Roman;serif"/>
          <w:b w:val="false"/>
          <w:i/>
          <w:sz w:val="24"/>
        </w:rPr>
        <w:t>Expense Deposit”</w:t>
      </w:r>
      <w:r>
        <w:rPr>
          <w:rFonts w:ascii="Times New Roman" w:hAnsi="Times New Roman"/>
          <w:sz w:val="20"/>
        </w:rPr>
        <w:t xml:space="preserve"> </w:t>
      </w:r>
      <w:r>
        <w:rPr>
          <w:rFonts w:ascii="Times New Roman;serif" w:hAnsi="Times New Roman;serif"/>
          <w:b w:val="false"/>
          <w:sz w:val="24"/>
        </w:rPr>
        <w:t>means a cash deposit in the amount of $50,000 made by the Borrower to an Affiliate of Perceptive Advisors LLC pursuant to the Proposal Letter for the prepayment of the Lenders’ costs and expenses (payable pursuant to Section 13.03(a) and/or the Proposal Letter) incurred prior to the Closing Date.</w:t>
      </w:r>
    </w:p>
    <w:p>
      <w:pPr>
        <w:pStyle w:val="TextBody"/>
        <w:bidi w:val="0"/>
        <w:spacing w:before="280" w:after="0"/>
        <w:jc w:val="both"/>
        <w:rPr/>
      </w:pPr>
      <w:r>
        <w:rPr/>
        <w:t>“</w:t>
      </w:r>
      <w:r>
        <w:rPr>
          <w:rFonts w:ascii="Times New Roman;serif" w:hAnsi="Times New Roman;serif"/>
          <w:b w:val="false"/>
          <w:i/>
          <w:sz w:val="24"/>
        </w:rPr>
        <w:t>FATCA”</w:t>
      </w:r>
      <w:r>
        <w:rPr>
          <w:rFonts w:ascii="Times New Roman" w:hAnsi="Times New Roman"/>
          <w:sz w:val="20"/>
        </w:rPr>
        <w:t xml:space="preserve"> </w:t>
      </w:r>
      <w:r>
        <w:rPr>
          <w:rFonts w:ascii="Times New Roman;serif" w:hAnsi="Times New Roman;serif"/>
          <w:b w:val="false"/>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before="280" w:after="0"/>
        <w:jc w:val="both"/>
        <w:rPr/>
      </w:pPr>
      <w:r>
        <w:rPr/>
        <w:t>“</w:t>
      </w:r>
      <w:r>
        <w:rPr>
          <w:rFonts w:ascii="Times New Roman;serif" w:hAnsi="Times New Roman;serif"/>
          <w:b w:val="false"/>
          <w:i/>
          <w:sz w:val="24"/>
        </w:rPr>
        <w:t>FD&amp;C Act”</w:t>
      </w:r>
      <w:r>
        <w:rPr>
          <w:rFonts w:ascii="Times New Roman" w:hAnsi="Times New Roman"/>
          <w:sz w:val="20"/>
        </w:rPr>
        <w:t xml:space="preserve"> </w:t>
      </w:r>
      <w:r>
        <w:rPr>
          <w:rFonts w:ascii="Times New Roman;serif" w:hAnsi="Times New Roman;serif"/>
          <w:b w:val="false"/>
          <w:sz w:val="24"/>
        </w:rPr>
        <w:t>means the Federal Food, Drug and Cosmetic Act of 1938 (or any successor thereto), as amended from time to time, and the rules and regulations issued or promulgated thereunder.</w:t>
      </w:r>
    </w:p>
    <w:p>
      <w:pPr>
        <w:pStyle w:val="TextBody"/>
        <w:bidi w:val="0"/>
        <w:spacing w:before="280" w:after="0"/>
        <w:jc w:val="both"/>
        <w:rPr/>
      </w:pPr>
      <w:r>
        <w:rPr/>
        <w:t>“</w:t>
      </w:r>
      <w:r>
        <w:rPr>
          <w:rFonts w:ascii="Times New Roman;serif" w:hAnsi="Times New Roman;serif"/>
          <w:b w:val="false"/>
          <w:i/>
          <w:sz w:val="24"/>
        </w:rPr>
        <w:t>FDA”</w:t>
      </w:r>
      <w:r>
        <w:rPr>
          <w:rFonts w:ascii="Times New Roman" w:hAnsi="Times New Roman"/>
          <w:sz w:val="20"/>
        </w:rPr>
        <w:t xml:space="preserve"> </w:t>
      </w:r>
      <w:r>
        <w:rPr>
          <w:rFonts w:ascii="Times New Roman;serif" w:hAnsi="Times New Roman;serif"/>
          <w:b w:val="false"/>
          <w:sz w:val="24"/>
        </w:rPr>
        <w:t>means the U.S. Food and Drug Administration and any successor entity.</w:t>
      </w:r>
    </w:p>
    <w:p>
      <w:pPr>
        <w:pStyle w:val="TextBody"/>
        <w:bidi w:val="0"/>
        <w:spacing w:before="0" w:after="0"/>
        <w:jc w:val="center"/>
        <w:rPr/>
      </w:pPr>
      <w:r>
        <w:rPr/>
        <w:noBreakHyphen/>
      </w:r>
      <w:r>
        <w:rPr>
          <w:rFonts w:ascii="Times New Roman;serif" w:hAnsi="Times New Roman;serif"/>
          <w:b w:val="false"/>
          <w:sz w:val="24"/>
        </w:rPr>
        <w:t>12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FDA Laws”</w:t>
      </w:r>
      <w:r>
        <w:rPr>
          <w:rFonts w:ascii="Times New Roman" w:hAnsi="Times New Roman"/>
          <w:sz w:val="20"/>
        </w:rPr>
        <w:t xml:space="preserve"> </w:t>
      </w:r>
      <w:r>
        <w:rPr>
          <w:rFonts w:ascii="Times New Roman;serif" w:hAnsi="Times New Roman;serif"/>
          <w:b w:val="false"/>
          <w:sz w:val="24"/>
        </w:rPr>
        <w:t>means all applicable statutes, rules, regulations and orders administered or issued by the FDA, including without limitation, the FD&amp;C Act and its implementing regulations.</w:t>
      </w:r>
    </w:p>
    <w:p>
      <w:pPr>
        <w:pStyle w:val="TextBody"/>
        <w:bidi w:val="0"/>
        <w:spacing w:before="280" w:after="0"/>
        <w:jc w:val="both"/>
        <w:rPr/>
      </w:pPr>
      <w:r>
        <w:rPr/>
        <w:t>“</w:t>
      </w:r>
      <w:r>
        <w:rPr>
          <w:rFonts w:ascii="Times New Roman;serif" w:hAnsi="Times New Roman;serif"/>
          <w:b w:val="false"/>
          <w:i/>
          <w:sz w:val="24"/>
        </w:rPr>
        <w:t xml:space="preserve">Federal Health Care Program” </w:t>
      </w:r>
      <w:r>
        <w:rPr>
          <w:rFonts w:ascii="Times New Roman;serif" w:hAnsi="Times New Roman;serif"/>
          <w:b w:val="false"/>
          <w:sz w:val="24"/>
        </w:rPr>
        <w:t>has the meaning specified in Section 1128B(f) of the Social Security Act and includes the programs commonly known as Medicare, Medicaid, TRICARE and CHAMPVA.</w:t>
      </w:r>
    </w:p>
    <w:p>
      <w:pPr>
        <w:pStyle w:val="TextBody"/>
        <w:bidi w:val="0"/>
        <w:spacing w:before="280" w:after="0"/>
        <w:jc w:val="both"/>
        <w:rPr/>
      </w:pPr>
      <w:r>
        <w:rPr/>
        <w:t>“</w:t>
      </w:r>
      <w:r>
        <w:rPr>
          <w:rFonts w:ascii="Times New Roman;serif" w:hAnsi="Times New Roman;serif"/>
          <w:b w:val="false"/>
          <w:i/>
          <w:sz w:val="24"/>
        </w:rPr>
        <w:t>Fee Letter</w:t>
      </w:r>
      <w:r>
        <w:rPr>
          <w:rFonts w:ascii="Times New Roman" w:hAnsi="Times New Roman"/>
          <w:sz w:val="20"/>
        </w:rPr>
        <w:t xml:space="preserve">” </w:t>
      </w:r>
      <w:r>
        <w:rPr>
          <w:rFonts w:ascii="Times New Roman;serif" w:hAnsi="Times New Roman;serif"/>
          <w:b w:val="false"/>
          <w:sz w:val="24"/>
        </w:rPr>
        <w:t xml:space="preserve">means that certain Fee Letter, </w:t>
      </w:r>
      <w:r>
        <w:rPr>
          <w:rFonts w:ascii="Times New Roman;serif" w:hAnsi="Times New Roman;serif"/>
          <w:b w:val="false"/>
          <w:sz w:val="24"/>
          <w:u w:val="single"/>
        </w:rPr>
        <w:t xml:space="preserve">originally </w:t>
      </w:r>
      <w:r>
        <w:rPr>
          <w:rFonts w:ascii="Times New Roman;serif" w:hAnsi="Times New Roman;serif"/>
          <w:b w:val="false"/>
          <w:sz w:val="24"/>
        </w:rPr>
        <w:t>dated as of the Closing Date, among the Obligors, the Lenders and the Administrative Agent</w:t>
      </w:r>
      <w:r>
        <w:rPr>
          <w:rFonts w:ascii="Times New Roman" w:hAnsi="Times New Roman"/>
          <w:sz w:val="20"/>
          <w:u w:val="single"/>
        </w:rPr>
        <w:t xml:space="preserve"> </w:t>
      </w:r>
      <w:r>
        <w:rPr>
          <w:rFonts w:ascii="Times New Roman;serif" w:hAnsi="Times New Roman;serif"/>
          <w:b w:val="false"/>
          <w:sz w:val="24"/>
          <w:u w:val="single"/>
        </w:rPr>
        <w:t>as amended and restated on the First Amendment Effective Date and as may be further amended from time to time</w:t>
      </w:r>
      <w:r>
        <w:rPr>
          <w:rFonts w:ascii="Times New Roman;serif" w:hAnsi="Times New Roman;serif"/>
          <w:b w:val="false"/>
          <w:sz w:val="24"/>
        </w:rPr>
        <w:t>.</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Financial Plan</w:t>
      </w:r>
      <w:r>
        <w:rPr>
          <w:rFonts w:ascii="Times New Roman" w:hAnsi="Times New Roman"/>
          <w:sz w:val="20"/>
        </w:rPr>
        <w:t xml:space="preserve">” </w:t>
      </w:r>
      <w:r>
        <w:rPr>
          <w:rFonts w:ascii="Times New Roman;serif" w:hAnsi="Times New Roman;serif"/>
          <w:b w:val="false"/>
          <w:sz w:val="24"/>
        </w:rPr>
        <w:t>has the meaning set forth in Section 8.01(h).</w:t>
      </w:r>
      <w:r>
        <w:rPr>
          <w:rFonts w:ascii="Times New Roman" w:hAnsi="Times New Roman"/>
          <w:sz w:val="20"/>
        </w:rPr>
        <w:t xml:space="preserve"> </w:t>
      </w:r>
    </w:p>
    <w:p>
      <w:pPr>
        <w:pStyle w:val="TextBody"/>
        <w:bidi w:val="0"/>
        <w:spacing w:before="280" w:after="0"/>
        <w:jc w:val="both"/>
        <w:rPr/>
      </w:pPr>
      <w:r>
        <w:rPr>
          <w:u w:val="single"/>
        </w:rPr>
        <w:t>“</w:t>
      </w:r>
      <w:r>
        <w:rPr>
          <w:rFonts w:ascii="Times New Roman;serif" w:hAnsi="Times New Roman;serif"/>
          <w:b w:val="false"/>
          <w:i/>
          <w:sz w:val="24"/>
          <w:u w:val="single"/>
        </w:rPr>
        <w:t>First Amendment</w:t>
      </w:r>
      <w:r>
        <w:rPr>
          <w:rFonts w:ascii="Times New Roman" w:hAnsi="Times New Roman"/>
          <w:sz w:val="20"/>
          <w:u w:val="single"/>
        </w:rPr>
        <w:t xml:space="preserve">” </w:t>
      </w:r>
      <w:r>
        <w:rPr>
          <w:rFonts w:ascii="Times New Roman;serif" w:hAnsi="Times New Roman;serif"/>
          <w:b w:val="false"/>
          <w:sz w:val="24"/>
          <w:u w:val="single"/>
        </w:rPr>
        <w:t>means the First Amendment to Credit Agreement and Guaranty, dated as of May 10, 2023, among the Borrower, the Lenders and the Administrative Agent.</w:t>
      </w:r>
    </w:p>
    <w:p>
      <w:pPr>
        <w:pStyle w:val="TextBody"/>
        <w:bidi w:val="0"/>
        <w:spacing w:before="280" w:after="0"/>
        <w:jc w:val="both"/>
        <w:rPr/>
      </w:pPr>
      <w:r>
        <w:rPr>
          <w:u w:val="single"/>
        </w:rPr>
        <w:t>“</w:t>
      </w:r>
      <w:r>
        <w:rPr>
          <w:rFonts w:ascii="Times New Roman;serif" w:hAnsi="Times New Roman;serif"/>
          <w:b w:val="false"/>
          <w:i/>
          <w:sz w:val="24"/>
          <w:u w:val="single"/>
        </w:rPr>
        <w:t>First Amendment Effective Date</w:t>
      </w:r>
      <w:r>
        <w:rPr>
          <w:rFonts w:ascii="Times New Roman" w:hAnsi="Times New Roman"/>
          <w:sz w:val="20"/>
          <w:u w:val="single"/>
        </w:rPr>
        <w:t xml:space="preserve">” </w:t>
      </w:r>
      <w:r>
        <w:rPr>
          <w:rFonts w:ascii="Times New Roman;serif" w:hAnsi="Times New Roman;serif"/>
          <w:b w:val="false"/>
          <w:sz w:val="24"/>
          <w:u w:val="single"/>
        </w:rPr>
        <w:t>means May 10, 2023.</w:t>
      </w:r>
    </w:p>
    <w:p>
      <w:pPr>
        <w:pStyle w:val="TextBody"/>
        <w:bidi w:val="0"/>
        <w:spacing w:before="280" w:after="0"/>
        <w:jc w:val="both"/>
        <w:rPr/>
      </w:pPr>
      <w:r>
        <w:rPr/>
        <w:t>“</w:t>
      </w:r>
      <w:r>
        <w:rPr>
          <w:rFonts w:ascii="Times New Roman;serif" w:hAnsi="Times New Roman;serif"/>
          <w:b w:val="false"/>
          <w:i/>
          <w:sz w:val="24"/>
        </w:rPr>
        <w:t xml:space="preserve">Floor” </w:t>
      </w:r>
      <w:r>
        <w:rPr>
          <w:rFonts w:ascii="Times New Roman;serif" w:hAnsi="Times New Roman;serif"/>
          <w:b w:val="false"/>
          <w:sz w:val="24"/>
        </w:rPr>
        <w:t>means a rate of interest equal to 3.00%.</w:t>
      </w:r>
    </w:p>
    <w:p>
      <w:pPr>
        <w:pStyle w:val="TextBody"/>
        <w:bidi w:val="0"/>
        <w:spacing w:before="280" w:after="0"/>
        <w:jc w:val="both"/>
        <w:rPr/>
      </w:pPr>
      <w:r>
        <w:rPr/>
        <w:t>“</w:t>
      </w:r>
      <w:r>
        <w:rPr>
          <w:rFonts w:ascii="Times New Roman;serif" w:hAnsi="Times New Roman;serif"/>
          <w:b w:val="false"/>
          <w:i/>
          <w:sz w:val="24"/>
        </w:rPr>
        <w:t>Foreign Lender”</w:t>
      </w:r>
      <w:r>
        <w:rPr>
          <w:rFonts w:ascii="Times New Roman" w:hAnsi="Times New Roman"/>
          <w:sz w:val="20"/>
        </w:rPr>
        <w:t xml:space="preserve"> </w:t>
      </w:r>
      <w:r>
        <w:rPr>
          <w:rFonts w:ascii="Times New Roman;serif" w:hAnsi="Times New Roman;serif"/>
          <w:b w:val="false"/>
          <w:sz w:val="24"/>
        </w:rPr>
        <w:t>means a Lender that is not a U.S. Person.</w:t>
      </w:r>
    </w:p>
    <w:p>
      <w:pPr>
        <w:pStyle w:val="TextBody"/>
        <w:bidi w:val="0"/>
        <w:spacing w:before="280" w:after="0"/>
        <w:jc w:val="both"/>
        <w:rPr/>
      </w:pPr>
      <w:r>
        <w:rPr/>
        <w:t>“</w:t>
      </w:r>
      <w:r>
        <w:rPr>
          <w:rFonts w:ascii="Times New Roman;serif" w:hAnsi="Times New Roman;serif"/>
          <w:b w:val="false"/>
          <w:i/>
          <w:sz w:val="24"/>
        </w:rPr>
        <w:t>Funding Date”</w:t>
      </w:r>
      <w:r>
        <w:rPr>
          <w:rFonts w:ascii="Times New Roman" w:hAnsi="Times New Roman"/>
          <w:sz w:val="20"/>
        </w:rPr>
        <w:t xml:space="preserve"> </w:t>
      </w:r>
      <w:r>
        <w:rPr>
          <w:rFonts w:ascii="Times New Roman;serif" w:hAnsi="Times New Roman;serif"/>
          <w:b w:val="false"/>
          <w:sz w:val="24"/>
        </w:rPr>
        <w:t>means the Business Day on which all of the conditions set forth in Section 6.02 have been satisfied or waived by the Administrative Agent and the Tranche A Loan is made.</w:t>
      </w:r>
    </w:p>
    <w:p>
      <w:pPr>
        <w:pStyle w:val="TextBody"/>
        <w:bidi w:val="0"/>
        <w:spacing w:before="280" w:after="0"/>
        <w:jc w:val="both"/>
        <w:rPr/>
      </w:pPr>
      <w:r>
        <w:rPr/>
        <w:t>“</w:t>
      </w:r>
      <w:r>
        <w:rPr>
          <w:rFonts w:ascii="Times New Roman;serif" w:hAnsi="Times New Roman;serif"/>
          <w:b w:val="false"/>
          <w:i/>
          <w:sz w:val="24"/>
        </w:rPr>
        <w:t>Funding Fee</w:t>
      </w:r>
      <w:r>
        <w:rPr>
          <w:rFonts w:ascii="Times New Roman" w:hAnsi="Times New Roman"/>
          <w:sz w:val="20"/>
        </w:rPr>
        <w:t xml:space="preserve">” </w:t>
      </w:r>
      <w:r>
        <w:rPr>
          <w:rFonts w:ascii="Times New Roman;serif" w:hAnsi="Times New Roman;serif"/>
          <w:b w:val="false"/>
          <w:sz w:val="24"/>
        </w:rPr>
        <w:t>has the meaning set forth in the Fee Letter.</w:t>
      </w:r>
    </w:p>
    <w:p>
      <w:pPr>
        <w:pStyle w:val="TextBody"/>
        <w:bidi w:val="0"/>
        <w:spacing w:before="280" w:after="0"/>
        <w:jc w:val="both"/>
        <w:rPr/>
      </w:pPr>
      <w:r>
        <w:rPr/>
        <w:t>“</w:t>
      </w:r>
      <w:r>
        <w:rPr>
          <w:rFonts w:ascii="Times New Roman;serif" w:hAnsi="Times New Roman;serif"/>
          <w:b w:val="false"/>
          <w:i/>
          <w:sz w:val="24"/>
        </w:rPr>
        <w:t>GAAP”</w:t>
      </w:r>
      <w:r>
        <w:rPr>
          <w:rFonts w:ascii="Times New Roman" w:hAnsi="Times New Roman"/>
          <w:sz w:val="20"/>
        </w:rPr>
        <w:t xml:space="preserve"> </w:t>
      </w:r>
      <w:r>
        <w:rPr>
          <w:rFonts w:ascii="Times New Roman;serif" w:hAnsi="Times New Roman;serif"/>
          <w:b w:val="false"/>
          <w:sz w:val="24"/>
        </w:rPr>
        <w:t>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 be to GAAP applied consistently with the principles used in the preparation of the financial statements described in Section 7.04(a).</w:t>
      </w:r>
    </w:p>
    <w:p>
      <w:pPr>
        <w:pStyle w:val="TextBody"/>
        <w:bidi w:val="0"/>
        <w:spacing w:before="280" w:after="0"/>
        <w:jc w:val="both"/>
        <w:rPr/>
      </w:pPr>
      <w:r>
        <w:rPr/>
        <w:t>“</w:t>
      </w:r>
      <w:r>
        <w:rPr>
          <w:rFonts w:ascii="Times New Roman;serif" w:hAnsi="Times New Roman;serif"/>
          <w:b w:val="false"/>
          <w:i/>
          <w:sz w:val="24"/>
        </w:rPr>
        <w:t>Governmental Approval”</w:t>
      </w:r>
      <w:r>
        <w:rPr>
          <w:rFonts w:ascii="Times New Roman" w:hAnsi="Times New Roman"/>
          <w:sz w:val="20"/>
        </w:rPr>
        <w:t xml:space="preserve"> </w:t>
      </w:r>
      <w:r>
        <w:rPr>
          <w:rFonts w:ascii="Times New Roman;serif" w:hAnsi="Times New Roman;serif"/>
          <w:b w:val="false"/>
          <w:sz w:val="24"/>
        </w:rPr>
        <w:t>means any consent, authorization, approval, order, license, franchise, permit, certification, accreditation, registration, clearance, exemption, filing or notice that is issued or granted by or from (or pursuant to any act of) any Governmental Authority, including any application or submission related to any of the foregoing.</w:t>
      </w:r>
    </w:p>
    <w:p>
      <w:pPr>
        <w:pStyle w:val="TextBody"/>
        <w:bidi w:val="0"/>
        <w:spacing w:before="280" w:after="0"/>
        <w:jc w:val="both"/>
        <w:rPr/>
      </w:pPr>
      <w:r>
        <w:rPr/>
        <w:t>“</w:t>
      </w:r>
      <w:r>
        <w:rPr>
          <w:rFonts w:ascii="Times New Roman;serif" w:hAnsi="Times New Roman;serif"/>
          <w:b w:val="false"/>
          <w:i/>
          <w:sz w:val="24"/>
        </w:rPr>
        <w:t>Governmental Authority”</w:t>
      </w:r>
      <w:r>
        <w:rPr>
          <w:rFonts w:ascii="Times New Roman" w:hAnsi="Times New Roman"/>
          <w:sz w:val="20"/>
        </w:rPr>
        <w:t xml:space="preserve"> </w:t>
      </w:r>
      <w:r>
        <w:rPr>
          <w:rFonts w:ascii="Times New Roman;serif" w:hAnsi="Times New Roman;serif"/>
          <w:b w:val="false"/>
          <w:sz w:val="24"/>
        </w:rPr>
        <w:t>means any nation, government, branch of power (whether executive, legislative or judicial), 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and dispute settlement panels, and other law</w:t>
        <w:noBreakHyphen/>
        <w:t>, rule</w:t>
        <w:noBreakHyphen/>
        <w:t xml:space="preserve"> or regulation</w:t>
        <w:noBreakHyphen/>
        <w:t>making organizations or entities of any State, territory, county, city or other political subdivision of the United States or any foreign country.</w:t>
      </w:r>
    </w:p>
    <w:p>
      <w:pPr>
        <w:pStyle w:val="TextBody"/>
        <w:bidi w:val="0"/>
        <w:spacing w:before="280" w:after="0"/>
        <w:jc w:val="both"/>
        <w:rPr/>
      </w:pPr>
      <w:r>
        <w:rPr/>
        <w:t>“</w:t>
      </w:r>
      <w:r>
        <w:rPr>
          <w:rFonts w:ascii="Times New Roman;serif" w:hAnsi="Times New Roman;serif"/>
          <w:b w:val="false"/>
          <w:i/>
          <w:sz w:val="24"/>
        </w:rPr>
        <w:t>Guarantee”</w:t>
      </w:r>
      <w:r>
        <w:rPr>
          <w:rFonts w:ascii="Times New Roman" w:hAnsi="Times New Roman"/>
          <w:sz w:val="20"/>
        </w:rPr>
        <w:t xml:space="preserve"> </w:t>
      </w:r>
      <w:r>
        <w:rPr>
          <w:rFonts w:ascii="Times New Roman;serif" w:hAnsi="Times New Roman;serif"/>
          <w:b w:val="false"/>
          <w:sz w:val="24"/>
        </w:rPr>
        <w:t xml:space="preserve">of or by any Person (the </w:t>
      </w:r>
      <w:r>
        <w:rPr>
          <w:rFonts w:ascii="Times New Roman" w:hAnsi="Times New Roman"/>
          <w:sz w:val="20"/>
        </w:rPr>
        <w:t>“</w:t>
      </w:r>
      <w:r>
        <w:rPr>
          <w:rFonts w:ascii="Times New Roman;serif" w:hAnsi="Times New Roman;serif"/>
          <w:b w:val="false"/>
          <w:i/>
          <w:sz w:val="24"/>
        </w:rPr>
        <w:t>guarantor”</w:t>
      </w:r>
      <w:r>
        <w:rPr>
          <w:rFonts w:ascii="Times New Roman;serif" w:hAnsi="Times New Roman;serif"/>
          <w:b w:val="false"/>
          <w:sz w:val="24"/>
        </w:rPr>
        <w:t xml:space="preserve">) means any obligation, contingent or otherwise, of the guarantor guaranteeing or having the economic effect of guaranteeing any Indebtedness or other monetary obligation of any other Person (the </w:t>
      </w:r>
      <w:r>
        <w:rPr>
          <w:rFonts w:ascii="Times New Roman" w:hAnsi="Times New Roman"/>
          <w:sz w:val="20"/>
        </w:rPr>
        <w:t>“</w:t>
      </w:r>
      <w:r>
        <w:rPr>
          <w:rFonts w:ascii="Times New Roman;serif" w:hAnsi="Times New Roman;serif"/>
          <w:b w:val="false"/>
          <w:i/>
          <w:sz w:val="24"/>
        </w:rPr>
        <w:t>primary obligor”</w:t>
      </w:r>
      <w:r>
        <w:rPr>
          <w:rFonts w:ascii="Times New Roman;serif" w:hAnsi="Times New Roman;serif"/>
          <w:b w:val="false"/>
          <w:sz w:val="24"/>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the term Guarantee shall not include endorsements for collection or deposit in the Ordinary Course of Business.</w:t>
      </w:r>
    </w:p>
    <w:p>
      <w:pPr>
        <w:pStyle w:val="TextBody"/>
        <w:bidi w:val="0"/>
        <w:spacing w:before="280" w:after="0"/>
        <w:jc w:val="both"/>
        <w:rPr/>
      </w:pPr>
      <w:r>
        <w:rPr/>
        <w:t>“</w:t>
      </w:r>
      <w:r>
        <w:rPr>
          <w:rFonts w:ascii="Times New Roman;serif" w:hAnsi="Times New Roman;serif"/>
          <w:b w:val="false"/>
          <w:i/>
          <w:sz w:val="24"/>
        </w:rPr>
        <w:t>Guarantee Assumption Agreement”</w:t>
      </w:r>
      <w:r>
        <w:rPr>
          <w:rFonts w:ascii="Times New Roman" w:hAnsi="Times New Roman"/>
          <w:sz w:val="20"/>
        </w:rPr>
        <w:t xml:space="preserve"> </w:t>
      </w:r>
      <w:r>
        <w:rPr>
          <w:rFonts w:ascii="Times New Roman;serif" w:hAnsi="Times New Roman;serif"/>
          <w:b w:val="false"/>
          <w:sz w:val="24"/>
        </w:rPr>
        <w:t>means a Guarantee Assumption Agreement substantially in the form of Exhibit A by an entity that, pursuant to Section 8.11(a), is required to become a “Guarantor”.</w:t>
      </w:r>
    </w:p>
    <w:p>
      <w:pPr>
        <w:pStyle w:val="TextBody"/>
        <w:bidi w:val="0"/>
        <w:spacing w:before="280" w:after="0"/>
        <w:jc w:val="both"/>
        <w:rPr/>
      </w:pPr>
      <w:r>
        <w:rPr/>
        <w:t>“</w:t>
      </w:r>
      <w:r>
        <w:rPr>
          <w:rFonts w:ascii="Times New Roman;serif" w:hAnsi="Times New Roman;serif"/>
          <w:b w:val="false"/>
          <w:i/>
          <w:sz w:val="24"/>
        </w:rPr>
        <w:t>Guaranteed Obligations”</w:t>
      </w:r>
      <w:r>
        <w:rPr>
          <w:rFonts w:ascii="Times New Roman" w:hAnsi="Times New Roman"/>
          <w:sz w:val="20"/>
        </w:rPr>
        <w:t xml:space="preserve"> </w:t>
      </w:r>
      <w:r>
        <w:rPr>
          <w:rFonts w:ascii="Times New Roman;serif" w:hAnsi="Times New Roman;serif"/>
          <w:b w:val="false"/>
          <w:sz w:val="24"/>
        </w:rPr>
        <w:t>has the meaning set forth in Section 11.01.</w:t>
      </w:r>
    </w:p>
    <w:p>
      <w:pPr>
        <w:pStyle w:val="TextBody"/>
        <w:bidi w:val="0"/>
        <w:spacing w:before="280" w:after="0"/>
        <w:jc w:val="both"/>
        <w:rPr/>
      </w:pPr>
      <w:r>
        <w:rPr/>
        <w:t>“</w:t>
      </w:r>
      <w:r>
        <w:rPr>
          <w:rFonts w:ascii="Times New Roman;serif" w:hAnsi="Times New Roman;serif"/>
          <w:b w:val="false"/>
          <w:i/>
          <w:sz w:val="24"/>
        </w:rPr>
        <w:t>Guarantor”</w:t>
      </w:r>
      <w:r>
        <w:rPr>
          <w:rFonts w:ascii="Times New Roman" w:hAnsi="Times New Roman"/>
          <w:sz w:val="20"/>
        </w:rPr>
        <w:t xml:space="preserve"> </w:t>
      </w:r>
      <w:r>
        <w:rPr>
          <w:rFonts w:ascii="Times New Roman;serif" w:hAnsi="Times New Roman;serif"/>
          <w:b w:val="false"/>
          <w:sz w:val="24"/>
        </w:rPr>
        <w:t>means, each Subsidiary of the Borrower joined as a Guarantor from time to time pursuant to Section 8.11(a). For the avoidance of doubt, there are no Guarantors as of the Closing Date and the Funding Date.</w:t>
      </w:r>
    </w:p>
    <w:p>
      <w:pPr>
        <w:pStyle w:val="TextBody"/>
        <w:bidi w:val="0"/>
        <w:spacing w:before="280" w:after="0"/>
        <w:jc w:val="both"/>
        <w:rPr/>
      </w:pPr>
      <w:r>
        <w:rPr/>
        <w:t>“</w:t>
      </w:r>
      <w:r>
        <w:rPr>
          <w:rFonts w:ascii="Times New Roman;serif" w:hAnsi="Times New Roman;serif"/>
          <w:b w:val="false"/>
          <w:i/>
          <w:sz w:val="24"/>
        </w:rPr>
        <w:t>Hazardous Material”</w:t>
      </w:r>
      <w:r>
        <w:rPr>
          <w:rFonts w:ascii="Times New Roman" w:hAnsi="Times New Roman"/>
          <w:sz w:val="20"/>
        </w:rPr>
        <w:t xml:space="preserve"> </w:t>
      </w:r>
      <w:r>
        <w:rPr>
          <w:rFonts w:ascii="Times New Roman;serif" w:hAnsi="Times New Roman;serif"/>
          <w:b w:val="false"/>
          <w:sz w:val="24"/>
        </w:rPr>
        <w:t>means any substance, element, chemical, compound, product, solid, gas, liquid, waste, by</w:t>
        <w:noBreakHyphen/>
        <w:t>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280" w:after="0"/>
        <w:jc w:val="both"/>
        <w:rPr/>
      </w:pPr>
      <w:r>
        <w:rPr/>
        <w:t>“</w:t>
      </w:r>
      <w:r>
        <w:rPr>
          <w:rFonts w:ascii="Times New Roman;serif" w:hAnsi="Times New Roman;serif"/>
          <w:b w:val="false"/>
          <w:i/>
          <w:sz w:val="24"/>
        </w:rPr>
        <w:t>Health Care Compliance Program”</w:t>
      </w:r>
      <w:r>
        <w:rPr>
          <w:rFonts w:ascii="Times New Roman" w:hAnsi="Times New Roman"/>
          <w:sz w:val="20"/>
        </w:rPr>
        <w:t xml:space="preserve"> </w:t>
      </w:r>
      <w:r>
        <w:rPr>
          <w:rFonts w:ascii="Times New Roman;serif" w:hAnsi="Times New Roman;serif"/>
          <w:b w:val="false"/>
          <w:sz w:val="24"/>
        </w:rPr>
        <w:t>has the meaning set forth in Section 7.07(b)(v).</w:t>
      </w:r>
    </w:p>
    <w:p>
      <w:pPr>
        <w:pStyle w:val="TextBody"/>
        <w:bidi w:val="0"/>
        <w:spacing w:before="280" w:after="0"/>
        <w:jc w:val="both"/>
        <w:rPr/>
      </w:pPr>
      <w:r>
        <w:rPr/>
        <w:t>“</w:t>
      </w:r>
      <w:r>
        <w:rPr>
          <w:rFonts w:ascii="Times New Roman;serif" w:hAnsi="Times New Roman;serif"/>
          <w:b w:val="false"/>
          <w:i/>
          <w:sz w:val="24"/>
        </w:rPr>
        <w:t>Healthcare Laws”</w:t>
      </w:r>
      <w:r>
        <w:rPr>
          <w:rFonts w:ascii="Times New Roman" w:hAnsi="Times New Roman"/>
          <w:sz w:val="20"/>
        </w:rPr>
        <w:t xml:space="preserve"> </w:t>
      </w:r>
      <w:r>
        <w:rPr>
          <w:rFonts w:ascii="Times New Roman;serif" w:hAnsi="Times New Roman;serif"/>
          <w:b w:val="false"/>
          <w:sz w:val="24"/>
        </w:rPr>
        <w:t>means, collectively, all Laws applicable to the business of any Obligor regulating the manufacturing, sale, distribution, labeling, marketing, or promotion, the export, or the provision of and payment for, health care products (including diagnostic products) or healthcare items and services, including (a) all applicable laws relating to the privacy or security of consumer information, including but not limited to the Health Insurance Portability and Accountability Act of 1996 (Pub. L. No. 104</w:t>
        <w:noBreakHyphen/>
        <w:t>191) (</w:t>
      </w:r>
      <w:r>
        <w:rPr>
          <w:rFonts w:ascii="Times New Roman" w:hAnsi="Times New Roman"/>
          <w:sz w:val="20"/>
        </w:rPr>
        <w:t>“</w:t>
      </w:r>
      <w:r>
        <w:rPr>
          <w:rFonts w:ascii="Times New Roman;serif" w:hAnsi="Times New Roman;serif"/>
          <w:b w:val="false"/>
          <w:i/>
          <w:sz w:val="24"/>
        </w:rPr>
        <w:t>HIPAA”</w:t>
      </w:r>
      <w:r>
        <w:rPr>
          <w:rFonts w:ascii="Times New Roman;serif" w:hAnsi="Times New Roman;serif"/>
          <w:b w:val="false"/>
          <w:sz w:val="24"/>
        </w:rPr>
        <w:t>) and any similar state laws; (b) all applicable federal and state healthcare fraud and abuse laws, including but not limited to the federal Anti</w:t>
        <w:noBreakHyphen/>
        <w:t>Kickback Statute (42 U.S.C. §1320a</w:t>
        <w:noBreakHyphen/>
        <w:t>7b(b)) and any similar state laws, the Eliminating Kickbacks in Recovery Act (18 U.S.C. § 220), the federal Physician Self</w:t>
        <w:noBreakHyphen/>
        <w:t>Referral Prohibition</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4"/>
        </w:rPr>
        <w:t xml:space="preserve">(commonly referred to as the </w:t>
      </w:r>
      <w:r>
        <w:rPr>
          <w:rFonts w:ascii="Times New Roman" w:hAnsi="Times New Roman"/>
          <w:sz w:val="20"/>
        </w:rPr>
        <w:t>“</w:t>
      </w:r>
      <w:r>
        <w:rPr>
          <w:rFonts w:ascii="Times New Roman;serif" w:hAnsi="Times New Roman;serif"/>
          <w:b w:val="false"/>
          <w:i/>
          <w:sz w:val="24"/>
        </w:rPr>
        <w:t>Stark Law”</w:t>
      </w:r>
      <w:r>
        <w:rPr>
          <w:rFonts w:ascii="Times New Roman;serif" w:hAnsi="Times New Roman;serif"/>
          <w:b w:val="false"/>
          <w:sz w:val="24"/>
        </w:rPr>
        <w:t>) (42 U.S.C. § 1395nn) and any similar state laws, the Civil Monetary Penalties Act (42 U.S.C. §1320a</w:t>
        <w:noBreakHyphen/>
        <w:t xml:space="preserve">7a), and the civil False Claims Act (31 U.S.C. §3729 </w:t>
      </w:r>
      <w:r>
        <w:rPr>
          <w:rFonts w:ascii="Times New Roman;serif" w:hAnsi="Times New Roman;serif"/>
          <w:b w:val="false"/>
          <w:i/>
          <w:sz w:val="24"/>
        </w:rPr>
        <w:t>et seq.</w:t>
      </w:r>
      <w:r>
        <w:rPr>
          <w:rFonts w:ascii="Times New Roman" w:hAnsi="Times New Roman"/>
          <w:sz w:val="20"/>
        </w:rPr>
        <w:t xml:space="preserve"> </w:t>
      </w:r>
      <w:r>
        <w:rPr>
          <w:rFonts w:ascii="Times New Roman;serif" w:hAnsi="Times New Roman;serif"/>
          <w:b w:val="false"/>
          <w:sz w:val="24"/>
        </w:rPr>
        <w:t>and any similar state laws); (c) all applicable FDA Laws; (d) CLIA and other applicable laws relating to clinical laboratory operations; (e) all applicable laws regarding the provision of health care supplies, items or services to Federal Health Care Program beneficiaries or the billing of the Federal Health Care Programs; and (f) all rules and regulations promulgated under or pursuant to any of the foregoing.</w:t>
      </w:r>
    </w:p>
    <w:p>
      <w:pPr>
        <w:pStyle w:val="TextBody"/>
        <w:bidi w:val="0"/>
        <w:spacing w:before="280" w:after="0"/>
        <w:jc w:val="both"/>
        <w:rPr/>
      </w:pPr>
      <w:r>
        <w:rPr/>
        <w:t>“</w:t>
      </w:r>
      <w:r>
        <w:rPr>
          <w:rFonts w:ascii="Times New Roman;serif" w:hAnsi="Times New Roman;serif"/>
          <w:b w:val="false"/>
          <w:i/>
          <w:sz w:val="24"/>
        </w:rPr>
        <w:t>Hedging Agreement”</w:t>
      </w:r>
      <w:r>
        <w:rPr>
          <w:rFonts w:ascii="Times New Roman" w:hAnsi="Times New Roman"/>
          <w:sz w:val="20"/>
        </w:rPr>
        <w:t xml:space="preserve"> </w:t>
      </w:r>
      <w:r>
        <w:rPr>
          <w:rFonts w:ascii="Times New Roman;serif" w:hAnsi="Times New Roman;serif"/>
          <w:b w:val="false"/>
          <w:sz w:val="24"/>
        </w:rPr>
        <w:t>means any interest rate exchange agreement, foreign currency exchange agreement, commodity price protection agreement or other interest or currency exchange rate or commodity price hedging arrangement.</w:t>
      </w:r>
    </w:p>
    <w:p>
      <w:pPr>
        <w:pStyle w:val="TextBody"/>
        <w:bidi w:val="0"/>
        <w:spacing w:before="280" w:after="0"/>
        <w:jc w:val="both"/>
        <w:rPr/>
      </w:pPr>
      <w:r>
        <w:rPr/>
        <w:t>“</w:t>
      </w:r>
      <w:r>
        <w:rPr>
          <w:rFonts w:ascii="Times New Roman;serif" w:hAnsi="Times New Roman;serif"/>
          <w:b w:val="false"/>
          <w:i/>
          <w:sz w:val="24"/>
        </w:rPr>
        <w:t>HIPAA”</w:t>
      </w:r>
      <w:r>
        <w:rPr>
          <w:rFonts w:ascii="Times New Roman" w:hAnsi="Times New Roman"/>
          <w:sz w:val="20"/>
        </w:rPr>
        <w:t xml:space="preserve"> </w:t>
      </w:r>
      <w:r>
        <w:rPr>
          <w:rFonts w:ascii="Times New Roman;serif" w:hAnsi="Times New Roman;serif"/>
          <w:b w:val="false"/>
          <w:sz w:val="24"/>
        </w:rPr>
        <w:t>has the meaning set forth in the definition of “Healthcare Laws”.</w:t>
      </w:r>
    </w:p>
    <w:p>
      <w:pPr>
        <w:pStyle w:val="TextBody"/>
        <w:bidi w:val="0"/>
        <w:spacing w:before="280" w:after="0"/>
        <w:jc w:val="both"/>
        <w:rPr/>
      </w:pPr>
      <w:r>
        <w:rPr/>
        <w:t>“</w:t>
      </w:r>
      <w:r>
        <w:rPr>
          <w:rFonts w:ascii="Times New Roman;serif" w:hAnsi="Times New Roman;serif"/>
          <w:b w:val="false"/>
          <w:i/>
          <w:sz w:val="24"/>
        </w:rPr>
        <w:t xml:space="preserve">Indebtedness” </w:t>
      </w:r>
      <w:r>
        <w:rPr>
          <w:rFonts w:ascii="Times New Roman;serif" w:hAnsi="Times New Roman;serif"/>
          <w:b w:val="false"/>
          <w:sz w:val="24"/>
        </w:rPr>
        <w:t>of any Person means, without duplication, (a) all obligations of such Person for borrowed money, (b) all 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not overdue by more than one hundred twenty (120)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(l) any Disqualified Equity Interests of such Person, (m) any earnout obligation at the time such obligation is both required to be reflected as a liability on the balance sheet of such Person in accordance with GAAP and not paid after becoming due and payable and (n) all other obligations required to be classified as indebtedness 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before="280" w:after="0"/>
        <w:jc w:val="both"/>
        <w:rPr/>
      </w:pPr>
      <w:r>
        <w:rPr/>
        <w:t>“</w:t>
      </w:r>
      <w:r>
        <w:rPr>
          <w:rFonts w:ascii="Times New Roman;serif" w:hAnsi="Times New Roman;serif"/>
          <w:b w:val="false"/>
          <w:i/>
          <w:sz w:val="24"/>
        </w:rPr>
        <w:t>Indemnified Party”</w:t>
      </w:r>
      <w:r>
        <w:rPr>
          <w:rFonts w:ascii="Times New Roman" w:hAnsi="Times New Roman"/>
          <w:sz w:val="20"/>
        </w:rPr>
        <w:t xml:space="preserve"> </w:t>
      </w:r>
      <w:r>
        <w:rPr>
          <w:rFonts w:ascii="Times New Roman;serif" w:hAnsi="Times New Roman;serif"/>
          <w:b w:val="false"/>
          <w:sz w:val="24"/>
        </w:rPr>
        <w:t>has the meaning set forth in Section 13.03(b).</w:t>
      </w:r>
    </w:p>
    <w:p>
      <w:pPr>
        <w:pStyle w:val="TextBody"/>
        <w:bidi w:val="0"/>
        <w:spacing w:before="280" w:after="0"/>
        <w:jc w:val="both"/>
        <w:rPr/>
      </w:pPr>
      <w:r>
        <w:rPr/>
        <w:t>“</w:t>
      </w:r>
      <w:r>
        <w:rPr>
          <w:rFonts w:ascii="Times New Roman;serif" w:hAnsi="Times New Roman;serif"/>
          <w:b w:val="false"/>
          <w:i/>
          <w:sz w:val="24"/>
        </w:rPr>
        <w:t>Indemnified Taxes”</w:t>
      </w:r>
      <w:r>
        <w:rPr>
          <w:rFonts w:ascii="Times New Roman" w:hAnsi="Times New Roman"/>
          <w:sz w:val="20"/>
        </w:rPr>
        <w:t xml:space="preserve"> </w:t>
      </w:r>
      <w:r>
        <w:rPr>
          <w:rFonts w:ascii="Times New Roman;serif" w:hAnsi="Times New Roman;serif"/>
          <w:b w:val="false"/>
          <w:sz w:val="24"/>
        </w:rPr>
        <w:t>means (a) Taxes, other than Excluded Taxes, imposed on or with respect to any payment made by or on account of any Obligation and (b) to the extent not otherwise described in clause (a), Other Taxes.</w:t>
      </w:r>
    </w:p>
    <w:p>
      <w:pPr>
        <w:pStyle w:val="TextBody"/>
        <w:bidi w:val="0"/>
        <w:spacing w:before="280" w:after="0"/>
        <w:jc w:val="both"/>
        <w:rPr/>
      </w:pPr>
      <w:r>
        <w:rPr/>
        <w:t>“</w:t>
      </w:r>
      <w:r>
        <w:rPr>
          <w:rFonts w:ascii="Times New Roman;serif" w:hAnsi="Times New Roman;serif"/>
          <w:b w:val="false"/>
          <w:i/>
          <w:sz w:val="24"/>
        </w:rPr>
        <w:t>Indi Purchase Agreement</w:t>
      </w:r>
      <w:r>
        <w:rPr>
          <w:rFonts w:ascii="Times New Roman" w:hAnsi="Times New Roman"/>
          <w:sz w:val="20"/>
        </w:rPr>
        <w:t xml:space="preserve">” </w:t>
      </w:r>
      <w:r>
        <w:rPr>
          <w:rFonts w:ascii="Times New Roman;serif" w:hAnsi="Times New Roman;serif"/>
          <w:b w:val="false"/>
          <w:sz w:val="24"/>
        </w:rPr>
        <w:t>means that certain Asset Purchase Agreement and Plan of Reorganization, dated as of June 30, 2018, by and among the Borrower, Integrated Diagnostics,</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4"/>
        </w:rPr>
        <w:t>Inc. and IND Funding LLC, as amended by that certain Amendment No. 1 to Asset Purchase Agreement and Plan of Reorganization dated as of July 29, 2021, that certain Amendment No. 2 to Asset Purchase Agreement and Plan of Reorganization dated as of August 9, 2021, that certain Amendment No. 3 to Asset Purchase Agreement and Plan of Reorganization dated as of April 7, 2022 and as may be further amended, amended and restated or otherwise modified to the extent permitted by Section 9.12.</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Industrial Designs”</w:t>
      </w:r>
      <w:r>
        <w:rPr>
          <w:rFonts w:ascii="Times New Roman" w:hAnsi="Times New Roman"/>
          <w:sz w:val="20"/>
        </w:rPr>
        <w:t xml:space="preserve"> </w:t>
      </w:r>
      <w:r>
        <w:rPr>
          <w:rFonts w:ascii="Times New Roman;serif" w:hAnsi="Times New Roman;serif"/>
          <w:b w:val="false"/>
          <w:sz w:val="24"/>
        </w:rPr>
        <w:t>means all right, title and interests arising under any Laws in or relating to all industrial designs, intangibles of like nature, and any work subject to the design laws of any country or any political subdivision thereof.</w:t>
      </w:r>
    </w:p>
    <w:p>
      <w:pPr>
        <w:pStyle w:val="TextBody"/>
        <w:bidi w:val="0"/>
        <w:spacing w:before="280" w:after="0"/>
        <w:jc w:val="both"/>
        <w:rPr/>
      </w:pPr>
      <w:r>
        <w:rPr/>
        <w:t>“</w:t>
      </w:r>
      <w:r>
        <w:rPr>
          <w:rFonts w:ascii="Times New Roman;serif" w:hAnsi="Times New Roman;serif"/>
          <w:b w:val="false"/>
          <w:i/>
          <w:sz w:val="24"/>
        </w:rPr>
        <w:t xml:space="preserve">Ineligible Assignee” </w:t>
      </w:r>
      <w:r>
        <w:rPr>
          <w:rFonts w:ascii="Times New Roman;serif" w:hAnsi="Times New Roman;serif"/>
          <w:b w:val="false"/>
          <w:sz w:val="24"/>
        </w:rPr>
        <w:t>means (a) a natural person, (b) the Obligors or any of their respective Affiliates and (c) so long as no Event of Default shall have occurred and is continuing, to any Person who is a Disqualified Lender.</w:t>
      </w:r>
    </w:p>
    <w:p>
      <w:pPr>
        <w:pStyle w:val="TextBody"/>
        <w:bidi w:val="0"/>
        <w:spacing w:before="280" w:after="0"/>
        <w:jc w:val="both"/>
        <w:rPr/>
      </w:pPr>
      <w:r>
        <w:rPr/>
        <w:t>“</w:t>
      </w:r>
      <w:r>
        <w:rPr>
          <w:rFonts w:ascii="Times New Roman;serif" w:hAnsi="Times New Roman;serif"/>
          <w:b w:val="false"/>
          <w:i/>
          <w:sz w:val="24"/>
        </w:rPr>
        <w:t>Information”</w:t>
      </w:r>
      <w:r>
        <w:rPr>
          <w:rFonts w:ascii="Times New Roman" w:hAnsi="Times New Roman"/>
          <w:sz w:val="20"/>
        </w:rPr>
        <w:t xml:space="preserve"> </w:t>
      </w:r>
      <w:r>
        <w:rPr>
          <w:rFonts w:ascii="Times New Roman;serif" w:hAnsi="Times New Roman;serif"/>
          <w:b w:val="false"/>
          <w:sz w:val="24"/>
        </w:rPr>
        <w:t>has the meaning set forth in Section 13.17.</w:t>
      </w:r>
    </w:p>
    <w:p>
      <w:pPr>
        <w:pStyle w:val="TextBody"/>
        <w:bidi w:val="0"/>
        <w:spacing w:before="280" w:after="0"/>
        <w:jc w:val="both"/>
        <w:rPr/>
      </w:pPr>
      <w:r>
        <w:rPr/>
        <w:t>“</w:t>
      </w:r>
      <w:r>
        <w:rPr>
          <w:rFonts w:ascii="Times New Roman;serif" w:hAnsi="Times New Roman;serif"/>
          <w:b w:val="false"/>
          <w:i/>
          <w:sz w:val="24"/>
        </w:rPr>
        <w:t>Insolvency Proceeding”</w:t>
      </w:r>
      <w:r>
        <w:rPr>
          <w:rFonts w:ascii="Times New Roman" w:hAnsi="Times New Roman"/>
          <w:sz w:val="20"/>
        </w:rPr>
        <w:t xml:space="preserve"> </w:t>
      </w:r>
      <w:r>
        <w:rPr>
          <w:rFonts w:ascii="Times New Roman;serif" w:hAnsi="Times New Roman;serif"/>
          <w:b w:val="false"/>
          <w:sz w:val="24"/>
        </w:rPr>
        <w:t>means (a) any case, action or proceeding before any court or other Governmental Authority relating to bankruptcy, reorganization, insolvency, liquidation, receivership, dissolution, winding</w:t>
        <w:noBreakHyphen/>
        <w:t>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pStyle w:val="TextBody"/>
        <w:bidi w:val="0"/>
        <w:spacing w:before="280" w:after="0"/>
        <w:jc w:val="both"/>
        <w:rPr/>
      </w:pPr>
      <w:r>
        <w:rPr/>
        <w:t>“</w:t>
      </w:r>
      <w:r>
        <w:rPr>
          <w:rFonts w:ascii="Times New Roman;serif" w:hAnsi="Times New Roman;serif"/>
          <w:b w:val="false"/>
          <w:i/>
          <w:sz w:val="24"/>
        </w:rPr>
        <w:t>Intellectual Property”</w:t>
      </w:r>
      <w:r>
        <w:rPr>
          <w:rFonts w:ascii="Times New Roman" w:hAnsi="Times New Roman"/>
          <w:sz w:val="20"/>
        </w:rPr>
        <w:t xml:space="preserve"> </w:t>
      </w:r>
      <w:r>
        <w:rPr>
          <w:rFonts w:ascii="Times New Roman;serif" w:hAnsi="Times New Roman;serif"/>
          <w:b w:val="false"/>
          <w:sz w:val="24"/>
        </w:rPr>
        <w:t>means, with respect to any Person, all of such Person’s rights, title and interest in and to all Patents, Trademarks, Copyrights, industrial designs, Technical Information, whether registered or not and whether existing under U.S. or non-U.S. Law or jurisdiction, including, without limitation, all:</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applications, registrations, amendments and extensions relating to such Intellectual Property;</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rights and privileges arising under any applicable Laws with respect to any Intellectual Property; </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rights to sue for or collect any damages for any past, present or future infringements of any Intellectual Property; and</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283"/>
        <w:jc w:val="both"/>
        <w:rPr/>
      </w:pPr>
      <w:r>
        <w:rPr>
          <w:rFonts w:ascii="Times New Roman;serif" w:hAnsi="Times New Roman;serif"/>
          <w:b w:val="false"/>
          <w:sz w:val="24"/>
        </w:rPr>
        <w:t>rights of the same or similar effect or nature as described above in any jurisdiction corresponding to any Intellectual Property throughout the world.</w:t>
      </w:r>
      <w:r>
        <w:rPr/>
        <w:t xml:space="preserve"> </w:t>
      </w:r>
    </w:p>
    <w:p>
      <w:pPr>
        <w:pStyle w:val="TextBody"/>
        <w:bidi w:val="0"/>
        <w:spacing w:before="280" w:after="0"/>
        <w:jc w:val="both"/>
        <w:rPr/>
      </w:pPr>
      <w:r>
        <w:rPr/>
        <w:t>“</w:t>
      </w:r>
      <w:r>
        <w:rPr>
          <w:rFonts w:ascii="Times New Roman;serif" w:hAnsi="Times New Roman;serif"/>
          <w:b w:val="false"/>
          <w:i/>
          <w:sz w:val="24"/>
        </w:rPr>
        <w:t>Interest Period”</w:t>
      </w:r>
      <w:r>
        <w:rPr>
          <w:rFonts w:ascii="Times New Roman" w:hAnsi="Times New Roman"/>
          <w:sz w:val="20"/>
        </w:rPr>
        <w:t xml:space="preserve"> </w:t>
      </w:r>
      <w:r>
        <w:rPr>
          <w:rFonts w:ascii="Times New Roman;serif" w:hAnsi="Times New Roman;serif"/>
          <w:b w:val="false"/>
          <w:sz w:val="24"/>
        </w:rPr>
        <w:t>means, (a) as to the Tranche A Loan, (i) initially, the period beginning on (and including) the Funding Date and ending on (and including) the last day of the calendar month in which the Funding Date occurs, and (ii) thereafter, the period beginning on (and including) the first day of each succeeding calendar month and ending on the earlier of (and including) (x) the last day of such calendar month and (y) the Maturity Date, (b) as to the Tranche</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B Loan, (i) the period commencing on (and including) the Tranche B Loan Borrowing Date and ending on (and including) the last day of the calendar month in which the Tranche B Loan Borrowing Date occurs, and (ii) thereafter, the period beginning on (and including) the first day of each succeeding calendar month and ending on the earlier of (and including) (x) the last day of such calendar month and (y) the Maturity Date and (c) as to the Tranche C Loan, (i) the period commencing on (and including) the Tranche C Loan Borrowing Date and ending on (and including) the last day of the calendar month in which the Tranche C Loan Borrowing Date occurs, and (ii) thereafter, the period beginning on (and including) the first day of each succeeding calendar month and ending on the earlier of (and including) (x) the last day of such calendar month and (y) the Maturity Date.</w:t>
      </w:r>
    </w:p>
    <w:p>
      <w:pPr>
        <w:pStyle w:val="TextBody"/>
        <w:bidi w:val="0"/>
        <w:spacing w:before="280" w:after="0"/>
        <w:jc w:val="both"/>
        <w:rPr/>
      </w:pPr>
      <w:r>
        <w:rPr/>
        <w:t>“</w:t>
      </w:r>
      <w:r>
        <w:rPr>
          <w:rFonts w:ascii="Times New Roman;serif" w:hAnsi="Times New Roman;serif"/>
          <w:b w:val="false"/>
          <w:i/>
          <w:sz w:val="24"/>
        </w:rPr>
        <w:t>Invention”</w:t>
      </w:r>
      <w:r>
        <w:rPr>
          <w:rFonts w:ascii="Times New Roman" w:hAnsi="Times New Roman"/>
          <w:sz w:val="20"/>
        </w:rPr>
        <w:t xml:space="preserve"> </w:t>
      </w:r>
      <w:r>
        <w:rPr>
          <w:rFonts w:ascii="Times New Roman;serif" w:hAnsi="Times New Roman;serif"/>
          <w:b w:val="false"/>
          <w:sz w:val="24"/>
        </w:rPr>
        <w:t>means any novel, inventive or useful art, apparatus, method, process, machine (including any article or Device), manufacture or composition of matter, or any novel, inventive and useful improvement in any art, method, process, machine (including any article or Device), manufacture or composition of matter.</w:t>
      </w:r>
    </w:p>
    <w:p>
      <w:pPr>
        <w:pStyle w:val="TextBody"/>
        <w:bidi w:val="0"/>
        <w:spacing w:before="280" w:after="0"/>
        <w:jc w:val="both"/>
        <w:rPr/>
      </w:pPr>
      <w:r>
        <w:rPr/>
        <w:t>“</w:t>
      </w:r>
      <w:r>
        <w:rPr>
          <w:rFonts w:ascii="Times New Roman;serif" w:hAnsi="Times New Roman;serif"/>
          <w:b w:val="false"/>
          <w:i/>
          <w:sz w:val="24"/>
        </w:rPr>
        <w:t>Investment”</w:t>
      </w:r>
      <w:r>
        <w:rPr>
          <w:rFonts w:ascii="Times New Roman" w:hAnsi="Times New Roman"/>
          <w:sz w:val="20"/>
        </w:rPr>
        <w:t xml:space="preserve"> </w:t>
      </w:r>
      <w:r>
        <w:rPr>
          <w:rFonts w:ascii="Times New Roman;serif" w:hAnsi="Times New Roman;serif"/>
          <w:b w:val="false"/>
          <w:sz w:val="24"/>
        </w:rPr>
        <w:t>means, for any Person: (a) the acquisition (whether for cash, Property, services or securities or otherwise) of Equity Interests, bonds, notes, debentures, partnership or other ownership interests or other securities of any other Person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one hundred and twenty (120) days arising in connection with the sale of services, inventory or supplies by such Person in the Ordinary Course of Business; (c) the entering into of any Guarantee of, or other contingent obligation with respect to, Indebtedness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pStyle w:val="TextBody"/>
        <w:bidi w:val="0"/>
        <w:spacing w:before="280" w:after="0"/>
        <w:jc w:val="both"/>
        <w:rPr/>
      </w:pPr>
      <w:r>
        <w:rPr/>
        <w:t>“</w:t>
      </w:r>
      <w:r>
        <w:rPr>
          <w:rFonts w:ascii="Times New Roman;serif" w:hAnsi="Times New Roman;serif"/>
          <w:b w:val="false"/>
          <w:i/>
          <w:sz w:val="24"/>
        </w:rPr>
        <w:t>IRS”</w:t>
      </w:r>
      <w:r>
        <w:rPr>
          <w:rFonts w:ascii="Times New Roman" w:hAnsi="Times New Roman"/>
          <w:sz w:val="20"/>
        </w:rPr>
        <w:t xml:space="preserve"> </w:t>
      </w:r>
      <w:r>
        <w:rPr>
          <w:rFonts w:ascii="Times New Roman;serif" w:hAnsi="Times New Roman;serif"/>
          <w:b w:val="false"/>
          <w:sz w:val="24"/>
        </w:rPr>
        <w:t>means the U.S. Internal Revenue Service or any successor agency, and to the extent relevant, the U.S. Department of the Treasury.</w:t>
      </w:r>
    </w:p>
    <w:p>
      <w:pPr>
        <w:pStyle w:val="TextBody"/>
        <w:bidi w:val="0"/>
        <w:spacing w:before="280" w:after="0"/>
        <w:jc w:val="both"/>
        <w:rPr/>
      </w:pPr>
      <w:r>
        <w:rPr/>
        <w:t>“</w:t>
      </w:r>
      <w:r>
        <w:rPr>
          <w:rFonts w:ascii="Times New Roman;serif" w:hAnsi="Times New Roman;serif"/>
          <w:b w:val="false"/>
          <w:i/>
          <w:sz w:val="24"/>
        </w:rPr>
        <w:t>Laws”</w:t>
      </w:r>
      <w:r>
        <w:rPr>
          <w:rFonts w:ascii="Times New Roman" w:hAnsi="Times New Roman"/>
          <w:sz w:val="20"/>
        </w:rPr>
        <w:t xml:space="preserve"> </w:t>
      </w:r>
      <w:r>
        <w:rPr>
          <w:rFonts w:ascii="Times New Roman;serif" w:hAnsi="Times New Roman;serif"/>
          <w:b w:val="false"/>
          <w:sz w:val="24"/>
        </w:rPr>
        <w:t>means, collectively, all international, foreign, federal, state, provincial, territorial, municipal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280" w:after="0"/>
        <w:jc w:val="both"/>
        <w:rPr/>
      </w:pPr>
      <w:r>
        <w:rPr/>
        <w:t>“</w:t>
      </w:r>
      <w:r>
        <w:rPr>
          <w:rFonts w:ascii="Times New Roman;serif" w:hAnsi="Times New Roman;serif"/>
          <w:b w:val="false"/>
          <w:i/>
          <w:sz w:val="24"/>
        </w:rPr>
        <w:t>Lenders”</w:t>
      </w:r>
      <w:r>
        <w:rPr>
          <w:rFonts w:ascii="Times New Roman" w:hAnsi="Times New Roman"/>
          <w:sz w:val="20"/>
        </w:rPr>
        <w:t xml:space="preserve"> </w:t>
      </w:r>
      <w:r>
        <w:rPr>
          <w:rFonts w:ascii="Times New Roman;serif" w:hAnsi="Times New Roman;serif"/>
          <w:b w:val="false"/>
          <w:sz w:val="24"/>
        </w:rPr>
        <w:t>has the meaning set forth in the introduction hereto.</w:t>
      </w:r>
    </w:p>
    <w:p>
      <w:pPr>
        <w:pStyle w:val="TextBody"/>
        <w:bidi w:val="0"/>
        <w:spacing w:before="0" w:after="0"/>
        <w:jc w:val="center"/>
        <w:rPr/>
      </w:pPr>
      <w:r>
        <w:rPr/>
        <w:noBreakHyphen/>
      </w:r>
      <w:r>
        <w:rPr>
          <w:rFonts w:ascii="Times New Roman;serif" w:hAnsi="Times New Roman;serif"/>
          <w:b w:val="false"/>
          <w:sz w:val="24"/>
        </w:rPr>
        <w:t>17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Lien”</w:t>
      </w:r>
      <w:r>
        <w:rPr>
          <w:rFonts w:ascii="Times New Roman" w:hAnsi="Times New Roman"/>
          <w:sz w:val="20"/>
        </w:rPr>
        <w:t xml:space="preserve"> </w:t>
      </w:r>
      <w:r>
        <w:rPr>
          <w:rFonts w:ascii="Times New Roman;serif" w:hAnsi="Times New Roman;serif"/>
          <w:b w:val="false"/>
          <w:sz w:val="24"/>
        </w:rPr>
        <w:t>means any mortgage, lien, pledge, charge or other security interest, or any lease, title retention agreement, mortgage, restriction, easement, right</w:t>
        <w:noBreakHyphen/>
        <w:t>of</w:t>
        <w:noBreakHyphen/>
        <w:t>way, option or adverse Claim (of ownership or possession) or other encumbrance of any kind or character whatsoever or any preferential arrangement that has the practical effect of creating a security interest.</w:t>
      </w:r>
    </w:p>
    <w:p>
      <w:pPr>
        <w:pStyle w:val="TextBody"/>
        <w:bidi w:val="0"/>
        <w:spacing w:before="280" w:after="0"/>
        <w:jc w:val="both"/>
        <w:rPr/>
      </w:pPr>
      <w:r>
        <w:rPr/>
        <w:t>“</w:t>
      </w:r>
      <w:r>
        <w:rPr>
          <w:rFonts w:ascii="Times New Roman;serif" w:hAnsi="Times New Roman;serif"/>
          <w:b w:val="false"/>
          <w:i/>
          <w:sz w:val="24"/>
        </w:rPr>
        <w:t>Loan Documents”</w:t>
      </w:r>
      <w:r>
        <w:rPr>
          <w:rFonts w:ascii="Times New Roman" w:hAnsi="Times New Roman"/>
          <w:sz w:val="20"/>
        </w:rPr>
        <w:t xml:space="preserve"> </w:t>
      </w:r>
      <w:r>
        <w:rPr>
          <w:rFonts w:ascii="Times New Roman;serif" w:hAnsi="Times New Roman;serif"/>
          <w:b w:val="false"/>
          <w:sz w:val="24"/>
        </w:rPr>
        <w:t xml:space="preserve">means, collectively, this Agreement, any Notes, the Security Documents, any Collateral Access Agreement, the Fee Letter, any Guarantee Assumption Agreement, </w:t>
      </w:r>
      <w:r>
        <w:rPr>
          <w:rFonts w:ascii="Times New Roman;serif" w:hAnsi="Times New Roman;serif"/>
          <w:b w:val="false"/>
          <w:strike/>
          <w:sz w:val="24"/>
        </w:rPr>
        <w:t>the</w:t>
      </w:r>
      <w:r>
        <w:rPr>
          <w:rFonts w:ascii="Times New Roman;serif" w:hAnsi="Times New Roman;serif"/>
          <w:b w:val="false"/>
          <w:sz w:val="24"/>
          <w:u w:val="single"/>
        </w:rPr>
        <w:t>any</w:t>
      </w:r>
      <w:r>
        <w:rPr>
          <w:rFonts w:ascii="Times New Roman" w:hAnsi="Times New Roman"/>
          <w:sz w:val="20"/>
        </w:rPr>
        <w:t xml:space="preserve"> </w:t>
      </w:r>
      <w:r>
        <w:rPr>
          <w:rFonts w:ascii="Times New Roman;serif" w:hAnsi="Times New Roman;serif"/>
          <w:b w:val="false"/>
          <w:sz w:val="24"/>
        </w:rPr>
        <w:t>Warrant Certificate and any subordination agreement, intercreditor agreement or other present or future document, instrument, agreement or certificate delivered to any Lender in connection with this Agreement or any of the other Loan Documents, in each case, as amended, restated, supplemented or otherwise modified.</w:t>
      </w:r>
    </w:p>
    <w:p>
      <w:pPr>
        <w:pStyle w:val="TextBody"/>
        <w:bidi w:val="0"/>
        <w:spacing w:before="280" w:after="0"/>
        <w:jc w:val="both"/>
        <w:rPr/>
      </w:pPr>
      <w:r>
        <w:rPr/>
        <w:t>“</w:t>
      </w:r>
      <w:r>
        <w:rPr>
          <w:rFonts w:ascii="Times New Roman;serif" w:hAnsi="Times New Roman;serif"/>
          <w:b w:val="false"/>
          <w:i/>
          <w:sz w:val="24"/>
        </w:rPr>
        <w:t>Loan Exposure”</w:t>
      </w:r>
      <w:r>
        <w:rPr>
          <w:rFonts w:ascii="Times New Roman" w:hAnsi="Times New Roman"/>
          <w:sz w:val="20"/>
        </w:rPr>
        <w:t xml:space="preserve"> </w:t>
      </w:r>
      <w:r>
        <w:rPr>
          <w:rFonts w:ascii="Times New Roman;serif" w:hAnsi="Times New Roman;serif"/>
          <w:b w:val="false"/>
          <w:sz w:val="24"/>
        </w:rPr>
        <w:t xml:space="preserve">means, with respect to any Lender, as of any date of determination, the outstanding principal amount of such Lender’s portion of the Term Loans;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at any time prior to the making of the Term Loans, the Loan Exposure of any Lender shall be equal to such Lender’s Commitment.</w:t>
      </w:r>
    </w:p>
    <w:p>
      <w:pPr>
        <w:pStyle w:val="TextBody"/>
        <w:bidi w:val="0"/>
        <w:spacing w:before="280" w:after="0"/>
        <w:jc w:val="both"/>
        <w:rPr/>
      </w:pPr>
      <w:r>
        <w:rPr/>
        <w:t>“</w:t>
      </w:r>
      <w:r>
        <w:rPr>
          <w:rFonts w:ascii="Times New Roman;serif" w:hAnsi="Times New Roman;serif"/>
          <w:b w:val="false"/>
          <w:i/>
          <w:sz w:val="24"/>
        </w:rPr>
        <w:t>Loss”</w:t>
      </w:r>
      <w:r>
        <w:rPr>
          <w:rFonts w:ascii="Times New Roman" w:hAnsi="Times New Roman"/>
          <w:sz w:val="20"/>
        </w:rPr>
        <w:t xml:space="preserve"> </w:t>
      </w:r>
      <w:r>
        <w:rPr>
          <w:rFonts w:ascii="Times New Roman;serif" w:hAnsi="Times New Roman;serif"/>
          <w:b w:val="false"/>
          <w:sz w:val="24"/>
        </w:rPr>
        <w:t>means judgments, debts, liabilities, expenses, costs, damages or losses, contingent or otherwise, whether liquidated or unliquidated, matured or unmatured, disputed or undisputed, contractual, legal or equitable, including loss of value, reasonable professional fees, including the reasonable and documented out-of-pocket fees and disbursements of legal counsel on a full indemnity basis, and all reasonable costs incurred in investigating or pursuing any Claim or any proceeding relating to any Claim.</w:t>
      </w:r>
    </w:p>
    <w:p>
      <w:pPr>
        <w:pStyle w:val="TextBody"/>
        <w:bidi w:val="0"/>
        <w:spacing w:before="280" w:after="0"/>
        <w:jc w:val="both"/>
        <w:rPr/>
      </w:pPr>
      <w:r>
        <w:rPr/>
        <w:t>“</w:t>
      </w:r>
      <w:r>
        <w:rPr>
          <w:rFonts w:ascii="Times New Roman;serif" w:hAnsi="Times New Roman;serif"/>
          <w:b w:val="false"/>
          <w:i/>
          <w:sz w:val="24"/>
        </w:rPr>
        <w:t>Majority Lenders”</w:t>
      </w:r>
      <w:r>
        <w:rPr>
          <w:rFonts w:ascii="Times New Roman" w:hAnsi="Times New Roman"/>
          <w:sz w:val="20"/>
        </w:rPr>
        <w:t xml:space="preserve"> </w:t>
      </w:r>
      <w:r>
        <w:rPr>
          <w:rFonts w:ascii="Times New Roman;serif" w:hAnsi="Times New Roman;serif"/>
          <w:b w:val="false"/>
          <w:sz w:val="24"/>
        </w:rPr>
        <w:t>means, at any time, one or more Lenders having or holding Loan Exposure and representing more than 50% of the aggregate Loan Exposure of all Lenders.</w:t>
      </w:r>
    </w:p>
    <w:p>
      <w:pPr>
        <w:pStyle w:val="TextBody"/>
        <w:bidi w:val="0"/>
        <w:spacing w:before="280" w:after="0"/>
        <w:jc w:val="both"/>
        <w:rPr/>
      </w:pPr>
      <w:r>
        <w:rPr/>
        <w:t>“</w:t>
      </w:r>
      <w:r>
        <w:rPr>
          <w:rFonts w:ascii="Times New Roman;serif" w:hAnsi="Times New Roman;serif"/>
          <w:b w:val="false"/>
          <w:i/>
          <w:sz w:val="24"/>
        </w:rPr>
        <w:t>Margin Stock”</w:t>
      </w:r>
      <w:r>
        <w:rPr>
          <w:rFonts w:ascii="Times New Roman" w:hAnsi="Times New Roman"/>
          <w:sz w:val="20"/>
        </w:rPr>
        <w:t xml:space="preserve"> </w:t>
      </w:r>
      <w:r>
        <w:rPr>
          <w:rFonts w:ascii="Times New Roman;serif" w:hAnsi="Times New Roman;serif"/>
          <w:b w:val="false"/>
          <w:sz w:val="24"/>
        </w:rPr>
        <w:t>means “margin stock” within the meaning of Regulations U and X.</w:t>
      </w:r>
    </w:p>
    <w:p>
      <w:pPr>
        <w:pStyle w:val="TextBody"/>
        <w:bidi w:val="0"/>
        <w:spacing w:before="280" w:after="0"/>
        <w:jc w:val="both"/>
        <w:rPr/>
      </w:pPr>
      <w:r>
        <w:rPr/>
        <w:t>“</w:t>
      </w:r>
      <w:r>
        <w:rPr>
          <w:rFonts w:ascii="Times New Roman;serif" w:hAnsi="Times New Roman;serif"/>
          <w:b w:val="false"/>
          <w:i/>
          <w:sz w:val="24"/>
        </w:rPr>
        <w:t>Material Adverse Change”</w:t>
      </w:r>
      <w:r>
        <w:rPr>
          <w:rFonts w:ascii="Times New Roman" w:hAnsi="Times New Roman"/>
          <w:sz w:val="20"/>
        </w:rPr>
        <w:t xml:space="preserve"> </w:t>
      </w:r>
      <w:r>
        <w:rPr>
          <w:rFonts w:ascii="Times New Roman;serif" w:hAnsi="Times New Roman;serif"/>
          <w:b w:val="false"/>
          <w:sz w:val="24"/>
        </w:rPr>
        <w:t xml:space="preserve">and </w:t>
      </w:r>
      <w:r>
        <w:rPr>
          <w:rFonts w:ascii="Times New Roman" w:hAnsi="Times New Roman"/>
          <w:sz w:val="20"/>
        </w:rPr>
        <w:t>“</w:t>
      </w:r>
      <w:r>
        <w:rPr>
          <w:rFonts w:ascii="Times New Roman;serif" w:hAnsi="Times New Roman;serif"/>
          <w:b w:val="false"/>
          <w:i/>
          <w:sz w:val="24"/>
        </w:rPr>
        <w:t>Material Adverse Effect”</w:t>
      </w:r>
      <w:r>
        <w:rPr>
          <w:rFonts w:ascii="Times New Roman" w:hAnsi="Times New Roman"/>
          <w:sz w:val="20"/>
        </w:rPr>
        <w:t xml:space="preserve"> </w:t>
      </w:r>
      <w:r>
        <w:rPr>
          <w:rFonts w:ascii="Times New Roman;serif" w:hAnsi="Times New Roman;serif"/>
          <w:b w:val="false"/>
          <w:sz w:val="24"/>
        </w:rPr>
        <w:t>means (a) a material adverse change in, or a material adverse effect on, the operations, business, properties, liabilities (actual or contingent) or condition (financial or otherwise) of the Borrower and its Subsidiaries taken as a whole; or (b) a material adverse effect on (i) the ability of the Borrower to perform its Obligations when they become due, (ii) the legality, validity, binding effect or enforceability against the Borrower of any Loan Document to which it is a party or (iii) the rights, remedies and benefits available to, or conferred upon, the Administrative Agent or any Lender under any Loan Document.</w:t>
      </w:r>
    </w:p>
    <w:p>
      <w:pPr>
        <w:pStyle w:val="TextBody"/>
        <w:bidi w:val="0"/>
        <w:spacing w:before="280" w:after="0"/>
        <w:jc w:val="both"/>
        <w:rPr/>
      </w:pPr>
      <w:r>
        <w:rPr/>
        <w:t>“</w:t>
      </w:r>
      <w:r>
        <w:rPr>
          <w:rFonts w:ascii="Times New Roman;serif" w:hAnsi="Times New Roman;serif"/>
          <w:b w:val="false"/>
          <w:i/>
          <w:sz w:val="24"/>
        </w:rPr>
        <w:t>Material Agreement”</w:t>
      </w:r>
      <w:r>
        <w:rPr>
          <w:rFonts w:ascii="Times New Roman" w:hAnsi="Times New Roman"/>
          <w:sz w:val="20"/>
        </w:rPr>
        <w:t xml:space="preserve"> </w:t>
      </w:r>
      <w:r>
        <w:rPr>
          <w:rFonts w:ascii="Times New Roman;serif" w:hAnsi="Times New Roman;serif"/>
          <w:b w:val="false"/>
          <w:sz w:val="24"/>
        </w:rPr>
        <w:t>means (a) any Contract which is listed in Schedule 7.14, (b) any other Contract to which any Obligor is a party or a beneficiary from time to time, or to which any assets or properties of any Obligor is bound, the loss or termination of which would reasonably be expected to result in a Material Adverse Effect, (c) the Indi Purchase Agreement and (d) any other Contract to which any Obligor is a party or a guarantor (or equivalent) whether existing as of the date hereof or in the future that during any period of twelve (12) consecutive months is reasonably expected to (i) result in payments or receipts (including royalty, licensing or similar payments) made to any Obligor in an aggregate amount in excess of $2,000,000 or (ii) require payments or</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4"/>
        </w:rPr>
        <w:t xml:space="preserve">expenditures (including royalty, licensing or similar payments) made by any Obligor in an aggregate amount in excess of $2,000,000;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for the avoidance of doubt routine purchase orders entered into in the Ordinary Course of Business shall not be deemed to be Material Agreements.</w:t>
      </w:r>
    </w:p>
    <w:p>
      <w:pPr>
        <w:pStyle w:val="TextBody"/>
        <w:bidi w:val="0"/>
        <w:spacing w:before="280" w:after="0"/>
        <w:jc w:val="both"/>
        <w:rPr/>
      </w:pPr>
      <w:r>
        <w:rPr/>
        <w:t>“</w:t>
      </w:r>
      <w:r>
        <w:rPr>
          <w:rFonts w:ascii="Times New Roman;serif" w:hAnsi="Times New Roman;serif"/>
          <w:b w:val="false"/>
          <w:i/>
          <w:sz w:val="24"/>
        </w:rPr>
        <w:t>Material Indebtedness”</w:t>
      </w:r>
      <w:r>
        <w:rPr>
          <w:rFonts w:ascii="Times New Roman" w:hAnsi="Times New Roman"/>
          <w:sz w:val="20"/>
        </w:rPr>
        <w:t xml:space="preserve"> </w:t>
      </w:r>
      <w:r>
        <w:rPr>
          <w:rFonts w:ascii="Times New Roman;serif" w:hAnsi="Times New Roman;serif"/>
          <w:b w:val="false"/>
          <w:sz w:val="24"/>
        </w:rPr>
        <w:t>means, at any time, any Indebtedness of any Obligor, the outstanding principal amount of which, individually or in the aggregate, exceeds $500,000.</w:t>
      </w:r>
    </w:p>
    <w:p>
      <w:pPr>
        <w:pStyle w:val="TextBody"/>
        <w:bidi w:val="0"/>
        <w:spacing w:before="280" w:after="0"/>
        <w:jc w:val="both"/>
        <w:rPr/>
      </w:pPr>
      <w:r>
        <w:rPr/>
        <w:t>“</w:t>
      </w:r>
      <w:r>
        <w:rPr>
          <w:rFonts w:ascii="Times New Roman;serif" w:hAnsi="Times New Roman;serif"/>
          <w:b w:val="false"/>
          <w:i/>
          <w:sz w:val="24"/>
        </w:rPr>
        <w:t>Material Intellectual Property”</w:t>
      </w:r>
      <w:r>
        <w:rPr>
          <w:rFonts w:ascii="Times New Roman" w:hAnsi="Times New Roman"/>
          <w:sz w:val="20"/>
        </w:rPr>
        <w:t xml:space="preserve"> </w:t>
      </w:r>
      <w:r>
        <w:rPr>
          <w:rFonts w:ascii="Times New Roman;serif" w:hAnsi="Times New Roman;serif"/>
          <w:b w:val="false"/>
          <w:sz w:val="24"/>
        </w:rPr>
        <w:t>means all Obligor Intellectual Property, including those described in Schedule 7.05(b), whether currently owned or licensed, or acquired, developed or otherwise licensed or obtained after the date hereof (a) necessary for the operation of the business of any Obligor as currently conducted or as currently contemplated to be conducted, (b) the loss of which would reasonably be expected to have or result in a Material Adverse Effect or (c) that has a fair market value in excess of $1,000,000 (as such fair market value is determined in the reasonable judgment of the Obligors).</w:t>
      </w:r>
    </w:p>
    <w:p>
      <w:pPr>
        <w:pStyle w:val="TextBody"/>
        <w:bidi w:val="0"/>
        <w:spacing w:before="280" w:after="0"/>
        <w:jc w:val="both"/>
        <w:rPr/>
      </w:pPr>
      <w:r>
        <w:rPr/>
        <w:t>“</w:t>
      </w:r>
      <w:r>
        <w:rPr>
          <w:rFonts w:ascii="Times New Roman;serif" w:hAnsi="Times New Roman;serif"/>
          <w:b w:val="false"/>
          <w:i/>
          <w:sz w:val="24"/>
        </w:rPr>
        <w:t>Maturity Date”</w:t>
      </w:r>
      <w:r>
        <w:rPr>
          <w:rFonts w:ascii="Times New Roman" w:hAnsi="Times New Roman"/>
          <w:sz w:val="20"/>
        </w:rPr>
        <w:t xml:space="preserve"> </w:t>
      </w:r>
      <w:r>
        <w:rPr>
          <w:rFonts w:ascii="Times New Roman;serif" w:hAnsi="Times New Roman;serif"/>
          <w:b w:val="false"/>
          <w:sz w:val="24"/>
        </w:rPr>
        <w:t>means the earlier to occur of (a) the Stated Maturity Date, and (b) the date on which the Term Loans are accelerated pursuant to Section 10.02.</w:t>
      </w:r>
    </w:p>
    <w:p>
      <w:pPr>
        <w:pStyle w:val="TextBody"/>
        <w:bidi w:val="0"/>
        <w:spacing w:before="280" w:after="0"/>
        <w:jc w:val="both"/>
        <w:rPr/>
      </w:pPr>
      <w:r>
        <w:rPr/>
        <w:t>“</w:t>
      </w:r>
      <w:r>
        <w:rPr>
          <w:rFonts w:ascii="Times New Roman;serif" w:hAnsi="Times New Roman;serif"/>
          <w:b w:val="false"/>
          <w:i/>
          <w:sz w:val="24"/>
        </w:rPr>
        <w:t>Milestone Payment</w:t>
      </w:r>
      <w:r>
        <w:rPr>
          <w:rFonts w:ascii="Times New Roman" w:hAnsi="Times New Roman"/>
          <w:sz w:val="20"/>
        </w:rPr>
        <w:t xml:space="preserve">” </w:t>
      </w:r>
      <w:r>
        <w:rPr>
          <w:rFonts w:ascii="Times New Roman;serif" w:hAnsi="Times New Roman;serif"/>
          <w:b w:val="false"/>
          <w:sz w:val="24"/>
        </w:rPr>
        <w:t>has the meaning assigned to such term in Section 1.9 of the Indi Purchase Agreement as in effect on the Closing Date.</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Multiemployer Plan”</w:t>
      </w:r>
      <w:r>
        <w:rPr>
          <w:rFonts w:ascii="Times New Roman" w:hAnsi="Times New Roman"/>
          <w:sz w:val="20"/>
        </w:rPr>
        <w:t xml:space="preserve"> </w:t>
      </w:r>
      <w:r>
        <w:rPr>
          <w:rFonts w:ascii="Times New Roman;serif" w:hAnsi="Times New Roman;serif"/>
          <w:b w:val="false"/>
          <w:sz w:val="24"/>
        </w:rPr>
        <w:t>means any “multiemployer plan” as defined in Section 400l(a)(3) of ERISA, with respect to which any Obligor incurs, or otherwise has, any obligation or liability, contingent or otherwise (including on account of an ERISA Affiliate).</w:t>
      </w:r>
    </w:p>
    <w:p>
      <w:pPr>
        <w:pStyle w:val="TextBody"/>
        <w:bidi w:val="0"/>
        <w:spacing w:before="280" w:after="0"/>
        <w:jc w:val="both"/>
        <w:rPr/>
      </w:pPr>
      <w:r>
        <w:rPr/>
        <w:t>“</w:t>
      </w:r>
      <w:r>
        <w:rPr>
          <w:rFonts w:ascii="Times New Roman;serif" w:hAnsi="Times New Roman;serif"/>
          <w:b w:val="false"/>
          <w:i/>
          <w:sz w:val="24"/>
        </w:rPr>
        <w:t>Net Cash Proceeds”</w:t>
      </w:r>
      <w:r>
        <w:rPr>
          <w:rFonts w:ascii="Times New Roman" w:hAnsi="Times New Roman"/>
          <w:sz w:val="20"/>
        </w:rPr>
        <w:t xml:space="preserve"> </w:t>
      </w:r>
      <w:r>
        <w:rPr>
          <w:rFonts w:ascii="Times New Roman;serif" w:hAnsi="Times New Roman;serif"/>
          <w:b w:val="false"/>
          <w:sz w:val="24"/>
        </w:rPr>
        <w:t>means,</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with respect to the incurrence or issuance of any Indebtedness incurred by an Obligor not permitted under Section 9.01, the excess, if any, of (i) the sum of the cash received in connection with such incurrence or issuance over (ii) the investment banking fees, underwriting discounts, commissions, costs and other reasonable expenses and other customary expenses (including reasonable attorney’s accountant’s and other similar professional advisor’s fees), incurred by such obligor in connection with such incurrence or issuance to third parties (other than any other Obligor or any of their respective Affiliates); </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 respect to any Casualty Event, the amount of cash proceeds actually received in the form of insurance proceeds or condemnation awards in respect of such Casualty Event from time to time by or on behalf of such Obligor after deducting therefrom only (i) actual costs and expenses related thereto incurred by such Obligor and (ii) Taxes paid or payable in each case, in connection therewith or as a result thereof; and</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with respect to any Asset Sale (other than transfers or sales of assets permitted pursuant to Section 9.09 (other than 9.09(i)), the excess, if any, of (i) cash proceeds received in respect of such Asset Sale (including cash proceeds subsequently </w:t>
      </w:r>
    </w:p>
    <w:p>
      <w:pPr>
        <w:pStyle w:val="TextBody"/>
        <w:bidi w:val="0"/>
        <w:spacing w:before="0" w:after="0"/>
        <w:jc w:val="center"/>
        <w:rPr/>
      </w:pPr>
      <w:r>
        <w:rPr/>
        <w:noBreakHyphen/>
      </w:r>
      <w:r>
        <w:rPr>
          <w:rFonts w:ascii="Times New Roman;serif" w:hAnsi="Times New Roman;serif"/>
          <w:b w:val="false"/>
          <w:sz w:val="24"/>
        </w:rPr>
        <w:t>19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respect to indemnity payments or price adjustments until such amounts are released to the applicable Obligor or any of its Subsidiaries.</w:t>
      </w:r>
    </w:p>
    <w:p>
      <w:pPr>
        <w:pStyle w:val="TextBody"/>
        <w:bidi w:val="0"/>
        <w:spacing w:before="280" w:after="0"/>
        <w:jc w:val="both"/>
        <w:rPr/>
      </w:pPr>
      <w:r>
        <w:rPr/>
        <w:t>“</w:t>
      </w:r>
      <w:r>
        <w:rPr>
          <w:rFonts w:ascii="Times New Roman;serif" w:hAnsi="Times New Roman;serif"/>
          <w:b w:val="false"/>
          <w:i/>
          <w:sz w:val="24"/>
        </w:rPr>
        <w:t>Net Revenue”</w:t>
      </w:r>
      <w:r>
        <w:rPr>
          <w:rFonts w:ascii="Times New Roman" w:hAnsi="Times New Roman"/>
          <w:sz w:val="20"/>
        </w:rPr>
        <w:t xml:space="preserve"> </w:t>
      </w:r>
      <w:r>
        <w:rPr>
          <w:rFonts w:ascii="Times New Roman;serif" w:hAnsi="Times New Roman;serif"/>
          <w:b w:val="false"/>
          <w:sz w:val="24"/>
        </w:rPr>
        <w:t>means, with respect to the Obligors, all amounts paid to and received by such Person in the Ordinary Course of Business that, in accordance with GAAP, would be classified as net revenue.</w:t>
      </w:r>
    </w:p>
    <w:p>
      <w:pPr>
        <w:pStyle w:val="TextBody"/>
        <w:bidi w:val="0"/>
        <w:spacing w:before="280" w:after="0"/>
        <w:jc w:val="both"/>
        <w:rPr/>
      </w:pPr>
      <w:r>
        <w:rPr/>
        <w:t>“</w:t>
      </w:r>
      <w:r>
        <w:rPr>
          <w:rFonts w:ascii="Times New Roman;serif" w:hAnsi="Times New Roman;serif"/>
          <w:b w:val="false"/>
          <w:i/>
          <w:sz w:val="24"/>
        </w:rPr>
        <w:t>Note”</w:t>
      </w:r>
      <w:r>
        <w:rPr>
          <w:rFonts w:ascii="Times New Roman" w:hAnsi="Times New Roman"/>
          <w:sz w:val="20"/>
        </w:rPr>
        <w:t xml:space="preserve"> </w:t>
      </w:r>
      <w:r>
        <w:rPr>
          <w:rFonts w:ascii="Times New Roman;serif" w:hAnsi="Times New Roman;serif"/>
          <w:b w:val="false"/>
          <w:sz w:val="24"/>
        </w:rPr>
        <w:t>means a promissory note executed and delivered by the Borrower to any Lender in the form attached hereto as Exhibit C.</w:t>
      </w:r>
    </w:p>
    <w:p>
      <w:pPr>
        <w:pStyle w:val="TextBody"/>
        <w:bidi w:val="0"/>
        <w:spacing w:before="280" w:after="0"/>
        <w:jc w:val="both"/>
        <w:rPr/>
      </w:pPr>
      <w:r>
        <w:rPr/>
        <w:t>“</w:t>
      </w:r>
      <w:r>
        <w:rPr>
          <w:rFonts w:ascii="Times New Roman;serif" w:hAnsi="Times New Roman;serif"/>
          <w:b w:val="false"/>
          <w:i/>
          <w:sz w:val="24"/>
        </w:rPr>
        <w:t>Obligations”</w:t>
      </w:r>
      <w:r>
        <w:rPr>
          <w:rFonts w:ascii="Times New Roman" w:hAnsi="Times New Roman"/>
          <w:sz w:val="20"/>
        </w:rPr>
        <w:t xml:space="preserve"> </w:t>
      </w:r>
      <w:r>
        <w:rPr>
          <w:rFonts w:ascii="Times New Roman;serif" w:hAnsi="Times New Roman;serif"/>
          <w:b w:val="false"/>
          <w:sz w:val="24"/>
        </w:rPr>
        <w:t>means, with respect to any Obligor, all amounts, obligations (including, without limitation, all Warrant 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w:t>
        <w:noBreakHyphen/>
        <w:t>filing or post</w:t>
        <w:noBreakHyphen/>
        <w:t>petition interest is allowed in any such proceeding, (c) any Prepayment Premium and (d) all other fees, expenses (including fees, charges and disbursement of counsel), interest, commissions, charges, costs, disbursements, indemnities and reimbursement of amounts paid and other sums chargeable to such Obligor under any Loan Document.</w:t>
      </w:r>
    </w:p>
    <w:p>
      <w:pPr>
        <w:pStyle w:val="TextBody"/>
        <w:bidi w:val="0"/>
        <w:spacing w:before="280" w:after="0"/>
        <w:jc w:val="both"/>
        <w:rPr/>
      </w:pPr>
      <w:r>
        <w:rPr/>
        <w:t>“</w:t>
      </w:r>
      <w:r>
        <w:rPr>
          <w:rFonts w:ascii="Times New Roman;serif" w:hAnsi="Times New Roman;serif"/>
          <w:b w:val="false"/>
          <w:i/>
          <w:sz w:val="24"/>
        </w:rPr>
        <w:t>Obligor Intellectual Property”</w:t>
      </w:r>
      <w:r>
        <w:rPr>
          <w:rFonts w:ascii="Times New Roman" w:hAnsi="Times New Roman"/>
          <w:sz w:val="20"/>
        </w:rPr>
        <w:t xml:space="preserve"> </w:t>
      </w:r>
      <w:r>
        <w:rPr>
          <w:rFonts w:ascii="Times New Roman;serif" w:hAnsi="Times New Roman;serif"/>
          <w:b w:val="false"/>
          <w:sz w:val="24"/>
        </w:rPr>
        <w:t>means, at any time of determination, Intellectual Property owned by or licensed to any Obligor at such time.</w:t>
      </w:r>
    </w:p>
    <w:p>
      <w:pPr>
        <w:pStyle w:val="TextBody"/>
        <w:bidi w:val="0"/>
        <w:spacing w:before="280" w:after="0"/>
        <w:jc w:val="both"/>
        <w:rPr/>
      </w:pPr>
      <w:r>
        <w:rPr/>
        <w:t>“</w:t>
      </w:r>
      <w:r>
        <w:rPr>
          <w:rFonts w:ascii="Times New Roman;serif" w:hAnsi="Times New Roman;serif"/>
          <w:b w:val="false"/>
          <w:i/>
          <w:sz w:val="24"/>
        </w:rPr>
        <w:t>Obligors”</w:t>
      </w:r>
      <w:r>
        <w:rPr>
          <w:rFonts w:ascii="Times New Roman" w:hAnsi="Times New Roman"/>
          <w:sz w:val="20"/>
        </w:rPr>
        <w:t xml:space="preserve"> </w:t>
      </w:r>
      <w:r>
        <w:rPr>
          <w:rFonts w:ascii="Times New Roman;serif" w:hAnsi="Times New Roman;serif"/>
          <w:b w:val="false"/>
          <w:sz w:val="24"/>
        </w:rPr>
        <w:t>means, collectively, the Borrower, each Guarantor and each of their respective successors and permitted assigns.</w:t>
      </w:r>
    </w:p>
    <w:p>
      <w:pPr>
        <w:pStyle w:val="TextBody"/>
        <w:bidi w:val="0"/>
        <w:spacing w:before="280" w:after="0"/>
        <w:jc w:val="both"/>
        <w:rPr/>
      </w:pPr>
      <w:r>
        <w:rPr/>
        <w:t>“</w:t>
      </w:r>
      <w:r>
        <w:rPr>
          <w:rFonts w:ascii="Times New Roman;serif" w:hAnsi="Times New Roman;serif"/>
          <w:b w:val="false"/>
          <w:i/>
          <w:sz w:val="24"/>
        </w:rPr>
        <w:t>OFAC”</w:t>
      </w:r>
      <w:r>
        <w:rPr>
          <w:rFonts w:ascii="Times New Roman" w:hAnsi="Times New Roman"/>
          <w:sz w:val="20"/>
        </w:rPr>
        <w:t xml:space="preserve"> </w:t>
      </w:r>
      <w:r>
        <w:rPr>
          <w:rFonts w:ascii="Times New Roman;serif" w:hAnsi="Times New Roman;serif"/>
          <w:b w:val="false"/>
          <w:sz w:val="24"/>
        </w:rPr>
        <w:t>means the Office of Foreign Assets Control of the U.S. Department of the Treasury (or any successor thereto).</w:t>
      </w:r>
    </w:p>
    <w:p>
      <w:pPr>
        <w:pStyle w:val="TextBody"/>
        <w:bidi w:val="0"/>
        <w:spacing w:before="280" w:after="0"/>
        <w:jc w:val="both"/>
        <w:rPr/>
      </w:pPr>
      <w:r>
        <w:rPr/>
        <w:t>“</w:t>
      </w:r>
      <w:r>
        <w:rPr>
          <w:rFonts w:ascii="Times New Roman;serif" w:hAnsi="Times New Roman;serif"/>
          <w:b w:val="false"/>
          <w:i/>
          <w:sz w:val="24"/>
        </w:rPr>
        <w:t>Ordinary Course of Business”</w:t>
      </w:r>
      <w:r>
        <w:rPr>
          <w:rFonts w:ascii="Times New Roman" w:hAnsi="Times New Roman"/>
          <w:sz w:val="20"/>
        </w:rPr>
        <w:t xml:space="preserve"> </w:t>
      </w:r>
      <w:r>
        <w:rPr>
          <w:rFonts w:ascii="Times New Roman;serif" w:hAnsi="Times New Roman;serif"/>
          <w:b w:val="false"/>
          <w:sz w:val="24"/>
        </w:rPr>
        <w:t>means, with respect to the Obligors, the ordinary course of business generally consistent with past custom and practice (including with respect to nature, scope, magnitude, quantity and frequency).</w:t>
      </w:r>
    </w:p>
    <w:p>
      <w:pPr>
        <w:pStyle w:val="TextBody"/>
        <w:bidi w:val="0"/>
        <w:spacing w:before="280" w:after="0"/>
        <w:jc w:val="both"/>
        <w:rPr/>
      </w:pPr>
      <w:r>
        <w:rPr/>
        <w:t>“</w:t>
      </w:r>
      <w:r>
        <w:rPr>
          <w:rFonts w:ascii="Times New Roman;serif" w:hAnsi="Times New Roman;serif"/>
          <w:b w:val="false"/>
          <w:i/>
          <w:sz w:val="24"/>
        </w:rPr>
        <w:t>Organizational Documents”</w:t>
      </w:r>
      <w:r>
        <w:rPr>
          <w:rFonts w:ascii="Times New Roman" w:hAnsi="Times New Roman"/>
          <w:sz w:val="20"/>
        </w:rPr>
        <w:t xml:space="preserve"> </w:t>
      </w:r>
      <w:r>
        <w:rPr>
          <w:rFonts w:ascii="Times New Roman;serif" w:hAnsi="Times New Roman;serif"/>
          <w:b w:val="false"/>
          <w:sz w:val="24"/>
        </w:rPr>
        <w:t>means (a) with respect to any corporation, its certificate or articles of incorporation or organization, as amended, and its bylaws, as amended, (b) with respect</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20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any such “Organizational Document” shall only be to a document of a type customarily certified by such government official.</w:t>
      </w:r>
    </w:p>
    <w:p>
      <w:pPr>
        <w:pStyle w:val="TextBody"/>
        <w:bidi w:val="0"/>
        <w:spacing w:before="280" w:after="0"/>
        <w:jc w:val="both"/>
        <w:rPr/>
      </w:pPr>
      <w:r>
        <w:rPr/>
        <w:t>“</w:t>
      </w:r>
      <w:r>
        <w:rPr>
          <w:rFonts w:ascii="Times New Roman;serif" w:hAnsi="Times New Roman;serif"/>
          <w:b w:val="false"/>
          <w:i/>
          <w:sz w:val="24"/>
        </w:rPr>
        <w:t>Other Connection Taxes”</w:t>
      </w:r>
      <w:r>
        <w:rPr>
          <w:rFonts w:ascii="Times New Roman" w:hAnsi="Times New Roman"/>
          <w:sz w:val="20"/>
        </w:rPr>
        <w:t xml:space="preserve"> </w:t>
      </w:r>
      <w:r>
        <w:rPr>
          <w:rFonts w:ascii="Times New Roman;serif" w:hAnsi="Times New Roman;serif"/>
          <w:b w:val="false"/>
          <w:sz w:val="24"/>
        </w:rPr>
        <w:t>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pStyle w:val="TextBody"/>
        <w:bidi w:val="0"/>
        <w:spacing w:before="280" w:after="0"/>
        <w:jc w:val="both"/>
        <w:rPr/>
      </w:pPr>
      <w:r>
        <w:rPr/>
        <w:t>“</w:t>
      </w:r>
      <w:r>
        <w:rPr>
          <w:rFonts w:ascii="Times New Roman;serif" w:hAnsi="Times New Roman;serif"/>
          <w:b w:val="false"/>
          <w:i/>
          <w:sz w:val="24"/>
        </w:rPr>
        <w:t>Other Taxes”</w:t>
      </w:r>
      <w:r>
        <w:rPr>
          <w:rFonts w:ascii="Times New Roman" w:hAnsi="Times New Roman"/>
          <w:sz w:val="20"/>
        </w:rPr>
        <w:t xml:space="preserve"> </w:t>
      </w:r>
      <w:r>
        <w:rPr>
          <w:rFonts w:ascii="Times New Roman;serif" w:hAnsi="Times New Roman;serif"/>
          <w:b w:val="false"/>
          <w:sz w:val="24"/>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5.03(h)).</w:t>
      </w:r>
    </w:p>
    <w:p>
      <w:pPr>
        <w:pStyle w:val="TextBody"/>
        <w:bidi w:val="0"/>
        <w:spacing w:before="280" w:after="0"/>
        <w:jc w:val="both"/>
        <w:rPr/>
      </w:pPr>
      <w:r>
        <w:rPr/>
        <w:t>“</w:t>
      </w:r>
      <w:r>
        <w:rPr>
          <w:rFonts w:ascii="Times New Roman;serif" w:hAnsi="Times New Roman;serif"/>
          <w:b w:val="false"/>
          <w:i/>
          <w:sz w:val="24"/>
        </w:rPr>
        <w:t>Participant”</w:t>
      </w:r>
      <w:r>
        <w:rPr>
          <w:rFonts w:ascii="Times New Roman" w:hAnsi="Times New Roman"/>
          <w:sz w:val="20"/>
        </w:rPr>
        <w:t xml:space="preserve"> </w:t>
      </w:r>
      <w:r>
        <w:rPr>
          <w:rFonts w:ascii="Times New Roman;serif" w:hAnsi="Times New Roman;serif"/>
          <w:b w:val="false"/>
          <w:sz w:val="24"/>
        </w:rPr>
        <w:t>has the meaning set forth in Section 13.05(e).</w:t>
      </w:r>
    </w:p>
    <w:p>
      <w:pPr>
        <w:pStyle w:val="TextBody"/>
        <w:bidi w:val="0"/>
        <w:spacing w:before="280" w:after="0"/>
        <w:jc w:val="both"/>
        <w:rPr/>
      </w:pPr>
      <w:r>
        <w:rPr/>
        <w:t>“</w:t>
      </w:r>
      <w:r>
        <w:rPr>
          <w:rFonts w:ascii="Times New Roman;serif" w:hAnsi="Times New Roman;serif"/>
          <w:b w:val="false"/>
          <w:i/>
          <w:sz w:val="24"/>
        </w:rPr>
        <w:t>Participant Register”</w:t>
      </w:r>
      <w:r>
        <w:rPr>
          <w:rFonts w:ascii="Times New Roman" w:hAnsi="Times New Roman"/>
          <w:sz w:val="20"/>
        </w:rPr>
        <w:t xml:space="preserve"> </w:t>
      </w:r>
      <w:r>
        <w:rPr>
          <w:rFonts w:ascii="Times New Roman;serif" w:hAnsi="Times New Roman;serif"/>
          <w:b w:val="false"/>
          <w:sz w:val="24"/>
        </w:rPr>
        <w:t>has the meaning set forth in Section 13.05(f).</w:t>
      </w:r>
    </w:p>
    <w:p>
      <w:pPr>
        <w:pStyle w:val="TextBody"/>
        <w:bidi w:val="0"/>
        <w:spacing w:before="280" w:after="0"/>
        <w:jc w:val="both"/>
        <w:rPr/>
      </w:pPr>
      <w:r>
        <w:rPr/>
        <w:t>“</w:t>
      </w:r>
      <w:r>
        <w:rPr>
          <w:rFonts w:ascii="Times New Roman;serif" w:hAnsi="Times New Roman;serif"/>
          <w:b w:val="false"/>
          <w:i/>
          <w:sz w:val="24"/>
        </w:rPr>
        <w:t>Patents”</w:t>
      </w:r>
      <w:r>
        <w:rPr>
          <w:rFonts w:ascii="Times New Roman" w:hAnsi="Times New Roman"/>
          <w:sz w:val="20"/>
        </w:rPr>
        <w:t xml:space="preserve"> </w:t>
      </w:r>
      <w:r>
        <w:rPr>
          <w:rFonts w:ascii="Times New Roman;serif" w:hAnsi="Times New Roman;serif"/>
          <w:b w:val="false"/>
          <w:sz w:val="24"/>
        </w:rPr>
        <w:t>has the meaning set forth in the Security Documents.</w:t>
      </w:r>
    </w:p>
    <w:p>
      <w:pPr>
        <w:pStyle w:val="TextBody"/>
        <w:bidi w:val="0"/>
        <w:spacing w:before="280" w:after="0"/>
        <w:jc w:val="both"/>
        <w:rPr/>
      </w:pPr>
      <w:r>
        <w:rPr/>
        <w:t>“</w:t>
      </w:r>
      <w:r>
        <w:rPr>
          <w:rFonts w:ascii="Times New Roman;serif" w:hAnsi="Times New Roman;serif"/>
          <w:b w:val="false"/>
          <w:i/>
          <w:sz w:val="24"/>
        </w:rPr>
        <w:t>Payment Date”</w:t>
      </w:r>
      <w:r>
        <w:rPr>
          <w:rFonts w:ascii="Times New Roman" w:hAnsi="Times New Roman"/>
          <w:sz w:val="20"/>
        </w:rPr>
        <w:t xml:space="preserve"> </w:t>
      </w:r>
      <w:r>
        <w:rPr>
          <w:rFonts w:ascii="Times New Roman;serif" w:hAnsi="Times New Roman;serif"/>
          <w:b w:val="false"/>
          <w:sz w:val="24"/>
        </w:rPr>
        <w:t xml:space="preserve">means the last day of each Interest Period;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if such last day of such Interest Period is not a Business Day, then the Payment Date for such Interest Period will be the next succeeding Business Day.</w:t>
      </w:r>
    </w:p>
    <w:p>
      <w:pPr>
        <w:pStyle w:val="TextBody"/>
        <w:bidi w:val="0"/>
        <w:spacing w:before="280" w:after="0"/>
        <w:jc w:val="both"/>
        <w:rPr/>
      </w:pPr>
      <w:r>
        <w:rPr/>
        <w:t>“</w:t>
      </w:r>
      <w:r>
        <w:rPr>
          <w:rFonts w:ascii="Times New Roman;serif" w:hAnsi="Times New Roman;serif"/>
          <w:b w:val="false"/>
          <w:i/>
          <w:sz w:val="24"/>
        </w:rPr>
        <w:t>PBGC”</w:t>
      </w:r>
      <w:r>
        <w:rPr>
          <w:rFonts w:ascii="Times New Roman" w:hAnsi="Times New Roman"/>
          <w:sz w:val="20"/>
        </w:rPr>
        <w:t xml:space="preserve"> </w:t>
      </w:r>
      <w:r>
        <w:rPr>
          <w:rFonts w:ascii="Times New Roman;serif" w:hAnsi="Times New Roman;serif"/>
          <w:b w:val="false"/>
          <w:sz w:val="24"/>
        </w:rPr>
        <w:t>means the United States Pension Benefit Guaranty Corporation referred to and defined in ERISA and any successor entity performing similar functions.</w:t>
      </w:r>
    </w:p>
    <w:p>
      <w:pPr>
        <w:pStyle w:val="TextBody"/>
        <w:bidi w:val="0"/>
        <w:spacing w:before="280" w:after="0"/>
        <w:jc w:val="both"/>
        <w:rPr/>
      </w:pPr>
      <w:r>
        <w:rPr/>
        <w:t>“</w:t>
      </w:r>
      <w:r>
        <w:rPr>
          <w:rFonts w:ascii="Times New Roman;serif" w:hAnsi="Times New Roman;serif"/>
          <w:b w:val="false"/>
          <w:i/>
          <w:sz w:val="24"/>
        </w:rPr>
        <w:t>Perceptive</w:t>
      </w:r>
      <w:r>
        <w:rPr>
          <w:rFonts w:ascii="Times New Roman" w:hAnsi="Times New Roman"/>
          <w:sz w:val="20"/>
        </w:rPr>
        <w:t xml:space="preserve">” </w:t>
      </w:r>
      <w:r>
        <w:rPr>
          <w:rFonts w:ascii="Times New Roman;serif" w:hAnsi="Times New Roman;serif"/>
          <w:b w:val="false"/>
          <w:sz w:val="24"/>
        </w:rPr>
        <w:t>has the meaning set forth in the introduction hereto.</w:t>
      </w:r>
    </w:p>
    <w:p>
      <w:pPr>
        <w:pStyle w:val="TextBody"/>
        <w:bidi w:val="0"/>
        <w:spacing w:before="280" w:after="0"/>
        <w:jc w:val="both"/>
        <w:rPr/>
      </w:pPr>
      <w:r>
        <w:rPr/>
        <w:t>“</w:t>
      </w:r>
      <w:r>
        <w:rPr>
          <w:rFonts w:ascii="Times New Roman;serif" w:hAnsi="Times New Roman;serif"/>
          <w:b w:val="false"/>
          <w:i/>
          <w:sz w:val="24"/>
        </w:rPr>
        <w:t xml:space="preserve">Periodic Term SOFR Determination Day” </w:t>
      </w:r>
      <w:r>
        <w:rPr>
          <w:rFonts w:ascii="Times New Roman;serif" w:hAnsi="Times New Roman;serif"/>
          <w:b w:val="false"/>
          <w:sz w:val="24"/>
        </w:rPr>
        <w:t>has the meaning specified in the definition of “Term SOFR.”</w:t>
      </w:r>
    </w:p>
    <w:p>
      <w:pPr>
        <w:pStyle w:val="TextBody"/>
        <w:bidi w:val="0"/>
        <w:spacing w:before="280" w:after="0"/>
        <w:jc w:val="both"/>
        <w:rPr/>
      </w:pPr>
      <w:r>
        <w:rPr/>
        <w:t>“</w:t>
      </w:r>
      <w:r>
        <w:rPr>
          <w:rFonts w:ascii="Times New Roman;serif" w:hAnsi="Times New Roman;serif"/>
          <w:b w:val="false"/>
          <w:i/>
          <w:sz w:val="24"/>
        </w:rPr>
        <w:t>Permits”</w:t>
      </w:r>
      <w:r>
        <w:rPr>
          <w:rFonts w:ascii="Times New Roman" w:hAnsi="Times New Roman"/>
          <w:sz w:val="20"/>
        </w:rPr>
        <w:t xml:space="preserve"> </w:t>
      </w:r>
      <w:r>
        <w:rPr>
          <w:rFonts w:ascii="Times New Roman;serif" w:hAnsi="Times New Roman;serif"/>
          <w:b w:val="false"/>
          <w:sz w:val="24"/>
        </w:rPr>
        <w:t>means all permits, licenses, registrations, certificates, orders, approvals, authorizations, consents, waivers, franchises, variances and similar rights issued by or obtained from any Governmental Authority or accreditation organization approved by a Governmental Authority, including, without limitation, those issued pursuant to Environmental Laws and Healthcare Laws.</w:t>
      </w:r>
    </w:p>
    <w:p>
      <w:pPr>
        <w:pStyle w:val="TextBody"/>
        <w:bidi w:val="0"/>
        <w:spacing w:before="0" w:after="0"/>
        <w:jc w:val="center"/>
        <w:rPr/>
      </w:pPr>
      <w:r>
        <w:rPr/>
        <w:noBreakHyphen/>
      </w:r>
      <w:r>
        <w:rPr>
          <w:rFonts w:ascii="Times New Roman;serif" w:hAnsi="Times New Roman;serif"/>
          <w:b w:val="false"/>
          <w:sz w:val="24"/>
        </w:rPr>
        <w:t>21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Permitted Acquisition”</w:t>
      </w:r>
      <w:r>
        <w:rPr>
          <w:rFonts w:ascii="Times New Roman" w:hAnsi="Times New Roman"/>
          <w:sz w:val="20"/>
        </w:rPr>
        <w:t xml:space="preserve"> </w:t>
      </w:r>
      <w:r>
        <w:rPr>
          <w:rFonts w:ascii="Times New Roman;serif" w:hAnsi="Times New Roman;serif"/>
          <w:b w:val="false"/>
          <w:sz w:val="24"/>
        </w:rPr>
        <w:t xml:space="preserve">means any Acquisition by any Obligor or any of their wholly-owned Subsidiaries, by (a) purchase, merger, amalgamation, plan of arrangement,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off-the-shelf or over the counter software license arrangements);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immediately prior to, and immediately after giving effect thereto, no Default or Event of Default shall have occurred and be continuing or would result therefrom;</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all transactions in connection therewith shall be consummated, in all material respects, in accordance with all applicable Laws and in conformity in all material respects with all applicable Governmental Approvals;</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Borrower shall have taken, or caused to be taken, as of the date such Person becomes a Subsidiary of an Obligor, each of the actions set forth in Section 8.11, if applicable;</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such Person (in the case of an Acquisition of Equity Interests) or assets (in the case of an Acquisition of assets or a division) (A) shall be engaged or used, as the case may be, in the same business or lines of business in which Borrower and/or its Subsidiaries are engaged or a business reasonably and substantially related thereto or (B) shall have a similar customer base as Borrower and/or its Subsidiaries;</w:t>
      </w:r>
    </w:p>
    <w:p>
      <w:pPr>
        <w:pStyle w:val="TextBody"/>
        <w:bidi w:val="0"/>
        <w:spacing w:before="280" w:after="0"/>
        <w:jc w:val="both"/>
        <w:rPr>
          <w:rFonts w:ascii="Times New Roman" w:hAnsi="Times New Roman"/>
          <w:b w:val="false"/>
          <w:sz w:val="24"/>
        </w:rPr>
      </w:pPr>
      <w:r>
        <w:rPr>
          <w:rFonts w:ascii="Times New Roman" w:hAnsi="Times New Roman"/>
          <w:b w:val="false"/>
          <w:sz w:val="24"/>
        </w:rPr>
        <w:t>(v)</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Borrower shall have provided the Administrative Agent with at least ten (10) Business Days’ prior written notice of any such Acquisition, together with summaries, prepared in reasonable detail, of all due diligence conducted by or on behalf of Borrower or the applicable Subsidiary prior to such Acquisition;</w:t>
      </w:r>
    </w:p>
    <w:p>
      <w:pPr>
        <w:pStyle w:val="TextBody"/>
        <w:bidi w:val="0"/>
        <w:spacing w:before="280" w:after="0"/>
        <w:jc w:val="both"/>
        <w:rPr>
          <w:rFonts w:ascii="Times New Roman" w:hAnsi="Times New Roman"/>
          <w:b w:val="false"/>
          <w:sz w:val="24"/>
        </w:rPr>
      </w:pPr>
      <w:r>
        <w:rPr>
          <w:rFonts w:ascii="Times New Roman" w:hAnsi="Times New Roman"/>
          <w:b w:val="false"/>
          <w:sz w:val="24"/>
        </w:rPr>
        <w:t>(vi)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Acquisition shall have been approved by the Board or other governing body or controlling Person of the Person acquired or the Person from whom such assets or division is acquired;</w:t>
      </w:r>
    </w:p>
    <w:p>
      <w:pPr>
        <w:pStyle w:val="TextBody"/>
        <w:bidi w:val="0"/>
        <w:spacing w:before="280" w:after="0"/>
        <w:jc w:val="both"/>
        <w:rPr>
          <w:rFonts w:ascii="Times New Roman" w:hAnsi="Times New Roman"/>
          <w:b w:val="false"/>
          <w:sz w:val="24"/>
        </w:rPr>
      </w:pPr>
      <w:r>
        <w:rPr>
          <w:rFonts w:ascii="Times New Roman" w:hAnsi="Times New Roman"/>
          <w:b w:val="false"/>
          <w:sz w:val="24"/>
        </w:rPr>
        <w:t>(vii)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all of the assets or Equity Interests acquired in connection with such Acquisition shall be of a U.S. Person; and</w:t>
      </w:r>
    </w:p>
    <w:p>
      <w:pPr>
        <w:pStyle w:val="TextBody"/>
        <w:bidi w:val="0"/>
        <w:spacing w:before="280" w:after="0"/>
        <w:jc w:val="both"/>
        <w:rPr>
          <w:rFonts w:ascii="Times New Roman" w:hAnsi="Times New Roman"/>
          <w:b w:val="false"/>
          <w:sz w:val="24"/>
        </w:rPr>
      </w:pPr>
      <w:r>
        <w:rPr>
          <w:rFonts w:ascii="Times New Roman" w:hAnsi="Times New Roman"/>
          <w:b w:val="false"/>
          <w:sz w:val="24"/>
        </w:rPr>
        <w:t>(viii)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(viii) on a pro forma basis after giving effect to such Acquisition, the Obligors shall be in compliance with Section 8.15.</w:t>
      </w:r>
    </w:p>
    <w:p>
      <w:pPr>
        <w:pStyle w:val="TextBody"/>
        <w:bidi w:val="0"/>
        <w:spacing w:before="280" w:after="0"/>
        <w:jc w:val="both"/>
        <w:rPr/>
      </w:pPr>
      <w:r>
        <w:rPr/>
        <w:t>“</w:t>
      </w:r>
      <w:r>
        <w:rPr>
          <w:rFonts w:ascii="Times New Roman;serif" w:hAnsi="Times New Roman;serif"/>
          <w:b w:val="false"/>
          <w:i/>
          <w:sz w:val="24"/>
        </w:rPr>
        <w:t>Permitted Cash Equivalent Investments”</w:t>
      </w:r>
      <w:r>
        <w:rPr>
          <w:rFonts w:ascii="Times New Roman" w:hAnsi="Times New Roman"/>
          <w:sz w:val="20"/>
        </w:rPr>
        <w:t xml:space="preserve"> </w:t>
      </w:r>
      <w:r>
        <w:rPr>
          <w:rFonts w:ascii="Times New Roman;serif" w:hAnsi="Times New Roman;serif"/>
          <w:b w:val="false"/>
          <w:sz w:val="24"/>
        </w:rPr>
        <w:t>means (a) marketable direct obligations issued or unconditionally guaranteed by the United States or any agency or any state thereof, or by an</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22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instrumentality or agency of them with an equivalent credit rating having maturities of not more than two (2) years from the date of acquisition, (b) commercial paper with an average maturity of no more than one (1) year and having the highest rating from either Standard &amp; Poor’s Ratings Group or Moody’s Investors Service, Inc., (c) any money market funds or other investment vehicles whose principal investments are in investments described in clauses (a) or (b) above, (d) certificates of deposit maturing no more than one (1) year after issue, and (e) other similar Investments permitted by the Borrower’s investment policy delivered to the Administrative Agent prior to the Closing Date, as amended from time to time, so long as such investment policy and any such amounts have been approved by the Administrative Agent in advance in its sole discretion.</w:t>
      </w:r>
    </w:p>
    <w:p>
      <w:pPr>
        <w:pStyle w:val="TextBody"/>
        <w:bidi w:val="0"/>
        <w:spacing w:before="280" w:after="0"/>
        <w:jc w:val="both"/>
        <w:rPr/>
      </w:pPr>
      <w:r>
        <w:rPr/>
        <w:t>“</w:t>
      </w:r>
      <w:r>
        <w:rPr>
          <w:rFonts w:ascii="Times New Roman;serif" w:hAnsi="Times New Roman;serif"/>
          <w:b w:val="false"/>
          <w:i/>
          <w:sz w:val="24"/>
        </w:rPr>
        <w:t>Permitted Indebtedness”</w:t>
      </w:r>
      <w:r>
        <w:rPr>
          <w:rFonts w:ascii="Times New Roman" w:hAnsi="Times New Roman"/>
          <w:sz w:val="20"/>
        </w:rPr>
        <w:t xml:space="preserve"> </w:t>
      </w:r>
      <w:r>
        <w:rPr>
          <w:rFonts w:ascii="Times New Roman;serif" w:hAnsi="Times New Roman;serif"/>
          <w:b w:val="false"/>
          <w:sz w:val="24"/>
        </w:rPr>
        <w:t>means any Indebtedness permitted under Section 9.01.</w:t>
      </w:r>
    </w:p>
    <w:p>
      <w:pPr>
        <w:pStyle w:val="TextBody"/>
        <w:bidi w:val="0"/>
        <w:spacing w:before="280" w:after="0"/>
        <w:jc w:val="both"/>
        <w:rPr/>
      </w:pPr>
      <w:r>
        <w:rPr/>
        <w:t>“</w:t>
      </w:r>
      <w:r>
        <w:rPr>
          <w:rFonts w:ascii="Times New Roman;serif" w:hAnsi="Times New Roman;serif"/>
          <w:b w:val="false"/>
          <w:i/>
          <w:sz w:val="24"/>
        </w:rPr>
        <w:t>Permitted Licenses”</w:t>
      </w:r>
      <w:r>
        <w:rPr>
          <w:rFonts w:ascii="Times New Roman" w:hAnsi="Times New Roman"/>
          <w:sz w:val="20"/>
        </w:rPr>
        <w:t xml:space="preserve"> </w:t>
      </w:r>
      <w:r>
        <w:rPr>
          <w:rFonts w:ascii="Times New Roman;serif" w:hAnsi="Times New Roman;serif"/>
          <w:b w:val="false"/>
          <w:sz w:val="24"/>
        </w:rPr>
        <w:t>means (a)(i) licenses of off-the-shelf or over-the-counter or open-source software that is commercially available to the public, (ii) inbound licenses for the use of any Patents, Trademarks, Copyrights, Industrial Designs and Technical Information of any third party, (iii) non-exclusive licenses for the use of Obligor Intellectual Property and (iv) immaterial Intellectual Property licensed to Borrower or any of its Subsidiaries, in each case, entered into in the Ordinary Course of Business or as otherwise may be approved by the applicable Obligor’s Board and so long as such license does not materially impair the Lenders from exercising their rights under any of the Loan Documents and (b) the Caprion License.</w:t>
      </w:r>
    </w:p>
    <w:p>
      <w:pPr>
        <w:pStyle w:val="TextBody"/>
        <w:bidi w:val="0"/>
        <w:spacing w:before="280" w:after="0"/>
        <w:jc w:val="both"/>
        <w:rPr/>
      </w:pPr>
      <w:r>
        <w:rPr/>
        <w:t>“</w:t>
      </w:r>
      <w:r>
        <w:rPr>
          <w:rFonts w:ascii="Times New Roman;serif" w:hAnsi="Times New Roman;serif"/>
          <w:b w:val="false"/>
          <w:i/>
          <w:sz w:val="24"/>
        </w:rPr>
        <w:t>Permitted Liens”</w:t>
      </w:r>
      <w:r>
        <w:rPr>
          <w:rFonts w:ascii="Times New Roman" w:hAnsi="Times New Roman"/>
          <w:sz w:val="20"/>
        </w:rPr>
        <w:t xml:space="preserve"> </w:t>
      </w:r>
      <w:r>
        <w:rPr>
          <w:rFonts w:ascii="Times New Roman;serif" w:hAnsi="Times New Roman;serif"/>
          <w:b w:val="false"/>
          <w:sz w:val="24"/>
        </w:rPr>
        <w:t>means any Liens permitted under Section 9.02.</w:t>
      </w:r>
    </w:p>
    <w:p>
      <w:pPr>
        <w:pStyle w:val="TextBody"/>
        <w:bidi w:val="0"/>
        <w:spacing w:before="280" w:after="0"/>
        <w:jc w:val="both"/>
        <w:rPr/>
      </w:pPr>
      <w:r>
        <w:rPr/>
        <w:t>“</w:t>
      </w:r>
      <w:r>
        <w:rPr>
          <w:rFonts w:ascii="Times New Roman;serif" w:hAnsi="Times New Roman;serif"/>
          <w:b w:val="false"/>
          <w:i/>
          <w:sz w:val="24"/>
        </w:rPr>
        <w:t>Permitted Refinancing”</w:t>
      </w:r>
      <w:r>
        <w:rPr>
          <w:rFonts w:ascii="Times New Roman" w:hAnsi="Times New Roman"/>
          <w:sz w:val="20"/>
        </w:rPr>
        <w:t xml:space="preserve"> </w:t>
      </w:r>
      <w:r>
        <w:rPr>
          <w:rFonts w:ascii="Times New Roman;serif" w:hAnsi="Times New Roman;serif"/>
          <w:b w:val="false"/>
          <w:sz w:val="24"/>
        </w:rPr>
        <w:t xml:space="preserve">means, with respect to any Indebtedness permitted to be refinanced, extended, renewed or replaced hereunder, any refinancings, extensions, renewals and replacements of such Indebtedness;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such refinancing, extension, renewal or replacement shall not (a) increase the outstanding principal amount of the Indebtedness being refinanced, extended, renewed or replaced (except in the amount of accrued interest, reasonable and documented upfront and other fees and transaction costs), (b) contain terms relating to outstanding principal amount, amortization, interest rate or equivalent yield, maturity, collateral security (if any) or subordination (if any), or other material terms that, taken as a whole, are less 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at the time of and immediately after giving effect to the refinancing, extension, renewal or replacement, no Default shall have occurred and be continuing.</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Person”</w:t>
      </w:r>
      <w:r>
        <w:rPr>
          <w:rFonts w:ascii="Times New Roman" w:hAnsi="Times New Roman"/>
          <w:sz w:val="20"/>
        </w:rPr>
        <w:t xml:space="preserve"> </w:t>
      </w:r>
      <w:r>
        <w:rPr>
          <w:rFonts w:ascii="Times New Roman;serif" w:hAnsi="Times New Roman;serif"/>
          <w:b w:val="false"/>
          <w:sz w:val="24"/>
        </w:rPr>
        <w:t>means any individual, corporation, company, voluntary association, partnership, limited liability company, joint venture, trust, unincorporated organization or Governmental Authority or other entity of whatever nature.</w:t>
      </w:r>
    </w:p>
    <w:p>
      <w:pPr>
        <w:pStyle w:val="TextBody"/>
        <w:bidi w:val="0"/>
        <w:spacing w:before="280" w:after="0"/>
        <w:jc w:val="both"/>
        <w:rPr/>
      </w:pPr>
      <w:r>
        <w:rPr/>
        <w:t>“</w:t>
      </w:r>
      <w:r>
        <w:rPr>
          <w:rFonts w:ascii="Times New Roman;serif" w:hAnsi="Times New Roman;serif"/>
          <w:b w:val="false"/>
          <w:i/>
          <w:sz w:val="24"/>
        </w:rPr>
        <w:t>PFIC”</w:t>
      </w:r>
      <w:r>
        <w:rPr>
          <w:rFonts w:ascii="Times New Roman" w:hAnsi="Times New Roman"/>
          <w:sz w:val="20"/>
        </w:rPr>
        <w:t xml:space="preserve"> </w:t>
      </w:r>
      <w:r>
        <w:rPr>
          <w:rFonts w:ascii="Times New Roman;serif" w:hAnsi="Times New Roman;serif"/>
          <w:b w:val="false"/>
          <w:sz w:val="24"/>
        </w:rPr>
        <w:t>has the meaning set forth in Section 8.01(i).</w:t>
      </w:r>
    </w:p>
    <w:p>
      <w:pPr>
        <w:pStyle w:val="TextBody"/>
        <w:bidi w:val="0"/>
        <w:spacing w:before="280" w:after="0"/>
        <w:jc w:val="both"/>
        <w:rPr/>
      </w:pPr>
      <w:r>
        <w:rPr/>
        <w:t>“</w:t>
      </w:r>
      <w:r>
        <w:rPr>
          <w:rFonts w:ascii="Times New Roman;serif" w:hAnsi="Times New Roman;serif"/>
          <w:b w:val="false"/>
          <w:i/>
          <w:sz w:val="24"/>
        </w:rPr>
        <w:t>Prepayment Premium”</w:t>
      </w:r>
      <w:r>
        <w:rPr>
          <w:rFonts w:ascii="Times New Roman" w:hAnsi="Times New Roman"/>
          <w:sz w:val="20"/>
        </w:rPr>
        <w:t xml:space="preserve"> </w:t>
      </w:r>
      <w:r>
        <w:rPr>
          <w:rFonts w:ascii="Times New Roman;serif" w:hAnsi="Times New Roman;serif"/>
          <w:b w:val="false"/>
          <w:sz w:val="24"/>
        </w:rPr>
        <w:t>has the meaning set forth in Section 3.03(a).</w:t>
      </w:r>
    </w:p>
    <w:p>
      <w:pPr>
        <w:pStyle w:val="TextBody"/>
        <w:bidi w:val="0"/>
        <w:spacing w:before="0" w:after="0"/>
        <w:jc w:val="center"/>
        <w:rPr/>
      </w:pPr>
      <w:r>
        <w:rPr/>
        <w:noBreakHyphen/>
      </w:r>
      <w:r>
        <w:rPr>
          <w:rFonts w:ascii="Times New Roman;serif" w:hAnsi="Times New Roman;serif"/>
          <w:b w:val="false"/>
          <w:sz w:val="24"/>
        </w:rPr>
        <w:t>23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Pro Rata Share”</w:t>
      </w:r>
      <w:r>
        <w:rPr>
          <w:rFonts w:ascii="Times New Roman" w:hAnsi="Times New Roman"/>
          <w:sz w:val="20"/>
        </w:rPr>
        <w:t xml:space="preserve"> </w:t>
      </w:r>
      <w:r>
        <w:rPr>
          <w:rFonts w:ascii="Times New Roman;serif" w:hAnsi="Times New Roman;serif"/>
          <w:b w:val="false"/>
          <w:sz w:val="24"/>
        </w:rPr>
        <w:t>has the meaning set forth in Section 11.08.</w:t>
      </w:r>
    </w:p>
    <w:p>
      <w:pPr>
        <w:pStyle w:val="TextBody"/>
        <w:bidi w:val="0"/>
        <w:spacing w:before="280" w:after="0"/>
        <w:jc w:val="both"/>
        <w:rPr/>
      </w:pPr>
      <w:r>
        <w:rPr/>
        <w:t>“</w:t>
      </w:r>
      <w:r>
        <w:rPr>
          <w:rFonts w:ascii="Times New Roman;serif" w:hAnsi="Times New Roman;serif"/>
          <w:b w:val="false"/>
          <w:i/>
          <w:sz w:val="24"/>
        </w:rPr>
        <w:t>Product”</w:t>
      </w:r>
      <w:r>
        <w:rPr>
          <w:rFonts w:ascii="Times New Roman" w:hAnsi="Times New Roman"/>
          <w:sz w:val="20"/>
        </w:rPr>
        <w:t xml:space="preserve"> </w:t>
      </w:r>
      <w:r>
        <w:rPr>
          <w:rFonts w:ascii="Times New Roman;serif" w:hAnsi="Times New Roman;serif"/>
          <w:b w:val="false"/>
          <w:sz w:val="24"/>
        </w:rPr>
        <w:t>means (a) those Devices set forth (and described in reasonable detail) on Schedule 3 attached hereto and (b) any current or future Device subject to any Product Development and Commercialization Activities by any Obligor, including any such Device currently in development.</w:t>
      </w:r>
    </w:p>
    <w:p>
      <w:pPr>
        <w:pStyle w:val="TextBody"/>
        <w:bidi w:val="0"/>
        <w:spacing w:before="280" w:after="0"/>
        <w:jc w:val="both"/>
        <w:rPr/>
      </w:pPr>
      <w:r>
        <w:rPr/>
        <w:t>“</w:t>
      </w:r>
      <w:r>
        <w:rPr>
          <w:rFonts w:ascii="Times New Roman;serif" w:hAnsi="Times New Roman;serif"/>
          <w:b w:val="false"/>
          <w:i/>
          <w:sz w:val="24"/>
        </w:rPr>
        <w:t>Product Agreement”</w:t>
      </w:r>
      <w:r>
        <w:rPr>
          <w:rFonts w:ascii="Times New Roman" w:hAnsi="Times New Roman"/>
          <w:sz w:val="20"/>
        </w:rPr>
        <w:t xml:space="preserve"> </w:t>
      </w:r>
      <w:r>
        <w:rPr>
          <w:rFonts w:ascii="Times New Roman;serif" w:hAnsi="Times New Roman;serif"/>
          <w:b w:val="false"/>
          <w:sz w:val="24"/>
        </w:rPr>
        <w:t>means, with respect to any Product, any Contract, license, document, instrument, interest (equity or otherwise) or the 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pStyle w:val="TextBody"/>
        <w:bidi w:val="0"/>
        <w:spacing w:before="280" w:after="0"/>
        <w:jc w:val="both"/>
        <w:rPr/>
      </w:pPr>
      <w:r>
        <w:rPr/>
        <w:t>“</w:t>
      </w:r>
      <w:r>
        <w:rPr>
          <w:rFonts w:ascii="Times New Roman;serif" w:hAnsi="Times New Roman;serif"/>
          <w:b w:val="false"/>
          <w:i/>
          <w:sz w:val="24"/>
        </w:rPr>
        <w:t>Product Assets”</w:t>
      </w:r>
      <w:r>
        <w:rPr>
          <w:rFonts w:ascii="Times New Roman" w:hAnsi="Times New Roman"/>
          <w:sz w:val="20"/>
        </w:rPr>
        <w:t xml:space="preserve"> </w:t>
      </w:r>
      <w:r>
        <w:rPr>
          <w:rFonts w:ascii="Times New Roman;serif" w:hAnsi="Times New Roman;serif"/>
          <w:b w:val="false"/>
          <w:sz w:val="24"/>
        </w:rPr>
        <w:t>means, with respect to any Product, (a) any and all rights, title and interest of the Obligors in any assets relating to such Product or any Product Development and Commercialization Activities with respect to such Product, (b) all Product Related Information with respect to such Product or any related Product Development and Commercialization Activities, (c) any rights, title and interest of the Obligors under any Product Agreement related to such Product or any such Product Development and Commercialization Activities, (d) any rights, title and interest of the Obligors to Intellectual Property, Regulatory Approvals and similar assets with respect to such Product or any such Product Development and Commercialization Activities, and (e) all rights, title and interests of the Obligors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pStyle w:val="TextBody"/>
        <w:bidi w:val="0"/>
        <w:spacing w:before="280" w:after="0"/>
        <w:jc w:val="both"/>
        <w:rPr/>
      </w:pPr>
      <w:r>
        <w:rPr/>
        <w:t>“</w:t>
      </w:r>
      <w:r>
        <w:rPr>
          <w:rFonts w:ascii="Times New Roman;serif" w:hAnsi="Times New Roman;serif"/>
          <w:b w:val="false"/>
          <w:i/>
          <w:sz w:val="24"/>
        </w:rPr>
        <w:t>Product Authorizations”</w:t>
      </w:r>
      <w:r>
        <w:rPr>
          <w:rFonts w:ascii="Times New Roman" w:hAnsi="Times New Roman"/>
          <w:sz w:val="20"/>
        </w:rPr>
        <w:t xml:space="preserve"> </w:t>
      </w:r>
      <w:r>
        <w:rPr>
          <w:rFonts w:ascii="Times New Roman;serif" w:hAnsi="Times New Roman;serif"/>
          <w:b w:val="false"/>
          <w:sz w:val="24"/>
        </w:rPr>
        <w:t>means any and all Regulatory Approvals (including all applicable Device Clearance Applications, supplements, amendments, governmental price and reimbursement approvals and approvals of applications for regulatory exclusivity), clearances, licenses, notifications, registrations, safety or quality specifications and standards, or any other authorizations of any applicable Regulatory Authority in each case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whether U.S. or non</w:t>
        <w:noBreakHyphen/>
        <w:t>U.S.</w:t>
      </w:r>
    </w:p>
    <w:p>
      <w:pPr>
        <w:pStyle w:val="TextBody"/>
        <w:bidi w:val="0"/>
        <w:spacing w:before="280" w:after="0"/>
        <w:jc w:val="both"/>
        <w:rPr/>
      </w:pPr>
      <w:r>
        <w:rPr/>
        <w:t>“</w:t>
      </w:r>
      <w:r>
        <w:rPr>
          <w:rFonts w:ascii="Times New Roman;serif" w:hAnsi="Times New Roman;serif"/>
          <w:b w:val="false"/>
          <w:i/>
          <w:sz w:val="24"/>
        </w:rPr>
        <w:t>Product Development and Commercialization Activities”</w:t>
      </w:r>
      <w:r>
        <w:rPr>
          <w:rFonts w:ascii="Times New Roman" w:hAnsi="Times New Roman"/>
          <w:sz w:val="20"/>
        </w:rPr>
        <w:t xml:space="preserve"> </w:t>
      </w:r>
      <w:r>
        <w:rPr>
          <w:rFonts w:ascii="Times New Roman;serif" w:hAnsi="Times New Roman;serif"/>
          <w:b w:val="false"/>
          <w:sz w:val="24"/>
        </w:rPr>
        <w:t>means, with respect to any Product, any combination of 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pStyle w:val="TextBody"/>
        <w:bidi w:val="0"/>
        <w:spacing w:before="0" w:after="0"/>
        <w:jc w:val="center"/>
        <w:rPr/>
      </w:pPr>
      <w:r>
        <w:rPr/>
        <w:noBreakHyphen/>
      </w:r>
      <w:r>
        <w:rPr>
          <w:rFonts w:ascii="Times New Roman;serif" w:hAnsi="Times New Roman;serif"/>
          <w:b w:val="false"/>
          <w:sz w:val="24"/>
        </w:rPr>
        <w:t>24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 xml:space="preserve">Product Related Information” </w:t>
      </w:r>
      <w:r>
        <w:rPr>
          <w:rFonts w:ascii="Times New Roman;serif" w:hAnsi="Times New Roman;serif"/>
          <w:b w:val="false"/>
          <w:sz w:val="24"/>
        </w:rPr>
        <w:t>means, with respect to any Product, all books, records, lists, ledgers, files, manuals, Contracts, correspondence, reports, plans, drawings and data (in any form or medium), and all techniques and other know</w:t>
        <w:noBreakHyphen/>
        <w:t>how, owned or possessed by the Borrower or any of its Subsidiaries that are necessary or required for any Product Development and Commercialization Activities by any Obligor relating to such Product, including (a) brand materials, packaging and other trade dress,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(b) clinical data, information included or supporting any Product Authorization or other Regulatory Approval, any regulatory filings, updates, notices and correspondence (including adverse event and other pharmacovigilance and other post</w:t>
        <w:noBreakHyphen/>
        <w:t>marketing reports and information, etc.), technical information, product development and operational data and records, and all other documents, records, files, data and other information relating to product development, manufacture and use, (c) litigation and dispute records, and accounting records, (d) all documents, records and files relating to Intellectual Property, including all correspondence from and to third parties (including Intellectual Property counsel and patent, trademark and other intellectual property registries, including the United States Patent and Trademark Office) and (e) all other information, techniques and know</w:t>
        <w:noBreakHyphen/>
        <w:t>how necessary or required in connection with the Product Development and Commercialization Activities by any Obligor for any Product.</w:t>
      </w:r>
    </w:p>
    <w:p>
      <w:pPr>
        <w:pStyle w:val="TextBody"/>
        <w:bidi w:val="0"/>
        <w:spacing w:before="280" w:after="0"/>
        <w:jc w:val="both"/>
        <w:rPr/>
      </w:pPr>
      <w:r>
        <w:rPr/>
        <w:t>“</w:t>
      </w:r>
      <w:r>
        <w:rPr>
          <w:rFonts w:ascii="Times New Roman;serif" w:hAnsi="Times New Roman;serif"/>
          <w:b w:val="false"/>
          <w:i/>
          <w:sz w:val="24"/>
        </w:rPr>
        <w:t>Prohibited Payment”</w:t>
      </w:r>
      <w:r>
        <w:rPr>
          <w:rFonts w:ascii="Times New Roman" w:hAnsi="Times New Roman"/>
          <w:sz w:val="20"/>
        </w:rPr>
        <w:t xml:space="preserve"> </w:t>
      </w:r>
      <w:r>
        <w:rPr>
          <w:rFonts w:ascii="Times New Roman;serif" w:hAnsi="Times New Roman;serif"/>
          <w:b w:val="false"/>
          <w:sz w:val="24"/>
        </w:rPr>
        <w:t>means any bribe, rebate, payoff, influence payment, kickback or other payment or gift of money or anything of value (including meals or entertainment) to any officer, employee or ceremonial office holder of any government or instrumentality thereof, political party or supra</w:t>
        <w:noBreakHyphen/>
        <w:t>national organization (such as the United Nations), any political candidate, any royal family member or any other person who is connected or associated personally with any of the foregoing that is prohibited under any Requirement of Law.</w:t>
      </w:r>
    </w:p>
    <w:p>
      <w:pPr>
        <w:pStyle w:val="TextBody"/>
        <w:bidi w:val="0"/>
        <w:spacing w:before="280" w:after="0"/>
        <w:jc w:val="both"/>
        <w:rPr/>
      </w:pPr>
      <w:r>
        <w:rPr/>
        <w:t>“</w:t>
      </w:r>
      <w:r>
        <w:rPr>
          <w:rFonts w:ascii="Times New Roman;serif" w:hAnsi="Times New Roman;serif"/>
          <w:b w:val="false"/>
          <w:i/>
          <w:sz w:val="24"/>
        </w:rPr>
        <w:t>Projections”</w:t>
      </w:r>
      <w:r>
        <w:rPr>
          <w:rFonts w:ascii="Times New Roman" w:hAnsi="Times New Roman"/>
          <w:sz w:val="20"/>
        </w:rPr>
        <w:t xml:space="preserve"> </w:t>
      </w:r>
      <w:r>
        <w:rPr>
          <w:rFonts w:ascii="Times New Roman;serif" w:hAnsi="Times New Roman;serif"/>
          <w:b w:val="false"/>
          <w:sz w:val="24"/>
        </w:rPr>
        <w:t>has the meaning set forth in Section 7.04(b).</w:t>
      </w:r>
    </w:p>
    <w:p>
      <w:pPr>
        <w:pStyle w:val="TextBody"/>
        <w:bidi w:val="0"/>
        <w:spacing w:before="280" w:after="0"/>
        <w:jc w:val="both"/>
        <w:rPr/>
      </w:pPr>
      <w:r>
        <w:rPr/>
        <w:t>“</w:t>
      </w:r>
      <w:r>
        <w:rPr>
          <w:rFonts w:ascii="Times New Roman;serif" w:hAnsi="Times New Roman;serif"/>
          <w:b w:val="false"/>
          <w:i/>
          <w:sz w:val="24"/>
        </w:rPr>
        <w:t>Property”</w:t>
      </w:r>
      <w:r>
        <w:rPr>
          <w:rFonts w:ascii="Times New Roman" w:hAnsi="Times New Roman"/>
          <w:sz w:val="20"/>
        </w:rPr>
        <w:t xml:space="preserve"> </w:t>
      </w:r>
      <w:r>
        <w:rPr>
          <w:rFonts w:ascii="Times New Roman;serif" w:hAnsi="Times New Roman;serif"/>
          <w:b w:val="false"/>
          <w:sz w:val="24"/>
        </w:rPr>
        <w:t>of any Person means any property or assets, or interest therein, of such Person.</w:t>
      </w:r>
    </w:p>
    <w:p>
      <w:pPr>
        <w:pStyle w:val="TextBody"/>
        <w:bidi w:val="0"/>
        <w:spacing w:before="280" w:after="0"/>
        <w:jc w:val="both"/>
        <w:rPr/>
      </w:pPr>
      <w:r>
        <w:rPr/>
        <w:t>“</w:t>
      </w:r>
      <w:r>
        <w:rPr>
          <w:rFonts w:ascii="Times New Roman;serif" w:hAnsi="Times New Roman;serif"/>
          <w:b w:val="false"/>
          <w:i/>
          <w:sz w:val="24"/>
        </w:rPr>
        <w:t>Proportionate Share”</w:t>
      </w:r>
      <w:r>
        <w:rPr>
          <w:rFonts w:ascii="Times New Roman" w:hAnsi="Times New Roman"/>
          <w:sz w:val="20"/>
        </w:rPr>
        <w:t xml:space="preserve"> </w:t>
      </w:r>
      <w:r>
        <w:rPr>
          <w:rFonts w:ascii="Times New Roman;serif" w:hAnsi="Times New Roman;serif"/>
          <w:b w:val="false"/>
          <w:sz w:val="24"/>
        </w:rPr>
        <w:t>means, with respect to any Lender, the percentage obtained by dividing (a) the Loan Exposure of such Lender then in effect by (b) the aggregate Loan Exposure of all Lenders then in effect.</w:t>
      </w:r>
    </w:p>
    <w:p>
      <w:pPr>
        <w:pStyle w:val="TextBody"/>
        <w:bidi w:val="0"/>
        <w:spacing w:before="280" w:after="0"/>
        <w:jc w:val="both"/>
        <w:rPr/>
      </w:pPr>
      <w:r>
        <w:rPr/>
        <w:t>“</w:t>
      </w:r>
      <w:r>
        <w:rPr>
          <w:rFonts w:ascii="Times New Roman;serif" w:hAnsi="Times New Roman;serif"/>
          <w:b w:val="false"/>
          <w:i/>
          <w:sz w:val="24"/>
        </w:rPr>
        <w:t>Proposal Letter”</w:t>
      </w:r>
      <w:r>
        <w:rPr>
          <w:rFonts w:ascii="Times New Roman" w:hAnsi="Times New Roman"/>
          <w:sz w:val="20"/>
        </w:rPr>
        <w:t xml:space="preserve"> </w:t>
      </w:r>
      <w:r>
        <w:rPr>
          <w:rFonts w:ascii="Times New Roman;serif" w:hAnsi="Times New Roman;serif"/>
          <w:b w:val="false"/>
          <w:sz w:val="24"/>
        </w:rPr>
        <w:t>means the letter agreement, dated October 17, 2022, among the Borrower and Perceptive Advisors LLC, regarding the transactions contemplated hereby and the outline of proposed terms and conditions attached thereto.</w:t>
      </w:r>
    </w:p>
    <w:p>
      <w:pPr>
        <w:pStyle w:val="TextBody"/>
        <w:bidi w:val="0"/>
        <w:spacing w:before="280" w:after="0"/>
        <w:jc w:val="both"/>
        <w:rPr/>
      </w:pPr>
      <w:r>
        <w:rPr/>
        <w:t>“</w:t>
      </w:r>
      <w:r>
        <w:rPr>
          <w:rFonts w:ascii="Times New Roman;serif" w:hAnsi="Times New Roman;serif"/>
          <w:b w:val="false"/>
          <w:i/>
          <w:sz w:val="24"/>
        </w:rPr>
        <w:t>Publicly Reporting Company”</w:t>
      </w:r>
      <w:r>
        <w:rPr>
          <w:rFonts w:ascii="Times New Roman" w:hAnsi="Times New Roman"/>
          <w:sz w:val="20"/>
        </w:rPr>
        <w:t xml:space="preserve"> </w:t>
      </w:r>
      <w:r>
        <w:rPr>
          <w:rFonts w:ascii="Times New Roman;serif" w:hAnsi="Times New Roman;serif"/>
          <w:b w:val="false"/>
          <w:sz w:val="24"/>
        </w:rPr>
        <w:t>means an issuer generally subject to the public reporting requirements of the Exchange Act.</w:t>
      </w:r>
    </w:p>
    <w:p>
      <w:pPr>
        <w:pStyle w:val="TextBody"/>
        <w:bidi w:val="0"/>
        <w:spacing w:before="280" w:after="0"/>
        <w:jc w:val="both"/>
        <w:rPr/>
      </w:pPr>
      <w:r>
        <w:rPr/>
        <w:t>“</w:t>
      </w:r>
      <w:r>
        <w:rPr>
          <w:rFonts w:ascii="Times New Roman;serif" w:hAnsi="Times New Roman;serif"/>
          <w:b w:val="false"/>
          <w:i/>
          <w:sz w:val="24"/>
        </w:rPr>
        <w:t>Qualified Equity Interest”</w:t>
      </w:r>
      <w:r>
        <w:rPr>
          <w:rFonts w:ascii="Times New Roman" w:hAnsi="Times New Roman"/>
          <w:sz w:val="20"/>
        </w:rPr>
        <w:t xml:space="preserve"> </w:t>
      </w:r>
      <w:r>
        <w:rPr>
          <w:rFonts w:ascii="Times New Roman;serif" w:hAnsi="Times New Roman;serif"/>
          <w:b w:val="false"/>
          <w:sz w:val="24"/>
        </w:rPr>
        <w:t>means, with respect to any Person, any Equity Interest of such Person that is not a Disqualified Equity Interest.</w:t>
      </w:r>
    </w:p>
    <w:p>
      <w:pPr>
        <w:pStyle w:val="TextBody"/>
        <w:bidi w:val="0"/>
        <w:spacing w:before="0" w:after="0"/>
        <w:jc w:val="center"/>
        <w:rPr/>
      </w:pPr>
      <w:r>
        <w:rPr/>
        <w:noBreakHyphen/>
      </w:r>
      <w:r>
        <w:rPr>
          <w:rFonts w:ascii="Times New Roman;serif" w:hAnsi="Times New Roman;serif"/>
          <w:b w:val="false"/>
          <w:sz w:val="24"/>
        </w:rPr>
        <w:t>25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Recipient”</w:t>
      </w:r>
      <w:r>
        <w:rPr>
          <w:rFonts w:ascii="Times New Roman" w:hAnsi="Times New Roman"/>
          <w:sz w:val="20"/>
        </w:rPr>
        <w:t xml:space="preserve"> </w:t>
      </w:r>
      <w:r>
        <w:rPr>
          <w:rFonts w:ascii="Times New Roman;serif" w:hAnsi="Times New Roman;serif"/>
          <w:b w:val="false"/>
          <w:sz w:val="24"/>
        </w:rPr>
        <w:t>means any Lender or the Administrative Agent.</w:t>
      </w:r>
    </w:p>
    <w:p>
      <w:pPr>
        <w:pStyle w:val="TextBody"/>
        <w:bidi w:val="0"/>
        <w:spacing w:before="280" w:after="0"/>
        <w:jc w:val="both"/>
        <w:rPr/>
      </w:pPr>
      <w:r>
        <w:rPr/>
        <w:t>“</w:t>
      </w:r>
      <w:r>
        <w:rPr>
          <w:rFonts w:ascii="Times New Roman;serif" w:hAnsi="Times New Roman;serif"/>
          <w:b w:val="false"/>
          <w:i/>
          <w:sz w:val="24"/>
        </w:rPr>
        <w:t>Redemption Date”</w:t>
      </w:r>
      <w:r>
        <w:rPr>
          <w:rFonts w:ascii="Times New Roman" w:hAnsi="Times New Roman"/>
          <w:sz w:val="20"/>
        </w:rPr>
        <w:t xml:space="preserve"> </w:t>
      </w:r>
      <w:r>
        <w:rPr>
          <w:rFonts w:ascii="Times New Roman;serif" w:hAnsi="Times New Roman;serif"/>
          <w:b w:val="false"/>
          <w:sz w:val="24"/>
        </w:rPr>
        <w:t>has the meaning set forth in Section 3.03(a).</w:t>
      </w:r>
    </w:p>
    <w:p>
      <w:pPr>
        <w:pStyle w:val="TextBody"/>
        <w:bidi w:val="0"/>
        <w:spacing w:before="280" w:after="0"/>
        <w:jc w:val="both"/>
        <w:rPr/>
      </w:pPr>
      <w:r>
        <w:rPr/>
        <w:t>“</w:t>
      </w:r>
      <w:r>
        <w:rPr>
          <w:rFonts w:ascii="Times New Roman;serif" w:hAnsi="Times New Roman;serif"/>
          <w:b w:val="false"/>
          <w:i/>
          <w:sz w:val="24"/>
        </w:rPr>
        <w:t>Redemption Price”</w:t>
      </w:r>
      <w:r>
        <w:rPr>
          <w:rFonts w:ascii="Times New Roman" w:hAnsi="Times New Roman"/>
          <w:sz w:val="20"/>
        </w:rPr>
        <w:t xml:space="preserve"> </w:t>
      </w:r>
      <w:r>
        <w:rPr>
          <w:rFonts w:ascii="Times New Roman;serif" w:hAnsi="Times New Roman;serif"/>
          <w:b w:val="false"/>
          <w:sz w:val="24"/>
        </w:rPr>
        <w:t>has the meaning set forth in Section 3.03(a).</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 xml:space="preserve">Referral Source” </w:t>
      </w:r>
      <w:r>
        <w:rPr>
          <w:rFonts w:ascii="Times New Roman;serif" w:hAnsi="Times New Roman;serif"/>
          <w:b w:val="false"/>
          <w:sz w:val="24"/>
        </w:rPr>
        <w:t>has the meaning set forth in Section 7.07(b)(i).</w:t>
      </w:r>
    </w:p>
    <w:p>
      <w:pPr>
        <w:pStyle w:val="TextBody"/>
        <w:bidi w:val="0"/>
        <w:spacing w:before="280" w:after="0"/>
        <w:jc w:val="both"/>
        <w:rPr/>
      </w:pPr>
      <w:r>
        <w:rPr/>
        <w:t>“</w:t>
      </w:r>
      <w:r>
        <w:rPr>
          <w:rFonts w:ascii="Times New Roman;serif" w:hAnsi="Times New Roman;serif"/>
          <w:b w:val="false"/>
          <w:i/>
          <w:sz w:val="24"/>
        </w:rPr>
        <w:t>Refinancing</w:t>
      </w:r>
      <w:r>
        <w:rPr>
          <w:rFonts w:ascii="Times New Roman" w:hAnsi="Times New Roman"/>
          <w:sz w:val="20"/>
        </w:rPr>
        <w:t xml:space="preserve">” </w:t>
      </w:r>
      <w:r>
        <w:rPr>
          <w:rFonts w:ascii="Times New Roman;serif" w:hAnsi="Times New Roman;serif"/>
          <w:b w:val="false"/>
          <w:sz w:val="24"/>
        </w:rPr>
        <w:t>has the meaning set forth in Section 2.05(b).</w:t>
      </w:r>
    </w:p>
    <w:p>
      <w:pPr>
        <w:pStyle w:val="TextBody"/>
        <w:bidi w:val="0"/>
        <w:spacing w:before="280" w:after="0"/>
        <w:jc w:val="both"/>
        <w:rPr/>
      </w:pPr>
      <w:r>
        <w:rPr/>
        <w:t>“</w:t>
      </w:r>
      <w:r>
        <w:rPr>
          <w:rFonts w:ascii="Times New Roman;serif" w:hAnsi="Times New Roman;serif"/>
          <w:b w:val="false"/>
          <w:i/>
          <w:sz w:val="24"/>
        </w:rPr>
        <w:t>Register”</w:t>
      </w:r>
      <w:r>
        <w:rPr>
          <w:rFonts w:ascii="Times New Roman" w:hAnsi="Times New Roman"/>
          <w:sz w:val="20"/>
        </w:rPr>
        <w:t xml:space="preserve"> </w:t>
      </w:r>
      <w:r>
        <w:rPr>
          <w:rFonts w:ascii="Times New Roman;serif" w:hAnsi="Times New Roman;serif"/>
          <w:b w:val="false"/>
          <w:sz w:val="24"/>
        </w:rPr>
        <w:t>has the meaning set forth in Section 13.05(d).</w:t>
      </w:r>
    </w:p>
    <w:p>
      <w:pPr>
        <w:pStyle w:val="TextBody"/>
        <w:bidi w:val="0"/>
        <w:spacing w:before="280" w:after="0"/>
        <w:jc w:val="both"/>
        <w:rPr/>
      </w:pPr>
      <w:r>
        <w:rPr/>
        <w:t>“</w:t>
      </w:r>
      <w:r>
        <w:rPr>
          <w:rFonts w:ascii="Times New Roman;serif" w:hAnsi="Times New Roman;serif"/>
          <w:b w:val="false"/>
          <w:i/>
          <w:sz w:val="24"/>
        </w:rPr>
        <w:t>Regulation T”</w:t>
      </w:r>
      <w:r>
        <w:rPr>
          <w:rFonts w:ascii="Times New Roman" w:hAnsi="Times New Roman"/>
          <w:sz w:val="20"/>
        </w:rPr>
        <w:t xml:space="preserve"> </w:t>
      </w:r>
      <w:r>
        <w:rPr>
          <w:rFonts w:ascii="Times New Roman;serif" w:hAnsi="Times New Roman;serif"/>
          <w:b w:val="false"/>
          <w:sz w:val="24"/>
        </w:rPr>
        <w:t>means Regulation T of the Board of Governors of the Federal Reserve System, as amended.</w:t>
      </w:r>
    </w:p>
    <w:p>
      <w:pPr>
        <w:pStyle w:val="TextBody"/>
        <w:bidi w:val="0"/>
        <w:spacing w:before="280" w:after="0"/>
        <w:jc w:val="both"/>
        <w:rPr/>
      </w:pPr>
      <w:r>
        <w:rPr/>
        <w:t>“</w:t>
      </w:r>
      <w:r>
        <w:rPr>
          <w:rFonts w:ascii="Times New Roman;serif" w:hAnsi="Times New Roman;serif"/>
          <w:b w:val="false"/>
          <w:i/>
          <w:sz w:val="24"/>
        </w:rPr>
        <w:t>Regulation U”</w:t>
      </w:r>
      <w:r>
        <w:rPr>
          <w:rFonts w:ascii="Times New Roman" w:hAnsi="Times New Roman"/>
          <w:sz w:val="20"/>
        </w:rPr>
        <w:t xml:space="preserve"> </w:t>
      </w:r>
      <w:r>
        <w:rPr>
          <w:rFonts w:ascii="Times New Roman;serif" w:hAnsi="Times New Roman;serif"/>
          <w:b w:val="false"/>
          <w:sz w:val="24"/>
        </w:rPr>
        <w:t>means Regulation U of the Board of Governors of the Federal Reserve System, as amended.</w:t>
      </w:r>
    </w:p>
    <w:p>
      <w:pPr>
        <w:pStyle w:val="TextBody"/>
        <w:bidi w:val="0"/>
        <w:spacing w:before="280" w:after="0"/>
        <w:jc w:val="both"/>
        <w:rPr/>
      </w:pPr>
      <w:r>
        <w:rPr/>
        <w:t>“</w:t>
      </w:r>
      <w:r>
        <w:rPr>
          <w:rFonts w:ascii="Times New Roman;serif" w:hAnsi="Times New Roman;serif"/>
          <w:b w:val="false"/>
          <w:i/>
          <w:sz w:val="24"/>
        </w:rPr>
        <w:t>Regulation X”</w:t>
      </w:r>
      <w:r>
        <w:rPr>
          <w:rFonts w:ascii="Times New Roman" w:hAnsi="Times New Roman"/>
          <w:sz w:val="20"/>
        </w:rPr>
        <w:t xml:space="preserve"> </w:t>
      </w:r>
      <w:r>
        <w:rPr>
          <w:rFonts w:ascii="Times New Roman;serif" w:hAnsi="Times New Roman;serif"/>
          <w:b w:val="false"/>
          <w:sz w:val="24"/>
        </w:rPr>
        <w:t>means Regulation X of the Board of Governors of the Federal Reserve System, as amended.</w:t>
      </w:r>
    </w:p>
    <w:p>
      <w:pPr>
        <w:pStyle w:val="TextBody"/>
        <w:bidi w:val="0"/>
        <w:spacing w:before="280" w:after="0"/>
        <w:jc w:val="both"/>
        <w:rPr/>
      </w:pPr>
      <w:r>
        <w:rPr/>
        <w:t>“</w:t>
      </w:r>
      <w:r>
        <w:rPr>
          <w:rFonts w:ascii="Times New Roman;serif" w:hAnsi="Times New Roman;serif"/>
          <w:b w:val="false"/>
          <w:i/>
          <w:sz w:val="24"/>
        </w:rPr>
        <w:t>Regulatory Approvals”</w:t>
      </w:r>
      <w:r>
        <w:rPr>
          <w:rFonts w:ascii="Times New Roman" w:hAnsi="Times New Roman"/>
          <w:sz w:val="20"/>
        </w:rPr>
        <w:t xml:space="preserve"> </w:t>
      </w:r>
      <w:r>
        <w:rPr>
          <w:rFonts w:ascii="Times New Roman;serif" w:hAnsi="Times New Roman;serif"/>
          <w:b w:val="false"/>
          <w:sz w:val="24"/>
        </w:rPr>
        <w:t>means any Governmental Approval relating to any Product or any Product Development and Commercialization Activities related to such Product, including any Product Authorizations with respect thereto.</w:t>
      </w:r>
    </w:p>
    <w:p>
      <w:pPr>
        <w:pStyle w:val="TextBody"/>
        <w:bidi w:val="0"/>
        <w:spacing w:before="280" w:after="0"/>
        <w:jc w:val="both"/>
        <w:rPr/>
      </w:pPr>
      <w:r>
        <w:rPr/>
        <w:t>“</w:t>
      </w:r>
      <w:r>
        <w:rPr>
          <w:rFonts w:ascii="Times New Roman;serif" w:hAnsi="Times New Roman;serif"/>
          <w:b w:val="false"/>
          <w:i/>
          <w:sz w:val="24"/>
        </w:rPr>
        <w:t>Regulatory Authority”</w:t>
      </w:r>
      <w:r>
        <w:rPr>
          <w:rFonts w:ascii="Times New Roman" w:hAnsi="Times New Roman"/>
          <w:sz w:val="20"/>
        </w:rPr>
        <w:t xml:space="preserve"> </w:t>
      </w:r>
      <w:r>
        <w:rPr>
          <w:rFonts w:ascii="Times New Roman;serif" w:hAnsi="Times New Roman;serif"/>
          <w:b w:val="false"/>
          <w:sz w:val="24"/>
        </w:rPr>
        <w:t>means any Governmental Authority that is concerned with or has regulatory or supervisory oversight with respect to any Product or any Product Development and Commercialization Activities relating to any Product, including the FDA and all equivalent Governmental Authorities, whether U.S. or non</w:t>
        <w:noBreakHyphen/>
        <w:t>U.S.</w:t>
      </w:r>
    </w:p>
    <w:p>
      <w:pPr>
        <w:pStyle w:val="TextBody"/>
        <w:bidi w:val="0"/>
        <w:spacing w:before="280" w:after="0"/>
        <w:jc w:val="both"/>
        <w:rPr/>
      </w:pPr>
      <w:r>
        <w:rPr/>
        <w:t>“</w:t>
      </w:r>
      <w:r>
        <w:rPr>
          <w:rFonts w:ascii="Times New Roman;serif" w:hAnsi="Times New Roman;serif"/>
          <w:b w:val="false"/>
          <w:i/>
          <w:sz w:val="24"/>
        </w:rPr>
        <w:t>Relevant Governmental Body</w:t>
      </w:r>
      <w:r>
        <w:rPr>
          <w:rFonts w:ascii="Times New Roman" w:hAnsi="Times New Roman"/>
          <w:sz w:val="20"/>
        </w:rPr>
        <w:t xml:space="preserve">” </w:t>
      </w:r>
      <w:r>
        <w:rPr>
          <w:rFonts w:ascii="Times New Roman;serif" w:hAnsi="Times New Roman;serif"/>
          <w:b w:val="false"/>
          <w:sz w:val="24"/>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280" w:after="0"/>
        <w:jc w:val="both"/>
        <w:rPr/>
      </w:pPr>
      <w:r>
        <w:rPr/>
        <w:t>“</w:t>
      </w:r>
      <w:r>
        <w:rPr>
          <w:rFonts w:ascii="Times New Roman;serif" w:hAnsi="Times New Roman;serif"/>
          <w:b w:val="false"/>
          <w:i/>
          <w:sz w:val="24"/>
        </w:rPr>
        <w:t>Representatives”</w:t>
      </w:r>
      <w:r>
        <w:rPr>
          <w:rFonts w:ascii="Times New Roman" w:hAnsi="Times New Roman"/>
          <w:sz w:val="20"/>
        </w:rPr>
        <w:t xml:space="preserve"> </w:t>
      </w:r>
      <w:r>
        <w:rPr>
          <w:rFonts w:ascii="Times New Roman;serif" w:hAnsi="Times New Roman;serif"/>
          <w:b w:val="false"/>
          <w:sz w:val="24"/>
        </w:rPr>
        <w:t>has the meaning set forth in Section 13.17.</w:t>
      </w:r>
    </w:p>
    <w:p>
      <w:pPr>
        <w:pStyle w:val="TextBody"/>
        <w:bidi w:val="0"/>
        <w:spacing w:before="280" w:after="0"/>
        <w:jc w:val="both"/>
        <w:rPr/>
      </w:pPr>
      <w:r>
        <w:rPr/>
        <w:t>“</w:t>
      </w:r>
      <w:r>
        <w:rPr>
          <w:rFonts w:ascii="Times New Roman;serif" w:hAnsi="Times New Roman;serif"/>
          <w:b w:val="false"/>
          <w:i/>
          <w:sz w:val="24"/>
        </w:rPr>
        <w:t>Requirement of Law”</w:t>
      </w:r>
      <w:r>
        <w:rPr>
          <w:rFonts w:ascii="Times New Roman" w:hAnsi="Times New Roman"/>
          <w:sz w:val="20"/>
        </w:rPr>
        <w:t xml:space="preserve"> </w:t>
      </w:r>
      <w:r>
        <w:rPr>
          <w:rFonts w:ascii="Times New Roman;serif" w:hAnsi="Times New Roman;serif"/>
          <w:b w:val="false"/>
          <w:sz w:val="24"/>
        </w:rPr>
        <w:t>means, as to any Person, any Law applicable to or binding upon such Person or any of its Properties or revenues.</w:t>
      </w:r>
    </w:p>
    <w:p>
      <w:pPr>
        <w:pStyle w:val="TextBody"/>
        <w:bidi w:val="0"/>
        <w:spacing w:before="280" w:after="0"/>
        <w:jc w:val="both"/>
        <w:rPr/>
      </w:pPr>
      <w:r>
        <w:rPr/>
        <w:t>“</w:t>
      </w:r>
      <w:r>
        <w:rPr>
          <w:rFonts w:ascii="Times New Roman;serif" w:hAnsi="Times New Roman;serif"/>
          <w:b w:val="false"/>
          <w:i/>
          <w:sz w:val="24"/>
        </w:rPr>
        <w:t>Resignation Effective Date”</w:t>
      </w:r>
      <w:r>
        <w:rPr>
          <w:rFonts w:ascii="Times New Roman" w:hAnsi="Times New Roman"/>
          <w:sz w:val="20"/>
        </w:rPr>
        <w:t xml:space="preserve"> </w:t>
      </w:r>
      <w:r>
        <w:rPr>
          <w:rFonts w:ascii="Times New Roman;serif" w:hAnsi="Times New Roman;serif"/>
          <w:b w:val="false"/>
          <w:sz w:val="24"/>
        </w:rPr>
        <w:t>has the meaning set forth in Section 12.06(a).</w:t>
      </w:r>
    </w:p>
    <w:p>
      <w:pPr>
        <w:pStyle w:val="TextBody"/>
        <w:bidi w:val="0"/>
        <w:spacing w:before="280" w:after="0"/>
        <w:jc w:val="both"/>
        <w:rPr/>
      </w:pPr>
      <w:r>
        <w:rPr/>
        <w:t>“</w:t>
      </w:r>
      <w:r>
        <w:rPr>
          <w:rFonts w:ascii="Times New Roman;serif" w:hAnsi="Times New Roman;serif"/>
          <w:b w:val="false"/>
          <w:i/>
          <w:sz w:val="24"/>
        </w:rPr>
        <w:t>Resolution Authority”</w:t>
      </w:r>
      <w:r>
        <w:rPr>
          <w:rFonts w:ascii="Times New Roman" w:hAnsi="Times New Roman"/>
          <w:sz w:val="20"/>
        </w:rPr>
        <w:t xml:space="preserve"> </w:t>
      </w:r>
      <w:r>
        <w:rPr>
          <w:rFonts w:ascii="Times New Roman;serif" w:hAnsi="Times New Roman;serif"/>
          <w:b w:val="false"/>
          <w:sz w:val="24"/>
        </w:rPr>
        <w:t>means an EEA Resolution Authority or, with respect to any UK Financial Institution, a UK Resolution Authority.</w:t>
      </w:r>
    </w:p>
    <w:p>
      <w:pPr>
        <w:pStyle w:val="TextBody"/>
        <w:bidi w:val="0"/>
        <w:spacing w:before="280" w:after="0"/>
        <w:jc w:val="both"/>
        <w:rPr/>
      </w:pPr>
      <w:r>
        <w:rPr/>
        <w:t>“</w:t>
      </w:r>
      <w:r>
        <w:rPr>
          <w:rFonts w:ascii="Times New Roman;serif" w:hAnsi="Times New Roman;serif"/>
          <w:b w:val="false"/>
          <w:i/>
          <w:sz w:val="24"/>
        </w:rPr>
        <w:t>Responsible Officer”</w:t>
      </w:r>
      <w:r>
        <w:rPr>
          <w:rFonts w:ascii="Times New Roman" w:hAnsi="Times New Roman"/>
          <w:sz w:val="20"/>
        </w:rPr>
        <w:t xml:space="preserve"> </w:t>
      </w:r>
      <w:r>
        <w:rPr>
          <w:rFonts w:ascii="Times New Roman;serif" w:hAnsi="Times New Roman;serif"/>
          <w:b w:val="false"/>
          <w:sz w:val="24"/>
        </w:rPr>
        <w:t>of any Person means each of the president, chief executive officer, chief financial officer, chief accounting officer or titles equivalent to the foregoing of such Person.</w:t>
      </w:r>
    </w:p>
    <w:p>
      <w:pPr>
        <w:pStyle w:val="TextBody"/>
        <w:bidi w:val="0"/>
        <w:spacing w:before="0" w:after="0"/>
        <w:jc w:val="center"/>
        <w:rPr/>
      </w:pPr>
      <w:r>
        <w:rPr/>
        <w:noBreakHyphen/>
      </w:r>
      <w:r>
        <w:rPr>
          <w:rFonts w:ascii="Times New Roman;serif" w:hAnsi="Times New Roman;serif"/>
          <w:b w:val="false"/>
          <w:sz w:val="24"/>
        </w:rPr>
        <w:t>26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Restricted Payment”</w:t>
      </w:r>
      <w:r>
        <w:rPr>
          <w:rFonts w:ascii="Times New Roman" w:hAnsi="Times New Roman"/>
          <w:sz w:val="20"/>
        </w:rPr>
        <w:t xml:space="preserve"> </w:t>
      </w:r>
      <w:r>
        <w:rPr>
          <w:rFonts w:ascii="Times New Roman;serif" w:hAnsi="Times New Roman;serif"/>
          <w:b w:val="false"/>
          <w:sz w:val="24"/>
        </w:rPr>
        <w:t>means any dividend or other distribution (whether in cash, Equity Interest or other Property) with respect to any Equity Interest of an Obligor or any of its Subsidiaries, or any payment (whether in cash, Equity Interests or other Property), including any sinking fund or similar deposit, on account of the purchase, redemption, retirement, acquisition, cancellation or termination of any Equity Interests of an Obligor or any of its Subsidiaries or any option, warrant or other right to acquire any such Equity Interests of an Obligor or any of its Subsidiaries.</w:t>
      </w:r>
    </w:p>
    <w:p>
      <w:pPr>
        <w:pStyle w:val="TextBody"/>
        <w:bidi w:val="0"/>
        <w:spacing w:before="280" w:after="0"/>
        <w:jc w:val="both"/>
        <w:rPr/>
      </w:pPr>
      <w:r>
        <w:rPr/>
        <w:t>“</w:t>
      </w:r>
      <w:r>
        <w:rPr>
          <w:rFonts w:ascii="Times New Roman;serif" w:hAnsi="Times New Roman;serif"/>
          <w:b w:val="false"/>
          <w:i/>
          <w:sz w:val="24"/>
        </w:rPr>
        <w:t>Restrictive Agreement</w:t>
      </w:r>
      <w:r>
        <w:rPr>
          <w:rFonts w:ascii="Times New Roman" w:hAnsi="Times New Roman"/>
          <w:sz w:val="20"/>
        </w:rPr>
        <w:t xml:space="preserve">” </w:t>
      </w:r>
      <w:r>
        <w:rPr>
          <w:rFonts w:ascii="Times New Roman;serif" w:hAnsi="Times New Roman;serif"/>
          <w:b w:val="false"/>
          <w:sz w:val="24"/>
        </w:rPr>
        <w:t>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and (iii) software 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or (b) the ability of any Subsidiary to pay dividends or other distributions with respect to any shares of its Equity Interests or to make or repay loans or advances to an Obligor or any other Subsidiary or to Guarantee Indebtedness of an Obligor or any other Subsidiary (other than restrictions or encumbrances that do not materially and adversely impact the ability of the Borrower to pay any Obligations when due).</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SEC”</w:t>
      </w:r>
      <w:r>
        <w:rPr>
          <w:rFonts w:ascii="Times New Roman" w:hAnsi="Times New Roman"/>
          <w:sz w:val="20"/>
        </w:rPr>
        <w:t xml:space="preserve"> </w:t>
      </w:r>
      <w:r>
        <w:rPr>
          <w:rFonts w:ascii="Times New Roman;serif" w:hAnsi="Times New Roman;serif"/>
          <w:b w:val="false"/>
          <w:sz w:val="24"/>
        </w:rPr>
        <w:t>means United States Securities and Exchange Commission.</w:t>
      </w:r>
    </w:p>
    <w:p>
      <w:pPr>
        <w:pStyle w:val="TextBody"/>
        <w:bidi w:val="0"/>
        <w:spacing w:before="280" w:after="0"/>
        <w:jc w:val="both"/>
        <w:rPr/>
      </w:pPr>
      <w:r>
        <w:rPr/>
        <w:t>“</w:t>
      </w:r>
      <w:r>
        <w:rPr>
          <w:rFonts w:ascii="Times New Roman;serif" w:hAnsi="Times New Roman;serif"/>
          <w:b w:val="false"/>
          <w:i/>
          <w:sz w:val="24"/>
        </w:rPr>
        <w:t>Securities Account”</w:t>
      </w:r>
      <w:r>
        <w:rPr>
          <w:rFonts w:ascii="Times New Roman" w:hAnsi="Times New Roman"/>
          <w:sz w:val="20"/>
        </w:rPr>
        <w:t xml:space="preserve"> </w:t>
      </w:r>
      <w:r>
        <w:rPr>
          <w:rFonts w:ascii="Times New Roman;serif" w:hAnsi="Times New Roman;serif"/>
          <w:b w:val="false"/>
          <w:sz w:val="24"/>
        </w:rPr>
        <w:t>has the meaning set forth in the Security Agreement.</w:t>
      </w:r>
    </w:p>
    <w:p>
      <w:pPr>
        <w:pStyle w:val="TextBody"/>
        <w:bidi w:val="0"/>
        <w:spacing w:before="280" w:after="0"/>
        <w:jc w:val="both"/>
        <w:rPr/>
      </w:pPr>
      <w:r>
        <w:rPr/>
        <w:t>“</w:t>
      </w:r>
      <w:r>
        <w:rPr>
          <w:rFonts w:ascii="Times New Roman;serif" w:hAnsi="Times New Roman;serif"/>
          <w:b w:val="false"/>
          <w:i/>
          <w:sz w:val="24"/>
        </w:rPr>
        <w:t>Security Agreement”</w:t>
      </w:r>
      <w:r>
        <w:rPr>
          <w:rFonts w:ascii="Times New Roman" w:hAnsi="Times New Roman"/>
          <w:sz w:val="20"/>
        </w:rPr>
        <w:t xml:space="preserve"> </w:t>
      </w:r>
      <w:r>
        <w:rPr>
          <w:rFonts w:ascii="Times New Roman;serif" w:hAnsi="Times New Roman;serif"/>
          <w:b w:val="false"/>
          <w:sz w:val="24"/>
        </w:rPr>
        <w:t>means the Security Agreement, dated as of the Funding Date, in substantially the form of Exhibit G, among the Obligors and the Administrative Agent, granting a security interest in the personal Property constituting Collateral thereunder in favor of the Administrative Agent for the benefit of the Lenders.</w:t>
      </w:r>
    </w:p>
    <w:p>
      <w:pPr>
        <w:pStyle w:val="TextBody"/>
        <w:bidi w:val="0"/>
        <w:spacing w:before="280" w:after="0"/>
        <w:jc w:val="both"/>
        <w:rPr/>
      </w:pPr>
      <w:r>
        <w:rPr/>
        <w:t>“</w:t>
      </w:r>
      <w:r>
        <w:rPr>
          <w:rFonts w:ascii="Times New Roman;serif" w:hAnsi="Times New Roman;serif"/>
          <w:b w:val="false"/>
          <w:i/>
          <w:sz w:val="24"/>
        </w:rPr>
        <w:t>Security Documents”</w:t>
      </w:r>
      <w:r>
        <w:rPr>
          <w:rFonts w:ascii="Times New Roman" w:hAnsi="Times New Roman"/>
          <w:sz w:val="20"/>
        </w:rPr>
        <w:t xml:space="preserve"> </w:t>
      </w:r>
      <w:r>
        <w:rPr>
          <w:rFonts w:ascii="Times New Roman;serif" w:hAnsi="Times New Roman;serif"/>
          <w:b w:val="false"/>
          <w:sz w:val="24"/>
        </w:rPr>
        <w:t>means, collectively, the Security Agreement, each Short</w:t>
        <w:noBreakHyphen/>
        <w:t>Form IP Security Agreement, and each other security document, control agreement or financing statement executed to perfect Liens in favor of the Administrative Agent for the benefit of the Lenders.</w:t>
      </w:r>
    </w:p>
    <w:p>
      <w:pPr>
        <w:pStyle w:val="TextBody"/>
        <w:bidi w:val="0"/>
        <w:spacing w:before="280" w:after="0"/>
        <w:jc w:val="both"/>
        <w:rPr/>
      </w:pPr>
      <w:r>
        <w:rPr/>
        <w:t>“</w:t>
      </w:r>
      <w:r>
        <w:rPr>
          <w:rFonts w:ascii="Times New Roman;serif" w:hAnsi="Times New Roman;serif"/>
          <w:b w:val="false"/>
          <w:i/>
          <w:sz w:val="24"/>
        </w:rPr>
        <w:t>Segregated Health Care Account”</w:t>
      </w:r>
      <w:r>
        <w:rPr>
          <w:rFonts w:ascii="Times New Roman" w:hAnsi="Times New Roman"/>
          <w:sz w:val="20"/>
        </w:rPr>
        <w:t xml:space="preserve"> </w:t>
      </w:r>
      <w:r>
        <w:rPr>
          <w:rFonts w:ascii="Times New Roman;serif" w:hAnsi="Times New Roman;serif"/>
          <w:b w:val="false"/>
          <w:sz w:val="24"/>
        </w:rPr>
        <w:t>means, a Deposit Account of an Obligor in the name of such Obligor and under the sole dominion and control of such Obligor maintained in accordance with the requirements of Section 8.17(c) hereof, the only funds on deposit in which constitute the direct proceeds of payments made by third party payers pertaining to clinical diagnostic testing claims including funds from Federal Health Care Programs.</w:t>
      </w:r>
    </w:p>
    <w:p>
      <w:pPr>
        <w:pStyle w:val="TextBody"/>
        <w:bidi w:val="0"/>
        <w:spacing w:before="280" w:after="0"/>
        <w:jc w:val="both"/>
        <w:rPr/>
      </w:pPr>
      <w:r>
        <w:rPr/>
        <w:t>“</w:t>
      </w:r>
      <w:r>
        <w:rPr>
          <w:rFonts w:ascii="Times New Roman;serif" w:hAnsi="Times New Roman;serif"/>
          <w:b w:val="false"/>
          <w:i/>
          <w:sz w:val="24"/>
        </w:rPr>
        <w:t>Short</w:t>
        <w:noBreakHyphen/>
        <w:t>Form IP Security Agreements”</w:t>
      </w:r>
      <w:r>
        <w:rPr>
          <w:rFonts w:ascii="Times New Roman" w:hAnsi="Times New Roman"/>
          <w:sz w:val="20"/>
        </w:rPr>
        <w:t xml:space="preserve"> </w:t>
      </w:r>
      <w:r>
        <w:rPr>
          <w:rFonts w:ascii="Times New Roman;serif" w:hAnsi="Times New Roman;serif"/>
          <w:b w:val="false"/>
          <w:sz w:val="24"/>
        </w:rPr>
        <w:t>means any short</w:t>
        <w:noBreakHyphen/>
        <w:t>form copyright, patent or trademark (as the case may be) security agreements, in substantially the form of Exhibits H-1 and H-2, entered into by one or more Obligors in favor of the Administrative Agent for the benefit of</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27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Lenders, each in form and substance reasonably satisfactory to the Administrative Agent and as amended, modified or replaced from time to time.</w:t>
      </w:r>
    </w:p>
    <w:p>
      <w:pPr>
        <w:pStyle w:val="TextBody"/>
        <w:bidi w:val="0"/>
        <w:spacing w:before="280" w:after="0"/>
        <w:jc w:val="both"/>
        <w:rPr/>
      </w:pPr>
      <w:r>
        <w:rPr/>
        <w:t>“</w:t>
      </w:r>
      <w:r>
        <w:rPr>
          <w:rFonts w:ascii="Times New Roman;serif" w:hAnsi="Times New Roman;serif"/>
          <w:b w:val="false"/>
          <w:i/>
          <w:sz w:val="24"/>
        </w:rPr>
        <w:t>SOFR</w:t>
      </w:r>
      <w:r>
        <w:rPr>
          <w:rFonts w:ascii="Times New Roman" w:hAnsi="Times New Roman"/>
          <w:sz w:val="20"/>
        </w:rPr>
        <w:t xml:space="preserve">” </w:t>
      </w:r>
      <w:r>
        <w:rPr>
          <w:rFonts w:ascii="Times New Roman;serif" w:hAnsi="Times New Roman;serif"/>
          <w:b w:val="false"/>
          <w:sz w:val="24"/>
        </w:rPr>
        <w:t>means a rate equal to the secured overnight financing rate as administered by the SOFR Administrator.</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SOFR Administrator</w:t>
      </w:r>
      <w:r>
        <w:rPr>
          <w:rFonts w:ascii="Times New Roman" w:hAnsi="Times New Roman"/>
          <w:sz w:val="20"/>
        </w:rPr>
        <w:t xml:space="preserve">” </w:t>
      </w:r>
      <w:r>
        <w:rPr>
          <w:rFonts w:ascii="Times New Roman;serif" w:hAnsi="Times New Roman;serif"/>
          <w:b w:val="false"/>
          <w:sz w:val="24"/>
        </w:rPr>
        <w:t>means the Federal Reserve Bank of New York (or a successor administrator of the secured overnight financing rate).</w:t>
      </w:r>
    </w:p>
    <w:p>
      <w:pPr>
        <w:pStyle w:val="TextBody"/>
        <w:bidi w:val="0"/>
        <w:spacing w:before="280" w:after="0"/>
        <w:jc w:val="both"/>
        <w:rPr/>
      </w:pPr>
      <w:r>
        <w:rPr/>
        <w:t>“</w:t>
      </w:r>
      <w:r>
        <w:rPr>
          <w:rFonts w:ascii="Times New Roman;serif" w:hAnsi="Times New Roman;serif"/>
          <w:b w:val="false"/>
          <w:i/>
          <w:sz w:val="24"/>
        </w:rPr>
        <w:t>Solvent”</w:t>
      </w:r>
      <w:r>
        <w:rPr>
          <w:rFonts w:ascii="Times New Roman" w:hAnsi="Times New Roman"/>
          <w:sz w:val="20"/>
        </w:rPr>
        <w:t xml:space="preserve"> </w:t>
      </w:r>
      <w:r>
        <w:rPr>
          <w:rFonts w:ascii="Times New Roman;serif" w:hAnsi="Times New Roman;serif"/>
          <w:b w:val="false"/>
          <w:sz w:val="24"/>
        </w:rPr>
        <w:t>means, with respect to any Person at any time, that (a) the present fair saleable value of the Property of such Person is greater than the total amount of liabilities (including contingent liabilities) of such Person, (b) the present fair saleable value of the Property of such Person is not less than the amount that will be required to pay the probable liability of such Person on its debts as they become absolute and matured and (c) such Person has not incurred and does not intend to, and does not believe that it will, incur debts or liabilities beyond such Person’s ability to pay as such debts and liabilities mature.</w:t>
      </w:r>
    </w:p>
    <w:p>
      <w:pPr>
        <w:pStyle w:val="TextBody"/>
        <w:bidi w:val="0"/>
        <w:spacing w:before="280" w:after="0"/>
        <w:jc w:val="both"/>
        <w:rPr/>
      </w:pPr>
      <w:r>
        <w:rPr/>
        <w:t>“</w:t>
      </w:r>
      <w:r>
        <w:rPr>
          <w:rFonts w:ascii="Times New Roman;serif" w:hAnsi="Times New Roman;serif"/>
          <w:b w:val="false"/>
          <w:i/>
          <w:sz w:val="24"/>
        </w:rPr>
        <w:t>Specified Representations</w:t>
      </w:r>
      <w:r>
        <w:rPr>
          <w:rFonts w:ascii="Times New Roman" w:hAnsi="Times New Roman"/>
          <w:sz w:val="20"/>
        </w:rPr>
        <w:t xml:space="preserve">” </w:t>
      </w:r>
      <w:r>
        <w:rPr>
          <w:rFonts w:ascii="Times New Roman;serif" w:hAnsi="Times New Roman;serif"/>
          <w:b w:val="false"/>
          <w:sz w:val="24"/>
        </w:rPr>
        <w:t>means the representations and warranties made by the Borrower and the other Obligors, as applicable, set forth in Section 7.01(a), (b), (d) and (e), 7.02 (solely to the extent relating to this Agreement and the Fee Letter), 7.03(c), 7.04(c), 7.06(a), 7.10(a), 7.12, 7.23, 7.24 and 7.25.</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4"/>
        </w:rPr>
        <w:t>Standard Body”</w:t>
      </w:r>
      <w:r>
        <w:rPr>
          <w:rFonts w:ascii="Times New Roman" w:hAnsi="Times New Roman"/>
          <w:sz w:val="20"/>
        </w:rPr>
        <w:t xml:space="preserve"> </w:t>
      </w:r>
      <w:r>
        <w:rPr>
          <w:rFonts w:ascii="Times New Roman;serif" w:hAnsi="Times New Roman;serif"/>
          <w:b w:val="false"/>
          <w:sz w:val="24"/>
        </w:rPr>
        <w:t>means any of the organizations that create, sponsor or maintain safety, quality or other standards, including ISO, ANSI, CEN and SCC and the like.</w:t>
      </w:r>
    </w:p>
    <w:p>
      <w:pPr>
        <w:pStyle w:val="TextBody"/>
        <w:bidi w:val="0"/>
        <w:spacing w:before="280" w:after="0"/>
        <w:jc w:val="both"/>
        <w:rPr/>
      </w:pPr>
      <w:r>
        <w:rPr/>
        <w:t>“</w:t>
      </w:r>
      <w:r>
        <w:rPr>
          <w:rFonts w:ascii="Times New Roman;serif" w:hAnsi="Times New Roman;serif"/>
          <w:b w:val="false"/>
          <w:i/>
          <w:sz w:val="24"/>
        </w:rPr>
        <w:t>Stated Maturity Date”</w:t>
      </w:r>
      <w:r>
        <w:rPr>
          <w:rFonts w:ascii="Times New Roman" w:hAnsi="Times New Roman"/>
          <w:sz w:val="20"/>
        </w:rPr>
        <w:t xml:space="preserve"> </w:t>
      </w:r>
      <w:r>
        <w:rPr>
          <w:rFonts w:ascii="Times New Roman;serif" w:hAnsi="Times New Roman;serif"/>
          <w:b w:val="false"/>
          <w:sz w:val="24"/>
        </w:rPr>
        <w:t>means the fifth (5</w:t>
      </w:r>
      <w:r>
        <w:rPr>
          <w:rFonts w:ascii="Times New Roman;serif" w:hAnsi="Times New Roman;serif"/>
          <w:b w:val="false"/>
          <w:sz w:val="16"/>
        </w:rPr>
        <w:t>th</w:t>
      </w:r>
      <w:r>
        <w:rPr>
          <w:rFonts w:ascii="Times New Roman;serif" w:hAnsi="Times New Roman;serif"/>
          <w:b w:val="false"/>
          <w:sz w:val="24"/>
        </w:rPr>
        <w:t xml:space="preserve">) anniversary of the Funding Date;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if any such date shall occur on a day that is not a Business Day, then the Stated Maturity Date shall be the immediately succeeding Business Day.</w:t>
      </w:r>
    </w:p>
    <w:p>
      <w:pPr>
        <w:pStyle w:val="TextBody"/>
        <w:bidi w:val="0"/>
        <w:spacing w:before="280" w:after="0"/>
        <w:jc w:val="both"/>
        <w:rPr/>
      </w:pPr>
      <w:r>
        <w:rPr/>
        <w:t>“</w:t>
      </w:r>
      <w:r>
        <w:rPr>
          <w:rFonts w:ascii="Times New Roman;serif" w:hAnsi="Times New Roman;serif"/>
          <w:b w:val="false"/>
          <w:i/>
          <w:sz w:val="24"/>
        </w:rPr>
        <w:t>Subsidiary”</w:t>
      </w:r>
      <w:r>
        <w:rPr>
          <w:rFonts w:ascii="Times New Roman" w:hAnsi="Times New Roman"/>
          <w:sz w:val="20"/>
        </w:rPr>
        <w:t xml:space="preserve"> </w:t>
      </w:r>
      <w:r>
        <w:rPr>
          <w:rFonts w:ascii="Times New Roman;serif" w:hAnsi="Times New Roman;serif"/>
          <w:b w:val="false"/>
          <w:sz w:val="24"/>
        </w:rPr>
        <w:t xml:space="preserve">means, with respect to any Person (the </w:t>
      </w:r>
      <w:r>
        <w:rPr>
          <w:rFonts w:ascii="Times New Roman" w:hAnsi="Times New Roman"/>
          <w:sz w:val="20"/>
        </w:rPr>
        <w:t>“</w:t>
      </w:r>
      <w:r>
        <w:rPr>
          <w:rFonts w:ascii="Times New Roman;serif" w:hAnsi="Times New Roman;serif"/>
          <w:b w:val="false"/>
          <w:i/>
          <w:sz w:val="24"/>
        </w:rPr>
        <w:t>parent”</w:t>
      </w:r>
      <w:r>
        <w:rPr>
          <w:rFonts w:ascii="Times New Roman;serif" w:hAnsi="Times New Roman;serif"/>
          <w:b w:val="false"/>
          <w:sz w:val="24"/>
        </w:rPr>
        <w:t>) at any time of determination, any other Person of which more than 50% of the outstanding capital stock of such other Person having ordinary voting powers, determined on a fully diluted basis, is at the time directly or indirectly owned or Controlled by the parent. Unless the context otherwise specifically requires, the term “Subsidiary” shall be a reference to a Subsidiary of the Borrower.</w:t>
      </w:r>
    </w:p>
    <w:p>
      <w:pPr>
        <w:pStyle w:val="TextBody"/>
        <w:bidi w:val="0"/>
        <w:spacing w:before="280" w:after="0"/>
        <w:jc w:val="both"/>
        <w:rPr/>
      </w:pPr>
      <w:r>
        <w:rPr/>
        <w:t>“</w:t>
      </w:r>
      <w:r>
        <w:rPr>
          <w:rFonts w:ascii="Times New Roman;serif" w:hAnsi="Times New Roman;serif"/>
          <w:b w:val="false"/>
          <w:i/>
          <w:sz w:val="24"/>
        </w:rPr>
        <w:t>Sweep Agreement</w:t>
      </w:r>
      <w:r>
        <w:rPr>
          <w:rFonts w:ascii="Times New Roman" w:hAnsi="Times New Roman"/>
          <w:sz w:val="20"/>
        </w:rPr>
        <w:t xml:space="preserve">” </w:t>
      </w:r>
      <w:r>
        <w:rPr>
          <w:rFonts w:ascii="Times New Roman;serif" w:hAnsi="Times New Roman;serif"/>
          <w:b w:val="false"/>
          <w:sz w:val="24"/>
        </w:rPr>
        <w:t>means an agreement, in form and substance reasonably satisfactory to Agent, between the Obligor maintaining a Segregated Health Care Account, Administrative Agent and applicable bank or other financial institution at which such Segregated Health Care Account is maintained, pursuant to which such bank or financial institution (a) agrees to automatically sweep amounts deposited in such Segregated Health Care Account to a Controlled Account satisfying the requirements set forth in Section 8.17(c) hereof, as and when funds clear and become available in accordance with such bank’s or financial institution’s standard practices and procedures and (b) agrees not to change such standing sweep instructions until the date at least five (5) days (or such lesser period as Administrative Agent may agree in its reasonable discretion or as may be required by applicable Federal Health Care Program laws or policies after receipt of</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28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notice from such Obligor maintaining such Segregated Health Care Account by the Administrative Agent and such bank or financial institution of the termination of such standing sweep instruction).</w:t>
      </w:r>
    </w:p>
    <w:p>
      <w:pPr>
        <w:pStyle w:val="TextBody"/>
        <w:bidi w:val="0"/>
        <w:spacing w:before="280" w:after="0"/>
        <w:jc w:val="both"/>
        <w:rPr/>
      </w:pPr>
      <w:r>
        <w:rPr/>
        <w:t>“</w:t>
      </w:r>
      <w:r>
        <w:rPr>
          <w:rFonts w:ascii="Times New Roman;serif" w:hAnsi="Times New Roman;serif"/>
          <w:b w:val="false"/>
          <w:i/>
          <w:sz w:val="24"/>
        </w:rPr>
        <w:t>Taxes”</w:t>
      </w:r>
      <w:r>
        <w:rPr>
          <w:rFonts w:ascii="Times New Roman" w:hAnsi="Times New Roman"/>
          <w:sz w:val="20"/>
        </w:rPr>
        <w:t xml:space="preserve"> </w:t>
      </w:r>
      <w:r>
        <w:rPr>
          <w:rFonts w:ascii="Times New Roman;serif" w:hAnsi="Times New Roman;serif"/>
          <w:b w:val="false"/>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280" w:after="0"/>
        <w:jc w:val="both"/>
        <w:rPr/>
      </w:pPr>
      <w:r>
        <w:rPr/>
        <w:t>“</w:t>
      </w:r>
      <w:r>
        <w:rPr>
          <w:rFonts w:ascii="Times New Roman;serif" w:hAnsi="Times New Roman;serif"/>
          <w:b w:val="false"/>
          <w:i/>
          <w:sz w:val="24"/>
        </w:rPr>
        <w:t>Technical Information”</w:t>
      </w:r>
      <w:r>
        <w:rPr>
          <w:rFonts w:ascii="Times New Roman" w:hAnsi="Times New Roman"/>
          <w:sz w:val="20"/>
        </w:rPr>
        <w:t xml:space="preserve"> </w:t>
      </w:r>
      <w:r>
        <w:rPr>
          <w:rFonts w:ascii="Times New Roman;serif" w:hAnsi="Times New Roman;serif"/>
          <w:b w:val="false"/>
          <w:sz w:val="24"/>
        </w:rPr>
        <w:t>means all trade secrets and other proprietary or confidential information, which may include any proprietary information of a scientific, technical, or business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w:t>
        <w:noBreakHyphen/>
        <w:t>how, technical information, systems, methodologies, computer programs or information technology.</w:t>
      </w:r>
    </w:p>
    <w:p>
      <w:pPr>
        <w:pStyle w:val="TextBody"/>
        <w:bidi w:val="0"/>
        <w:spacing w:before="280" w:after="0"/>
        <w:jc w:val="both"/>
        <w:rPr/>
      </w:pPr>
      <w:r>
        <w:rPr/>
        <w:t>“</w:t>
      </w:r>
      <w:r>
        <w:rPr>
          <w:rFonts w:ascii="Times New Roman;serif" w:hAnsi="Times New Roman;serif"/>
          <w:b w:val="false"/>
          <w:i/>
          <w:sz w:val="24"/>
        </w:rPr>
        <w:t>Term Loans”</w:t>
      </w:r>
      <w:r>
        <w:rPr>
          <w:rFonts w:ascii="Times New Roman" w:hAnsi="Times New Roman"/>
          <w:sz w:val="20"/>
        </w:rPr>
        <w:t xml:space="preserve"> </w:t>
      </w:r>
      <w:r>
        <w:rPr>
          <w:rFonts w:ascii="Times New Roman;serif" w:hAnsi="Times New Roman;serif"/>
          <w:b w:val="false"/>
          <w:sz w:val="24"/>
        </w:rPr>
        <w:t>means the Tranche A Loan, the Tranche B Loan and the Tranche C Loan.</w:t>
      </w:r>
    </w:p>
    <w:p>
      <w:pPr>
        <w:pStyle w:val="TextBody"/>
        <w:bidi w:val="0"/>
        <w:spacing w:before="280" w:after="0"/>
        <w:jc w:val="both"/>
        <w:rPr/>
      </w:pPr>
      <w:r>
        <w:rPr/>
        <w:t>“</w:t>
      </w:r>
      <w:r>
        <w:rPr>
          <w:rFonts w:ascii="Times New Roman;serif" w:hAnsi="Times New Roman;serif"/>
          <w:b w:val="false"/>
          <w:i/>
          <w:sz w:val="24"/>
        </w:rPr>
        <w:t>Term SOFR</w:t>
      </w:r>
      <w:r>
        <w:rPr>
          <w:rFonts w:ascii="Times New Roman" w:hAnsi="Times New Roman"/>
          <w:sz w:val="20"/>
        </w:rPr>
        <w:t xml:space="preserve">” </w:t>
      </w:r>
      <w:r>
        <w:rPr>
          <w:rFonts w:ascii="Times New Roman;serif" w:hAnsi="Times New Roman;serif"/>
          <w:b w:val="false"/>
          <w:sz w:val="24"/>
        </w:rPr>
        <w:t xml:space="preserve">means the Term SOFR Reference Rate for a tenor comparable to the applicable Interest Period on the day (such day, the </w:t>
      </w:r>
      <w:r>
        <w:rPr>
          <w:rFonts w:ascii="Times New Roman" w:hAnsi="Times New Roman"/>
          <w:sz w:val="20"/>
        </w:rPr>
        <w:t>“</w:t>
      </w:r>
      <w:r>
        <w:rPr>
          <w:rFonts w:ascii="Times New Roman;serif" w:hAnsi="Times New Roman;serif"/>
          <w:b w:val="false"/>
          <w:i/>
          <w:sz w:val="24"/>
        </w:rPr>
        <w:t>Periodic Term SOFR Determination Day”</w:t>
      </w:r>
      <w:r>
        <w:rPr>
          <w:rFonts w:ascii="Times New Roman;serif" w:hAnsi="Times New Roman;serif"/>
          <w:b w:val="false"/>
          <w:sz w:val="24"/>
        </w:rPr>
        <w:t>) that is two (2) U.S. Government Securities Business Days prior to the first day of such Interest Period, as such rate is published by the Term SOFR Administrator</w:t>
      </w:r>
      <w:r>
        <w:rPr>
          <w:rFonts w:ascii="Times New Roman;serif" w:hAnsi="Times New Roman;serif"/>
          <w:b w:val="false"/>
          <w:i/>
          <w:sz w:val="24"/>
        </w:rPr>
        <w:t>; provided, however</w:t>
      </w:r>
      <w:r>
        <w:rPr>
          <w:rFonts w:ascii="Times New Roman;serif" w:hAnsi="Times New Roman;serif"/>
          <w:b w:val="false"/>
          <w:sz w:val="24"/>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serif" w:hAnsi="Times New Roman;serif"/>
          <w:b w:val="false"/>
          <w:i/>
          <w:sz w:val="24"/>
        </w:rPr>
        <w:t>provided, further</w:t>
      </w:r>
      <w:r>
        <w:rPr>
          <w:rFonts w:ascii="Times New Roman;serif" w:hAnsi="Times New Roman;serif"/>
          <w:b w:val="false"/>
          <w:sz w:val="24"/>
        </w:rPr>
        <w:t xml:space="preserve">, Term SOFR shall be rounded upwards to the next 1/100% (if necessary); </w:t>
      </w:r>
      <w:r>
        <w:rPr>
          <w:rFonts w:ascii="Times New Roman;serif" w:hAnsi="Times New Roman;serif"/>
          <w:b w:val="false"/>
          <w:i/>
          <w:sz w:val="24"/>
        </w:rPr>
        <w:t>provided, further, however</w:t>
      </w:r>
      <w:r>
        <w:rPr>
          <w:rFonts w:ascii="Times New Roman;serif" w:hAnsi="Times New Roman;serif"/>
          <w:b w:val="false"/>
          <w:sz w:val="24"/>
        </w:rPr>
        <w:t>, if Term SOFR as so determined shall ever be less than the Floor, then Term SOFR shall be deemed to be the Floor.</w:t>
      </w:r>
    </w:p>
    <w:p>
      <w:pPr>
        <w:pStyle w:val="TextBody"/>
        <w:bidi w:val="0"/>
        <w:spacing w:before="280" w:after="0"/>
        <w:jc w:val="both"/>
        <w:rPr/>
      </w:pPr>
      <w:r>
        <w:rPr/>
        <w:t>“</w:t>
      </w:r>
      <w:r>
        <w:rPr>
          <w:rFonts w:ascii="Times New Roman;serif" w:hAnsi="Times New Roman;serif"/>
          <w:b w:val="false"/>
          <w:i/>
          <w:sz w:val="24"/>
        </w:rPr>
        <w:t>Term SOFR Administrator</w:t>
      </w:r>
      <w:r>
        <w:rPr>
          <w:rFonts w:ascii="Times New Roman" w:hAnsi="Times New Roman"/>
          <w:sz w:val="20"/>
        </w:rPr>
        <w:t xml:space="preserve">” </w:t>
      </w:r>
      <w:r>
        <w:rPr>
          <w:rFonts w:ascii="Times New Roman;serif" w:hAnsi="Times New Roman;serif"/>
          <w:b w:val="false"/>
          <w:sz w:val="24"/>
        </w:rPr>
        <w:t>means CME Group Benchmark Administration Limited (CBA) (or a successor administrator of the Term SOFR Reference Rate selected by the Administrative Agent in its reasonable discretion).</w:t>
      </w:r>
    </w:p>
    <w:p>
      <w:pPr>
        <w:pStyle w:val="TextBody"/>
        <w:bidi w:val="0"/>
        <w:spacing w:before="280" w:after="0"/>
        <w:jc w:val="both"/>
        <w:rPr/>
      </w:pPr>
      <w:r>
        <w:rPr/>
        <w:t>“</w:t>
      </w:r>
      <w:r>
        <w:rPr>
          <w:rFonts w:ascii="Times New Roman;serif" w:hAnsi="Times New Roman;serif"/>
          <w:b w:val="false"/>
          <w:i/>
          <w:sz w:val="24"/>
        </w:rPr>
        <w:t>Term SOFR Reference Rate</w:t>
      </w:r>
      <w:r>
        <w:rPr>
          <w:rFonts w:ascii="Times New Roman" w:hAnsi="Times New Roman"/>
          <w:sz w:val="20"/>
        </w:rPr>
        <w:t xml:space="preserve">” </w:t>
      </w:r>
      <w:r>
        <w:rPr>
          <w:rFonts w:ascii="Times New Roman;serif" w:hAnsi="Times New Roman;serif"/>
          <w:b w:val="false"/>
          <w:sz w:val="24"/>
        </w:rPr>
        <w:t>means the forward-looking term rate based on SOFR.</w:t>
      </w:r>
    </w:p>
    <w:p>
      <w:pPr>
        <w:pStyle w:val="TextBody"/>
        <w:bidi w:val="0"/>
        <w:spacing w:before="280" w:after="0"/>
        <w:jc w:val="both"/>
        <w:rPr/>
      </w:pPr>
      <w:r>
        <w:rPr/>
        <w:t>“</w:t>
      </w:r>
      <w:r>
        <w:rPr>
          <w:rFonts w:ascii="Times New Roman;serif" w:hAnsi="Times New Roman;serif"/>
          <w:b w:val="false"/>
          <w:i/>
          <w:sz w:val="24"/>
        </w:rPr>
        <w:t>Title IV Plan”</w:t>
      </w:r>
      <w:r>
        <w:rPr>
          <w:rFonts w:ascii="Times New Roman" w:hAnsi="Times New Roman"/>
          <w:sz w:val="20"/>
        </w:rPr>
        <w:t xml:space="preserve"> </w:t>
      </w:r>
      <w:r>
        <w:rPr>
          <w:rFonts w:ascii="Times New Roman;serif" w:hAnsi="Times New Roman;serif"/>
          <w:b w:val="false"/>
          <w:sz w:val="24"/>
        </w:rPr>
        <w:t>means an “employee benefit plan” as defined in Section 3(3) of ERISA (other than a Multiemployer Plan) (a) that is maintained. sponsored or contributed to by any Obligor or with respect to which any Obligor has or may have liability (including on account of an ERISA Affiliate) and (b) that is or was subject to Section 412 of the Code, Section 302 of ERISA or Title IV of ERISA.</w:t>
      </w:r>
    </w:p>
    <w:p>
      <w:pPr>
        <w:pStyle w:val="TextBody"/>
        <w:bidi w:val="0"/>
        <w:spacing w:before="280" w:after="0"/>
        <w:jc w:val="both"/>
        <w:rPr/>
      </w:pPr>
      <w:r>
        <w:rPr/>
        <w:t>“</w:t>
      </w:r>
      <w:r>
        <w:rPr>
          <w:rFonts w:ascii="Times New Roman;serif" w:hAnsi="Times New Roman;serif"/>
          <w:b w:val="false"/>
          <w:i/>
          <w:sz w:val="24"/>
        </w:rPr>
        <w:t>Trademarks”</w:t>
      </w:r>
      <w:r>
        <w:rPr>
          <w:rFonts w:ascii="Times New Roman" w:hAnsi="Times New Roman"/>
          <w:sz w:val="20"/>
        </w:rPr>
        <w:t xml:space="preserve"> </w:t>
      </w:r>
      <w:r>
        <w:rPr>
          <w:rFonts w:ascii="Times New Roman;serif" w:hAnsi="Times New Roman;serif"/>
          <w:b w:val="false"/>
          <w:sz w:val="24"/>
        </w:rPr>
        <w:t>has the meaning set forth in the Security Documents.</w:t>
      </w:r>
    </w:p>
    <w:p>
      <w:pPr>
        <w:pStyle w:val="TextBody"/>
        <w:bidi w:val="0"/>
        <w:spacing w:before="0" w:after="0"/>
        <w:jc w:val="center"/>
        <w:rPr/>
      </w:pPr>
      <w:r>
        <w:rPr/>
        <w:noBreakHyphen/>
      </w:r>
      <w:r>
        <w:rPr>
          <w:rFonts w:ascii="Times New Roman;serif" w:hAnsi="Times New Roman;serif"/>
          <w:b w:val="false"/>
          <w:sz w:val="24"/>
        </w:rPr>
        <w:t>29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Tranche A Loan</w:t>
      </w:r>
      <w:r>
        <w:rPr>
          <w:rFonts w:ascii="Times New Roman" w:hAnsi="Times New Roman"/>
          <w:sz w:val="20"/>
        </w:rPr>
        <w:t xml:space="preserve">” </w:t>
      </w:r>
      <w:r>
        <w:rPr>
          <w:rFonts w:ascii="Times New Roman;serif" w:hAnsi="Times New Roman;serif"/>
          <w:b w:val="false"/>
          <w:sz w:val="24"/>
        </w:rPr>
        <w:t>means each loan advanced by a Lender pursuant to Section 2.01(a). For purposes of clarification, any calculation of the aggregate outstanding principal amount of the Tranche A Loan on any date of determination shall mean the aggregate principal amount of the Tranche A Loan made pursuant to Section 2.01(a) that has not yet been repaid as of such date.</w:t>
      </w:r>
    </w:p>
    <w:p>
      <w:pPr>
        <w:pStyle w:val="TextBody"/>
        <w:bidi w:val="0"/>
        <w:spacing w:before="280" w:after="0"/>
        <w:jc w:val="both"/>
        <w:rPr/>
      </w:pPr>
      <w:r>
        <w:rPr/>
        <w:t>“</w:t>
      </w:r>
      <w:r>
        <w:rPr>
          <w:rFonts w:ascii="Times New Roman;serif" w:hAnsi="Times New Roman;serif"/>
          <w:b w:val="false"/>
          <w:i/>
          <w:sz w:val="24"/>
        </w:rPr>
        <w:t>Tranche A Loan Commitment</w:t>
      </w:r>
      <w:r>
        <w:rPr>
          <w:rFonts w:ascii="Times New Roman" w:hAnsi="Times New Roman"/>
          <w:sz w:val="20"/>
        </w:rPr>
        <w:t xml:space="preserve">” </w:t>
      </w:r>
      <w:r>
        <w:rPr>
          <w:rFonts w:ascii="Times New Roman;serif" w:hAnsi="Times New Roman;serif"/>
          <w:b w:val="false"/>
          <w:sz w:val="24"/>
        </w:rPr>
        <w:t xml:space="preserve">means the commitment of a Lender to make or otherwise fund a Tranche A Loan and </w:t>
      </w:r>
      <w:r>
        <w:rPr>
          <w:rFonts w:ascii="Times New Roman" w:hAnsi="Times New Roman"/>
          <w:sz w:val="20"/>
        </w:rPr>
        <w:t>“</w:t>
      </w:r>
      <w:r>
        <w:rPr>
          <w:rFonts w:ascii="Times New Roman;serif" w:hAnsi="Times New Roman;serif"/>
          <w:b w:val="false"/>
          <w:i/>
          <w:sz w:val="24"/>
        </w:rPr>
        <w:t>Tranche A Loan Commitments”</w:t>
      </w:r>
      <w:r>
        <w:rPr>
          <w:rFonts w:ascii="Times New Roman" w:hAnsi="Times New Roman"/>
          <w:sz w:val="20"/>
        </w:rPr>
        <w:t xml:space="preserve"> </w:t>
      </w:r>
      <w:r>
        <w:rPr>
          <w:rFonts w:ascii="Times New Roman;serif" w:hAnsi="Times New Roman;serif"/>
          <w:b w:val="false"/>
          <w:sz w:val="24"/>
        </w:rPr>
        <w:t>means such commitments of all Lenders in the aggregate. The amount of each Lender’s Tranche A Loan Commitment, if any, is set forth on Schedule 1. The aggregate amount of the Tranche A Loan Commitments as of the Closing Date is $30,000,000.</w:t>
      </w:r>
    </w:p>
    <w:p>
      <w:pPr>
        <w:pStyle w:val="TextBody"/>
        <w:bidi w:val="0"/>
        <w:spacing w:before="280" w:after="0"/>
        <w:jc w:val="both"/>
        <w:rPr/>
      </w:pPr>
      <w:r>
        <w:rPr/>
        <w:t>“</w:t>
      </w:r>
      <w:r>
        <w:rPr>
          <w:rFonts w:ascii="Times New Roman;serif" w:hAnsi="Times New Roman;serif"/>
          <w:b w:val="false"/>
          <w:i/>
          <w:sz w:val="24"/>
        </w:rPr>
        <w:t>Tranche B Loan</w:t>
      </w:r>
      <w:r>
        <w:rPr>
          <w:rFonts w:ascii="Times New Roman" w:hAnsi="Times New Roman"/>
          <w:sz w:val="20"/>
        </w:rPr>
        <w:t xml:space="preserve">” </w:t>
      </w:r>
      <w:r>
        <w:rPr>
          <w:rFonts w:ascii="Times New Roman;serif" w:hAnsi="Times New Roman;serif"/>
          <w:b w:val="false"/>
          <w:sz w:val="24"/>
        </w:rPr>
        <w:t>means each loan advanced by a Lender pursuant to Section 2.01(b). For purposes of clarification, any calculation of the aggregate outstanding principal amount of the Tranche B Loan on any date of determination shall mean the aggregate principal amount of the Tranche B Loan made pursuant to Section 2.01(b) that has not yet been repaid as of such date.</w:t>
      </w:r>
    </w:p>
    <w:p>
      <w:pPr>
        <w:pStyle w:val="TextBody"/>
        <w:bidi w:val="0"/>
        <w:spacing w:before="280" w:after="0"/>
        <w:jc w:val="both"/>
        <w:rPr/>
      </w:pPr>
      <w:r>
        <w:rPr/>
        <w:t>“</w:t>
      </w:r>
      <w:r>
        <w:rPr>
          <w:rFonts w:ascii="Times New Roman;serif" w:hAnsi="Times New Roman;serif"/>
          <w:b w:val="false"/>
          <w:i/>
          <w:sz w:val="24"/>
        </w:rPr>
        <w:t>Tranche B Loan Borrowing Date</w:t>
      </w:r>
      <w:r>
        <w:rPr>
          <w:rFonts w:ascii="Times New Roman" w:hAnsi="Times New Roman"/>
          <w:sz w:val="20"/>
        </w:rPr>
        <w:t xml:space="preserve">” </w:t>
      </w:r>
      <w:r>
        <w:rPr>
          <w:rFonts w:ascii="Times New Roman;serif" w:hAnsi="Times New Roman;serif"/>
          <w:b w:val="false"/>
          <w:sz w:val="24"/>
        </w:rPr>
        <w:t>means with respect to the Tranche B Loan, the Business Day on which all conditions set forth in Section 6.03 have been satisfied or waived by the Lenders and the Tranche B Loan is made hereunder.</w:t>
      </w:r>
    </w:p>
    <w:p>
      <w:pPr>
        <w:pStyle w:val="TextBody"/>
        <w:bidi w:val="0"/>
        <w:spacing w:before="280" w:after="0"/>
        <w:jc w:val="both"/>
        <w:rPr/>
      </w:pPr>
      <w:r>
        <w:rPr/>
        <w:t>“</w:t>
      </w:r>
      <w:r>
        <w:rPr>
          <w:rFonts w:ascii="Times New Roman;serif" w:hAnsi="Times New Roman;serif"/>
          <w:b w:val="false"/>
          <w:i/>
          <w:sz w:val="24"/>
        </w:rPr>
        <w:t>Tranche B Loan Commitment</w:t>
      </w:r>
      <w:r>
        <w:rPr>
          <w:rFonts w:ascii="Times New Roman" w:hAnsi="Times New Roman"/>
          <w:sz w:val="20"/>
        </w:rPr>
        <w:t xml:space="preserve">” </w:t>
      </w:r>
      <w:r>
        <w:rPr>
          <w:rFonts w:ascii="Times New Roman;serif" w:hAnsi="Times New Roman;serif"/>
          <w:b w:val="false"/>
          <w:sz w:val="24"/>
        </w:rPr>
        <w:t xml:space="preserve">means the commitment of a Lender to make or otherwise fund a Tranche B Loan and </w:t>
      </w:r>
      <w:r>
        <w:rPr>
          <w:rFonts w:ascii="Times New Roman" w:hAnsi="Times New Roman"/>
          <w:sz w:val="20"/>
        </w:rPr>
        <w:t>“</w:t>
      </w:r>
      <w:r>
        <w:rPr>
          <w:rFonts w:ascii="Times New Roman;serif" w:hAnsi="Times New Roman;serif"/>
          <w:b w:val="false"/>
          <w:i/>
          <w:sz w:val="24"/>
        </w:rPr>
        <w:t>Tranche B Loan Commitments”</w:t>
      </w:r>
      <w:r>
        <w:rPr>
          <w:rFonts w:ascii="Times New Roman" w:hAnsi="Times New Roman"/>
          <w:sz w:val="20"/>
        </w:rPr>
        <w:t xml:space="preserve"> </w:t>
      </w:r>
      <w:r>
        <w:rPr>
          <w:rFonts w:ascii="Times New Roman;serif" w:hAnsi="Times New Roman;serif"/>
          <w:b w:val="false"/>
          <w:sz w:val="24"/>
        </w:rPr>
        <w:t>means such commitments of all Lenders in the aggregate. The amount of each Lender’s Tranche B Loan Commitment, if any, is set forth on Schedule 1. The aggregate amount of the Tranche B Loan Commitments as of the Closing Date is $10,000,000.</w:t>
      </w:r>
    </w:p>
    <w:p>
      <w:pPr>
        <w:pStyle w:val="TextBody"/>
        <w:bidi w:val="0"/>
        <w:spacing w:before="280" w:after="0"/>
        <w:jc w:val="both"/>
        <w:rPr/>
      </w:pPr>
      <w:r>
        <w:rPr/>
        <w:t>“</w:t>
      </w:r>
      <w:r>
        <w:rPr>
          <w:rFonts w:ascii="Times New Roman;serif" w:hAnsi="Times New Roman;serif"/>
          <w:b w:val="false"/>
          <w:i/>
          <w:sz w:val="24"/>
        </w:rPr>
        <w:t>Tranche B Loan Commitment Termination Date</w:t>
      </w:r>
      <w:r>
        <w:rPr>
          <w:rFonts w:ascii="Times New Roman" w:hAnsi="Times New Roman"/>
          <w:sz w:val="20"/>
        </w:rPr>
        <w:t xml:space="preserve">” </w:t>
      </w:r>
      <w:r>
        <w:rPr>
          <w:rFonts w:ascii="Times New Roman;serif" w:hAnsi="Times New Roman;serif"/>
          <w:b w:val="false"/>
          <w:sz w:val="24"/>
        </w:rPr>
        <w:t>means December 31, 2023.</w:t>
      </w:r>
    </w:p>
    <w:p>
      <w:pPr>
        <w:pStyle w:val="TextBody"/>
        <w:bidi w:val="0"/>
        <w:spacing w:before="280" w:after="0"/>
        <w:jc w:val="both"/>
        <w:rPr/>
      </w:pPr>
      <w:r>
        <w:rPr/>
        <w:t>“</w:t>
      </w:r>
      <w:r>
        <w:rPr>
          <w:rFonts w:ascii="Times New Roman;serif" w:hAnsi="Times New Roman;serif"/>
          <w:b w:val="false"/>
          <w:i/>
          <w:sz w:val="24"/>
        </w:rPr>
        <w:t>Tranche C Loan</w:t>
      </w:r>
      <w:r>
        <w:rPr>
          <w:rFonts w:ascii="Times New Roman" w:hAnsi="Times New Roman"/>
          <w:sz w:val="20"/>
        </w:rPr>
        <w:t xml:space="preserve">” </w:t>
      </w:r>
      <w:r>
        <w:rPr>
          <w:rFonts w:ascii="Times New Roman;serif" w:hAnsi="Times New Roman;serif"/>
          <w:b w:val="false"/>
          <w:sz w:val="24"/>
        </w:rPr>
        <w:t>means each loan advanced by a Lender pursuant to Section 2.01(c). For purposes of clarification, any calculation of the aggregate outstanding principal amount of the Tranche C Loan on any date of determination shall mean the aggregate principal amount of the Tranche C Loan made pursuant to Section 2.01(c) that has not yet been repaid as of such date.</w:t>
      </w:r>
    </w:p>
    <w:p>
      <w:pPr>
        <w:pStyle w:val="TextBody"/>
        <w:bidi w:val="0"/>
        <w:spacing w:before="280" w:after="0"/>
        <w:jc w:val="both"/>
        <w:rPr/>
      </w:pPr>
      <w:r>
        <w:rPr/>
        <w:t>“</w:t>
      </w:r>
      <w:r>
        <w:rPr>
          <w:rFonts w:ascii="Times New Roman;serif" w:hAnsi="Times New Roman;serif"/>
          <w:b w:val="false"/>
          <w:i/>
          <w:sz w:val="24"/>
        </w:rPr>
        <w:t>Tranche C Loan Borrowing Date</w:t>
      </w:r>
      <w:r>
        <w:rPr>
          <w:rFonts w:ascii="Times New Roman" w:hAnsi="Times New Roman"/>
          <w:sz w:val="20"/>
        </w:rPr>
        <w:t xml:space="preserve">” </w:t>
      </w:r>
      <w:r>
        <w:rPr>
          <w:rFonts w:ascii="Times New Roman;serif" w:hAnsi="Times New Roman;serif"/>
          <w:b w:val="false"/>
          <w:sz w:val="24"/>
        </w:rPr>
        <w:t>means with respect to the Tranche C Loan, the Business Day on which all conditions set forth in Section 6.04 have been satisfied or waived by the Lenders and the Tranche C Loan is made hereunder.</w:t>
      </w:r>
    </w:p>
    <w:p>
      <w:pPr>
        <w:pStyle w:val="TextBody"/>
        <w:bidi w:val="0"/>
        <w:spacing w:before="280" w:after="0"/>
        <w:jc w:val="both"/>
        <w:rPr/>
      </w:pPr>
      <w:r>
        <w:rPr/>
        <w:t>“</w:t>
      </w:r>
      <w:r>
        <w:rPr>
          <w:rFonts w:ascii="Times New Roman;serif" w:hAnsi="Times New Roman;serif"/>
          <w:b w:val="false"/>
          <w:i/>
          <w:sz w:val="24"/>
        </w:rPr>
        <w:t>Tranche C Loan Commitment</w:t>
      </w:r>
      <w:r>
        <w:rPr>
          <w:rFonts w:ascii="Times New Roman" w:hAnsi="Times New Roman"/>
          <w:sz w:val="20"/>
        </w:rPr>
        <w:t xml:space="preserve">” </w:t>
      </w:r>
      <w:r>
        <w:rPr>
          <w:rFonts w:ascii="Times New Roman;serif" w:hAnsi="Times New Roman;serif"/>
          <w:b w:val="false"/>
          <w:sz w:val="24"/>
        </w:rPr>
        <w:t xml:space="preserve">means the commitment of a Lender to make or otherwise fund a Tranche C Loan and </w:t>
      </w:r>
      <w:r>
        <w:rPr>
          <w:rFonts w:ascii="Times New Roman" w:hAnsi="Times New Roman"/>
          <w:sz w:val="20"/>
        </w:rPr>
        <w:t>“</w:t>
      </w:r>
      <w:r>
        <w:rPr>
          <w:rFonts w:ascii="Times New Roman;serif" w:hAnsi="Times New Roman;serif"/>
          <w:b w:val="false"/>
          <w:i/>
          <w:sz w:val="24"/>
        </w:rPr>
        <w:t>Tranche C Loan Commitments”</w:t>
      </w:r>
      <w:r>
        <w:rPr>
          <w:rFonts w:ascii="Times New Roman" w:hAnsi="Times New Roman"/>
          <w:sz w:val="20"/>
        </w:rPr>
        <w:t xml:space="preserve"> </w:t>
      </w:r>
      <w:r>
        <w:rPr>
          <w:rFonts w:ascii="Times New Roman;serif" w:hAnsi="Times New Roman;serif"/>
          <w:b w:val="false"/>
          <w:sz w:val="24"/>
        </w:rPr>
        <w:t>means such commitments of all Lenders in the aggregate. The amount of each Lender’s Tranche C Loan Commitment, if any, is set forth on Schedule 1. The aggregate amount of the Tranche C Loan Commitments as of the Closing Date is $10,000,000.</w:t>
      </w:r>
    </w:p>
    <w:p>
      <w:pPr>
        <w:pStyle w:val="TextBody"/>
        <w:bidi w:val="0"/>
        <w:spacing w:before="280" w:after="0"/>
        <w:jc w:val="both"/>
        <w:rPr/>
      </w:pPr>
      <w:r>
        <w:rPr/>
        <w:t>“</w:t>
      </w:r>
      <w:r>
        <w:rPr>
          <w:rFonts w:ascii="Times New Roman;serif" w:hAnsi="Times New Roman;serif"/>
          <w:b w:val="false"/>
          <w:i/>
          <w:sz w:val="24"/>
        </w:rPr>
        <w:t>Tranche C Loan Commitment Termination Date</w:t>
      </w:r>
      <w:r>
        <w:rPr>
          <w:rFonts w:ascii="Times New Roman" w:hAnsi="Times New Roman"/>
          <w:sz w:val="20"/>
        </w:rPr>
        <w:t xml:space="preserve">” </w:t>
      </w:r>
      <w:r>
        <w:rPr>
          <w:rFonts w:ascii="Times New Roman;serif" w:hAnsi="Times New Roman;serif"/>
          <w:b w:val="false"/>
          <w:sz w:val="24"/>
        </w:rPr>
        <w:t>means September 30, 2024.</w:t>
      </w:r>
    </w:p>
    <w:p>
      <w:pPr>
        <w:pStyle w:val="TextBody"/>
        <w:bidi w:val="0"/>
        <w:spacing w:before="0" w:after="0"/>
        <w:jc w:val="center"/>
        <w:rPr/>
      </w:pPr>
      <w:r>
        <w:rPr/>
        <w:noBreakHyphen/>
      </w:r>
      <w:r>
        <w:rPr>
          <w:rFonts w:ascii="Times New Roman;serif" w:hAnsi="Times New Roman;serif"/>
          <w:b w:val="false"/>
          <w:sz w:val="24"/>
        </w:rPr>
        <w:t>30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4"/>
        </w:rPr>
        <w:t>Transactions”</w:t>
      </w:r>
      <w:r>
        <w:rPr>
          <w:rFonts w:ascii="Times New Roman" w:hAnsi="Times New Roman"/>
          <w:sz w:val="20"/>
        </w:rPr>
        <w:t xml:space="preserve"> </w:t>
      </w:r>
      <w:r>
        <w:rPr>
          <w:rFonts w:ascii="Times New Roman;serif" w:hAnsi="Times New Roman;serif"/>
          <w:b w:val="false"/>
          <w:sz w:val="24"/>
        </w:rPr>
        <w:t>means (a) the execution, delivery and performance by each Obligor of this Agreement and the other Loan Documents to which such Obligor is a party and the other transactions contemplated hereby and thereby, including disbursement and application of the proceeds of the Term Loans and (b) the Refinancing.</w:t>
      </w:r>
    </w:p>
    <w:p>
      <w:pPr>
        <w:pStyle w:val="TextBody"/>
        <w:bidi w:val="0"/>
        <w:spacing w:before="280" w:after="0"/>
        <w:jc w:val="both"/>
        <w:rPr/>
      </w:pPr>
      <w:r>
        <w:rPr/>
        <w:t>“</w:t>
      </w:r>
      <w:r>
        <w:rPr>
          <w:rFonts w:ascii="Times New Roman;serif" w:hAnsi="Times New Roman;serif"/>
          <w:b w:val="false"/>
          <w:i/>
          <w:sz w:val="24"/>
        </w:rPr>
        <w:t>UK Financial Institution”</w:t>
      </w:r>
      <w:r>
        <w:rPr>
          <w:rFonts w:ascii="Times New Roman" w:hAnsi="Times New Roman"/>
          <w:sz w:val="20"/>
        </w:rPr>
        <w:t xml:space="preserve"> </w:t>
      </w:r>
      <w:r>
        <w:rPr>
          <w:rFonts w:ascii="Times New Roman;serif" w:hAnsi="Times New Roman;serif"/>
          <w:b w:val="false"/>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80" w:after="0"/>
        <w:jc w:val="both"/>
        <w:rPr/>
      </w:pPr>
      <w:r>
        <w:rPr/>
        <w:t>“</w:t>
      </w:r>
      <w:r>
        <w:rPr>
          <w:rFonts w:ascii="Times New Roman;serif" w:hAnsi="Times New Roman;serif"/>
          <w:b w:val="false"/>
          <w:i/>
          <w:sz w:val="24"/>
        </w:rPr>
        <w:t>UK Resolution Authority”</w:t>
      </w:r>
      <w:r>
        <w:rPr>
          <w:rFonts w:ascii="Times New Roman" w:hAnsi="Times New Roman"/>
          <w:sz w:val="20"/>
        </w:rPr>
        <w:t xml:space="preserve"> </w:t>
      </w:r>
      <w:r>
        <w:rPr>
          <w:rFonts w:ascii="Times New Roman;serif" w:hAnsi="Times New Roman;serif"/>
          <w:b w:val="false"/>
          <w:sz w:val="24"/>
        </w:rPr>
        <w:t>means the Bank of England or any other public administrative authority having responsibility for the resolution of any UK Financial Institution.</w:t>
      </w:r>
    </w:p>
    <w:p>
      <w:pPr>
        <w:pStyle w:val="TextBody"/>
        <w:bidi w:val="0"/>
        <w:spacing w:before="280" w:after="0"/>
        <w:jc w:val="both"/>
        <w:rPr/>
      </w:pPr>
      <w:r>
        <w:rPr/>
        <w:t>“</w:t>
      </w:r>
      <w:r>
        <w:rPr>
          <w:rFonts w:ascii="Times New Roman;serif" w:hAnsi="Times New Roman;serif"/>
          <w:b w:val="false"/>
          <w:i/>
          <w:sz w:val="24"/>
        </w:rPr>
        <w:t>Unadjusted Benchmark Replacement</w:t>
      </w:r>
      <w:r>
        <w:rPr>
          <w:rFonts w:ascii="Times New Roman" w:hAnsi="Times New Roman"/>
          <w:sz w:val="20"/>
        </w:rPr>
        <w:t xml:space="preserve">” </w:t>
      </w:r>
      <w:r>
        <w:rPr>
          <w:rFonts w:ascii="Times New Roman;serif" w:hAnsi="Times New Roman;serif"/>
          <w:b w:val="false"/>
          <w:sz w:val="24"/>
        </w:rPr>
        <w:t>means the applicable Benchmark Replacement excluding the related Benchmark Replacement Adjustment.</w:t>
      </w:r>
    </w:p>
    <w:p>
      <w:pPr>
        <w:pStyle w:val="TextBody"/>
        <w:bidi w:val="0"/>
        <w:spacing w:before="280" w:after="0"/>
        <w:jc w:val="both"/>
        <w:rPr/>
      </w:pPr>
      <w:r>
        <w:rPr/>
        <w:t>“</w:t>
      </w:r>
      <w:r>
        <w:rPr>
          <w:rFonts w:ascii="Times New Roman;serif" w:hAnsi="Times New Roman;serif"/>
          <w:b w:val="false"/>
          <w:i/>
          <w:sz w:val="24"/>
        </w:rPr>
        <w:t>Unrestricted Cash”</w:t>
      </w:r>
      <w:r>
        <w:rPr>
          <w:rFonts w:ascii="Times New Roman" w:hAnsi="Times New Roman"/>
          <w:sz w:val="20"/>
        </w:rPr>
        <w:t xml:space="preserve"> </w:t>
      </w:r>
      <w:r>
        <w:rPr>
          <w:rFonts w:ascii="Times New Roman;serif" w:hAnsi="Times New Roman;serif"/>
          <w:b w:val="false"/>
          <w:sz w:val="24"/>
        </w:rPr>
        <w:t>means the balance of unencumbered cash (other than cash encumbered by the Liens granted to the Lenders pursuant to the Loan Documents) and Permitted Cash Equivalent Investments (which for greater certainty shall not include any undrawn credit lines), in each case, to the extent held in a Controlled Account.</w:t>
      </w:r>
    </w:p>
    <w:p>
      <w:pPr>
        <w:pStyle w:val="TextBody"/>
        <w:bidi w:val="0"/>
        <w:spacing w:before="280" w:after="0"/>
        <w:jc w:val="both"/>
        <w:rPr/>
      </w:pPr>
      <w:r>
        <w:rPr/>
        <w:t>“</w:t>
      </w:r>
      <w:r>
        <w:rPr>
          <w:rFonts w:ascii="Times New Roman;serif" w:hAnsi="Times New Roman;serif"/>
          <w:b w:val="false"/>
          <w:i/>
          <w:sz w:val="24"/>
        </w:rPr>
        <w:t xml:space="preserve">U.S. Government Securities Business Day” </w:t>
      </w:r>
      <w:r>
        <w:rPr>
          <w:rFonts w:ascii="Times New Roman;serif" w:hAnsi="Times New Roman;serif"/>
          <w:b w:val="false"/>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80" w:after="0"/>
        <w:jc w:val="both"/>
        <w:rPr/>
      </w:pPr>
      <w:r>
        <w:rPr/>
        <w:t>“</w:t>
      </w:r>
      <w:r>
        <w:rPr>
          <w:rFonts w:ascii="Times New Roman;serif" w:hAnsi="Times New Roman;serif"/>
          <w:b w:val="false"/>
          <w:i/>
          <w:sz w:val="24"/>
        </w:rPr>
        <w:t>U.S. Person”</w:t>
      </w:r>
      <w:r>
        <w:rPr>
          <w:rFonts w:ascii="Times New Roman" w:hAnsi="Times New Roman"/>
          <w:sz w:val="20"/>
        </w:rPr>
        <w:t xml:space="preserve"> </w:t>
      </w:r>
      <w:r>
        <w:rPr>
          <w:rFonts w:ascii="Times New Roman;serif" w:hAnsi="Times New Roman;serif"/>
          <w:b w:val="false"/>
          <w:sz w:val="24"/>
        </w:rPr>
        <w:t>means a “United States person” within the meaning of Section 7701(a)(30) of the Code.</w:t>
      </w:r>
    </w:p>
    <w:p>
      <w:pPr>
        <w:pStyle w:val="TextBody"/>
        <w:bidi w:val="0"/>
        <w:spacing w:before="280" w:after="0"/>
        <w:jc w:val="both"/>
        <w:rPr/>
      </w:pPr>
      <w:r>
        <w:rPr/>
        <w:t>“</w:t>
      </w:r>
      <w:r>
        <w:rPr>
          <w:rFonts w:ascii="Times New Roman;serif" w:hAnsi="Times New Roman;serif"/>
          <w:b w:val="false"/>
          <w:i/>
          <w:sz w:val="24"/>
        </w:rPr>
        <w:t>U.S. Tax Compliance Certificate”</w:t>
      </w:r>
      <w:r>
        <w:rPr>
          <w:rFonts w:ascii="Times New Roman" w:hAnsi="Times New Roman"/>
          <w:sz w:val="20"/>
        </w:rPr>
        <w:t xml:space="preserve"> </w:t>
      </w:r>
      <w:r>
        <w:rPr>
          <w:rFonts w:ascii="Times New Roman;serif" w:hAnsi="Times New Roman;serif"/>
          <w:b w:val="false"/>
          <w:sz w:val="24"/>
        </w:rPr>
        <w:t>has the meaning set forth in Section 5.03(f)(ii)(B)(3).</w:t>
      </w:r>
    </w:p>
    <w:p>
      <w:pPr>
        <w:pStyle w:val="TextBody"/>
        <w:bidi w:val="0"/>
        <w:spacing w:before="280" w:after="0"/>
        <w:jc w:val="both"/>
        <w:rPr/>
      </w:pPr>
      <w:r>
        <w:rPr>
          <w:u w:val="single"/>
        </w:rPr>
        <w:t>“</w:t>
      </w:r>
      <w:r>
        <w:rPr>
          <w:rFonts w:ascii="Times New Roman;serif" w:hAnsi="Times New Roman;serif"/>
          <w:b w:val="false"/>
          <w:i/>
          <w:sz w:val="24"/>
          <w:u w:val="single"/>
        </w:rPr>
        <w:t xml:space="preserve">Warrant Certificates” </w:t>
      </w:r>
      <w:r>
        <w:rPr>
          <w:rFonts w:ascii="Times New Roman;serif" w:hAnsi="Times New Roman;serif"/>
          <w:b w:val="false"/>
          <w:sz w:val="24"/>
          <w:u w:val="single"/>
        </w:rPr>
        <w:t>means collectively, (a) the Warrant Certificate (Funding Date) and (b) the Warrant Certificate (First Amendment Effective Date), in each case as the Warrant Certificates may be amended, replaced or otherwise modified pursuant to the terms thereof.</w:t>
      </w:r>
    </w:p>
    <w:p>
      <w:pPr>
        <w:pStyle w:val="TextBody"/>
        <w:bidi w:val="0"/>
        <w:spacing w:before="280" w:after="0"/>
        <w:jc w:val="both"/>
        <w:rPr/>
      </w:pPr>
      <w:r>
        <w:rPr>
          <w:u w:val="single"/>
        </w:rPr>
        <w:t>“</w:t>
      </w:r>
      <w:r>
        <w:rPr>
          <w:rFonts w:ascii="Times New Roman;serif" w:hAnsi="Times New Roman;serif"/>
          <w:b w:val="false"/>
          <w:i/>
          <w:sz w:val="24"/>
          <w:u w:val="single"/>
        </w:rPr>
        <w:t xml:space="preserve">Warrant Certificate (First Amendment Effective Date)” </w:t>
      </w:r>
      <w:r>
        <w:rPr>
          <w:rFonts w:ascii="Times New Roman;serif" w:hAnsi="Times New Roman;serif"/>
          <w:b w:val="false"/>
          <w:sz w:val="24"/>
          <w:u w:val="single"/>
        </w:rPr>
        <w:t>means the warrant delivered to the Administrative Agent on the First Amendment Effective Date that, among other things, grants the holder thereof the right to purchase the number of common shares of Borrower as indicated on the warrant shares table on Schedule 1 labeled as “First Amendment Warrant Shares,” as the Warrant Certificate may be amended, replaced or otherwise modified pursuant to the terms thereof.</w:t>
      </w:r>
    </w:p>
    <w:p>
      <w:pPr>
        <w:pStyle w:val="TextBody"/>
        <w:bidi w:val="0"/>
        <w:spacing w:before="280" w:after="0"/>
        <w:jc w:val="both"/>
        <w:rPr/>
      </w:pPr>
      <w:r>
        <w:rPr/>
        <w:t>“</w:t>
      </w:r>
      <w:r>
        <w:rPr>
          <w:rFonts w:ascii="Times New Roman;serif" w:hAnsi="Times New Roman;serif"/>
          <w:b w:val="false"/>
          <w:i/>
          <w:sz w:val="24"/>
        </w:rPr>
        <w:t>Warrant Certificate</w:t>
      </w:r>
      <w:r>
        <w:rPr>
          <w:rFonts w:ascii="Times New Roman" w:hAnsi="Times New Roman"/>
          <w:sz w:val="20"/>
          <w:u w:val="single"/>
        </w:rPr>
        <w:t xml:space="preserve"> </w:t>
      </w:r>
      <w:r>
        <w:rPr>
          <w:rFonts w:ascii="Times New Roman;serif" w:hAnsi="Times New Roman;serif"/>
          <w:b w:val="false"/>
          <w:i/>
          <w:sz w:val="24"/>
          <w:u w:val="single"/>
        </w:rPr>
        <w:t>(Funding Date)</w:t>
      </w:r>
      <w:r>
        <w:rPr>
          <w:rFonts w:ascii="Times New Roman" w:hAnsi="Times New Roman"/>
          <w:sz w:val="20"/>
        </w:rPr>
        <w:t xml:space="preserve">” </w:t>
      </w:r>
      <w:r>
        <w:rPr>
          <w:rFonts w:ascii="Times New Roman;serif" w:hAnsi="Times New Roman;serif"/>
          <w:b w:val="false"/>
          <w:sz w:val="24"/>
        </w:rPr>
        <w:t>means the warrant, substantially in the form of Exhibit J, to be delivered to the Administrative Agent pursuant to Section 6.02(a)(ii) that, among other things, grants the holder thereof the right to purchase the number of common shares of</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31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4"/>
        </w:rPr>
        <w:t>Borrower as indicated on the warrant shares table on Schedule 1</w:t>
      </w:r>
      <w:r>
        <w:rPr>
          <w:rFonts w:ascii="Times New Roman;serif" w:hAnsi="Times New Roman;serif"/>
          <w:b w:val="false"/>
          <w:strike/>
          <w:sz w:val="24"/>
        </w:rPr>
        <w:t xml:space="preserve">, </w:t>
      </w:r>
      <w:r>
        <w:rPr>
          <w:rFonts w:ascii="Times New Roman;serif" w:hAnsi="Times New Roman;serif"/>
          <w:b w:val="false"/>
          <w:sz w:val="24"/>
          <w:u w:val="single"/>
        </w:rPr>
        <w:t xml:space="preserve">labeled as “Initial Warrant Shares,” “Second Tranche Warrant Shares” and “Third Tranche Warrant Shares,” </w:t>
      </w:r>
      <w:r>
        <w:rPr>
          <w:rFonts w:ascii="Times New Roman;serif" w:hAnsi="Times New Roman;serif"/>
          <w:b w:val="false"/>
          <w:sz w:val="24"/>
        </w:rPr>
        <w:t>as the Warrant Certificate may be amended, replaced or otherwise modified pursuant to the terms thereof.</w:t>
      </w:r>
    </w:p>
    <w:p>
      <w:pPr>
        <w:pStyle w:val="TextBody"/>
        <w:bidi w:val="0"/>
        <w:spacing w:before="280" w:after="0"/>
        <w:jc w:val="both"/>
        <w:rPr/>
      </w:pPr>
      <w:r>
        <w:rPr/>
        <w:t>“</w:t>
      </w:r>
      <w:r>
        <w:rPr>
          <w:rFonts w:ascii="Times New Roman;serif" w:hAnsi="Times New Roman;serif"/>
          <w:b w:val="false"/>
          <w:i/>
          <w:sz w:val="24"/>
        </w:rPr>
        <w:t xml:space="preserve">Warrant Obligations” </w:t>
      </w:r>
      <w:r>
        <w:rPr>
          <w:rFonts w:ascii="Times New Roman;serif" w:hAnsi="Times New Roman;serif"/>
          <w:b w:val="false"/>
          <w:sz w:val="24"/>
        </w:rPr>
        <w:t xml:space="preserve">means, with respect to the Borrower, all of its Obligations arising out of, under or in connection with, any Warrant Certificate;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 xml:space="preserve">that any term or provision hereof or of any other Loan Document to the contrary notwithstanding, neither the Borrower nor any other Person is providing (or intends to provide) the holder of </w:t>
      </w:r>
      <w:r>
        <w:rPr>
          <w:rFonts w:ascii="Times New Roman;serif" w:hAnsi="Times New Roman;serif"/>
          <w:b w:val="false"/>
          <w:strike/>
          <w:sz w:val="24"/>
        </w:rPr>
        <w:t xml:space="preserve">the </w:t>
      </w:r>
      <w:r>
        <w:rPr>
          <w:rFonts w:ascii="Times New Roman;serif" w:hAnsi="Times New Roman;serif"/>
          <w:b w:val="false"/>
          <w:sz w:val="24"/>
          <w:u w:val="single"/>
        </w:rPr>
        <w:t>such</w:t>
      </w:r>
      <w:r>
        <w:rPr>
          <w:rFonts w:ascii="Times New Roman" w:hAnsi="Times New Roman"/>
          <w:sz w:val="20"/>
        </w:rPr>
        <w:t xml:space="preserve"> </w:t>
      </w:r>
      <w:r>
        <w:rPr>
          <w:rFonts w:ascii="Times New Roman;serif" w:hAnsi="Times New Roman;serif"/>
          <w:b w:val="false"/>
          <w:sz w:val="24"/>
        </w:rPr>
        <w:t xml:space="preserve">Warrant Certificate with any Guarantee or assurance of economic return or against risk of loss in respect of </w:t>
      </w:r>
      <w:r>
        <w:rPr>
          <w:rFonts w:ascii="Times New Roman;serif" w:hAnsi="Times New Roman;serif"/>
          <w:b w:val="false"/>
          <w:strike/>
          <w:sz w:val="24"/>
        </w:rPr>
        <w:t>the</w:t>
      </w:r>
      <w:r>
        <w:rPr>
          <w:rFonts w:ascii="Times New Roman;serif" w:hAnsi="Times New Roman;serif"/>
          <w:b w:val="false"/>
          <w:sz w:val="24"/>
          <w:u w:val="single"/>
        </w:rPr>
        <w:t>such</w:t>
      </w:r>
      <w:r>
        <w:rPr>
          <w:rFonts w:ascii="Times New Roman" w:hAnsi="Times New Roman"/>
          <w:sz w:val="20"/>
        </w:rPr>
        <w:t xml:space="preserve"> </w:t>
      </w:r>
      <w:r>
        <w:rPr>
          <w:rFonts w:ascii="Times New Roman;serif" w:hAnsi="Times New Roman;serif"/>
          <w:b w:val="false"/>
          <w:sz w:val="24"/>
        </w:rPr>
        <w:t>Warrant Certificate or any Equity Interests issuable upon exercise thereof and neither the term “Obligations” nor the term “Warrant Obligations” shall be deemed to include, directly or indirectly, and such Guarantee or assurance.</w:t>
      </w:r>
    </w:p>
    <w:p>
      <w:pPr>
        <w:pStyle w:val="TextBody"/>
        <w:bidi w:val="0"/>
        <w:spacing w:before="280" w:after="0"/>
        <w:jc w:val="both"/>
        <w:rPr/>
      </w:pPr>
      <w:r>
        <w:rPr/>
        <w:t>“</w:t>
      </w:r>
      <w:r>
        <w:rPr>
          <w:rFonts w:ascii="Times New Roman;serif" w:hAnsi="Times New Roman;serif"/>
          <w:b w:val="false"/>
          <w:i/>
          <w:sz w:val="24"/>
        </w:rPr>
        <w:t>Write</w:t>
        <w:noBreakHyphen/>
        <w:t xml:space="preserve">Down and Conversion Powers” </w:t>
      </w:r>
      <w:r>
        <w:rPr>
          <w:rFonts w:ascii="Times New Roman;serif" w:hAnsi="Times New Roman;serif"/>
          <w:b w:val="false"/>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1.02. Accounting Terms and Principles</w:t>
      </w:r>
      <w:r>
        <w:rPr>
          <w:rFonts w:ascii="Times New Roman;serif" w:hAnsi="Times New Roman;serif"/>
          <w:b w:val="false"/>
          <w:sz w:val="24"/>
        </w:rPr>
        <w:t xml:space="preserve">. All accounting determinations required to be made pursuant hereto shall, unless expressly otherwise provided herein, be made substantially in accordance with GAAP. If, after the date hereof, any change occurs in GAAP or in the application thereof (an </w:t>
      </w:r>
      <w:r>
        <w:rPr>
          <w:rFonts w:ascii="Times New Roman" w:hAnsi="Times New Roman"/>
          <w:sz w:val="20"/>
        </w:rPr>
        <w:t>“</w:t>
      </w:r>
      <w:r>
        <w:rPr>
          <w:rFonts w:ascii="Times New Roman;serif" w:hAnsi="Times New Roman;serif"/>
          <w:b w:val="false"/>
          <w:i/>
          <w:sz w:val="24"/>
        </w:rPr>
        <w:t>Accounting Change”</w:t>
      </w:r>
      <w:r>
        <w:rPr>
          <w:rFonts w:ascii="Times New Roman;serif" w:hAnsi="Times New Roman;serif"/>
          <w:b w:val="false"/>
          <w:sz w:val="24"/>
        </w:rPr>
        <w:t>)</w:t>
      </w:r>
      <w:r>
        <w:rPr>
          <w:rFonts w:ascii="Times New Roman" w:hAnsi="Times New Roman"/>
          <w:sz w:val="20"/>
        </w:rPr>
        <w:t xml:space="preserve"> </w:t>
      </w:r>
      <w:r>
        <w:rPr>
          <w:rFonts w:ascii="Times New Roman;serif" w:hAnsi="Times New Roman;serif"/>
          <w:b w:val="false"/>
          <w:sz w:val="24"/>
        </w:rPr>
        <w:t xml:space="preserve">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 </w:t>
      </w:r>
      <w:r>
        <w:rPr>
          <w:rFonts w:ascii="Times New Roman" w:hAnsi="Times New Roman"/>
          <w:sz w:val="20"/>
        </w:rPr>
        <w:t>“</w:t>
      </w:r>
      <w:r>
        <w:rPr>
          <w:rFonts w:ascii="Times New Roman;serif" w:hAnsi="Times New Roman;serif"/>
          <w:b w:val="false"/>
          <w:i/>
          <w:sz w:val="24"/>
        </w:rPr>
        <w:t>Accounting Change Notice”</w:t>
      </w:r>
      <w:r>
        <w:rPr>
          <w:rFonts w:ascii="Times New Roman;serif" w:hAnsi="Times New Roman;serif"/>
          <w:b w:val="false"/>
          <w:sz w:val="24"/>
        </w:rPr>
        <w:t>) to the Administrative Agent in conjunction with the next required delivery of financial statements pursuant to 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 respective positions as of the date of this Agreement and, until any such amendments have been agreed upon, (a) the provisions in this Agreement shall be calculated as if no such Accounting Change had occurred and (b) the Borrower shall provide to the Administrative Agent a written reconciliation in form and substance reasonably satisfactory to the Administrative Agent, between calculations of any</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32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baskets and other requirements hereunder before and after giving effect to such Accounting Change.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All components of financial calculations made to determine compliance with this Agreement shall be adjusted to include or exclude, as the case may be, without duplication, such components of such calculations attributable to any Acquisition or disposition of assets consummated after the first day of the applicable period of determination and prior to the end of such period, as determined in good faith by the Borrower based on assumptions expressed therein and that were reasonable based on the information available to the Borrower at the time of preparation of the Compliance Certificate setting forth such calculations.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1.03. Interpretation</w:t>
      </w:r>
      <w:r>
        <w:rPr>
          <w:rFonts w:ascii="Times New Roman;serif" w:hAnsi="Times New Roman;serif"/>
          <w:b w:val="false"/>
          <w:sz w:val="24"/>
        </w:rPr>
        <w:t>. For all purposes of this Agreement, except as otherwise expressly provided herein or unless the context otherwise requires, (a) the terms defined in this Agreement include the plural as well as the singular and vice versa; (b) 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(h) any definition of or reference to any statute, rule or regulation shall be construed as referring thereto as from time to time amended, supplemented or otherwise modified (including by succession of comparable successor laws), unless otherwise expressly stated to the contrary; (i) the words “herein”, “hereof” and “hereunder”, and words of similar import, shall be construed to refer to this Agreement in its entirety and not to any particular provision hereof; and (j) accounting terms not specifically 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1.04. Divisions</w:t>
      </w:r>
      <w:r>
        <w:rPr>
          <w:rFonts w:ascii="Times New Roman;serif" w:hAnsi="Times New Roman;serif"/>
          <w:b w:val="false"/>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jc w:val="center"/>
        <w:rPr/>
      </w:pPr>
      <w:r>
        <w:rPr/>
        <w:noBreakHyphen/>
      </w:r>
      <w:r>
        <w:rPr>
          <w:rFonts w:ascii="Times New Roman;serif" w:hAnsi="Times New Roman;serif"/>
          <w:b w:val="false"/>
          <w:sz w:val="24"/>
        </w:rPr>
        <w:t>33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4"/>
        </w:rPr>
        <w:t xml:space="preserve">Section 1.05. Interest Rates. </w:t>
      </w:r>
      <w:r>
        <w:rPr>
          <w:rFonts w:ascii="Times New Roman;serif" w:hAnsi="Times New Roman;serif"/>
          <w:b w:val="false"/>
          <w:sz w:val="24"/>
        </w:rPr>
        <w:t>The Administrative Agent does not warrant or accept responsibility for, and shall not have any 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r>
        <w:rPr>
          <w:rFonts w:ascii="Times New Roman" w:hAnsi="Times New Roman"/>
          <w:sz w:val="20"/>
        </w:rPr>
        <w:t xml:space="preserve"> </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2 </w:t>
        <w:br/>
        <w:br/>
        <w:t>The Commitments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2.01. Term Loans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Tranche A Loan</w:t>
      </w:r>
      <w:r>
        <w:rPr>
          <w:rFonts w:ascii="Times New Roman;serif" w:hAnsi="Times New Roman;serif"/>
          <w:b w:val="false"/>
          <w:sz w:val="24"/>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Subject to the terms and conditions of this Agreement and relying on the representations and warranties set forth herein, each Lender, severally and not jointly, agrees to provide its share of the Tranche A Loan to the Borrower on the Funding Date in Dollars in a principal amount equal to such Lender’s Tranche A Loan Commitment. No Lender shall have an obligation to make a Tranche A Loan in excess of such Lender’s Tranche A Loan Commitment.</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Subject to the terms and conditions of this Agreement (including Section 6.02), the Borrower shall deliver to the Administrative Agent a fully executed Borrowing Notice no later than 5 p.m. (New York City time) at least one (1) Business Day in advance of the Funding Date.</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The Borrower may make one borrowing under the Tranche A Loan Commitment which shall be on the Funding Date. Subject to Section 3.03, all amounts owed hereunder with respect to the Tranche A Loan shall be paid in full no later than the Maturity Date. Each Lender’s Tranche A Loan Commitment shall </w:t>
      </w:r>
    </w:p>
    <w:p>
      <w:pPr>
        <w:pStyle w:val="TextBody"/>
        <w:bidi w:val="0"/>
        <w:spacing w:before="0" w:after="0"/>
        <w:jc w:val="center"/>
        <w:rPr/>
      </w:pPr>
      <w:r>
        <w:rPr/>
        <w:noBreakHyphen/>
      </w:r>
      <w:r>
        <w:rPr>
          <w:rFonts w:ascii="Times New Roman;serif" w:hAnsi="Times New Roman;serif"/>
          <w:b w:val="false"/>
          <w:sz w:val="24"/>
        </w:rPr>
        <w:t>34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terminate immediately and without further action on the Funding Date after giving effect to the funding of such Lender’s Tranche A Loan Commitment on such date.</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i/>
          <w:sz w:val="24"/>
        </w:rPr>
      </w:pPr>
      <w:r>
        <w:rPr>
          <w:rFonts w:ascii="Times New Roman;serif" w:hAnsi="Times New Roman;serif"/>
          <w:b w:val="false"/>
          <w:i/>
          <w:sz w:val="24"/>
        </w:rPr>
        <w:t>Tranche B Loan.</w:t>
      </w:r>
    </w:p>
    <w:p>
      <w:pPr>
        <w:pStyle w:val="TextBody"/>
        <w:bidi w:val="0"/>
        <w:spacing w:before="360" w:after="0"/>
        <w:jc w:val="both"/>
        <w:rPr>
          <w:rFonts w:ascii="Times New Roman" w:hAnsi="Times New Roman"/>
          <w:b w:val="false"/>
          <w:sz w:val="24"/>
        </w:rPr>
      </w:pPr>
      <w:r>
        <w:rPr>
          <w:rFonts w:ascii="Times New Roman" w:hAnsi="Times New Roman"/>
          <w:b w:val="false"/>
          <w:sz w:val="24"/>
        </w:rPr>
        <w:t>(i)</w:t>
      </w:r>
    </w:p>
    <w:p>
      <w:pPr>
        <w:pStyle w:val="TextBody"/>
        <w:bidi w:val="0"/>
        <w:spacing w:before="360" w:after="0"/>
        <w:jc w:val="both"/>
        <w:rPr>
          <w:rFonts w:ascii="Times New Roman;serif" w:hAnsi="Times New Roman;serif"/>
          <w:b w:val="false"/>
          <w:sz w:val="24"/>
        </w:rPr>
      </w:pPr>
      <w:r>
        <w:rPr>
          <w:rFonts w:ascii="Times New Roman;serif" w:hAnsi="Times New Roman;serif"/>
          <w:b w:val="false"/>
          <w:sz w:val="24"/>
        </w:rPr>
        <w:t>Subject to the terms and conditions of this Agreement and relying on the representations and warranties set forth herein, each Lender, severally and not jointly, agrees to provide its share of the Tranche B Loan to the Borrower on the Tranche B Loan Borrowing Date in Dollars in a principal amount equal to such Lender’s Tranche B Loan Commitment. No Lender shall have an obligation to make a Tranche B Loan in excess of such Lender’s Tranche B Loan Commitment.</w:t>
      </w:r>
    </w:p>
    <w:p>
      <w:pPr>
        <w:pStyle w:val="TextBody"/>
        <w:bidi w:val="0"/>
        <w:spacing w:before="360" w:after="0"/>
        <w:jc w:val="both"/>
        <w:rPr>
          <w:rFonts w:ascii="Times New Roman" w:hAnsi="Times New Roman"/>
          <w:b w:val="false"/>
          <w:sz w:val="24"/>
        </w:rPr>
      </w:pPr>
      <w:r>
        <w:rPr>
          <w:rFonts w:ascii="Times New Roman" w:hAnsi="Times New Roman"/>
          <w:b w:val="false"/>
          <w:sz w:val="24"/>
        </w:rPr>
        <w:t>(ii)</w:t>
      </w:r>
    </w:p>
    <w:p>
      <w:pPr>
        <w:pStyle w:val="TextBody"/>
        <w:bidi w:val="0"/>
        <w:spacing w:before="360" w:after="0"/>
        <w:jc w:val="both"/>
        <w:rPr>
          <w:rFonts w:ascii="Times New Roman;serif" w:hAnsi="Times New Roman;serif"/>
          <w:b w:val="false"/>
          <w:sz w:val="24"/>
        </w:rPr>
      </w:pPr>
      <w:r>
        <w:rPr>
          <w:rFonts w:ascii="Times New Roman;serif" w:hAnsi="Times New Roman;serif"/>
          <w:b w:val="false"/>
          <w:sz w:val="24"/>
        </w:rPr>
        <w:t>Subject to the terms and conditions of this Agreement (including Section 6.03), the Borrower shall deliver to the Administrative Agent a fully executed Borrowing Notice no later than 5 p.m. (New York City time) at least three (3) Business Days in advance of the proposed Tranche B Loan Borrowing Date.</w:t>
      </w:r>
    </w:p>
    <w:p>
      <w:pPr>
        <w:pStyle w:val="TextBody"/>
        <w:bidi w:val="0"/>
        <w:spacing w:before="360" w:after="0"/>
        <w:jc w:val="both"/>
        <w:rPr>
          <w:rFonts w:ascii="Times New Roman" w:hAnsi="Times New Roman"/>
          <w:b w:val="false"/>
          <w:sz w:val="24"/>
        </w:rPr>
      </w:pPr>
      <w:r>
        <w:rPr>
          <w:rFonts w:ascii="Times New Roman" w:hAnsi="Times New Roman"/>
          <w:b w:val="false"/>
          <w:sz w:val="24"/>
        </w:rPr>
        <w:t>(iii)</w:t>
      </w:r>
    </w:p>
    <w:p>
      <w:pPr>
        <w:pStyle w:val="TextBody"/>
        <w:bidi w:val="0"/>
        <w:spacing w:before="360" w:after="0"/>
        <w:jc w:val="both"/>
        <w:rPr>
          <w:rFonts w:ascii="Times New Roman;serif" w:hAnsi="Times New Roman;serif"/>
          <w:b w:val="false"/>
          <w:sz w:val="24"/>
        </w:rPr>
      </w:pPr>
      <w:r>
        <w:rPr>
          <w:rFonts w:ascii="Times New Roman;serif" w:hAnsi="Times New Roman;serif"/>
          <w:b w:val="false"/>
          <w:sz w:val="24"/>
        </w:rPr>
        <w:t>The Borrower may make one borrowing under the Tranche B Loan Commitment which shall be on the Tranche B Loan Borrowing Date. Subject to Section 3.03, all amounts owed hereunder with respect to the Tranche B Loan shall be paid in full no later than the Maturity Date. Each Lender’s Tranche B Loan Commitment shall terminate immediately and without further action on the earlier of (x) the Tranche B Loan Borrowing Date after giving effect to the funding of such Lender’s Tranche B Loan Commitment on such date and (y) the Tranche B Loan Commitment Termination Date.</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i/>
          <w:sz w:val="24"/>
        </w:rPr>
      </w:pPr>
      <w:r>
        <w:rPr>
          <w:rFonts w:ascii="Times New Roman;serif" w:hAnsi="Times New Roman;serif"/>
          <w:b w:val="false"/>
          <w:i/>
          <w:sz w:val="24"/>
        </w:rPr>
        <w:t>Tranche C Loan.</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Subject to the terms and conditions of this Agreement and relying on the representations and warranties set forth herein, each Lender, severally and not jointly, agrees to provide its share of the Tranche C Loan to the Borrower on the Tranche C Loan Borrowing Date in Dollars in a principal amount equal to such Lender’s Tranche C Loan Commitment. No Lender shall have an obligation to make a Tranche C Loan in excess of such Lender’s Tranche C Loan Commitment.</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Subject to the terms and conditions of this Agreement (including Section 6.04), the Borrower shall deliver to the Administrative Agent a fully executed Borrowing Notice no later than 5 p.m. (New York City time) at least three (3) Business Days in advance of the proposed Tranche C Loan Borrowing Date.</w:t>
      </w:r>
    </w:p>
    <w:p>
      <w:pPr>
        <w:pStyle w:val="TextBody"/>
        <w:bidi w:val="0"/>
        <w:spacing w:before="0" w:after="0"/>
        <w:jc w:val="center"/>
        <w:rPr/>
      </w:pPr>
      <w:r>
        <w:rPr/>
        <w:noBreakHyphen/>
      </w:r>
      <w:r>
        <w:rPr>
          <w:rFonts w:ascii="Times New Roman;serif" w:hAnsi="Times New Roman;serif"/>
          <w:b w:val="false"/>
          <w:sz w:val="24"/>
        </w:rPr>
        <w:t>35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Borrower may make one borrowing under the Tranche C Loan Commitment which shall be on the Tranche C Loan Borrowing Date. Subject to Section 3.03, all amounts owed hereunder with respect to the Tranche C Loan shall be paid in full no later than the Maturity Date. Each Lender’s Tranche C Loan Commitment shall terminate immediately and without further action on the earlier of (x) the Tranche C Loan Borrowing Date after giving effect to the funding of such Lender’s Tranche C Loan Commitment on such date and (y) the Tranche C Loan Commitment Termination Date.</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Any principal amount of the Term Loans borrowed under Section 2.01(a), (b) or (c) hereof and subsequently repaid or prepaid may not be reborrowed.</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2.02. Proportionate Shares</w:t>
      </w:r>
      <w:r>
        <w:rPr>
          <w:rFonts w:ascii="Times New Roman;serif" w:hAnsi="Times New Roman;serif"/>
          <w:b w:val="false"/>
          <w:sz w:val="24"/>
        </w:rPr>
        <w:t>. All Term Loans shall be made, and all participations purchased, by the Lenders 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2.03. Fees</w:t>
      </w:r>
      <w:r>
        <w:rPr>
          <w:rFonts w:ascii="Times New Roman;serif" w:hAnsi="Times New Roman;serif"/>
          <w:b w:val="false"/>
          <w:sz w:val="24"/>
        </w:rPr>
        <w:t>. The Borrower shall pay to the Administrative Agent, in accordance with the provisions of the Fee Letter, and for distribution to each Lender in accordance with its Pro Rata Share of the Term Loans, the Funding Fee. Such payments shall be in addition to such fees, costs and expenses due and payable pursuant to Section 13.03.</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2.04. Notes</w:t>
      </w:r>
      <w:r>
        <w:rPr>
          <w:rFonts w:ascii="Times New Roman;serif" w:hAnsi="Times New Roman;serif"/>
          <w:b w:val="false"/>
          <w:sz w:val="24"/>
        </w:rPr>
        <w:t>. Upon the request of any Lender, the Borrower shall prepare, execute and deliver to such Lender one or more Notes evidencing the portion of the Term Loans payable to such Lender (or if requested by it, to it and its registered assigns).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2.05. Use of Proceeds</w:t>
      </w:r>
      <w:r>
        <w:rPr>
          <w:rFonts w:ascii="Times New Roman;serif" w:hAnsi="Times New Roman;serif"/>
          <w:b w:val="false"/>
          <w:sz w:val="24"/>
        </w:rPr>
        <w:t>. The Borrower shall use the proceeds of the Term Loans:</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for general working capital purposes and corporate purposes permitted hereunder,</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sz w:val="24"/>
        </w:rPr>
        <w:t>to refinance the Existing Credit Agreements (the “</w:t>
      </w:r>
      <w:r>
        <w:rPr>
          <w:rFonts w:ascii="Times New Roman;serif" w:hAnsi="Times New Roman;serif"/>
          <w:b w:val="false"/>
          <w:i/>
          <w:sz w:val="24"/>
        </w:rPr>
        <w:t>Refinancing</w:t>
      </w:r>
      <w:r>
        <w:rPr/>
        <w:t>”</w:t>
      </w:r>
      <w:r>
        <w:rPr>
          <w:rFonts w:ascii="Times New Roman;serif" w:hAnsi="Times New Roman;serif"/>
          <w:b w:val="false"/>
          <w:sz w:val="24"/>
        </w:rPr>
        <w:t xml:space="preserve">), and </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to pay, in accordance with the funds flow attached to the Borrowing Notice, reasonable and documented out-of-pocket fees, costs and expenses incurred in connection with the Transactions.</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3 </w:t>
        <w:br/>
        <w:br/>
        <w:t>Payments of Principal and Interest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3.01. Repayment</w:t>
      </w:r>
      <w:r>
        <w:rPr>
          <w:rFonts w:ascii="Times New Roman;serif" w:hAnsi="Times New Roman;serif"/>
          <w:b w:val="false"/>
          <w:sz w:val="24"/>
        </w:rPr>
        <w:t>. There will be no scheduled repayments of principal on the Term Loans prior to the Maturity Date. The entire outstanding principal amount of the Term Loans,</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36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together with all accrued and unpaid interest thereon, will be due and payable on the Maturity Date.</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3.02. Interest</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 xml:space="preserve">Interest Generally. </w:t>
      </w:r>
      <w:r>
        <w:rPr>
          <w:rFonts w:ascii="Times New Roman;serif" w:hAnsi="Times New Roman;serif"/>
          <w:b w:val="false"/>
          <w:sz w:val="24"/>
        </w:rPr>
        <w:t>The Borrower agrees to pay to the Lenders interest in cash on the outstanding principal amount of the Term Loans for each Interest Period at a rate per annum equal to the sum of (i) Term SOFR plus (ii) the Applicable Margin.</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 xml:space="preserve">Term SOFR Conforming Changes. </w:t>
      </w:r>
      <w:r>
        <w:rPr>
          <w:rFonts w:ascii="Times New Roman;serif" w:hAnsi="Times New Roman;serif"/>
          <w:b w:val="false"/>
          <w:sz w:val="24"/>
        </w:rPr>
        <w:t>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i/>
          <w:sz w:val="24"/>
        </w:rPr>
      </w:pPr>
      <w:r>
        <w:rPr>
          <w:rFonts w:ascii="Times New Roman;serif" w:hAnsi="Times New Roman;serif"/>
          <w:b w:val="false"/>
          <w:i/>
          <w:sz w:val="24"/>
        </w:rPr>
        <w:t>Effect of Benchmark Transition Event.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pPr>
      <w:r>
        <w:rPr>
          <w:rFonts w:ascii="Times New Roman;serif" w:hAnsi="Times New Roman;serif"/>
          <w:b w:val="false"/>
          <w:i/>
          <w:sz w:val="24"/>
        </w:rPr>
        <w:t>Benchmark Replacement</w:t>
      </w:r>
      <w:r>
        <w:rPr>
          <w:rFonts w:ascii="Times New Roman;serif" w:hAnsi="Times New Roman;serif"/>
          <w:b w:val="false"/>
          <w:sz w:val="24"/>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any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283"/>
        <w:jc w:val="both"/>
        <w:rPr/>
      </w:pPr>
      <w:r>
        <w:rPr>
          <w:rFonts w:ascii="Times New Roman;serif" w:hAnsi="Times New Roman;serif"/>
          <w:b w:val="false"/>
          <w:i/>
          <w:sz w:val="24"/>
        </w:rPr>
        <w:t>Conforming Changes</w:t>
      </w:r>
      <w:r>
        <w:rPr>
          <w:rFonts w:ascii="Times New Roman;serif" w:hAnsi="Times New Roman;serif"/>
          <w:b w:val="false"/>
          <w:sz w:val="24"/>
        </w:rPr>
        <w:t xml:space="preserve">. In connection with the implementation of a Benchmark Replacement, the Administrative Agent will have the right to make Conforming Changes from time to time and, notwithstanding anything to the contrary herein or in any other Loan Document, any amendments implementing </w:t>
      </w:r>
    </w:p>
    <w:p>
      <w:pPr>
        <w:pStyle w:val="TextBody"/>
        <w:bidi w:val="0"/>
        <w:spacing w:before="0" w:after="0"/>
        <w:jc w:val="center"/>
        <w:rPr/>
      </w:pPr>
      <w:r>
        <w:rPr/>
        <w:noBreakHyphen/>
      </w:r>
      <w:r>
        <w:rPr>
          <w:rFonts w:ascii="Times New Roman;serif" w:hAnsi="Times New Roman;serif"/>
          <w:b w:val="false"/>
          <w:sz w:val="24"/>
        </w:rPr>
        <w:t>37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such Conforming Changes will become effective without any further action or consent of any other party to the Loan Documents.</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pPr>
      <w:r>
        <w:rPr>
          <w:rFonts w:ascii="Times New Roman;serif" w:hAnsi="Times New Roman;serif"/>
          <w:b w:val="false"/>
          <w:i/>
          <w:sz w:val="24"/>
        </w:rPr>
        <w:t>Notices; Standards for Decisions and Determinations</w:t>
      </w:r>
      <w:r>
        <w:rPr>
          <w:rFonts w:ascii="Times New Roman;serif" w:hAnsi="Times New Roman;serif"/>
          <w:b w:val="false"/>
          <w:sz w:val="24"/>
        </w:rPr>
        <w:t>. The Administrative Agent will promptly notify the Borrower and the Lenders of (x) the implementation of any Benchmark Replacement and (y) 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reasonable discretion and without consent from any other party hereto, except, in each case, as expressly required pursuant to this Section 3.02(c).</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pPr>
      <w:r>
        <w:rPr>
          <w:rFonts w:ascii="Times New Roman;serif" w:hAnsi="Times New Roman;serif"/>
          <w:b w:val="false"/>
          <w:i/>
          <w:sz w:val="24"/>
        </w:rPr>
        <w:t>Unavailability of Tenor of Benchmark</w:t>
      </w:r>
      <w:r>
        <w:rPr>
          <w:rFonts w:ascii="Times New Roman;serif" w:hAnsi="Times New Roman;serif"/>
          <w:b w:val="false"/>
          <w:sz w:val="24"/>
        </w:rPr>
        <w:t>. Notwithstanding anything to the contrary herein or in any other Loan Document, at any time (including in connection with the implementation of a Benchmark Replacement), (x)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or non-representative, non-compliant or non-aligned tenor and (y) if a tenor that was removed pursuant to clause (x) above either (A) is subsequently displayed on a screen or information service for a Benchmark (including a Benchmark Replacement) or (B) is not, or is no longer, subject to an announcement that it is not or will not be representative or incompliance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283"/>
        <w:jc w:val="both"/>
        <w:rPr/>
      </w:pPr>
      <w:r>
        <w:rPr>
          <w:rFonts w:ascii="Times New Roman;serif" w:hAnsi="Times New Roman;serif"/>
          <w:b w:val="false"/>
          <w:i/>
          <w:sz w:val="24"/>
        </w:rPr>
        <w:t>Default Interest.</w:t>
      </w:r>
      <w:r>
        <w:rPr/>
        <w:t xml:space="preserve"> </w:t>
      </w:r>
      <w:r>
        <w:rPr>
          <w:rFonts w:ascii="Times New Roman;serif" w:hAnsi="Times New Roman;serif"/>
          <w:b w:val="false"/>
          <w:sz w:val="24"/>
        </w:rPr>
        <w:t xml:space="preserve">Notwithstanding the foregoing, upon written notice from the Administrative Agent following the occurrence and during the continuance of any Event of Default, the Applicable Margin shall increase automatically by 4.00% per annum (the interest rate, as increased pursuant to this Section 3.02(d), being the </w:t>
      </w:r>
      <w:r>
        <w:rPr/>
        <w:t>“</w:t>
      </w:r>
      <w:r>
        <w:rPr>
          <w:rFonts w:ascii="Times New Roman;serif" w:hAnsi="Times New Roman;serif"/>
          <w:b w:val="false"/>
          <w:i/>
          <w:sz w:val="24"/>
        </w:rPr>
        <w:t>Default Rate”</w:t>
      </w:r>
      <w:r>
        <w:rPr>
          <w:rFonts w:ascii="Times New Roman;serif" w:hAnsi="Times New Roman;serif"/>
          <w:b w:val="false"/>
          <w:sz w:val="24"/>
        </w:rPr>
        <w:t xml:space="preserve">). Notwithstanding any other provision herein, if interest is required to be paid at the Default </w:t>
      </w:r>
    </w:p>
    <w:p>
      <w:pPr>
        <w:pStyle w:val="TextBody"/>
        <w:bidi w:val="0"/>
        <w:spacing w:before="0" w:after="0"/>
        <w:jc w:val="center"/>
        <w:rPr/>
      </w:pPr>
      <w:r>
        <w:rPr/>
        <w:noBreakHyphen/>
      </w:r>
      <w:r>
        <w:rPr>
          <w:rFonts w:ascii="Times New Roman;serif" w:hAnsi="Times New Roman;serif"/>
          <w:b w:val="false"/>
          <w:sz w:val="24"/>
        </w:rPr>
        <w:t>38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Rate, it shall also be paid entirely in cash.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pPr>
      <w:r>
        <w:rPr>
          <w:rFonts w:ascii="Times New Roman;serif" w:hAnsi="Times New Roman;serif"/>
          <w:b w:val="false"/>
          <w:i/>
          <w:sz w:val="24"/>
        </w:rPr>
        <w:t>Payment Dates.</w:t>
      </w:r>
      <w:r>
        <w:rPr/>
        <w:t xml:space="preserve"> </w:t>
      </w:r>
      <w:r>
        <w:rPr>
          <w:rFonts w:ascii="Times New Roman;serif" w:hAnsi="Times New Roman;serif"/>
          <w:b w:val="false"/>
          <w:sz w:val="24"/>
        </w:rPr>
        <w:t xml:space="preserve">Accrued interest on the Term Loans shall be payable in arrears on each Payment Date with respect to the most recently completed Interest Period in cash, and upon the payment or prepayment of the Term Loans (on the principal amount being so paid or prepaid); </w:t>
      </w:r>
      <w:r>
        <w:rPr>
          <w:rFonts w:ascii="Times New Roman;serif" w:hAnsi="Times New Roman;serif"/>
          <w:b w:val="false"/>
          <w:i/>
          <w:sz w:val="24"/>
        </w:rPr>
        <w:t>provided</w:t>
      </w:r>
      <w:r>
        <w:rPr/>
        <w:t xml:space="preserve"> </w:t>
      </w:r>
      <w:r>
        <w:rPr>
          <w:rFonts w:ascii="Times New Roman;serif" w:hAnsi="Times New Roman;serif"/>
          <w:b w:val="false"/>
          <w:sz w:val="24"/>
        </w:rPr>
        <w:t>that interest payable at the Default Rate shall be payable from time to time on demand by the Majority Lenders.</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283"/>
        <w:jc w:val="both"/>
        <w:rPr/>
      </w:pPr>
      <w:r>
        <w:rPr>
          <w:rFonts w:ascii="Times New Roman;serif" w:hAnsi="Times New Roman;serif"/>
          <w:b w:val="false"/>
          <w:i/>
          <w:sz w:val="24"/>
        </w:rPr>
        <w:t>Maximum Rate.</w:t>
      </w:r>
      <w:r>
        <w:rPr/>
        <w:t xml:space="preserve"> </w:t>
      </w:r>
      <w:r>
        <w:rPr>
          <w:rFonts w:ascii="Times New Roman;serif" w:hAnsi="Times New Roman;serif"/>
          <w:b w:val="false"/>
          <w:sz w:val="24"/>
        </w:rPr>
        <w:t>Notwithstanding any other provision of this Agreement, in no event will any interest or 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3.03. Prepayments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i/>
          <w:sz w:val="24"/>
        </w:rPr>
      </w:pPr>
      <w:r>
        <w:rPr>
          <w:rFonts w:ascii="Times New Roman;serif" w:hAnsi="Times New Roman;serif"/>
          <w:b w:val="false"/>
          <w:i/>
          <w:sz w:val="24"/>
        </w:rPr>
        <w:t xml:space="preserve">Optional Prepayments.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pPr>
      <w:r>
        <w:rPr>
          <w:rFonts w:ascii="Times New Roman;serif" w:hAnsi="Times New Roman;serif"/>
          <w:b w:val="false"/>
          <w:sz w:val="24"/>
        </w:rPr>
        <w:t xml:space="preserve">The Borrower shall have the right to optionally prepay in whole or in part (in a minimum amount of $500,000 and integral multiples of $100,000 in excess of that amount for each partial prepayment, or, if less, the entire outstanding principal amount of the Term Loans) the outstanding principal amount of the Term Loans on any Business Day (a </w:t>
      </w:r>
      <w:r>
        <w:rPr/>
        <w:t>“</w:t>
      </w:r>
      <w:r>
        <w:rPr>
          <w:rFonts w:ascii="Times New Roman;serif" w:hAnsi="Times New Roman;serif"/>
          <w:b w:val="false"/>
          <w:i/>
          <w:sz w:val="24"/>
        </w:rPr>
        <w:t>Redemption Date”</w:t>
      </w:r>
      <w:r>
        <w:rPr>
          <w:rFonts w:ascii="Times New Roman;serif" w:hAnsi="Times New Roman;serif"/>
          <w:b w:val="false"/>
          <w:sz w:val="24"/>
        </w:rPr>
        <w:t xml:space="preserve">) for an amount equal to the sum of (x) the aggregate principal amount of the Term Loans being prepaid, (y) the prepayment premium set forth in clause (ii) below (the </w:t>
      </w:r>
      <w:r>
        <w:rPr/>
        <w:t>“</w:t>
      </w:r>
      <w:r>
        <w:rPr>
          <w:rFonts w:ascii="Times New Roman;serif" w:hAnsi="Times New Roman;serif"/>
          <w:b w:val="false"/>
          <w:i/>
          <w:sz w:val="24"/>
        </w:rPr>
        <w:t>Prepayment Premium”</w:t>
      </w:r>
      <w:r>
        <w:rPr>
          <w:rFonts w:ascii="Times New Roman;serif" w:hAnsi="Times New Roman;serif"/>
          <w:b w:val="false"/>
          <w:sz w:val="24"/>
        </w:rPr>
        <w:t xml:space="preserve">) and (z) any accrued but unpaid interest in respect of the aggregate principal amount of the Term Loans being prepaid (such aggregate amount, the </w:t>
      </w:r>
      <w:r>
        <w:rPr/>
        <w:t>“</w:t>
      </w:r>
      <w:r>
        <w:rPr>
          <w:rFonts w:ascii="Times New Roman;serif" w:hAnsi="Times New Roman;serif"/>
          <w:b w:val="false"/>
          <w:i/>
          <w:sz w:val="24"/>
        </w:rPr>
        <w:t>Redemption Price”</w:t>
      </w:r>
      <w:r>
        <w:rPr>
          <w:rFonts w:ascii="Times New Roman;serif" w:hAnsi="Times New Roman;serif"/>
          <w:b w:val="false"/>
          <w:sz w:val="24"/>
        </w:rPr>
        <w:t>). The applicable Prepayment Premium shall be an amount calculated pursuant to Section 3.03(a)(ii).</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If the Redemption Date occurs:</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on or prior to the first anniversary of the Funding Date, the Prepayment Premium shall be an amount equal to ten percent (10%) of the aggregate outstanding principal amount of the Term Loans being prepaid on such Redemption Date;</w:t>
      </w:r>
    </w:p>
    <w:p>
      <w:pPr>
        <w:pStyle w:val="TextBody"/>
        <w:bidi w:val="0"/>
        <w:spacing w:before="0" w:after="0"/>
        <w:jc w:val="center"/>
        <w:rPr/>
      </w:pPr>
      <w:r>
        <w:rPr/>
        <w:noBreakHyphen/>
      </w:r>
      <w:r>
        <w:rPr>
          <w:rFonts w:ascii="Times New Roman;serif" w:hAnsi="Times New Roman;serif"/>
          <w:b w:val="false"/>
          <w:sz w:val="24"/>
        </w:rPr>
        <w:t>39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after the first anniversary of the Funding Date and on or prior to the second anniversary of the Funding Date, the Prepayment Premium shall be an amount equal to nine percent (9%) of the aggregate outstanding principal amount of the Term Loans being prepaid on such Redemption Date;</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after the second anniversary of the Funding Date and on or prior to the third anniversary of the Funding Date, the Prepayment Premium shall be an amount equal to eight percent (8%) of the aggregate outstanding principal amount of the Term Loans being prepaid on such Redemption Date;</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after the third anniversary of the Funding Date and on or prior to the fourth anniversary of the Funding Date, the Prepayment Premium shall be an amount equal to five percent (5%) of the aggregate outstanding principal amount of the Term Loans being prepaid on such Redemption Date; and</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after the fourth anniversary of the Funding Date and on or prior to the date that is six (6) months prior to the Stated Maturity Date, the Prepayment Premium shall be an amount equal to two percent (2%) of the aggregate outstanding principal amount of the Term Loans being prepaid on such Redemption Date.</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Mandatory Prepayments.</w:t>
      </w:r>
      <w:r>
        <w:rPr/>
        <w:t xml:space="preserve"> </w:t>
      </w:r>
      <w:r>
        <w:rPr>
          <w:rFonts w:ascii="Times New Roman;serif" w:hAnsi="Times New Roman;serif"/>
          <w:b w:val="false"/>
          <w:sz w:val="24"/>
        </w:rPr>
        <w:t>The Borrower shall on or prior to the third (3rd) Business Day following the occurrence of any applicable event under clauses (i) through (iii) below, prepay the Term Loans in amounts as provided below, plus 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pPr>
      <w:r>
        <w:rPr>
          <w:rFonts w:ascii="Times New Roman;serif" w:hAnsi="Times New Roman;serif"/>
          <w:b w:val="false"/>
          <w:sz w:val="24"/>
        </w:rPr>
        <w:t xml:space="preserve">In the event of any Casualty Event, an amount equal to 100% of the Net Cash Proceeds received by any Obligor with respect thereto;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however</w:t>
      </w:r>
      <w:r>
        <w:rPr>
          <w:rFonts w:ascii="Times New Roman;serif" w:hAnsi="Times New Roman;serif"/>
          <w:b w:val="false"/>
          <w:sz w:val="24"/>
        </w:rPr>
        <w:t xml:space="preserve">, so long as no Default has occurred and is continuing within one hundred eighty (180) days after receipt of such Net Cash Proceeds, the Obligors may apply the Net Cash Proceeds of any casualty policy not exceeding $2,500,000 in the aggregate for all losses under all Casualty Events during the term of this Agreement toward the replacement or repair of destroyed or damaged property; </w:t>
      </w:r>
      <w:r>
        <w:rPr>
          <w:rFonts w:ascii="Times New Roman;serif" w:hAnsi="Times New Roman;serif"/>
          <w:b w:val="false"/>
          <w:i/>
          <w:sz w:val="24"/>
        </w:rPr>
        <w:t>provided, further</w:t>
      </w:r>
      <w:r>
        <w:rPr>
          <w:rFonts w:ascii="Times New Roman;serif" w:hAnsi="Times New Roman;serif"/>
          <w:b w:val="false"/>
          <w:sz w:val="24"/>
        </w:rPr>
        <w:t>, that any such replaced or repaired property shall be Collateral in which the Administrative Agent for the benefit of the Lenders has been granted a security interest under the Security Documents.</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In the event any Obligor incurs Indebtedness other than Indebtedness that is permitted by Section 9.01 hereof, 100% of the Net Cash Proceeds thereof received by such Obligor. For the avoidance of doubt, any prepayment made </w:t>
      </w:r>
    </w:p>
    <w:p>
      <w:pPr>
        <w:pStyle w:val="TextBody"/>
        <w:bidi w:val="0"/>
        <w:spacing w:before="0" w:after="0"/>
        <w:jc w:val="center"/>
        <w:rPr/>
      </w:pPr>
      <w:r>
        <w:rPr/>
        <w:noBreakHyphen/>
      </w:r>
      <w:r>
        <w:rPr>
          <w:rFonts w:ascii="Times New Roman;serif" w:hAnsi="Times New Roman;serif"/>
          <w:b w:val="false"/>
          <w:sz w:val="24"/>
        </w:rPr>
        <w:t>40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pPr>
      <w:r>
        <w:rPr>
          <w:rFonts w:ascii="Times New Roman;serif" w:hAnsi="Times New Roman;serif"/>
          <w:b w:val="false"/>
          <w:sz w:val="24"/>
        </w:rPr>
        <w:t xml:space="preserve">In the event any Obligor consummates an Asset Sale other than an Asset Sale that is permitted by Section 9.09 hereof (other than Section 9.09(i)), 100% of the Net Cash Proceeds received by such Obligor in connection with such Asset Sale; </w:t>
      </w:r>
      <w:r>
        <w:rPr>
          <w:rFonts w:ascii="Times New Roman;serif" w:hAnsi="Times New Roman;serif"/>
          <w:b w:val="false"/>
          <w:i/>
          <w:sz w:val="24"/>
        </w:rPr>
        <w:t>provided, however,</w:t>
      </w:r>
      <w:r>
        <w:rPr/>
        <w:t xml:space="preserve"> </w:t>
      </w:r>
      <w:r>
        <w:rPr>
          <w:rFonts w:ascii="Times New Roman;serif" w:hAnsi="Times New Roman;serif"/>
          <w:b w:val="false"/>
          <w:sz w:val="24"/>
        </w:rPr>
        <w:t xml:space="preserve">so long as no Default has occurred and is continuing, within one hundred eighty (180) days after receipt of such Net Cash Proceeds, the Obligors may use such Net Cash Proceeds not exceeding $2,500,000 in the aggregate for all Asset Sales during the term of this Agreement, to purchase, replace, repair or restore properties or assets used in the Obligors’ businesses; </w:t>
      </w:r>
      <w:r>
        <w:rPr>
          <w:rFonts w:ascii="Times New Roman;serif" w:hAnsi="Times New Roman;serif"/>
          <w:b w:val="false"/>
          <w:i/>
          <w:sz w:val="24"/>
        </w:rPr>
        <w:t>provided, further,</w:t>
      </w:r>
      <w:r>
        <w:rPr/>
        <w:t xml:space="preserve"> </w:t>
      </w:r>
      <w:r>
        <w:rPr>
          <w:rFonts w:ascii="Times New Roman;serif" w:hAnsi="Times New Roman;serif"/>
          <w:b w:val="false"/>
          <w:sz w:val="24"/>
        </w:rPr>
        <w:t>that any such purchased, replaced, repaired or restored property shall be Collateral in which the Administrative Agent for the benefit of the Lenders has been granted a security interest under the Security Documents. For the avoidance of doubt, any prepayment made pursuant to this Section 3.03(b)(iii) shall not be deemed to be a consent to any Asset Sale or a cure or waiver of any Event of Default which occurs in connection therewith, it being understood that any such Event of Default may only be waived with the express consent of the Majority Lenders.</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pPr>
      <w:r>
        <w:rPr>
          <w:rFonts w:ascii="Times New Roman;serif" w:hAnsi="Times New Roman;serif"/>
          <w:b w:val="false"/>
          <w:i/>
          <w:sz w:val="24"/>
        </w:rPr>
        <w:t>Prepayment Premium.</w:t>
      </w:r>
      <w:r>
        <w:rPr/>
        <w:t xml:space="preserve"> </w:t>
      </w:r>
      <w:r>
        <w:rPr>
          <w:rFonts w:ascii="Times New Roman;serif" w:hAnsi="Times New Roman;serif"/>
          <w:b w:val="false"/>
          <w:sz w:val="24"/>
        </w:rPr>
        <w:t xml:space="preserve">Payment of any Prepayment Premium under this Section 3.03 constitutes liquidated 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 THE PROVISIONS OF ANY PRESENT OR FUTURE STATUTE OR OTHER LAW THAT PROHIBITS OR MAY PROHIBIT THE COLLECTION OF THE FOREGOING </w:t>
      </w:r>
      <w:r>
        <w:rPr>
          <w:rFonts w:ascii="Times New Roman;serif" w:hAnsi="Times New Roman;serif"/>
          <w:b w:val="false"/>
          <w:caps/>
          <w:sz w:val="24"/>
        </w:rPr>
        <w:t>Prepayment Premium</w:t>
      </w:r>
      <w:r>
        <w:rPr/>
        <w:t xml:space="preserve"> </w:t>
      </w:r>
      <w:r>
        <w:rPr>
          <w:rFonts w:ascii="Times New Roman;serif" w:hAnsi="Times New Roman;serif"/>
          <w:b w:val="false"/>
          <w:sz w:val="24"/>
        </w:rPr>
        <w:t xml:space="preserve">IN CONNECTION WITH ANY SUCH EVENTS. The Borrower and the other Obligors expressly agree (to the fullest extent it and they may lawfully do so) that with respect to any Prepayment Premium payable under the terms of this Agreement: (i) 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w:t>
      </w:r>
    </w:p>
    <w:p>
      <w:pPr>
        <w:pStyle w:val="TextBody"/>
        <w:bidi w:val="0"/>
        <w:spacing w:before="0" w:after="0"/>
        <w:jc w:val="center"/>
        <w:rPr/>
      </w:pPr>
      <w:r>
        <w:rPr/>
        <w:noBreakHyphen/>
      </w:r>
      <w:r>
        <w:rPr>
          <w:rFonts w:ascii="Times New Roman;serif" w:hAnsi="Times New Roman;serif"/>
          <w:b w:val="false"/>
          <w:sz w:val="24"/>
        </w:rPr>
        <w:t>41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4 </w:t>
        <w:br/>
        <w:br/>
        <w:t>Payments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4.01. Payments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Payments Generally.</w:t>
      </w:r>
      <w:r>
        <w:rPr/>
        <w:t xml:space="preserve"> </w:t>
      </w:r>
      <w:r>
        <w:rPr>
          <w:rFonts w:ascii="Times New Roman;serif" w:hAnsi="Times New Roman;serif"/>
          <w:b w:val="false"/>
          <w:sz w:val="24"/>
        </w:rPr>
        <w:t>Each payment of principal, interest and other amounts to be made by the Obligors under this Agreement or any other Loan Document shall be made in Dollars, in immediately available funds, without deduction, set off or counterclaim, to the deposit account of the Administrative Agent specified to the Borrower from time to time, not later than 4:00 p.m. (New York City time) on the date on which such payment shall become due (each such payment made after such time on such due date to be deemed to have been made on the next succeeding Business Day).</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Application of Payments.</w:t>
      </w:r>
      <w:r>
        <w:rPr/>
        <w:t xml:space="preserve"> </w:t>
      </w:r>
      <w:r>
        <w:rPr>
          <w:rFonts w:ascii="Times New Roman;serif" w:hAnsi="Times New Roman;serif"/>
          <w:b w:val="false"/>
          <w:sz w:val="24"/>
        </w:rPr>
        <w:t>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pPr>
      <w:r>
        <w:rPr>
          <w:rFonts w:ascii="Times New Roman;serif" w:hAnsi="Times New Roman;serif"/>
          <w:b w:val="false"/>
          <w:i/>
          <w:sz w:val="24"/>
        </w:rPr>
        <w:t>first</w:t>
      </w:r>
      <w:r>
        <w:rPr>
          <w:rFonts w:ascii="Times New Roman;serif" w:hAnsi="Times New Roman;serif"/>
          <w:b w:val="false"/>
          <w:sz w:val="24"/>
        </w:rPr>
        <w:t>, to the payment of any unpaid costs and expenses referred to in Section 13.03(a) then due and owing;</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pPr>
      <w:r>
        <w:rPr>
          <w:rFonts w:ascii="Times New Roman;serif" w:hAnsi="Times New Roman;serif"/>
          <w:b w:val="false"/>
          <w:i/>
          <w:sz w:val="24"/>
        </w:rPr>
        <w:t>second</w:t>
      </w:r>
      <w:r>
        <w:rPr>
          <w:rFonts w:ascii="Times New Roman;serif" w:hAnsi="Times New Roman;serif"/>
          <w:b w:val="false"/>
          <w:sz w:val="24"/>
        </w:rPr>
        <w:t>, in reduction of the Borrower’s obligation to pay any unpaid interest and any fees then due and owing including, without limitation, (x) interest payable pursuant to Section 3.02(d) and (y) any Prepayment Premium, if applicable;</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pPr>
      <w:r>
        <w:rPr>
          <w:rFonts w:ascii="Times New Roman;serif" w:hAnsi="Times New Roman;serif"/>
          <w:b w:val="false"/>
          <w:i/>
          <w:sz w:val="24"/>
        </w:rPr>
        <w:t>third</w:t>
      </w:r>
      <w:r>
        <w:rPr>
          <w:rFonts w:ascii="Times New Roman;serif" w:hAnsi="Times New Roman;serif"/>
          <w:b w:val="false"/>
          <w:sz w:val="24"/>
        </w:rPr>
        <w:t>, in reduction of the Borrower’s obligation to pay any Claims or Losses referred to in Section 13.03(b) then due and owing;</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pPr>
      <w:r>
        <w:rPr>
          <w:rFonts w:ascii="Times New Roman;serif" w:hAnsi="Times New Roman;serif"/>
          <w:b w:val="false"/>
          <w:i/>
          <w:sz w:val="24"/>
        </w:rPr>
        <w:t>fourth</w:t>
      </w:r>
      <w:r>
        <w:rPr>
          <w:rFonts w:ascii="Times New Roman;serif" w:hAnsi="Times New Roman;serif"/>
          <w:b w:val="false"/>
          <w:sz w:val="24"/>
        </w:rPr>
        <w:t>, to the payment of unpaid principal of the Term Loans on a pro rata basis;</w:t>
      </w:r>
    </w:p>
    <w:p>
      <w:pPr>
        <w:pStyle w:val="TextBody"/>
        <w:bidi w:val="0"/>
        <w:spacing w:before="280" w:after="0"/>
        <w:jc w:val="both"/>
        <w:rPr>
          <w:rFonts w:ascii="Times New Roman" w:hAnsi="Times New Roman"/>
          <w:b w:val="false"/>
          <w:sz w:val="24"/>
        </w:rPr>
      </w:pPr>
      <w:r>
        <w:rPr>
          <w:rFonts w:ascii="Times New Roman" w:hAnsi="Times New Roman"/>
          <w:b w:val="false"/>
          <w:sz w:val="24"/>
        </w:rPr>
        <w:t>(v)</w:t>
      </w:r>
    </w:p>
    <w:p>
      <w:pPr>
        <w:pStyle w:val="TextBody"/>
        <w:bidi w:val="0"/>
        <w:spacing w:before="280" w:after="0"/>
        <w:jc w:val="both"/>
        <w:rPr/>
      </w:pPr>
      <w:r>
        <w:rPr>
          <w:rFonts w:ascii="Times New Roman;serif" w:hAnsi="Times New Roman;serif"/>
          <w:b w:val="false"/>
          <w:i/>
          <w:sz w:val="24"/>
        </w:rPr>
        <w:t>fifth</w:t>
      </w:r>
      <w:r>
        <w:rPr>
          <w:rFonts w:ascii="Times New Roman;serif" w:hAnsi="Times New Roman;serif"/>
          <w:b w:val="false"/>
          <w:sz w:val="24"/>
        </w:rPr>
        <w:t>, in reduction of any other Obligation then due and owing; and</w:t>
      </w:r>
    </w:p>
    <w:p>
      <w:pPr>
        <w:pStyle w:val="TextBody"/>
        <w:bidi w:val="0"/>
        <w:spacing w:before="280" w:after="0"/>
        <w:jc w:val="both"/>
        <w:rPr>
          <w:rFonts w:ascii="Times New Roman" w:hAnsi="Times New Roman"/>
          <w:b w:val="false"/>
          <w:sz w:val="24"/>
        </w:rPr>
      </w:pPr>
      <w:r>
        <w:rPr>
          <w:rFonts w:ascii="Times New Roman" w:hAnsi="Times New Roman"/>
          <w:b w:val="false"/>
          <w:sz w:val="24"/>
        </w:rPr>
        <w:t>(vi)</w:t>
      </w:r>
    </w:p>
    <w:p>
      <w:pPr>
        <w:pStyle w:val="TextBody"/>
        <w:bidi w:val="0"/>
        <w:spacing w:before="280" w:after="283"/>
        <w:jc w:val="both"/>
        <w:rPr/>
      </w:pPr>
      <w:r>
        <w:rPr>
          <w:rFonts w:ascii="Times New Roman;serif" w:hAnsi="Times New Roman;serif"/>
          <w:b w:val="false"/>
          <w:i/>
          <w:sz w:val="24"/>
        </w:rPr>
        <w:t>sixth</w:t>
      </w:r>
      <w:r>
        <w:rPr>
          <w:rFonts w:ascii="Times New Roman;serif" w:hAnsi="Times New Roman;serif"/>
          <w:b w:val="false"/>
          <w:sz w:val="24"/>
        </w:rPr>
        <w:t>, to the Borrower or such other Persons as may lawfully be entitled to or directed by the Borrower to receive the remainder.</w:t>
      </w:r>
    </w:p>
    <w:p>
      <w:pPr>
        <w:pStyle w:val="TextBody"/>
        <w:bidi w:val="0"/>
        <w:spacing w:before="0" w:after="0"/>
        <w:jc w:val="center"/>
        <w:rPr/>
      </w:pPr>
      <w:r>
        <w:rPr/>
        <w:noBreakHyphen/>
      </w:r>
      <w:r>
        <w:rPr>
          <w:rFonts w:ascii="Times New Roman;serif" w:hAnsi="Times New Roman;serif"/>
          <w:b w:val="false"/>
          <w:sz w:val="24"/>
        </w:rPr>
        <w:t>42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pPr>
      <w:r>
        <w:rPr>
          <w:rFonts w:ascii="Times New Roman;serif" w:hAnsi="Times New Roman;serif"/>
          <w:b w:val="false"/>
          <w:i/>
          <w:sz w:val="24"/>
        </w:rPr>
        <w:t>Non</w:t>
        <w:noBreakHyphen/>
        <w:t>Business Days.</w:t>
      </w:r>
      <w:r>
        <w:rPr/>
        <w:t xml:space="preserve"> </w:t>
      </w:r>
      <w:r>
        <w:rPr>
          <w:rFonts w:ascii="Times New Roman;serif" w:hAnsi="Times New Roman;serif"/>
          <w:b w:val="false"/>
          <w:sz w:val="24"/>
        </w:rPr>
        <w:t>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be payable for the period of such extension.</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4.02. Computations.</w:t>
      </w:r>
      <w:r>
        <w:rPr>
          <w:rFonts w:ascii="Times New Roman" w:hAnsi="Times New Roman"/>
          <w:sz w:val="20"/>
        </w:rPr>
        <w:t xml:space="preserve"> </w:t>
      </w:r>
      <w:r>
        <w:rPr>
          <w:rFonts w:ascii="Times New Roman;serif" w:hAnsi="Times New Roman;serif"/>
          <w:b w:val="false"/>
          <w:sz w:val="24"/>
        </w:rPr>
        <w:t>All computations of interest and fees hereunder shall be computed on the basis of a year of 360 days and actual days elapsed during the period for which payable.</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4.03. Notices.</w:t>
      </w:r>
      <w:r>
        <w:rPr>
          <w:rFonts w:ascii="Times New Roman" w:hAnsi="Times New Roman"/>
          <w:sz w:val="20"/>
        </w:rPr>
        <w:t xml:space="preserve"> </w:t>
      </w:r>
      <w:r>
        <w:rPr>
          <w:rFonts w:ascii="Times New Roman;serif" w:hAnsi="Times New Roman;serif"/>
          <w:b w:val="false"/>
          <w:sz w:val="24"/>
        </w:rPr>
        <w:t>Each notice of optional prepayment shall be effective only if received by the Lenders not later than 4:00 p.m. (New York City time) on the Business Day prior to the date of prepayment. Each notice of optional prepayment shall specify the amount to be prepaid and the date of prepayment.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4.04. Set</w:t>
        <w:noBreakHyphen/>
        <w:t>Off</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Set</w:t>
        <w:noBreakHyphen/>
        <w:t>Off Generally.</w:t>
      </w:r>
      <w:r>
        <w:rPr/>
        <w:t xml:space="preserve"> </w:t>
      </w:r>
      <w:r>
        <w:rPr>
          <w:rFonts w:ascii="Times New Roman;serif" w:hAnsi="Times New Roman;serif"/>
          <w:b w:val="false"/>
          <w:sz w:val="24"/>
        </w:rPr>
        <w:t>Upon the occurrence and during the continuance of any Event of Default, the 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 unmatured. Any Person exercising rights of set off hereunder agrees promptly to notify the Borrower after any such set</w:t>
        <w:noBreakHyphen/>
        <w:t xml:space="preserve">off and application, </w:t>
      </w:r>
      <w:r>
        <w:rPr>
          <w:rFonts w:ascii="Times New Roman;serif" w:hAnsi="Times New Roman;serif"/>
          <w:b w:val="false"/>
          <w:i/>
          <w:sz w:val="24"/>
        </w:rPr>
        <w:t>provided</w:t>
      </w:r>
      <w:r>
        <w:rPr/>
        <w:t xml:space="preserve"> </w:t>
      </w:r>
      <w:r>
        <w:rPr>
          <w:rFonts w:ascii="Times New Roman;serif" w:hAnsi="Times New Roman;serif"/>
          <w:b w:val="false"/>
          <w:sz w:val="24"/>
        </w:rPr>
        <w:t>that the failure to give such notice shall not affect the validity of such set</w:t>
        <w:noBreakHyphen/>
        <w:t>off and application. The rights of the Administrative Agent, the Lenders and each of their respective Affiliates under this Section 4.04 are in addition to other rights and remedies (including other rights of set</w:t>
        <w:noBreakHyphen/>
        <w:t>off) that the Lenders and their respective Affiliates may have.</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pPr>
      <w:r>
        <w:rPr>
          <w:rFonts w:ascii="Times New Roman;serif" w:hAnsi="Times New Roman;serif"/>
          <w:b w:val="false"/>
          <w:i/>
          <w:sz w:val="24"/>
        </w:rPr>
        <w:t>Exercise of Rights Not Required.</w:t>
      </w:r>
      <w:r>
        <w:rPr/>
        <w:t xml:space="preserve"> </w:t>
      </w:r>
      <w:r>
        <w:rPr>
          <w:rFonts w:ascii="Times New Roman;serif" w:hAnsi="Times New Roman;serif"/>
          <w:b w:val="false"/>
          <w:sz w:val="24"/>
        </w:rPr>
        <w:t>Nothing contained herein shall require the Administrative Agent, the Lenders or any of their respective Affiliates to exercise any such right or shall affect the right of such Persons to exercise, and retain the benefits of exercising, any such right with respect to any other indebtedness or obligation of any Obligor.</w:t>
      </w:r>
    </w:p>
    <w:p>
      <w:pPr>
        <w:pStyle w:val="TextBody"/>
        <w:bidi w:val="0"/>
        <w:spacing w:before="0" w:after="0"/>
        <w:jc w:val="center"/>
        <w:rPr/>
      </w:pPr>
      <w:r>
        <w:rPr/>
        <w:noBreakHyphen/>
      </w:r>
      <w:r>
        <w:rPr>
          <w:rFonts w:ascii="Times New Roman;serif" w:hAnsi="Times New Roman;serif"/>
          <w:b w:val="false"/>
          <w:sz w:val="24"/>
        </w:rPr>
        <w:t>43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5 </w:t>
        <w:br/>
        <w:br/>
        <w:t>Yield Protection</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5.01. Additional Costs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Change in Requirements of Law Generally.</w:t>
      </w:r>
      <w:r>
        <w:rPr/>
        <w:t xml:space="preserve"> </w:t>
      </w:r>
      <w:r>
        <w:rPr>
          <w:rFonts w:ascii="Times New Roman;serif" w:hAnsi="Times New Roman;serif"/>
          <w:b w:val="false"/>
          <w:sz w:val="24"/>
        </w:rPr>
        <w:t xml:space="preserve">If, on or after the date hereof (or, with respect to any Lender that becomes a party hereto, such later date on which such Lender comes party to this Agreement), the adoption of any Requirement of Law, or 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that becomes a party hereto, such later date on which such Lender comes party to this Agreement), against assets of, deposits with or for the account of, or credit extended by, a Lender (or its lending office) or shall impose on a Lender (or its lending office) any other condition affecting the Term Loans or the Commitment,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Taxes described in clauses (b) through (d) of the definition of </w:t>
      </w:r>
      <w:r>
        <w:rPr/>
        <w:t>“</w:t>
      </w:r>
      <w:r>
        <w:rPr>
          <w:rFonts w:ascii="Times New Roman;serif" w:hAnsi="Times New Roman;serif"/>
          <w:b w:val="false"/>
          <w:i/>
          <w:sz w:val="24"/>
        </w:rPr>
        <w:t>Excluded Taxes”</w:t>
      </w:r>
      <w:r>
        <w:rPr/>
        <w:t xml:space="preserve"> </w:t>
      </w:r>
      <w:r>
        <w:rPr>
          <w:rFonts w:ascii="Times New Roman;serif" w:hAnsi="Times New Roman;serif"/>
          <w:b w:val="false"/>
          <w:sz w:val="24"/>
        </w:rPr>
        <w:t>and (iii) Connection Income Taxes), then the Borrower shall promptly pay to such Lender on demand such additional amount or amounts as will compensate such Lender for such increased cost or reduction. Notwithstanding anything herein to the contrary, (x) the Dodd</w:t>
        <w:noBreakHyphen/>
        <w:t>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pPr>
      <w:r>
        <w:rPr>
          <w:rFonts w:ascii="Times New Roman;serif" w:hAnsi="Times New Roman;serif"/>
          <w:b w:val="false"/>
          <w:i/>
          <w:sz w:val="24"/>
        </w:rPr>
        <w:t>Change in Capital Requirements.</w:t>
      </w:r>
      <w:r>
        <w:rPr/>
        <w:t xml:space="preserve"> </w:t>
      </w:r>
      <w:r>
        <w:rPr>
          <w:rFonts w:ascii="Times New Roman;serif" w:hAnsi="Times New Roman;serif"/>
          <w:b w:val="false"/>
          <w:sz w:val="24"/>
        </w:rPr>
        <w:t xml:space="preserve">If a Lender shall have determined that, on or after the date hereof (or, with respect to any Lender that becomes a party hereto, such later date on which such Lender comes party to this Agreement), the adoption of any Requirement of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that becomes a party hereto, such later date on which such Lender comes party to this </w:t>
      </w:r>
    </w:p>
    <w:p>
      <w:pPr>
        <w:pStyle w:val="TextBody"/>
        <w:bidi w:val="0"/>
        <w:spacing w:before="0" w:after="0"/>
        <w:jc w:val="center"/>
        <w:rPr/>
      </w:pPr>
      <w:r>
        <w:rPr/>
        <w:noBreakHyphen/>
      </w:r>
      <w:r>
        <w:rPr>
          <w:rFonts w:ascii="Times New Roman;serif" w:hAnsi="Times New Roman;serif"/>
          <w:b w:val="false"/>
          <w:sz w:val="24"/>
        </w:rPr>
        <w:t>44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Agreement), has or would have the effect of reducing the rate of return on capital of a Lender (or its parent) as a consequence of a Lender’s obligations hereunder or the Term Loans to a level below that which a Lender (or its parent) would have achieved but for such adoption, change, request or directive by an amount reasonably deemed by it to be material, then the Borrower shall promptly pay to such Lender within three (3) Business Days after demand such additional amount or amounts as will compensate such Lender (or its parent) for such reduction.</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pPr>
      <w:r>
        <w:rPr>
          <w:rFonts w:ascii="Times New Roman;serif" w:hAnsi="Times New Roman;serif"/>
          <w:b w:val="false"/>
          <w:i/>
          <w:sz w:val="24"/>
        </w:rPr>
        <w:t>Notification by Lender.</w:t>
      </w:r>
      <w:r>
        <w:rPr/>
        <w:t xml:space="preserve"> </w:t>
      </w:r>
      <w:r>
        <w:rPr>
          <w:rFonts w:ascii="Times New Roman;serif" w:hAnsi="Times New Roman;serif"/>
          <w:b w:val="false"/>
          <w:sz w:val="24"/>
        </w:rPr>
        <w:t>The Lenders will promptly notify the Borrower of any event of which it has knowledge, occurring after the date hereof (or, with respect to any Lender that becomes a party hereto, such later date on which such Lender comes party to this Agreement), which will entitle a Lender to compensation pursuant to this Section 5.01. Before giving any such notice pursuant to this Section 5.01(c)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the Lender claiming compensation under this Section 5.01, setting forth in reasonable detail, the computation of the additional amount or amounts to be paid to it hereunder, shall be conclusive and binding on the Borrower in the absence of manifest error.</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5.02. Illegality.</w:t>
      </w:r>
      <w:r>
        <w:rPr>
          <w:rFonts w:ascii="Times New Roman" w:hAnsi="Times New Roman"/>
          <w:sz w:val="20"/>
        </w:rPr>
        <w:t xml:space="preserve"> </w:t>
      </w:r>
      <w:r>
        <w:rPr>
          <w:rFonts w:ascii="Times New Roman;serif" w:hAnsi="Times New Roman;serif"/>
          <w:b w:val="false"/>
          <w:sz w:val="24"/>
        </w:rPr>
        <w:t xml:space="preserve">Notwithstanding any other provision of this Agreement, in the event that on or after the date hereof (or, with respect to any Lender that becomes a party hereto, such later date on which such Lender comes party to this Agreement) the adoption of or any change in any Requirement of Law or in the interpretation or application thereof by any competent Governmental Authority shall make it unlawful for a Lender or its lending office to make or maintain the Term Loans (and, in the reasonable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 (b) if such Requirement of Law shall so mandate, the Term Loans shall be prepaid by the Borrower on or before such date as shall be mandated by such Requirement of Law in an amount equal to the Redemption Price applicable on the date of such prepayment in accordance with Section 3.03(a); </w:t>
      </w:r>
      <w:r>
        <w:rPr>
          <w:rFonts w:ascii="Times New Roman;serif" w:hAnsi="Times New Roman;serif"/>
          <w:b w:val="false"/>
          <w:i/>
          <w:sz w:val="24"/>
        </w:rPr>
        <w:t>provided</w:t>
      </w:r>
      <w:r>
        <w:rPr>
          <w:rFonts w:ascii="Times New Roman;serif" w:hAnsi="Times New Roman;serif"/>
          <w:b w:val="false"/>
          <w:sz w:val="24"/>
        </w:rPr>
        <w:t>, that no Prepayment Premium pursuant to Section 3.03(a)(ii) shall be due with respect thereto.</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5.03. Taxes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pPr>
      <w:r>
        <w:rPr>
          <w:rFonts w:ascii="Times New Roman;serif" w:hAnsi="Times New Roman;serif"/>
          <w:b w:val="false"/>
          <w:i/>
          <w:sz w:val="24"/>
        </w:rPr>
        <w:t>Payments Free of Taxes.</w:t>
      </w:r>
      <w:r>
        <w:rPr/>
        <w:t xml:space="preserve"> </w:t>
      </w:r>
      <w:r>
        <w:rPr>
          <w:rFonts w:ascii="Times New Roman;serif" w:hAnsi="Times New Roman;serif"/>
          <w:b w:val="false"/>
          <w:sz w:val="24"/>
        </w:rPr>
        <w:t xml:space="preserve">Any and all payments by or on account of any Obligation shall be made without deduction or withholding for any Taxes, except as required by applicable Law. If any applicable Law (as determined in the good faith discretion of the Administrative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w:t>
      </w:r>
    </w:p>
    <w:p>
      <w:pPr>
        <w:pStyle w:val="TextBody"/>
        <w:bidi w:val="0"/>
        <w:spacing w:before="0" w:after="0"/>
        <w:jc w:val="center"/>
        <w:rPr/>
      </w:pPr>
      <w:r>
        <w:rPr/>
        <w:noBreakHyphen/>
      </w:r>
      <w:r>
        <w:rPr>
          <w:rFonts w:ascii="Times New Roman;serif" w:hAnsi="Times New Roman;serif"/>
          <w:b w:val="false"/>
          <w:sz w:val="24"/>
        </w:rPr>
        <w:t>45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 xml:space="preserve">Payment of Other Taxes by the Borrower. </w:t>
      </w:r>
      <w:r>
        <w:rPr>
          <w:rFonts w:ascii="Times New Roman;serif" w:hAnsi="Times New Roman;serif"/>
          <w:b w:val="false"/>
          <w:sz w:val="24"/>
        </w:rPr>
        <w:t>The Borrower shall timely pay to the relevant Governmental Authority in accordance with applicable Law, or at the option of the Administrative Agent, timely reimburse it for, Other Taxes.</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pPr>
      <w:r>
        <w:rPr>
          <w:rFonts w:ascii="Times New Roman;serif" w:hAnsi="Times New Roman;serif"/>
          <w:b w:val="false"/>
          <w:i/>
          <w:sz w:val="24"/>
        </w:rPr>
        <w:t>Evidence of Payments.</w:t>
      </w:r>
      <w:r>
        <w:rPr/>
        <w:t xml:space="preserve"> </w:t>
      </w:r>
      <w:r>
        <w:rPr>
          <w:rFonts w:ascii="Times New Roman;serif" w:hAnsi="Times New Roman;serif"/>
          <w:b w:val="false"/>
          <w:sz w:val="24"/>
        </w:rPr>
        <w:t>As soon as practicable after any payment of Taxes by the Borrower to a Governmental Authority, as a withholding Tax 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pPr>
      <w:r>
        <w:rPr>
          <w:rFonts w:ascii="Times New Roman;serif" w:hAnsi="Times New Roman;serif"/>
          <w:b w:val="false"/>
          <w:i/>
          <w:sz w:val="24"/>
        </w:rPr>
        <w:t xml:space="preserve">Indemnification. </w:t>
      </w:r>
      <w:r>
        <w:rPr>
          <w:rFonts w:ascii="Times New Roman;serif" w:hAnsi="Times New Roman;serif"/>
          <w:b w:val="false"/>
          <w:sz w:val="24"/>
        </w:rPr>
        <w:t>The Borrower shall reimburse and indemnify each Recipient, within ten (10) days after demand therefor, for the full amount 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pPr>
      <w:r>
        <w:rPr>
          <w:rFonts w:ascii="Times New Roman;serif" w:hAnsi="Times New Roman;serif"/>
          <w:b w:val="false"/>
          <w:i/>
          <w:sz w:val="24"/>
        </w:rPr>
        <w:t xml:space="preserve">Indemnification by the Lenders. </w:t>
      </w:r>
      <w:r>
        <w:rPr>
          <w:rFonts w:ascii="Times New Roman;serif" w:hAnsi="Times New Roman;serif"/>
          <w:b w:val="false"/>
          <w:sz w:val="24"/>
        </w:rPr>
        <w:t>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283"/>
        <w:jc w:val="both"/>
        <w:rPr/>
      </w:pPr>
      <w:r>
        <w:rPr>
          <w:rFonts w:ascii="Times New Roman;serif" w:hAnsi="Times New Roman;serif"/>
          <w:b w:val="false"/>
          <w:i/>
          <w:sz w:val="24"/>
        </w:rPr>
        <w:t>Status of Lenders.</w:t>
      </w:r>
      <w:r>
        <w:rPr/>
        <w:t xml:space="preserve"> </w:t>
      </w:r>
    </w:p>
    <w:p>
      <w:pPr>
        <w:pStyle w:val="TextBody"/>
        <w:bidi w:val="0"/>
        <w:spacing w:before="0" w:after="0"/>
        <w:jc w:val="center"/>
        <w:rPr/>
      </w:pPr>
      <w:r>
        <w:rPr/>
        <w:noBreakHyphen/>
      </w:r>
      <w:r>
        <w:rPr>
          <w:rFonts w:ascii="Times New Roman;serif" w:hAnsi="Times New Roman;serif"/>
          <w:b w:val="false"/>
          <w:sz w:val="24"/>
        </w:rPr>
        <w:t>46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Without limiting the generality of the foregoing:</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w:t>
        <w:noBreakHyphen/>
        <w:t>9 (or successor form) certifying that such Lender is exempt from U.S. Federal backup withholding Tax;</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280" w:after="0"/>
        <w:jc w:val="both"/>
        <w:rPr>
          <w:rFonts w:ascii="Times New Roman" w:hAnsi="Times New Roman"/>
          <w:b w:val="false"/>
          <w:sz w:val="24"/>
        </w:rPr>
      </w:pPr>
      <w:r>
        <w:rPr>
          <w:rFonts w:ascii="Times New Roman" w:hAnsi="Times New Roman"/>
          <w:b w:val="false"/>
          <w:sz w:val="24"/>
        </w:rPr>
        <w:t>(1)</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in the case of a Foreign Lender claiming the benefits of an income Tax treaty to which the United States is a party (x) with respect to payments of interest under any Loan Document, duly completed, valid executed copies of IRS Form W</w:t>
        <w:noBreakHyphen/>
        <w:t>8BEN (or successor form) or IRS Form W</w:t>
        <w:noBreakHyphen/>
        <w:t>8BEN</w:t>
        <w:noBreakHyphen/>
        <w:t xml:space="preserve">E (or successor form) establishing an exemption from, or reduction of, U.S. Federal withholding Tax pursuant to the “interest” article of such Tax treaty and (y) with respect to any other applicable payments under any Loan Document, duly completed, valid, executed originals of IRS </w:t>
      </w:r>
    </w:p>
    <w:p>
      <w:pPr>
        <w:pStyle w:val="TextBody"/>
        <w:bidi w:val="0"/>
        <w:spacing w:before="0" w:after="0"/>
        <w:jc w:val="center"/>
        <w:rPr/>
      </w:pPr>
      <w:r>
        <w:rPr/>
        <w:noBreakHyphen/>
      </w:r>
      <w:r>
        <w:rPr>
          <w:rFonts w:ascii="Times New Roman;serif" w:hAnsi="Times New Roman;serif"/>
          <w:b w:val="false"/>
          <w:sz w:val="24"/>
        </w:rPr>
        <w:t>47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Form W</w:t>
        <w:noBreakHyphen/>
        <w:t>8BEN (or successor form) or IRS Form W</w:t>
        <w:noBreakHyphen/>
        <w:t>8BEN</w:t>
        <w:noBreakHyphen/>
        <w:t>E (or successor form) establishing an exemption from, or reduction of, U.S. Federal withholding Tax pursuant to the “business profits” or “other income” article of such Tax treaty;</w:t>
      </w:r>
    </w:p>
    <w:p>
      <w:pPr>
        <w:pStyle w:val="TextBody"/>
        <w:bidi w:val="0"/>
        <w:spacing w:before="280" w:after="0"/>
        <w:jc w:val="both"/>
        <w:rPr>
          <w:rFonts w:ascii="Times New Roman" w:hAnsi="Times New Roman"/>
          <w:b w:val="false"/>
          <w:sz w:val="24"/>
        </w:rPr>
      </w:pPr>
      <w:r>
        <w:rPr>
          <w:rFonts w:ascii="Times New Roman" w:hAnsi="Times New Roman"/>
          <w:b w:val="false"/>
          <w:sz w:val="24"/>
        </w:rPr>
        <w:t>(2)</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duly completed, valid, executed copies of IRS Form W</w:t>
        <w:noBreakHyphen/>
        <w:t>8ECI (or successor form);</w:t>
      </w:r>
    </w:p>
    <w:p>
      <w:pPr>
        <w:pStyle w:val="TextBody"/>
        <w:bidi w:val="0"/>
        <w:spacing w:before="280" w:after="0"/>
        <w:jc w:val="both"/>
        <w:rPr>
          <w:rFonts w:ascii="Times New Roman" w:hAnsi="Times New Roman"/>
          <w:b w:val="false"/>
          <w:sz w:val="24"/>
        </w:rPr>
      </w:pPr>
      <w:r>
        <w:rPr>
          <w:rFonts w:ascii="Times New Roman" w:hAnsi="Times New Roman"/>
          <w:b w:val="false"/>
          <w:sz w:val="24"/>
        </w:rPr>
        <w:t>(3)</w:t>
      </w:r>
    </w:p>
    <w:p>
      <w:pPr>
        <w:pStyle w:val="TextBody"/>
        <w:bidi w:val="0"/>
        <w:spacing w:before="280" w:after="0"/>
        <w:jc w:val="both"/>
        <w:rPr/>
      </w:pPr>
      <w:r>
        <w:rPr>
          <w:rFonts w:ascii="Times New Roman;serif" w:hAnsi="Times New Roman;serif"/>
          <w:b w:val="false"/>
          <w:sz w:val="24"/>
        </w:rPr>
        <w:t xml:space="preserve">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t>“</w:t>
      </w:r>
      <w:r>
        <w:rPr>
          <w:rFonts w:ascii="Times New Roman;serif" w:hAnsi="Times New Roman;serif"/>
          <w:b w:val="false"/>
          <w:i/>
          <w:sz w:val="24"/>
        </w:rPr>
        <w:t>U.S. Tax Compliance Certificate”</w:t>
      </w:r>
      <w:r>
        <w:rPr>
          <w:rFonts w:ascii="Times New Roman;serif" w:hAnsi="Times New Roman;serif"/>
          <w:b w:val="false"/>
          <w:sz w:val="24"/>
        </w:rPr>
        <w:t>) and (y) executed copies of IRS Form W</w:t>
        <w:noBreakHyphen/>
        <w:t>8BEN (or successor form) or IRS Form W</w:t>
        <w:noBreakHyphen/>
        <w:t>8BEN</w:t>
        <w:noBreakHyphen/>
        <w:t>E (or successor form); or</w:t>
      </w:r>
    </w:p>
    <w:p>
      <w:pPr>
        <w:pStyle w:val="TextBody"/>
        <w:bidi w:val="0"/>
        <w:spacing w:before="280" w:after="0"/>
        <w:jc w:val="both"/>
        <w:rPr>
          <w:rFonts w:ascii="Times New Roman" w:hAnsi="Times New Roman"/>
          <w:b w:val="false"/>
          <w:sz w:val="24"/>
        </w:rPr>
      </w:pPr>
      <w:r>
        <w:rPr>
          <w:rFonts w:ascii="Times New Roman" w:hAnsi="Times New Roman"/>
          <w:b w:val="false"/>
          <w:sz w:val="24"/>
        </w:rPr>
        <w:t>(4)</w:t>
      </w:r>
    </w:p>
    <w:p>
      <w:pPr>
        <w:pStyle w:val="TextBody"/>
        <w:bidi w:val="0"/>
        <w:spacing w:before="280" w:after="0"/>
        <w:jc w:val="both"/>
        <w:rPr/>
      </w:pPr>
      <w:r>
        <w:rPr>
          <w:rFonts w:ascii="Times New Roman;serif" w:hAnsi="Times New Roman;serif"/>
          <w:b w:val="false"/>
          <w:sz w:val="24"/>
        </w:rPr>
        <w:t>to the extent a Foreign Lender is not the beneficial owner, duly completed, valid, executed copies of IRS Form W</w:t>
        <w:noBreakHyphen/>
        <w:t>8IMY (or successor form), accompanied by IRS Form W</w:t>
        <w:noBreakHyphen/>
        <w:t>8ECI (or successor form), IRS Form W</w:t>
        <w:noBreakHyphen/>
        <w:t>8BEN (or successor form), IRS Form W</w:t>
        <w:noBreakHyphen/>
        <w:t>8BEN</w:t>
        <w:noBreakHyphen/>
        <w:t>E (or successor form), a U.S. Tax Compliance Certificate, IRS Form W</w:t>
        <w:noBreakHyphen/>
        <w:t xml:space="preserve">9 (or successor form), and/or other certification documents from each beneficial owner, as applicable; </w:t>
      </w:r>
      <w:r>
        <w:rPr>
          <w:rFonts w:ascii="Times New Roman;serif" w:hAnsi="Times New Roman;serif"/>
          <w:b w:val="false"/>
          <w:i/>
          <w:sz w:val="24"/>
        </w:rPr>
        <w:t>provided</w:t>
      </w:r>
      <w:r>
        <w:rPr/>
        <w:t xml:space="preserve"> </w:t>
      </w:r>
      <w:r>
        <w:rPr>
          <w:rFonts w:ascii="Times New Roman;serif" w:hAnsi="Times New Roman;serif"/>
          <w:b w:val="false"/>
          <w:sz w:val="24"/>
        </w:rPr>
        <w:t>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if a payment made to a Lender under any Loan Document would be subject to U.S. federal withholding Tax imposed by FATCA if </w:t>
      </w:r>
    </w:p>
    <w:p>
      <w:pPr>
        <w:pStyle w:val="TextBody"/>
        <w:bidi w:val="0"/>
        <w:spacing w:before="0" w:after="0"/>
        <w:jc w:val="center"/>
        <w:rPr/>
      </w:pPr>
      <w:r>
        <w:rPr/>
        <w:noBreakHyphen/>
      </w:r>
      <w:r>
        <w:rPr>
          <w:rFonts w:ascii="Times New Roman;serif" w:hAnsi="Times New Roman;serif"/>
          <w:b w:val="false"/>
          <w:sz w:val="24"/>
        </w:rPr>
        <w:t>48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 and</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on or before the date the Administrative Agent (or any successor thereto) becomes a party to this Agreement, the Administrative Agent shall provide to the Borrower, a duly completed, valid copy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283"/>
        <w:jc w:val="both"/>
        <w:rPr/>
      </w:pPr>
      <w:r>
        <w:rPr>
          <w:rFonts w:ascii="Times New Roman;serif" w:hAnsi="Times New Roman;serif"/>
          <w:b w:val="false"/>
          <w:i/>
          <w:sz w:val="24"/>
        </w:rPr>
        <w:t>Treatment of Certain Refunds.</w:t>
      </w:r>
      <w:r>
        <w:rPr/>
        <w:t xml:space="preserve"> </w:t>
      </w:r>
      <w:r>
        <w:rPr>
          <w:rFonts w:ascii="Times New Roman;serif" w:hAnsi="Times New Roman;serif"/>
          <w:b w:val="false"/>
          <w:sz w:val="24"/>
        </w:rPr>
        <w:t>If any party to this Agreement determines, in its reasonable discretion exercised in 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w:t>
        <w:noBreakHyphen/>
        <w:t>of</w:t>
        <w:noBreakHyphen/>
        <w:t xml:space="preserve">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w:t>
      </w:r>
    </w:p>
    <w:p>
      <w:pPr>
        <w:pStyle w:val="TextBody"/>
        <w:bidi w:val="0"/>
        <w:spacing w:before="0" w:after="0"/>
        <w:jc w:val="center"/>
        <w:rPr/>
      </w:pPr>
      <w:r>
        <w:rPr/>
        <w:noBreakHyphen/>
      </w:r>
      <w:r>
        <w:rPr>
          <w:rFonts w:ascii="Times New Roman;serif" w:hAnsi="Times New Roman;serif"/>
          <w:b w:val="false"/>
          <w:sz w:val="24"/>
        </w:rPr>
        <w:t>49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this paragraph (plus 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w:t>
        <w:noBreakHyphen/>
        <w:t>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0"/>
        <w:jc w:val="both"/>
        <w:rPr/>
      </w:pPr>
      <w:r>
        <w:rPr>
          <w:rFonts w:ascii="Times New Roman;serif" w:hAnsi="Times New Roman;serif"/>
          <w:b w:val="false"/>
          <w:i/>
          <w:sz w:val="24"/>
        </w:rPr>
        <w:t>Mitigation Obligations.</w:t>
      </w:r>
      <w:r>
        <w:rPr/>
        <w:t xml:space="preserve"> </w:t>
      </w:r>
      <w:r>
        <w:rPr>
          <w:rFonts w:ascii="Times New Roman;serif" w:hAnsi="Times New Roman;serif"/>
          <w:b w:val="false"/>
          <w:sz w:val="24"/>
        </w:rPr>
        <w:t xml:space="preserve">If the Borrower is required to pay any Indemnified Taxes or additional amounts to any Lender or to any Governmental 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 (ii) not subject such Lender to any unreimbursed cost or expense and (iii) not otherwise be disadvantageous to such Lender. The Borrower hereby agrees to pay all reasonable out-of-pocket costs and expenses incurred by any Lender in connection with any such designation or assignment and delegation.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283"/>
        <w:jc w:val="both"/>
        <w:rPr/>
      </w:pPr>
      <w:r>
        <w:rPr>
          <w:rFonts w:ascii="Times New Roman;serif" w:hAnsi="Times New Roman;serif"/>
          <w:b w:val="false"/>
          <w:i/>
          <w:sz w:val="24"/>
        </w:rPr>
        <w:t>Survival</w:t>
      </w:r>
      <w:r>
        <w:rPr>
          <w:rFonts w:ascii="Times New Roman;serif" w:hAnsi="Times New Roman;serif"/>
          <w:b w:val="false"/>
          <w:sz w:val="24"/>
        </w:rPr>
        <w:t>. Each party’s obligations under this Article 5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5.04. Delay in Requests</w:t>
      </w:r>
      <w:r>
        <w:rPr>
          <w:rFonts w:ascii="Times New Roman;serif" w:hAnsi="Times New Roman;serif"/>
          <w:b w:val="false"/>
          <w:sz w:val="24"/>
        </w:rPr>
        <w:t xml:space="preserve">. Failure or delay on the part of any Lender to demand compensation pursuant to this Article 5 shall not constitute a waiver of such Lender’s right to demand such compensation;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the Borrower shall not be required to compensate a Lender pursuant to this Article 5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before="0" w:after="0"/>
        <w:jc w:val="center"/>
        <w:rPr/>
      </w:pPr>
      <w:r>
        <w:rPr/>
        <w:noBreakHyphen/>
      </w:r>
      <w:r>
        <w:rPr>
          <w:rFonts w:ascii="Times New Roman;serif" w:hAnsi="Times New Roman;serif"/>
          <w:b w:val="false"/>
          <w:sz w:val="24"/>
        </w:rPr>
        <w:t>50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6 </w:t>
        <w:br/>
        <w:br/>
        <w:t>Conditions Precedent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6.01. Conditions to Closing Date.</w:t>
      </w:r>
      <w:r>
        <w:rPr>
          <w:rFonts w:ascii="Times New Roman" w:hAnsi="Times New Roman"/>
          <w:sz w:val="20"/>
        </w:rPr>
        <w:t xml:space="preserve"> </w:t>
      </w:r>
      <w:r>
        <w:rPr>
          <w:rFonts w:ascii="Times New Roman;serif" w:hAnsi="Times New Roman;serif"/>
          <w:b w:val="false"/>
          <w:sz w:val="24"/>
        </w:rPr>
        <w:t>The obligation of each Lender to enter into this Agreement on the Closing Date shall not become effective until the following conditions precedent shall have been reasonably satisfied or waived in writing by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Organization and Capitalization</w:t>
      </w:r>
      <w:r>
        <w:rPr>
          <w:rFonts w:ascii="Times New Roman;serif" w:hAnsi="Times New Roman;serif"/>
          <w:b w:val="false"/>
          <w:sz w:val="24"/>
        </w:rPr>
        <w:t>. The organizational structure and pro-forma capitalization of the Obligors, after giving effect to the Transactions, as set forth on Schedule 7.20 shall be reasonably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Lien Searches.</w:t>
      </w:r>
      <w:r>
        <w:rPr/>
        <w:t xml:space="preserve"> </w:t>
      </w:r>
      <w:r>
        <w:rPr>
          <w:rFonts w:ascii="Times New Roman;serif" w:hAnsi="Times New Roman;serif"/>
          <w:b w:val="false"/>
          <w:sz w:val="24"/>
        </w:rPr>
        <w:t>The Administrative Agent shall be reasonably satisfied with Lien searches regarding the Obligors made prior to the Closing Date.</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pPr>
      <w:r>
        <w:rPr>
          <w:rFonts w:ascii="Times New Roman;serif" w:hAnsi="Times New Roman;serif"/>
          <w:b w:val="false"/>
          <w:i/>
          <w:sz w:val="24"/>
        </w:rPr>
        <w:t>Documentary Deliveries.</w:t>
      </w:r>
      <w:r>
        <w:rPr/>
        <w:t xml:space="preserve"> </w:t>
      </w:r>
      <w:r>
        <w:rPr>
          <w:rFonts w:ascii="Times New Roman;serif" w:hAnsi="Times New Roman;serif"/>
          <w:b w:val="false"/>
          <w:sz w:val="24"/>
        </w:rPr>
        <w:t>The Administrative Agent shall have received the following documents, each of which shall be in form and substance reasonably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pPr>
      <w:r>
        <w:rPr>
          <w:rFonts w:ascii="Times New Roman;serif" w:hAnsi="Times New Roman;serif"/>
          <w:b w:val="false"/>
          <w:i/>
          <w:sz w:val="24"/>
        </w:rPr>
        <w:t>Agreement.</w:t>
      </w:r>
      <w:r>
        <w:rPr/>
        <w:t xml:space="preserve"> </w:t>
      </w:r>
      <w:r>
        <w:rPr>
          <w:rFonts w:ascii="Times New Roman;serif" w:hAnsi="Times New Roman;serif"/>
          <w:b w:val="false"/>
          <w:sz w:val="24"/>
        </w:rPr>
        <w:t>This Agreement duly executed and delivered by the Borrower and each of the other parties hereto.</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pPr>
      <w:r>
        <w:rPr>
          <w:rFonts w:ascii="Times New Roman;serif" w:hAnsi="Times New Roman;serif"/>
          <w:b w:val="false"/>
          <w:i/>
          <w:sz w:val="24"/>
        </w:rPr>
        <w:t>Collateral Questionnaire.</w:t>
      </w:r>
      <w:r>
        <w:rPr/>
        <w:t xml:space="preserve"> </w:t>
      </w:r>
      <w:r>
        <w:rPr>
          <w:rFonts w:ascii="Times New Roman;serif" w:hAnsi="Times New Roman;serif"/>
          <w:b w:val="false"/>
          <w:sz w:val="24"/>
        </w:rPr>
        <w:t>The Collateral Questionnaire, duly executed and delivered by a Responsible Officer of the Borrower, substantially in the form of Exhibit I hereto and otherwise in form and substance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pPr>
      <w:r>
        <w:rPr>
          <w:rFonts w:ascii="Times New Roman;serif" w:hAnsi="Times New Roman;serif"/>
          <w:b w:val="false"/>
          <w:i/>
          <w:sz w:val="24"/>
        </w:rPr>
        <w:t>Fee Letter</w:t>
      </w:r>
      <w:r>
        <w:rPr>
          <w:rFonts w:ascii="Times New Roman;serif" w:hAnsi="Times New Roman;serif"/>
          <w:b w:val="false"/>
          <w:sz w:val="24"/>
        </w:rPr>
        <w:t>. The Fee Letter duly executed and delivered by the Borrower, the Lenders and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pPr>
      <w:r>
        <w:rPr>
          <w:rFonts w:ascii="Times New Roman;serif" w:hAnsi="Times New Roman;serif"/>
          <w:b w:val="false"/>
          <w:i/>
          <w:sz w:val="24"/>
        </w:rPr>
        <w:t>Note.</w:t>
      </w:r>
      <w:r>
        <w:rPr/>
        <w:t xml:space="preserve"> </w:t>
      </w:r>
      <w:r>
        <w:rPr>
          <w:rFonts w:ascii="Times New Roman;serif" w:hAnsi="Times New Roman;serif"/>
          <w:b w:val="false"/>
          <w:sz w:val="24"/>
        </w:rPr>
        <w:t>Any Notes requested in accordance with Section 2.04.</w:t>
      </w:r>
    </w:p>
    <w:p>
      <w:pPr>
        <w:pStyle w:val="TextBody"/>
        <w:bidi w:val="0"/>
        <w:spacing w:before="280" w:after="0"/>
        <w:jc w:val="both"/>
        <w:rPr>
          <w:rFonts w:ascii="Times New Roman" w:hAnsi="Times New Roman"/>
          <w:b w:val="false"/>
          <w:sz w:val="24"/>
        </w:rPr>
      </w:pPr>
      <w:r>
        <w:rPr>
          <w:rFonts w:ascii="Times New Roman" w:hAnsi="Times New Roman"/>
          <w:b w:val="false"/>
          <w:sz w:val="24"/>
        </w:rPr>
        <w:t>(v)</w:t>
      </w:r>
    </w:p>
    <w:p>
      <w:pPr>
        <w:pStyle w:val="TextBody"/>
        <w:bidi w:val="0"/>
        <w:spacing w:before="280" w:after="283"/>
        <w:jc w:val="both"/>
        <w:rPr/>
      </w:pPr>
      <w:r>
        <w:rPr>
          <w:rFonts w:ascii="Times New Roman;serif" w:hAnsi="Times New Roman;serif"/>
          <w:b w:val="false"/>
          <w:i/>
          <w:sz w:val="24"/>
        </w:rPr>
        <w:t>Organizational Documents.</w:t>
      </w:r>
      <w:r>
        <w:rPr/>
        <w:t xml:space="preserve"> </w:t>
      </w:r>
      <w:r>
        <w:rPr>
          <w:rFonts w:ascii="Times New Roman;serif" w:hAnsi="Times New Roman;serif"/>
          <w:b w:val="false"/>
          <w:sz w:val="24"/>
        </w:rPr>
        <w:t>(A) Certified copies of the Organizational Documents of each 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(B) a good standing certificate and/or compliance certificate from the applicable Governmental Authority of each Obligor’s jurisdiction of incorporation and in each jurisdiction in which it is qualified as a foreign corporation or other entity to do business (except where failure to be in good standing would not, either individually or in the aggregate, reasonably be expected to have a Material Adverse Effect), each dated a recent date prior to the Closing Date; and (C) such other documents as the Administrative Agent may reasonably request.</w:t>
      </w:r>
    </w:p>
    <w:p>
      <w:pPr>
        <w:pStyle w:val="TextBody"/>
        <w:bidi w:val="0"/>
        <w:spacing w:before="0" w:after="0"/>
        <w:jc w:val="center"/>
        <w:rPr/>
      </w:pPr>
      <w:r>
        <w:rPr/>
        <w:noBreakHyphen/>
      </w:r>
      <w:r>
        <w:rPr>
          <w:rFonts w:ascii="Times New Roman;serif" w:hAnsi="Times New Roman;serif"/>
          <w:b w:val="false"/>
          <w:sz w:val="24"/>
        </w:rPr>
        <w:t>51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(vi)</w:t>
      </w:r>
    </w:p>
    <w:p>
      <w:pPr>
        <w:pStyle w:val="TextBody"/>
        <w:bidi w:val="0"/>
        <w:spacing w:before="280" w:after="0"/>
        <w:jc w:val="both"/>
        <w:rPr/>
      </w:pPr>
      <w:r>
        <w:rPr>
          <w:rFonts w:ascii="Times New Roman;serif" w:hAnsi="Times New Roman;serif"/>
          <w:b w:val="false"/>
          <w:i/>
          <w:sz w:val="24"/>
        </w:rPr>
        <w:t>Incumbency Certificate.</w:t>
      </w:r>
      <w:r>
        <w:rPr/>
        <w:t xml:space="preserve"> </w:t>
      </w:r>
      <w:r>
        <w:rPr>
          <w:rFonts w:ascii="Times New Roman;serif" w:hAnsi="Times New Roman;serif"/>
          <w:b w:val="false"/>
          <w:sz w:val="24"/>
        </w:rPr>
        <w:t>A certificate of each Obligor as to the authority, incumbency and specimen signatures of the persons who have executed the Loan Documents and any other documents in connection herewith on behalf of the Obligors.</w:t>
      </w:r>
    </w:p>
    <w:p>
      <w:pPr>
        <w:pStyle w:val="TextBody"/>
        <w:bidi w:val="0"/>
        <w:spacing w:before="280" w:after="0"/>
        <w:jc w:val="both"/>
        <w:rPr>
          <w:rFonts w:ascii="Times New Roman" w:hAnsi="Times New Roman"/>
          <w:b w:val="false"/>
          <w:sz w:val="24"/>
        </w:rPr>
      </w:pPr>
      <w:r>
        <w:rPr>
          <w:rFonts w:ascii="Times New Roman" w:hAnsi="Times New Roman"/>
          <w:b w:val="false"/>
          <w:sz w:val="24"/>
        </w:rPr>
        <w:t>(vii)</w:t>
      </w:r>
    </w:p>
    <w:p>
      <w:pPr>
        <w:pStyle w:val="TextBody"/>
        <w:bidi w:val="0"/>
        <w:spacing w:before="280" w:after="0"/>
        <w:jc w:val="both"/>
        <w:rPr/>
      </w:pPr>
      <w:r>
        <w:rPr>
          <w:rFonts w:ascii="Times New Roman;serif" w:hAnsi="Times New Roman;serif"/>
          <w:b w:val="false"/>
          <w:i/>
          <w:sz w:val="24"/>
        </w:rPr>
        <w:t>Officer’s Certificate.</w:t>
      </w:r>
      <w:r>
        <w:rPr/>
        <w:t xml:space="preserve"> </w:t>
      </w:r>
      <w:r>
        <w:rPr>
          <w:rFonts w:ascii="Times New Roman;serif" w:hAnsi="Times New Roman;serif"/>
          <w:b w:val="false"/>
          <w:sz w:val="24"/>
        </w:rPr>
        <w:t>A certificate, in form and substance satisfactory to the Administrative Agent, dated as of the Closing Date and signed by a Responsible Officer of the Borrower, confirming compliance with the conditions set forth in subsections (f) and (g) of this Section 6.01.</w:t>
      </w:r>
    </w:p>
    <w:p>
      <w:pPr>
        <w:pStyle w:val="TextBody"/>
        <w:bidi w:val="0"/>
        <w:spacing w:before="280" w:after="0"/>
        <w:jc w:val="both"/>
        <w:rPr>
          <w:rFonts w:ascii="Times New Roman" w:hAnsi="Times New Roman"/>
          <w:b w:val="false"/>
          <w:sz w:val="24"/>
        </w:rPr>
      </w:pPr>
      <w:r>
        <w:rPr>
          <w:rFonts w:ascii="Times New Roman" w:hAnsi="Times New Roman"/>
          <w:b w:val="false"/>
          <w:sz w:val="24"/>
        </w:rPr>
        <w:t>(viii)</w:t>
      </w:r>
    </w:p>
    <w:p>
      <w:pPr>
        <w:pStyle w:val="TextBody"/>
        <w:bidi w:val="0"/>
        <w:spacing w:before="280" w:after="0"/>
        <w:jc w:val="both"/>
        <w:rPr/>
      </w:pPr>
      <w:r>
        <w:rPr>
          <w:rFonts w:ascii="Times New Roman;serif" w:hAnsi="Times New Roman;serif"/>
          <w:b w:val="false"/>
          <w:i/>
          <w:sz w:val="24"/>
        </w:rPr>
        <w:t>Opinion of Counsel.</w:t>
      </w:r>
      <w:r>
        <w:rPr/>
        <w:t xml:space="preserve"> </w:t>
      </w:r>
      <w:r>
        <w:rPr>
          <w:rFonts w:ascii="Times New Roman;serif" w:hAnsi="Times New Roman;serif"/>
          <w:b w:val="false"/>
          <w:sz w:val="24"/>
        </w:rPr>
        <w:t>A favorable opinion, dated as of the Closing Date, of Sidley Austin LLP, counsel to each Obligor in form reasonably acceptable to the Administrative Agent and its counsel.</w:t>
      </w:r>
    </w:p>
    <w:p>
      <w:pPr>
        <w:pStyle w:val="TextBody"/>
        <w:bidi w:val="0"/>
        <w:spacing w:before="280" w:after="0"/>
        <w:jc w:val="both"/>
        <w:rPr>
          <w:rFonts w:ascii="Times New Roman" w:hAnsi="Times New Roman"/>
          <w:b w:val="false"/>
          <w:sz w:val="24"/>
        </w:rPr>
      </w:pPr>
      <w:r>
        <w:rPr>
          <w:rFonts w:ascii="Times New Roman" w:hAnsi="Times New Roman"/>
          <w:b w:val="false"/>
          <w:sz w:val="24"/>
        </w:rPr>
        <w:t>(ix)</w:t>
      </w:r>
    </w:p>
    <w:p>
      <w:pPr>
        <w:pStyle w:val="TextBody"/>
        <w:bidi w:val="0"/>
        <w:spacing w:before="280" w:after="0"/>
        <w:jc w:val="both"/>
        <w:rPr/>
      </w:pPr>
      <w:r>
        <w:rPr>
          <w:rFonts w:ascii="Times New Roman;serif" w:hAnsi="Times New Roman;serif"/>
          <w:b w:val="false"/>
          <w:i/>
          <w:sz w:val="24"/>
        </w:rPr>
        <w:t>Evidence of Insurance.</w:t>
      </w:r>
      <w:r>
        <w:rPr/>
        <w:t xml:space="preserve"> </w:t>
      </w:r>
      <w:r>
        <w:rPr>
          <w:rFonts w:ascii="Times New Roman;serif" w:hAnsi="Times New Roman;serif"/>
          <w:b w:val="false"/>
          <w:sz w:val="24"/>
        </w:rPr>
        <w:t>Certificates from each Obligor’s insurance broker or other evidence reasonably satisfactory to the Administrative Agent that all insurance required to be maintained pursuant to Section 8.05 is in full force and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pPr>
      <w:r>
        <w:rPr>
          <w:rFonts w:ascii="Times New Roman;serif" w:hAnsi="Times New Roman;serif"/>
          <w:b w:val="false"/>
          <w:i/>
          <w:sz w:val="24"/>
        </w:rPr>
        <w:t>Documents in Agreed Form.</w:t>
      </w:r>
      <w:r>
        <w:rPr/>
        <w:t xml:space="preserve"> </w:t>
      </w:r>
      <w:r>
        <w:rPr>
          <w:rFonts w:ascii="Times New Roman;serif" w:hAnsi="Times New Roman;serif"/>
          <w:b w:val="false"/>
          <w:sz w:val="24"/>
        </w:rPr>
        <w:t>The Administrative Agent shall have received the following documents, each of which shall be in form and substance reasonably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UCC-1 financing statement in form and substance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Security Agreement;</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Short</w:t>
        <w:noBreakHyphen/>
        <w:t>Form IP Security Agreements; and</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pPr>
      <w:r>
        <w:rPr>
          <w:rFonts w:ascii="Times New Roman;serif" w:hAnsi="Times New Roman;serif"/>
          <w:b w:val="false"/>
          <w:sz w:val="24"/>
        </w:rPr>
        <w:t>the Warrant Certificate</w:t>
      </w:r>
      <w:r>
        <w:rPr>
          <w:u w:val="single"/>
        </w:rPr>
        <w:t xml:space="preserve"> </w:t>
      </w:r>
      <w:r>
        <w:rPr>
          <w:rFonts w:ascii="Times New Roman;serif" w:hAnsi="Times New Roman;serif"/>
          <w:b w:val="false"/>
          <w:sz w:val="24"/>
          <w:u w:val="single"/>
        </w:rPr>
        <w:t>(Funding Date)</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pPr>
      <w:r>
        <w:rPr>
          <w:rFonts w:ascii="Times New Roman;serif" w:hAnsi="Times New Roman;serif"/>
          <w:b w:val="false"/>
          <w:i/>
          <w:sz w:val="24"/>
        </w:rPr>
        <w:t>Indebtedness.</w:t>
      </w:r>
      <w:r>
        <w:rPr/>
        <w:t xml:space="preserve"> </w:t>
      </w:r>
      <w:r>
        <w:rPr>
          <w:rFonts w:ascii="Times New Roman;serif" w:hAnsi="Times New Roman;serif"/>
          <w:b w:val="false"/>
          <w:sz w:val="24"/>
        </w:rPr>
        <w:t xml:space="preserve">As of the Closing Date, no Obligor shall have any Indebtedness other than the Obligations, Permitted Indebtedness, Indebtedness evidenced by the Existing Credit Agreements and any Indebtedness specified on Schedule 7.13A. </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pPr>
      <w:r>
        <w:rPr>
          <w:rFonts w:ascii="Times New Roman;serif" w:hAnsi="Times New Roman;serif"/>
          <w:b w:val="false"/>
          <w:i/>
          <w:sz w:val="24"/>
        </w:rPr>
        <w:t>Representations and Warranties</w:t>
      </w:r>
      <w:r>
        <w:rPr>
          <w:rFonts w:ascii="Times New Roman;serif" w:hAnsi="Times New Roman;serif"/>
          <w:b w:val="false"/>
          <w:sz w:val="24"/>
        </w:rPr>
        <w:t xml:space="preserve">. The Specified Representations shall be true and correct in all material respects on and as of the Closing Date;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4"/>
        </w:rPr>
        <w:t>provided further</w:t>
      </w:r>
      <w:r>
        <w:rPr/>
        <w:t xml:space="preserve"> </w:t>
      </w:r>
      <w:r>
        <w:rPr>
          <w:rFonts w:ascii="Times New Roman;serif" w:hAnsi="Times New Roman;serif"/>
          <w:b w:val="false"/>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283"/>
        <w:jc w:val="both"/>
        <w:rPr/>
      </w:pPr>
      <w:r>
        <w:rPr>
          <w:rFonts w:ascii="Times New Roman;serif" w:hAnsi="Times New Roman;serif"/>
          <w:b w:val="false"/>
          <w:i/>
          <w:sz w:val="24"/>
        </w:rPr>
        <w:t>No Default</w:t>
      </w:r>
      <w:r>
        <w:rPr>
          <w:rFonts w:ascii="Times New Roman;serif" w:hAnsi="Times New Roman;serif"/>
          <w:b w:val="false"/>
          <w:sz w:val="24"/>
        </w:rPr>
        <w:t>. No Default shall exist.</w:t>
      </w:r>
    </w:p>
    <w:p>
      <w:pPr>
        <w:pStyle w:val="TextBody"/>
        <w:bidi w:val="0"/>
        <w:spacing w:before="0" w:after="0"/>
        <w:jc w:val="center"/>
        <w:rPr/>
      </w:pPr>
      <w:r>
        <w:rPr/>
        <w:noBreakHyphen/>
      </w:r>
      <w:r>
        <w:rPr>
          <w:rFonts w:ascii="Times New Roman;serif" w:hAnsi="Times New Roman;serif"/>
          <w:b w:val="false"/>
          <w:sz w:val="24"/>
        </w:rPr>
        <w:t>52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execution of this Agreement shall constitute a certification by the Borrower, the Administrative Agent and the Lenders to the effect that the conditions set forth in Section 6.01 have been fulfilled as of the Closing Date.</w:t>
      </w:r>
    </w:p>
    <w:p>
      <w:pPr>
        <w:pStyle w:val="TextBody"/>
        <w:bidi w:val="0"/>
        <w:spacing w:before="280" w:after="0"/>
        <w:jc w:val="both"/>
        <w:rPr>
          <w:rFonts w:ascii="Times New Roman" w:hAnsi="Times New Roman"/>
          <w:sz w:val="20"/>
        </w:rPr>
      </w:pPr>
      <w:r>
        <w:rPr>
          <w:rFonts w:ascii="Times New Roman;serif" w:hAnsi="Times New Roman;serif"/>
          <w:b w:val="false"/>
          <w:i/>
          <w:sz w:val="24"/>
        </w:rPr>
        <w:t xml:space="preserve">Section 6.02. Conditions to Funding Date; Tranche A Loan. </w:t>
      </w:r>
      <w:r>
        <w:rPr>
          <w:rFonts w:ascii="Times New Roman;serif" w:hAnsi="Times New Roman;serif"/>
          <w:b w:val="false"/>
          <w:sz w:val="24"/>
        </w:rPr>
        <w:t>The obligation of each Lender to make the Tranche A Loan on the Funding Date shall not become effective until the following conditions precedent shall have been reasonably satisfied or waived in writing by the Administrative Agent (which satisfaction or waiver may be made simultaneously with the making of the Tranche A Loan hereunder):</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Documentary Deliveries.</w:t>
      </w:r>
      <w:r>
        <w:rPr/>
        <w:t xml:space="preserve"> </w:t>
      </w:r>
      <w:r>
        <w:rPr>
          <w:rFonts w:ascii="Times New Roman;serif" w:hAnsi="Times New Roman;serif"/>
          <w:b w:val="false"/>
          <w:sz w:val="24"/>
        </w:rPr>
        <w:t>The Administrative Agent shall have received the following documents, each of which shall be in form and substance reasonably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pPr>
      <w:r>
        <w:rPr>
          <w:rFonts w:ascii="Times New Roman;serif" w:hAnsi="Times New Roman;serif"/>
          <w:b w:val="false"/>
          <w:i/>
          <w:sz w:val="24"/>
        </w:rPr>
        <w:t>Borrowing Notice.</w:t>
      </w:r>
      <w:r>
        <w:rPr/>
        <w:t xml:space="preserve"> </w:t>
      </w:r>
      <w:r>
        <w:rPr>
          <w:rFonts w:ascii="Times New Roman;serif" w:hAnsi="Times New Roman;serif"/>
          <w:b w:val="false"/>
          <w:sz w:val="24"/>
        </w:rPr>
        <w:t>The Administrative Agent shall have received a Borrowing Notice in accordance with Section 2.01(a)(ii) duly executed and delivered by a Responsible Officer of the Borrower, in form and substance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pPr>
      <w:r>
        <w:rPr>
          <w:rFonts w:ascii="Times New Roman;serif" w:hAnsi="Times New Roman;serif"/>
          <w:b w:val="false"/>
          <w:i/>
          <w:sz w:val="24"/>
        </w:rPr>
        <w:t>Warrant Certificate</w:t>
      </w:r>
      <w:r>
        <w:rPr>
          <w:rFonts w:ascii="Times New Roman;serif" w:hAnsi="Times New Roman;serif"/>
          <w:b w:val="false"/>
          <w:sz w:val="24"/>
        </w:rPr>
        <w:t>. The Administrative Agent shall have received the executed Warrant Certificate</w:t>
      </w:r>
      <w:r>
        <w:rPr>
          <w:u w:val="single"/>
        </w:rPr>
        <w:t xml:space="preserve"> </w:t>
      </w:r>
      <w:r>
        <w:rPr>
          <w:rFonts w:ascii="Times New Roman;serif" w:hAnsi="Times New Roman;serif"/>
          <w:b w:val="false"/>
          <w:sz w:val="24"/>
          <w:u w:val="single"/>
        </w:rPr>
        <w:t>(Funding Date)</w:t>
      </w:r>
      <w:r>
        <w:rPr>
          <w:rFonts w:ascii="Times New Roman;serif" w:hAnsi="Times New Roman;serif"/>
          <w:b w:val="false"/>
          <w:sz w:val="24"/>
        </w:rPr>
        <w:t>, dated as of the Funding Date.</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pPr>
      <w:r>
        <w:rPr>
          <w:rFonts w:ascii="Times New Roman;serif" w:hAnsi="Times New Roman;serif"/>
          <w:b w:val="false"/>
          <w:i/>
          <w:sz w:val="24"/>
        </w:rPr>
        <w:t>Security Documents.</w:t>
      </w:r>
      <w:r>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Security Documents, including, without limitation, the Security Agreement, each Short</w:t>
        <w:noBreakHyphen/>
        <w:t>Form IP Security Agreement and financing statements, duly executed and delivered by each of the Obligors and the other parties thereto.</w:t>
      </w:r>
    </w:p>
    <w:p>
      <w:pPr>
        <w:pStyle w:val="TextBody"/>
        <w:bidi w:val="0"/>
        <w:spacing w:before="360" w:after="0"/>
        <w:jc w:val="both"/>
        <w:rPr>
          <w:rFonts w:ascii="Times New Roman" w:hAnsi="Times New Roman"/>
          <w:b w:val="false"/>
          <w:sz w:val="24"/>
        </w:rPr>
      </w:pPr>
      <w:r>
        <w:rPr>
          <w:rFonts w:ascii="Times New Roman" w:hAnsi="Times New Roman"/>
          <w:b w:val="false"/>
          <w:sz w:val="24"/>
        </w:rPr>
        <w:t>(B)</w:t>
      </w:r>
    </w:p>
    <w:p>
      <w:pPr>
        <w:pStyle w:val="TextBody"/>
        <w:bidi w:val="0"/>
        <w:spacing w:before="360" w:after="283"/>
        <w:jc w:val="both"/>
        <w:rPr>
          <w:rFonts w:ascii="Times New Roman;serif" w:hAnsi="Times New Roman;serif"/>
          <w:b w:val="false"/>
          <w:sz w:val="24"/>
        </w:rPr>
      </w:pPr>
      <w:r>
        <w:rPr>
          <w:rFonts w:ascii="Times New Roman;serif" w:hAnsi="Times New Roman;serif"/>
          <w:b w:val="false"/>
          <w:sz w:val="24"/>
        </w:rPr>
        <w:t>Without limitation, all other documents and instruments reasonably required to perfect the Lenders’ Lien on, and security interest in, the Collateral required to be delivered on or prior to the Funding Date shall have been duly executed and delivered and be in proper form for filing, and shall create in favor of the Administrative Agent, for the benefit of the Lenders, a perfected Lien on, and security interest in, the Collateral, subject to no Liens other than Permitted Liens.</w:t>
      </w:r>
    </w:p>
    <w:p>
      <w:pPr>
        <w:pStyle w:val="TextBody"/>
        <w:bidi w:val="0"/>
        <w:spacing w:before="0" w:after="0"/>
        <w:jc w:val="center"/>
        <w:rPr/>
      </w:pPr>
      <w:r>
        <w:rPr/>
        <w:noBreakHyphen/>
      </w:r>
      <w:r>
        <w:rPr>
          <w:rFonts w:ascii="Times New Roman;serif" w:hAnsi="Times New Roman;serif"/>
          <w:b w:val="false"/>
          <w:sz w:val="24"/>
        </w:rPr>
        <w:t>53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pPr>
      <w:r>
        <w:rPr>
          <w:rFonts w:ascii="Times New Roman;serif" w:hAnsi="Times New Roman;serif"/>
          <w:b w:val="false"/>
          <w:i/>
          <w:sz w:val="24"/>
        </w:rPr>
        <w:t>Opinion of Counsel.</w:t>
      </w:r>
      <w:r>
        <w:rPr/>
        <w:t xml:space="preserve"> </w:t>
      </w:r>
      <w:r>
        <w:rPr>
          <w:rFonts w:ascii="Times New Roman;serif" w:hAnsi="Times New Roman;serif"/>
          <w:b w:val="false"/>
          <w:sz w:val="24"/>
        </w:rPr>
        <w:t>A favorable opinion, dated as of the Funding Date, of Sidley Austin LLP, counsel to each Obligor in form reasonably acceptable to the Administrative Agent and its counsel.</w:t>
      </w:r>
    </w:p>
    <w:p>
      <w:pPr>
        <w:pStyle w:val="TextBody"/>
        <w:bidi w:val="0"/>
        <w:spacing w:before="280" w:after="0"/>
        <w:jc w:val="both"/>
        <w:rPr>
          <w:rFonts w:ascii="Times New Roman" w:hAnsi="Times New Roman"/>
          <w:b w:val="false"/>
          <w:sz w:val="24"/>
        </w:rPr>
      </w:pPr>
      <w:r>
        <w:rPr>
          <w:rFonts w:ascii="Times New Roman" w:hAnsi="Times New Roman"/>
          <w:b w:val="false"/>
          <w:sz w:val="24"/>
        </w:rPr>
        <w:t>(v)</w:t>
      </w:r>
    </w:p>
    <w:p>
      <w:pPr>
        <w:pStyle w:val="TextBody"/>
        <w:bidi w:val="0"/>
        <w:spacing w:before="280" w:after="0"/>
        <w:jc w:val="both"/>
        <w:rPr/>
      </w:pPr>
      <w:r>
        <w:rPr>
          <w:rFonts w:ascii="Times New Roman;serif" w:hAnsi="Times New Roman;serif"/>
          <w:b w:val="false"/>
          <w:i/>
          <w:sz w:val="24"/>
        </w:rPr>
        <w:t>Officer’s Certificate.</w:t>
      </w:r>
      <w:r>
        <w:rPr/>
        <w:t xml:space="preserve"> </w:t>
      </w:r>
      <w:r>
        <w:rPr>
          <w:rFonts w:ascii="Times New Roman;serif" w:hAnsi="Times New Roman;serif"/>
          <w:b w:val="false"/>
          <w:sz w:val="24"/>
        </w:rPr>
        <w:t xml:space="preserve">A certificate, in form and substance satisfactory to the Administrative Agent, dated as of the Funding Date and signed by a Responsible Officer of the Borrower: (A) confirming compliance with the conditions set forth in subsections (d), (e) and (f) of this Section 6.02, (B) certifying that the applicable names, titles and officers of each Obligor have not changed since the Closing Date and (C) confirming that the Organizational Documents of each Obligor have not changed since the Closing Date. </w:t>
      </w:r>
    </w:p>
    <w:p>
      <w:pPr>
        <w:pStyle w:val="TextBody"/>
        <w:bidi w:val="0"/>
        <w:spacing w:before="280" w:after="0"/>
        <w:jc w:val="both"/>
        <w:rPr>
          <w:rFonts w:ascii="Times New Roman" w:hAnsi="Times New Roman"/>
          <w:b w:val="false"/>
          <w:sz w:val="24"/>
        </w:rPr>
      </w:pPr>
      <w:r>
        <w:rPr>
          <w:rFonts w:ascii="Times New Roman" w:hAnsi="Times New Roman"/>
          <w:b w:val="false"/>
          <w:sz w:val="24"/>
        </w:rPr>
        <w:t>(vi)</w:t>
      </w:r>
    </w:p>
    <w:p>
      <w:pPr>
        <w:pStyle w:val="TextBody"/>
        <w:bidi w:val="0"/>
        <w:spacing w:before="280" w:after="0"/>
        <w:jc w:val="both"/>
        <w:rPr/>
      </w:pPr>
      <w:r>
        <w:rPr>
          <w:rFonts w:ascii="Times New Roman;serif" w:hAnsi="Times New Roman;serif"/>
          <w:b w:val="false"/>
          <w:sz w:val="24"/>
        </w:rPr>
        <w:t>If the Funding Date occurs more than thirty (30) days after the Closing Date:</w:t>
      </w:r>
      <w:r>
        <w:rPr/>
        <w:t xml:space="preserve"> </w:t>
      </w:r>
    </w:p>
    <w:p>
      <w:pPr>
        <w:pStyle w:val="TextBody"/>
        <w:bidi w:val="0"/>
        <w:spacing w:before="360" w:after="0"/>
        <w:jc w:val="both"/>
        <w:rPr>
          <w:rFonts w:ascii="Times New Roman" w:hAnsi="Times New Roman"/>
          <w:b w:val="false"/>
          <w:sz w:val="24"/>
        </w:rPr>
      </w:pPr>
      <w:r>
        <w:rPr>
          <w:rFonts w:ascii="Times New Roman" w:hAnsi="Times New Roman"/>
          <w:b w:val="false"/>
          <w:sz w:val="24"/>
        </w:rPr>
        <w:t>(A)</w:t>
      </w:r>
    </w:p>
    <w:p>
      <w:pPr>
        <w:pStyle w:val="TextBody"/>
        <w:bidi w:val="0"/>
        <w:spacing w:before="360" w:after="0"/>
        <w:jc w:val="both"/>
        <w:rPr/>
      </w:pPr>
      <w:r>
        <w:rPr>
          <w:rFonts w:ascii="Times New Roman;serif" w:hAnsi="Times New Roman;serif"/>
          <w:b w:val="false"/>
          <w:i/>
          <w:sz w:val="24"/>
        </w:rPr>
        <w:t>Good Standing Certificates.</w:t>
      </w:r>
      <w:r>
        <w:rPr/>
        <w:t xml:space="preserve"> </w:t>
      </w:r>
      <w:r>
        <w:rPr>
          <w:rFonts w:ascii="Times New Roman;serif" w:hAnsi="Times New Roman;serif"/>
          <w:b w:val="false"/>
          <w:sz w:val="24"/>
        </w:rPr>
        <w:t>A good standing certificate and/or compliance certificate from the applicable Governmental Authority of each Obligor’s jurisdiction of incorporation or organization, and in each jurisdiction in which it is qualified as a foreign corporation or other entity to do business (except where failure to be in good standing would not, either individually or in the aggregate, reasonably be expected to have a Material Adverse Effect), each dated a recent date prior to the Funding Date.</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Bringdown Lien Searches.</w:t>
      </w:r>
      <w:r>
        <w:rPr/>
        <w:t xml:space="preserve"> </w:t>
      </w:r>
      <w:r>
        <w:rPr>
          <w:rFonts w:ascii="Times New Roman;serif" w:hAnsi="Times New Roman;serif"/>
          <w:b w:val="false"/>
          <w:sz w:val="24"/>
        </w:rPr>
        <w:t>The Administrative Agent shall be satisfied with bringdown Lien searches regarding the Obligors made prior to the Funding Date.</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Funding Fees and Expenses.</w:t>
      </w:r>
      <w:r>
        <w:rPr/>
        <w:t xml:space="preserve"> </w:t>
      </w:r>
      <w:r>
        <w:rPr>
          <w:rFonts w:ascii="Times New Roman;serif" w:hAnsi="Times New Roman;serif"/>
          <w:b w:val="false"/>
          <w:sz w:val="24"/>
        </w:rPr>
        <w:t>The Lenders and their Affiliates shall have received for their own account, the Funding Fee and all fees, costs and expenses due (including applicable attorney costs and the reasonable and documented out</w:t>
        <w:noBreakHyphen/>
        <w:t>of</w:t>
        <w:noBreakHyphen/>
        <w:t>pocket fees and expenses of any other advisors to the Lenders) and payable pursuant to Section 13.03.</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pPr>
      <w:r>
        <w:rPr>
          <w:rFonts w:ascii="Times New Roman;serif" w:hAnsi="Times New Roman;serif"/>
          <w:b w:val="false"/>
          <w:i/>
          <w:sz w:val="24"/>
        </w:rPr>
        <w:t>Indebtedness.</w:t>
      </w:r>
      <w:r>
        <w:rPr/>
        <w:t xml:space="preserve"> </w:t>
      </w:r>
      <w:r>
        <w:rPr>
          <w:rFonts w:ascii="Times New Roman;serif" w:hAnsi="Times New Roman;serif"/>
          <w:b w:val="false"/>
          <w:sz w:val="24"/>
        </w:rPr>
        <w:t>As of the Funding Date, after giving effect to the Transactions, no Obligor shall have any Indebtedness other than the Obligations, the Permitted Indebtedness and any Indebtedness specified on Schedule 7.13A. The Indebtedness evidenced by the Existing Credit Agreements shall have been repaid in full, all commitments (if any) in respect thereof terminated, all guarantees (if any) thereof discharged and released and all security therefor (if any) released, together with all fees and other amounts owing thereon, or documentation in form and substance reasonably satisfactory to the Administrative Agent to effect such release upon such repayment and termination shall have been delivered to the Administrative Agent.</w:t>
      </w:r>
    </w:p>
    <w:p>
      <w:pPr>
        <w:pStyle w:val="TextBody"/>
        <w:bidi w:val="0"/>
        <w:spacing w:before="0" w:after="0"/>
        <w:jc w:val="center"/>
        <w:rPr/>
      </w:pPr>
      <w:r>
        <w:rPr/>
        <w:noBreakHyphen/>
      </w:r>
      <w:r>
        <w:rPr>
          <w:rFonts w:ascii="Times New Roman;serif" w:hAnsi="Times New Roman;serif"/>
          <w:b w:val="false"/>
          <w:sz w:val="24"/>
        </w:rPr>
        <w:t>54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pPr>
      <w:r>
        <w:rPr>
          <w:rFonts w:ascii="Times New Roman;serif" w:hAnsi="Times New Roman;serif"/>
          <w:b w:val="false"/>
          <w:i/>
          <w:sz w:val="24"/>
        </w:rPr>
        <w:t>Representations and Warranties</w:t>
      </w:r>
      <w:r>
        <w:rPr>
          <w:rFonts w:ascii="Times New Roman;serif" w:hAnsi="Times New Roman;serif"/>
          <w:b w:val="false"/>
          <w:sz w:val="24"/>
        </w:rPr>
        <w:t xml:space="preserve">. The representations and warranties of the Obligors contained in Article 7 or any other Loan Document shall be true and correct in all material respects on and as of the Funding Date;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4"/>
        </w:rPr>
        <w:t>provided further</w:t>
      </w:r>
      <w:r>
        <w:rPr/>
        <w:t xml:space="preserve"> </w:t>
      </w:r>
      <w:r>
        <w:rPr>
          <w:rFonts w:ascii="Times New Roman;serif" w:hAnsi="Times New Roman;serif"/>
          <w:b w:val="false"/>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pPr>
      <w:r>
        <w:rPr>
          <w:rFonts w:ascii="Times New Roman;serif" w:hAnsi="Times New Roman;serif"/>
          <w:b w:val="false"/>
          <w:i/>
          <w:sz w:val="24"/>
        </w:rPr>
        <w:t>Required Equity Financing</w:t>
      </w:r>
      <w:r>
        <w:rPr>
          <w:rFonts w:ascii="Times New Roman;serif" w:hAnsi="Times New Roman;serif"/>
          <w:b w:val="false"/>
          <w:sz w:val="24"/>
        </w:rPr>
        <w:t>. The Borrower shall have raised new equity resulting in gross proceeds of at least $30,000,000, on terms reasonably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283"/>
        <w:jc w:val="both"/>
        <w:rPr/>
      </w:pPr>
      <w:r>
        <w:rPr>
          <w:rFonts w:ascii="Times New Roman;serif" w:hAnsi="Times New Roman;serif"/>
          <w:b w:val="false"/>
          <w:i/>
          <w:sz w:val="24"/>
        </w:rPr>
        <w:t>No Default</w:t>
      </w:r>
      <w:r>
        <w:rPr>
          <w:rFonts w:ascii="Times New Roman;serif" w:hAnsi="Times New Roman;serif"/>
          <w:b w:val="false"/>
          <w:sz w:val="24"/>
        </w:rPr>
        <w:t>. No Default shall exist, or would result from such proposed Borrowing or from the application of the proceeds therefrom.</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6.03. Conditions to Tranche B Loan; Tranche B Loan Borrowing Date.</w:t>
      </w:r>
      <w:r>
        <w:rPr>
          <w:rFonts w:ascii="Times New Roman" w:hAnsi="Times New Roman"/>
          <w:sz w:val="20"/>
        </w:rPr>
        <w:t xml:space="preserve"> </w:t>
      </w:r>
      <w:r>
        <w:rPr>
          <w:rFonts w:ascii="Times New Roman;serif" w:hAnsi="Times New Roman;serif"/>
          <w:b w:val="false"/>
          <w:sz w:val="24"/>
        </w:rPr>
        <w:t>The obligation of each Lender to make the Tranche B Loan on the Tranche B Loan Borrowing Date shall not become effective until the following conditions precedent shall have been satisfied or waived in writing by the Administrative Agent (which satisfaction or waiver may be made simultaneously with the making of the Tranche B Loan hereunder):</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Tranche B Loan Commitment Termination Date</w:t>
      </w:r>
      <w:r>
        <w:rPr>
          <w:rFonts w:ascii="Times New Roman;serif" w:hAnsi="Times New Roman;serif"/>
          <w:b w:val="false"/>
          <w:sz w:val="24"/>
        </w:rPr>
        <w:t>. The Tranche B Loan Commitment Termination Date shall not have occurred.</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Borrowing Notice.</w:t>
      </w:r>
      <w:r>
        <w:rPr/>
        <w:t xml:space="preserve"> </w:t>
      </w:r>
      <w:r>
        <w:rPr>
          <w:rFonts w:ascii="Times New Roman;serif" w:hAnsi="Times New Roman;serif"/>
          <w:b w:val="false"/>
          <w:sz w:val="24"/>
        </w:rPr>
        <w:t>The Administrative Agent shall have received a Borrowing Notice in accordance with Section 2.01(b)(ii) requesting the Borrowing of the Tranche B Loan duly executed by a Responsible Officer of the Borrower and the Borrower’s updated Schedules to this Agreement (if any), in form and substance reasonably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pPr>
      <w:r>
        <w:rPr>
          <w:rFonts w:ascii="Times New Roman;serif" w:hAnsi="Times New Roman;serif"/>
          <w:b w:val="false"/>
          <w:i/>
          <w:sz w:val="24"/>
        </w:rPr>
        <w:t>Representations and Warranties</w:t>
      </w:r>
      <w:r>
        <w:rPr>
          <w:rFonts w:ascii="Times New Roman;serif" w:hAnsi="Times New Roman;serif"/>
          <w:b w:val="false"/>
          <w:sz w:val="24"/>
        </w:rPr>
        <w:t xml:space="preserve">. The representations and warranties of the Obligors contained in Article 7 or any other Loan Document shall be true and correct in all material respects on and as of the Tranche B Loan Borrowing Date;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4"/>
        </w:rPr>
        <w:t>provided further</w:t>
      </w:r>
      <w:r>
        <w:rPr/>
        <w:t xml:space="preserve"> </w:t>
      </w:r>
      <w:r>
        <w:rPr>
          <w:rFonts w:ascii="Times New Roman;serif" w:hAnsi="Times New Roman;serif"/>
          <w:b w:val="false"/>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pPr>
      <w:r>
        <w:rPr>
          <w:rFonts w:ascii="Times New Roman;serif" w:hAnsi="Times New Roman;serif"/>
          <w:b w:val="false"/>
          <w:i/>
          <w:sz w:val="24"/>
        </w:rPr>
        <w:t>No Default</w:t>
      </w:r>
      <w:r>
        <w:rPr>
          <w:rFonts w:ascii="Times New Roman;serif" w:hAnsi="Times New Roman;serif"/>
          <w:b w:val="false"/>
          <w:sz w:val="24"/>
        </w:rPr>
        <w:t>. No Default shall exist, or would result from such proposed Borrowing or from the application of the proceeds therefrom.</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283"/>
        <w:jc w:val="both"/>
        <w:rPr/>
      </w:pPr>
      <w:r>
        <w:rPr>
          <w:rFonts w:ascii="Times New Roman;serif" w:hAnsi="Times New Roman;serif"/>
          <w:b w:val="false"/>
          <w:i/>
          <w:sz w:val="24"/>
        </w:rPr>
        <w:t>Officer’s Certificate.</w:t>
      </w:r>
      <w:r>
        <w:rPr/>
        <w:t xml:space="preserve"> </w:t>
      </w:r>
      <w:r>
        <w:rPr>
          <w:rFonts w:ascii="Times New Roman;serif" w:hAnsi="Times New Roman;serif"/>
          <w:b w:val="false"/>
          <w:sz w:val="24"/>
        </w:rPr>
        <w:t>A certificate, dated as of the Tranche B Borrowing Date and signed by a Responsible Officer of the Borrower, confirming compliance with the conditions set forth in subsections (c), (d) and (f) of this Section 6.03.</w:t>
      </w:r>
    </w:p>
    <w:p>
      <w:pPr>
        <w:pStyle w:val="TextBody"/>
        <w:bidi w:val="0"/>
        <w:spacing w:before="0" w:after="0"/>
        <w:jc w:val="center"/>
        <w:rPr/>
      </w:pPr>
      <w:r>
        <w:rPr/>
        <w:noBreakHyphen/>
      </w:r>
      <w:r>
        <w:rPr>
          <w:rFonts w:ascii="Times New Roman;serif" w:hAnsi="Times New Roman;serif"/>
          <w:b w:val="false"/>
          <w:sz w:val="24"/>
        </w:rPr>
        <w:t>55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pPr>
      <w:r>
        <w:rPr>
          <w:rFonts w:ascii="Times New Roman;serif" w:hAnsi="Times New Roman;serif"/>
          <w:b w:val="false"/>
          <w:i/>
          <w:sz w:val="24"/>
        </w:rPr>
        <w:t>Milestone.</w:t>
      </w:r>
      <w:r>
        <w:rPr/>
        <w:t xml:space="preserve"> </w:t>
      </w:r>
      <w:r>
        <w:rPr>
          <w:rFonts w:ascii="Times New Roman;serif" w:hAnsi="Times New Roman;serif"/>
          <w:b w:val="false"/>
          <w:sz w:val="24"/>
        </w:rPr>
        <w:t>The Administrative Agent shall have received evidence reasonably satisfactory to the Administrative Agent that the Borrower has achieved Net Revenue of at least $65,000,000 for any twelve (12) consecutive month period prior to the Tranche B Borrowing Date.</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283"/>
        <w:jc w:val="both"/>
        <w:rPr/>
      </w:pPr>
      <w:r>
        <w:rPr>
          <w:rFonts w:ascii="Times New Roman;serif" w:hAnsi="Times New Roman;serif"/>
          <w:b w:val="false"/>
          <w:i/>
          <w:sz w:val="24"/>
        </w:rPr>
        <w:t>Expenses.</w:t>
      </w:r>
      <w:r>
        <w:rPr/>
        <w:t xml:space="preserve"> </w:t>
      </w:r>
      <w:r>
        <w:rPr>
          <w:rFonts w:ascii="Times New Roman;serif" w:hAnsi="Times New Roman;serif"/>
          <w:b w:val="false"/>
          <w:sz w:val="24"/>
        </w:rPr>
        <w:t>The Lenders and their Affiliates shall have received for their own account, all fees, costs and expenses due (including applicable attorney costs and the reasonable and documented out-of-pocket fees and expenses of any other advisors to the Lenders) and payable pursuant to Section 13.03.</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6.04. Conditions to Tranche C Loan; Tranche C Loan Borrowing Date.</w:t>
      </w:r>
      <w:r>
        <w:rPr>
          <w:rFonts w:ascii="Times New Roman" w:hAnsi="Times New Roman"/>
          <w:sz w:val="20"/>
        </w:rPr>
        <w:t xml:space="preserve"> </w:t>
      </w:r>
      <w:r>
        <w:rPr>
          <w:rFonts w:ascii="Times New Roman;serif" w:hAnsi="Times New Roman;serif"/>
          <w:b w:val="false"/>
          <w:sz w:val="24"/>
        </w:rPr>
        <w:t>The obligation of each Lender to make the Tranche C Loan on the Tranche C Loan Borrowing Date shall not become effective until the following conditions precedent shall have been satisfied or waived in writing by the Administrative Agent (which satisfaction or waiver may be made simultaneously with the making of the Tranche C Loan hereunder):</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Tranche C Loan Commitment Termination Date</w:t>
      </w:r>
      <w:r>
        <w:rPr>
          <w:rFonts w:ascii="Times New Roman;serif" w:hAnsi="Times New Roman;serif"/>
          <w:b w:val="false"/>
          <w:sz w:val="24"/>
        </w:rPr>
        <w:t>. The Tranche C Loan Commitment Termination Date shall not have occurred.</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Borrowing Notice.</w:t>
      </w:r>
      <w:r>
        <w:rPr/>
        <w:t xml:space="preserve"> </w:t>
      </w:r>
      <w:r>
        <w:rPr>
          <w:rFonts w:ascii="Times New Roman;serif" w:hAnsi="Times New Roman;serif"/>
          <w:b w:val="false"/>
          <w:sz w:val="24"/>
        </w:rPr>
        <w:t>The Administrative Agent shall have received a Borrowing Notice in accordance with Section 2.01(c)(ii) requesting the Borrowing of the Tranche C Loan duly executed by a Responsible Officer of the Borrower and the Borrower’s updated Schedules to this Agreement (if any), in form and substance reasonably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pPr>
      <w:r>
        <w:rPr>
          <w:rFonts w:ascii="Times New Roman;serif" w:hAnsi="Times New Roman;serif"/>
          <w:b w:val="false"/>
          <w:i/>
          <w:sz w:val="24"/>
        </w:rPr>
        <w:t>Representations and Warranties</w:t>
      </w:r>
      <w:r>
        <w:rPr>
          <w:rFonts w:ascii="Times New Roman;serif" w:hAnsi="Times New Roman;serif"/>
          <w:b w:val="false"/>
          <w:sz w:val="24"/>
        </w:rPr>
        <w:t xml:space="preserve">. The representations and warranties of the Obligors contained in Article 7 or any other Loan Document shall be true and correct in all material respects on and as of the Tranche C Loan Borrowing Date;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4"/>
        </w:rPr>
        <w:t>provided further</w:t>
      </w:r>
      <w:r>
        <w:rPr/>
        <w:t xml:space="preserve"> </w:t>
      </w:r>
      <w:r>
        <w:rPr>
          <w:rFonts w:ascii="Times New Roman;serif" w:hAnsi="Times New Roman;serif"/>
          <w:b w:val="false"/>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pPr>
      <w:r>
        <w:rPr>
          <w:rFonts w:ascii="Times New Roman;serif" w:hAnsi="Times New Roman;serif"/>
          <w:b w:val="false"/>
          <w:i/>
          <w:sz w:val="24"/>
        </w:rPr>
        <w:t>No Default</w:t>
      </w:r>
      <w:r>
        <w:rPr>
          <w:rFonts w:ascii="Times New Roman;serif" w:hAnsi="Times New Roman;serif"/>
          <w:b w:val="false"/>
          <w:sz w:val="24"/>
        </w:rPr>
        <w:t>. No Default shall exist, or would result from such proposed Borrowing or from the application of the proceeds therefrom.</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pPr>
      <w:r>
        <w:rPr>
          <w:rFonts w:ascii="Times New Roman;serif" w:hAnsi="Times New Roman;serif"/>
          <w:b w:val="false"/>
          <w:i/>
          <w:sz w:val="24"/>
        </w:rPr>
        <w:t>Officer’s Certificate.</w:t>
      </w:r>
      <w:r>
        <w:rPr/>
        <w:t xml:space="preserve"> </w:t>
      </w:r>
      <w:r>
        <w:rPr>
          <w:rFonts w:ascii="Times New Roman;serif" w:hAnsi="Times New Roman;serif"/>
          <w:b w:val="false"/>
          <w:sz w:val="24"/>
        </w:rPr>
        <w:t>A certificate, dated as of the Tranche C Borrowing Date and signed by a Responsible Officer of the Borrower, confirming compliance with the conditions set forth in subsections (c), (d) and (f) of this Section 6.04.</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283"/>
        <w:jc w:val="both"/>
        <w:rPr/>
      </w:pPr>
      <w:r>
        <w:rPr>
          <w:rFonts w:ascii="Times New Roman;serif" w:hAnsi="Times New Roman;serif"/>
          <w:b w:val="false"/>
          <w:i/>
          <w:sz w:val="24"/>
        </w:rPr>
        <w:t>Milestone.</w:t>
      </w:r>
      <w:r>
        <w:rPr/>
        <w:t xml:space="preserve"> </w:t>
      </w:r>
      <w:r>
        <w:rPr>
          <w:rFonts w:ascii="Times New Roman;serif" w:hAnsi="Times New Roman;serif"/>
          <w:b w:val="false"/>
          <w:sz w:val="24"/>
        </w:rPr>
        <w:t>The Administrative Agent shall have received evidence reasonably satisfactory to the Administrative Agent that the Borrower has achieved Net Revenue of at least $95,000,000 for any twelve (12) consecutive month period prior to the Tranche C Borrowing Date.</w:t>
      </w:r>
    </w:p>
    <w:p>
      <w:pPr>
        <w:pStyle w:val="TextBody"/>
        <w:bidi w:val="0"/>
        <w:spacing w:before="0" w:after="0"/>
        <w:jc w:val="center"/>
        <w:rPr/>
      </w:pPr>
      <w:r>
        <w:rPr/>
        <w:noBreakHyphen/>
      </w:r>
      <w:r>
        <w:rPr>
          <w:rFonts w:ascii="Times New Roman;serif" w:hAnsi="Times New Roman;serif"/>
          <w:b w:val="false"/>
          <w:sz w:val="24"/>
        </w:rPr>
        <w:t>56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283"/>
        <w:jc w:val="both"/>
        <w:rPr/>
      </w:pPr>
      <w:r>
        <w:rPr>
          <w:rFonts w:ascii="Times New Roman;serif" w:hAnsi="Times New Roman;serif"/>
          <w:b w:val="false"/>
          <w:i/>
          <w:sz w:val="24"/>
        </w:rPr>
        <w:t>Expenses.</w:t>
      </w:r>
      <w:r>
        <w:rPr/>
        <w:t xml:space="preserve"> </w:t>
      </w:r>
      <w:r>
        <w:rPr>
          <w:rFonts w:ascii="Times New Roman;serif" w:hAnsi="Times New Roman;serif"/>
          <w:b w:val="false"/>
          <w:sz w:val="24"/>
        </w:rPr>
        <w:t>The Lenders and their Affiliates shall have received for their own account, all fees, costs and expenses due (including applicable attorney costs and the reasonable and documented out-of-pocket fees and expenses of any other advisors to the Lenders) and payable pursuant to Section 13.03.</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borrowing of the Term Loans shall constitute a certification by the Borrower to the effect that the conditions set forth in Section 6.02, 6.03 and 6.04, as applicable, have been fulfilled as of the Funding Date, the Tranche B Loan Borrowing Date or the Tranche C Loan Borrowing Date, as applicable.</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7 </w:t>
        <w:br/>
        <w:br/>
        <w:t>Representations and Warranties</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 order to induce the Lenders to enter into this Agreement and to extend the Term Loans hereunder, each Obligor represents and warrants to the Lenders and the Administrative Agent, on the Closing Date (solely with respect to the Specified Representations), on the Funding Date, on the Tranche B Loan Borrowing Date and on the Tranche C Loan Borrowing Date, as applicable, that the following statements are true and correct: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7.01. Power and Authority.</w:t>
      </w:r>
      <w:r>
        <w:rPr>
          <w:rFonts w:ascii="Times New Roman" w:hAnsi="Times New Roman"/>
          <w:sz w:val="20"/>
        </w:rPr>
        <w:t xml:space="preserve"> </w:t>
      </w:r>
      <w:r>
        <w:rPr>
          <w:rFonts w:ascii="Times New Roman;serif" w:hAnsi="Times New Roman;serif"/>
          <w:b w:val="false"/>
          <w:sz w:val="24"/>
        </w:rPr>
        <w:t>Each Obligor and each of its Subsidiaries (a) is duly organized, validly existing and in good standing under the Laws of its jurisdiction of organization, (b) has all requisite corporate (or equivalent) power, (c) has all material Governmental Approvals necessary to own its assets and carry on its business as now being or as proposed to be conducted except to the extent that failure to have the same would not reasonably be expected to have a Material Adverse Effect, (d) is qualified to do business and is in good standing in all jurisdictions in which the nature of the business conducted by it makes such qualification necessary except where failure to so qualify would not (either individually or in the aggregate) reasonably be expected to result in a Material Adverse Effect, and (e) has full power, authority and legal right to make and perform its obligations under each of the Loan Documents to which it is a party and, in the case of the Borrower, to borrow the Term Loans hereunder.</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7.02. Authorization; Enforceability</w:t>
      </w:r>
      <w:r>
        <w:rPr>
          <w:rFonts w:ascii="Times New Roman;serif" w:hAnsi="Times New Roman;serif"/>
          <w:b w:val="false"/>
          <w:sz w:val="24"/>
        </w:rPr>
        <w:t>The Transactions are within each Obligor’s corporate (or equivalent) powers 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7.03. Governmental and Other Approvals; No Conflicts.</w:t>
      </w:r>
      <w:r>
        <w:rPr>
          <w:rFonts w:ascii="Times New Roman" w:hAnsi="Times New Roman"/>
          <w:sz w:val="20"/>
        </w:rPr>
        <w:t xml:space="preserve"> </w:t>
      </w:r>
      <w:r>
        <w:rPr>
          <w:rFonts w:ascii="Times New Roman;serif" w:hAnsi="Times New Roman;serif"/>
          <w:b w:val="false"/>
          <w:sz w:val="24"/>
        </w:rPr>
        <w:t>The Transactions (a) do not require any consent or approval of, registration or filing with, or any other action by, any</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57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Governmental Authority or any other Person, except for (i) prior to the Funding Date, those consents and approvals required by the Indebtedness set forth on Schedule 7.13(A) which is subject to the Refinancing, (ii) such as have been obtained or made and are in full force and effect and (iii) filings and recordings in respect of perfecting or recording the Liens created pursuant to the Security Documents, (b) will not violate any applicable Requirement of Law or any applicable order of any Governmental Authority, in each case, other than any such violations that, individually or in the aggregate, would not reasonably be expected to have a Material Adverse Effect, (c) will not violate the Organizational Documents of any Obligor other than any such violations that, individually or in the aggregate, would not reasonably be expected to have a Material Adverse Effect, (d) will not violate or result in a default under any Material Agreement, or give rise to a right thereunder to require any payment to be made by any such Person and (e) will not result in the creation or imposition of any Lien (other than Permitted Liens) on any asset of any Obligor or any of its Subsidiaries.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7.04. Financial Statements; Projections; Material Adverse Change</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 xml:space="preserve">Financial Statements. </w:t>
      </w:r>
      <w:r>
        <w:rPr>
          <w:rFonts w:ascii="Times New Roman;serif" w:hAnsi="Times New Roman;serif"/>
          <w:b w:val="false"/>
          <w:sz w:val="24"/>
        </w:rPr>
        <w:t>The Borrower has heretofore furnished to the Administrative Agent certain consolidated financial statements as provided for in Section 8.01. Such financial statements present fairly, in all material respects, the consolidated financial position and results of operations and cash flows of the Obligors as of such dates and for such periods substantially in accordance with GAAP, subject to quarterly or year</w:t>
        <w:noBreakHyphen/>
        <w:t>end adjustments and the absence of footnotes. As of the date of such financial statements, no Obligor has any material contingent liabilities, long</w:t>
        <w:noBreakHyphen/>
        <w:t>term lease or unusual forward or long</w:t>
        <w:noBreakHyphen/>
        <w:t>term commitments not disclosed in the aforementioned financial statements.</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Projections.</w:t>
      </w:r>
      <w:r>
        <w:rPr/>
        <w:t xml:space="preserve"> </w:t>
      </w:r>
      <w:r>
        <w:rPr>
          <w:rFonts w:ascii="Times New Roman;serif" w:hAnsi="Times New Roman;serif"/>
          <w:b w:val="false"/>
          <w:sz w:val="24"/>
        </w:rPr>
        <w:t xml:space="preserve">On and as of the Closing Date, the projections of the Obligors (collectively, the </w:t>
      </w:r>
      <w:r>
        <w:rPr/>
        <w:t>“</w:t>
      </w:r>
      <w:r>
        <w:rPr>
          <w:rFonts w:ascii="Times New Roman;serif" w:hAnsi="Times New Roman;serif"/>
          <w:b w:val="false"/>
          <w:i/>
          <w:sz w:val="24"/>
        </w:rPr>
        <w:t>Projections”</w:t>
      </w:r>
      <w:r>
        <w:rPr>
          <w:rFonts w:ascii="Times New Roman;serif" w:hAnsi="Times New Roman;serif"/>
          <w:b w:val="false"/>
          <w:sz w:val="24"/>
        </w:rPr>
        <w:t xml:space="preserve">) are based on good faith estimates and reasonable assumptions made by the management of the Borrower; </w:t>
      </w:r>
      <w:r>
        <w:rPr>
          <w:rFonts w:ascii="Times New Roman;serif" w:hAnsi="Times New Roman;serif"/>
          <w:b w:val="false"/>
          <w:i/>
          <w:sz w:val="24"/>
        </w:rPr>
        <w:t>provided,</w:t>
      </w:r>
      <w:r>
        <w:rPr/>
        <w:t xml:space="preserve"> </w:t>
      </w:r>
      <w:r>
        <w:rPr>
          <w:rFonts w:ascii="Times New Roman;serif" w:hAnsi="Times New Roman;serif"/>
          <w:b w:val="false"/>
          <w:sz w:val="24"/>
        </w:rPr>
        <w:t xml:space="preserve">the Projections are not to be viewed as facts and that actual results during the period or periods covered by the Projections may differ from such Projections and that the differences may be material; </w:t>
      </w:r>
      <w:r>
        <w:rPr>
          <w:rFonts w:ascii="Times New Roman;serif" w:hAnsi="Times New Roman;serif"/>
          <w:b w:val="false"/>
          <w:i/>
          <w:sz w:val="24"/>
        </w:rPr>
        <w:t>provided, further,</w:t>
      </w:r>
      <w:r>
        <w:rPr/>
        <w:t xml:space="preserve"> </w:t>
      </w:r>
      <w:r>
        <w:rPr>
          <w:rFonts w:ascii="Times New Roman;serif" w:hAnsi="Times New Roman;serif"/>
          <w:b w:val="false"/>
          <w:sz w:val="24"/>
        </w:rPr>
        <w:t>as of the Closing Date, the management of the Borrower believes that the Projections are reasonable and attainable, as of the date prepared.</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pPr>
      <w:r>
        <w:rPr>
          <w:rFonts w:ascii="Times New Roman;serif" w:hAnsi="Times New Roman;serif"/>
          <w:b w:val="false"/>
          <w:i/>
          <w:sz w:val="24"/>
        </w:rPr>
        <w:t>No Material Adverse Change.</w:t>
      </w:r>
      <w:r>
        <w:rPr/>
        <w:t xml:space="preserve"> </w:t>
      </w:r>
      <w:r>
        <w:rPr>
          <w:rFonts w:ascii="Times New Roman;serif" w:hAnsi="Times New Roman;serif"/>
          <w:b w:val="false"/>
          <w:sz w:val="24"/>
        </w:rPr>
        <w:t>Since December 31, 2021 no event, circumstance or change has occurred that has caused or evidences, either in individually or in the aggregate, a Material Adverse Change.</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7.05. Properties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pPr>
      <w:r>
        <w:rPr>
          <w:rFonts w:ascii="Times New Roman;serif" w:hAnsi="Times New Roman;serif"/>
          <w:b w:val="false"/>
          <w:i/>
          <w:sz w:val="24"/>
        </w:rPr>
        <w:t>Property Generally.</w:t>
      </w:r>
      <w:r>
        <w:rPr/>
        <w:t xml:space="preserve"> </w:t>
      </w:r>
      <w:r>
        <w:rPr>
          <w:rFonts w:ascii="Times New Roman;serif" w:hAnsi="Times New Roman;serif"/>
          <w:b w:val="false"/>
          <w:sz w:val="24"/>
        </w:rPr>
        <w:t xml:space="preserve">With respect to all real and personal assets and properties of each Obligor and each of its Subsidiaries (other than Intellectual Property which is covered by clause (b) below), such Obligor and each of its Subsidiaries has valid fee simple title to, or valid leasehold or license interests in, all its real and personal Property material to its business, including all Product Assets, subject only to Permitted Liens and except as would not reasonably be expected to materially interfere with its ability to conduct its </w:t>
      </w:r>
    </w:p>
    <w:p>
      <w:pPr>
        <w:pStyle w:val="TextBody"/>
        <w:bidi w:val="0"/>
        <w:spacing w:before="0" w:after="0"/>
        <w:jc w:val="center"/>
        <w:rPr/>
      </w:pPr>
      <w:r>
        <w:rPr/>
        <w:noBreakHyphen/>
      </w:r>
      <w:r>
        <w:rPr>
          <w:rFonts w:ascii="Times New Roman;serif" w:hAnsi="Times New Roman;serif"/>
          <w:b w:val="false"/>
          <w:sz w:val="24"/>
        </w:rPr>
        <w:t>58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business as currently conducted or to utilize such properties for their intended purposes. No Obligor or any Subsidiary thereof owns any real property in fee simple as of the Closing Date and the Funding Date.</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Intellectual Property.</w:t>
      </w:r>
      <w:r>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Schedule 7.05(b) lists, with respect to each Obligor, all United States and foreign registrations of and applications for Patents, Trademarks, Copyrights, and Industrial Designs that are Obligor Intellectual Property owned by or exclusively licensed to such Obligor, including the applicable jurisdiction, registration or application number and date, as applicable thereto, a designation as to whether it is Material Intellectual Property.</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Obligor (A) owns or possesses all legal rights, title and interest in and to the Material Intellectual Property designated on Schedule 7.05(b) as being owned by such Obligor and (B) has the right to use the Material Intellectual Property licensed to such Obligor, in each case free and clear of any Liens or Claims of any kind, other than Permitted Liens, in each case, except as described in Schedule 7.05(b).</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Material Intellectual Property does not violate any license or infringe any valid and enforceable Intellectual Property right of another, that either individually or in the aggregate would reasonably be expected to have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Other than with respect to the Material Agreements, or as permitted by this Agreement, the Obligors have not assigned or otherwise transferred ownership of, or agreed to assign or otherwise transfer ownership of, any Material Intellectual Property owned by an Obligor, in whole or in part, to any Person who is not an Obligor.</w:t>
      </w:r>
    </w:p>
    <w:p>
      <w:pPr>
        <w:pStyle w:val="TextBody"/>
        <w:bidi w:val="0"/>
        <w:spacing w:before="280" w:after="0"/>
        <w:jc w:val="both"/>
        <w:rPr>
          <w:rFonts w:ascii="Times New Roman" w:hAnsi="Times New Roman"/>
          <w:b w:val="false"/>
          <w:sz w:val="24"/>
        </w:rPr>
      </w:pPr>
      <w:r>
        <w:rPr>
          <w:rFonts w:ascii="Times New Roman" w:hAnsi="Times New Roman"/>
          <w:b w:val="false"/>
          <w:sz w:val="24"/>
        </w:rPr>
        <w:t>(v)</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Other than as set forth on Schedule 7.05(b), the Obligors have not received any written communications in the past twelve (12) months, nor is there any pending or, to each Obligor’s knowledge, threatened action in writing, suit, proceeding or claim in writing by another, alleging that any of the Obligors has violated, infringed, diluted or misappropriated any Intellectual Property of another.</w:t>
      </w:r>
    </w:p>
    <w:p>
      <w:pPr>
        <w:pStyle w:val="TextBody"/>
        <w:bidi w:val="0"/>
        <w:spacing w:before="280" w:after="0"/>
        <w:jc w:val="both"/>
        <w:rPr>
          <w:rFonts w:ascii="Times New Roman" w:hAnsi="Times New Roman"/>
          <w:b w:val="false"/>
          <w:sz w:val="24"/>
        </w:rPr>
      </w:pPr>
      <w:r>
        <w:rPr>
          <w:rFonts w:ascii="Times New Roman" w:hAnsi="Times New Roman"/>
          <w:b w:val="false"/>
          <w:sz w:val="24"/>
        </w:rPr>
        <w:t>(vi)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There is no pending or, to any Obligor’s knowledge, threatened action in writing, suit, proceeding or Claim in writing by another: (A) challenging an Obligor’s rights in or to any Material Intellectual Property owned by such Obligor; or (B) challenging the validity, enforceability or scope of any Material Intellectual Property owned by an Obligor.</w:t>
      </w:r>
    </w:p>
    <w:p>
      <w:pPr>
        <w:pStyle w:val="TextBody"/>
        <w:bidi w:val="0"/>
        <w:spacing w:before="280" w:after="0"/>
        <w:jc w:val="both"/>
        <w:rPr>
          <w:rFonts w:ascii="Times New Roman" w:hAnsi="Times New Roman"/>
          <w:b w:val="false"/>
          <w:sz w:val="24"/>
        </w:rPr>
      </w:pPr>
      <w:r>
        <w:rPr>
          <w:rFonts w:ascii="Times New Roman" w:hAnsi="Times New Roman"/>
          <w:b w:val="false"/>
          <w:sz w:val="24"/>
        </w:rPr>
        <w:t>(vii)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Each Obligor has taken commercially reasonable precautions to protect the secrecy, confidentiality and value of the Material Intellectual Property (including without limitation, by requiring that all relevant current and former </w:t>
      </w:r>
    </w:p>
    <w:p>
      <w:pPr>
        <w:pStyle w:val="TextBody"/>
        <w:bidi w:val="0"/>
        <w:spacing w:before="0" w:after="0"/>
        <w:jc w:val="center"/>
        <w:rPr/>
      </w:pPr>
      <w:r>
        <w:rPr/>
        <w:noBreakHyphen/>
      </w:r>
      <w:r>
        <w:rPr>
          <w:rFonts w:ascii="Times New Roman;serif" w:hAnsi="Times New Roman;serif"/>
          <w:b w:val="false"/>
          <w:sz w:val="24"/>
        </w:rPr>
        <w:t>59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employees, contractors and consultants of the Obligors execute written confidentiality and Invention assignment Contracts).</w:t>
      </w:r>
    </w:p>
    <w:p>
      <w:pPr>
        <w:pStyle w:val="TextBody"/>
        <w:bidi w:val="0"/>
        <w:spacing w:before="280" w:after="0"/>
        <w:jc w:val="both"/>
        <w:rPr>
          <w:rFonts w:ascii="Times New Roman" w:hAnsi="Times New Roman"/>
          <w:b w:val="false"/>
          <w:sz w:val="24"/>
        </w:rPr>
      </w:pPr>
      <w:r>
        <w:rPr>
          <w:rFonts w:ascii="Times New Roman" w:hAnsi="Times New Roman"/>
          <w:b w:val="false"/>
          <w:sz w:val="24"/>
        </w:rPr>
        <w:t>(viii)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Obligor has complied in all material respects with the terms of each Material Agreement pursuant to which Intellectual Property has been licensed to the Obligors (which material terms shall include, but not be limited to, pricing and duration of the agreement).</w:t>
      </w:r>
    </w:p>
    <w:p>
      <w:pPr>
        <w:pStyle w:val="TextBody"/>
        <w:bidi w:val="0"/>
        <w:spacing w:before="280" w:after="0"/>
        <w:jc w:val="both"/>
        <w:rPr>
          <w:rFonts w:ascii="Times New Roman" w:hAnsi="Times New Roman"/>
          <w:b w:val="false"/>
          <w:sz w:val="24"/>
        </w:rPr>
      </w:pPr>
      <w:r>
        <w:rPr>
          <w:rFonts w:ascii="Times New Roman" w:hAnsi="Times New Roman"/>
          <w:b w:val="false"/>
          <w:sz w:val="24"/>
        </w:rPr>
        <w:t>(ix)</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All maintenance fees, annuities, and the like due or payable on the Patents within the Material Intellectual Property owned by an Obligor and, to each Obligor’s knowledge, the Patents within the Material Intellectual Property licensed to such Obligor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within the Material Intellectual Property owned by an Obligor and, to each Obligor’s knowledge, the Material Intellectual Property licensed to such Obligor have been validly executed, delivered and filed in a timely manner with the United States Patent and Trademark Office or the United States Copyright Office, as applicable.</w:t>
      </w:r>
    </w:p>
    <w:p>
      <w:pPr>
        <w:pStyle w:val="TextBody"/>
        <w:bidi w:val="0"/>
        <w:spacing w:before="280" w:after="0"/>
        <w:jc w:val="both"/>
        <w:rPr>
          <w:rFonts w:ascii="Times New Roman" w:hAnsi="Times New Roman"/>
          <w:b w:val="false"/>
          <w:sz w:val="24"/>
        </w:rPr>
      </w:pPr>
      <w:r>
        <w:rPr>
          <w:rFonts w:ascii="Times New Roman" w:hAnsi="Times New Roman"/>
          <w:b w:val="false"/>
          <w:sz w:val="24"/>
        </w:rPr>
        <w:t>(x)</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To each Obligor’s knowledge, (A) there are no material defects in the applicable applications for any of the Patents within the Material Intellectual Property owned by an Obligor and (B) no such Patents within the Material Intellectual Property owned by an Obligor have ever been finally adjudicated to be invalid, unpatentable or unenforceable for any reason in any administrative, arbitration, judicial or other proceeding.</w:t>
      </w:r>
    </w:p>
    <w:p>
      <w:pPr>
        <w:pStyle w:val="TextBody"/>
        <w:bidi w:val="0"/>
        <w:spacing w:before="280" w:after="0"/>
        <w:jc w:val="both"/>
        <w:rPr>
          <w:rFonts w:ascii="Times New Roman" w:hAnsi="Times New Roman"/>
          <w:b w:val="false"/>
          <w:sz w:val="24"/>
        </w:rPr>
      </w:pPr>
      <w:r>
        <w:rPr>
          <w:rFonts w:ascii="Times New Roman" w:hAnsi="Times New Roman"/>
          <w:b w:val="false"/>
          <w:sz w:val="24"/>
        </w:rPr>
        <w:t>(xi)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To each Obligor’s knowledge, no Obligor has received any written notice in the past twelve (12) months asserting that the Patents within the Material Intellectual Property owned by an Obligor are invalid, unpatentable or unenforceable and, to each Obligor’s knowledge, no Obligor has engaged in any conduct, or omitted to perform any necessary act, the result of which would invalidate or render unpatentable or unenforceable any such Patent within the Material Intellectual Property.</w:t>
      </w:r>
    </w:p>
    <w:p>
      <w:pPr>
        <w:pStyle w:val="TextBody"/>
        <w:bidi w:val="0"/>
        <w:spacing w:before="280" w:after="0"/>
        <w:jc w:val="both"/>
        <w:rPr>
          <w:rFonts w:ascii="Times New Roman" w:hAnsi="Times New Roman"/>
          <w:b w:val="false"/>
          <w:sz w:val="24"/>
        </w:rPr>
      </w:pPr>
      <w:r>
        <w:rPr>
          <w:rFonts w:ascii="Times New Roman" w:hAnsi="Times New Roman"/>
          <w:b w:val="false"/>
          <w:sz w:val="24"/>
        </w:rPr>
        <w:t>(xii)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employee and consultant with access to Material Intellectual Property has signed a written agreement assigning to the applicable Obligor all intellectual property rights that are created or developed by such employee or consultant, as applicable, on behalf of such Obligor with respect to such Obligor’s business as now conducted and as presently proposed to be conducted and confidentiality provisions protecting trade secrets and confidentiality information of the Obligors.</w:t>
      </w:r>
    </w:p>
    <w:p>
      <w:pPr>
        <w:pStyle w:val="TextBody"/>
        <w:bidi w:val="0"/>
        <w:spacing w:before="280" w:after="0"/>
        <w:jc w:val="both"/>
        <w:rPr>
          <w:rFonts w:ascii="Times New Roman" w:hAnsi="Times New Roman"/>
          <w:b w:val="false"/>
          <w:sz w:val="24"/>
        </w:rPr>
      </w:pPr>
      <w:r>
        <w:rPr>
          <w:rFonts w:ascii="Times New Roman" w:hAnsi="Times New Roman"/>
          <w:b w:val="false"/>
          <w:sz w:val="24"/>
        </w:rPr>
        <w:t>(xiii)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To the knowledge of each Obligor, no third party is infringing upon or misappropriating any Material Intellectual Property, or violating any material </w:t>
      </w:r>
    </w:p>
    <w:p>
      <w:pPr>
        <w:pStyle w:val="TextBody"/>
        <w:bidi w:val="0"/>
        <w:spacing w:before="0" w:after="0"/>
        <w:jc w:val="center"/>
        <w:rPr/>
      </w:pPr>
      <w:r>
        <w:rPr/>
        <w:noBreakHyphen/>
      </w:r>
      <w:r>
        <w:rPr>
          <w:rFonts w:ascii="Times New Roman;serif" w:hAnsi="Times New Roman;serif"/>
          <w:b w:val="false"/>
          <w:sz w:val="24"/>
        </w:rPr>
        <w:t>60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license or agreement with such Obligor relating to any Material Intellectual Property.</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7.06. No Actions or Proceedings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Litigation.</w:t>
      </w:r>
      <w:r>
        <w:rPr/>
        <w:t xml:space="preserve"> </w:t>
      </w:r>
      <w:r>
        <w:rPr>
          <w:rFonts w:ascii="Times New Roman;serif" w:hAnsi="Times New Roman;serif"/>
          <w:b w:val="false"/>
          <w:sz w:val="24"/>
        </w:rPr>
        <w:t>There is no litigation, investigation or enforcement proceeding pending or threatened in writing with respect to any Obligor by or before any Governmental Authority or arbitrator (i) that either individually or in the aggregate would reasonably be expected to have a Material Adverse Effect or (ii) that involves this Agreement or the Transactions.</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Environmental Matters.</w:t>
      </w:r>
      <w:r>
        <w:rPr/>
        <w:t xml:space="preserve"> </w:t>
      </w:r>
      <w:r>
        <w:rPr>
          <w:rFonts w:ascii="Times New Roman;serif" w:hAnsi="Times New Roman;serif"/>
          <w:b w:val="false"/>
          <w:sz w:val="24"/>
        </w:rPr>
        <w:t>The operations and the real Property of the Obligors comply with all applicable 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pPr>
      <w:r>
        <w:rPr>
          <w:rFonts w:ascii="Times New Roman;serif" w:hAnsi="Times New Roman;serif"/>
          <w:b w:val="false"/>
          <w:i/>
          <w:sz w:val="24"/>
        </w:rPr>
        <w:t>Labor Matters.</w:t>
      </w:r>
      <w:r>
        <w:rPr/>
        <w:t xml:space="preserve"> </w:t>
      </w:r>
      <w:r>
        <w:rPr>
          <w:rFonts w:ascii="Times New Roman;serif" w:hAnsi="Times New Roman;serif"/>
          <w:b w:val="false"/>
          <w:sz w:val="24"/>
        </w:rPr>
        <w:t>No Obligor has engaged in unfair labor practices and there are no pending or, to any Obligor’s knowledge, threatened in writing labor actions, disputes, grievance or arbitration proceedings involving the employees of any Obligor, in each case that would reasonably be expected to have a Material Adverse Effect. There is no material strike or work stoppage in existence or threatened in writing against any Obligor and to the knowledge of such Obligor, no union organization activity is taking place.</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7.07. Compliance with Laws and Agreements</w:t>
      </w:r>
      <w:r>
        <w:rPr>
          <w:rFonts w:ascii="Times New Roman;serif" w:hAnsi="Times New Roman;serif"/>
          <w:b w:val="false"/>
          <w:sz w:val="24"/>
        </w:rPr>
        <w:t>.</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Obligor is in compliance with all Requirements of Law (including Healthcare Laws and Environmental Laws) and all Contracts binding upon it or its Property, except (other than with respect to Material Intellectual Property) where the failure to do so, individually or in the aggregate, would not reasonably be expected to result in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Without limiting the generality of the foregoing, except as, individually or in the aggregate, would not reasonably be expected to result in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283"/>
        <w:jc w:val="both"/>
        <w:rPr/>
      </w:pPr>
      <w:r>
        <w:rPr>
          <w:rFonts w:ascii="Times New Roman;serif" w:hAnsi="Times New Roman;serif"/>
          <w:b w:val="false"/>
          <w:sz w:val="24"/>
        </w:rPr>
        <w:t xml:space="preserve">Any financial relationships between or among the Borrower, any other Obligor, or any of their respective Subsidiaries, on the one hand, and any Person who is in a position to refer patients or other Federal Health Care Program to the Borrower, any other Obligor or any Subsidiaries (collectively a </w:t>
      </w:r>
      <w:r>
        <w:rPr/>
        <w:t>“</w:t>
      </w:r>
      <w:r>
        <w:rPr>
          <w:rFonts w:ascii="Times New Roman;serif" w:hAnsi="Times New Roman;serif"/>
          <w:b w:val="false"/>
          <w:i/>
          <w:sz w:val="24"/>
        </w:rPr>
        <w:t>Referral Source”</w:t>
      </w:r>
      <w:r>
        <w:rPr>
          <w:rFonts w:ascii="Times New Roman;serif" w:hAnsi="Times New Roman;serif"/>
          <w:b w:val="false"/>
          <w:sz w:val="24"/>
        </w:rPr>
        <w:t xml:space="preserve">), on the other hand, (A) comply with all applicable Healthcare Laws, (B) reflect fair market value, have commercially reasonable terms and were negotiated at arm’s length; and (C) do not obligate the Referral Source to purchase, use, recommend or arrange for the use of any products or services of the Borrower, any other Obligor, or any of their respective Subsidiaries in any manner that could </w:t>
      </w:r>
    </w:p>
    <w:p>
      <w:pPr>
        <w:pStyle w:val="TextBody"/>
        <w:bidi w:val="0"/>
        <w:spacing w:before="0" w:after="0"/>
        <w:jc w:val="center"/>
        <w:rPr/>
      </w:pPr>
      <w:r>
        <w:rPr/>
        <w:noBreakHyphen/>
      </w:r>
      <w:r>
        <w:rPr>
          <w:rFonts w:ascii="Times New Roman;serif" w:hAnsi="Times New Roman;serif"/>
          <w:b w:val="false"/>
          <w:sz w:val="24"/>
        </w:rPr>
        <w:t>61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reasonably be expected to constitute a violation of a state, federal or foreign health care fraud and abuse law. No Obligor, nor any of its respective Subsidiaries,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 in any manner that could reasonably be expected to constitute a violation of a state, federal or foreign health care fraud and abuse law.</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Except as disclosed on Schedule 7.19(b) or 7.19(e), all Products have been developed, tested, manufactured, distributed, marketed and sold in compliance with all applicable FDA Laws, including, without limitation, all requirements relating to pre</w:t>
        <w:noBreakHyphen/>
        <w:t>market notification, good manufacturing practices/quality system regulations (21 CFR Part 820), labeling, advertising, record</w:t>
        <w:noBreakHyphen/>
        <w:t>keeping, and adverse event reporting.</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Borrower, each other Obligor, and each of their respective Subsidiaries are in compliance with the Physician Payments Sunshine Act (Section 6002 of the Affordable Care Act of 2010) and its implementing regulations and any applicable state disclosure and transparency laws.</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To the extent any Obligor and any Subsidiary participates in or receives reimbursement from any Federal Health Care Program or other third-party payor program, each such Obligor and each such Subsidiary shall have the requisite provider number or authorization necessary to bill any third-party payor program in which it participates and there are no audits, inquiries, adjustments, appeals or recoupment efforts by any third-party payor program of or against any Obligor or Subsidiary with respect to any prior Claims, reports or billings.</w:t>
      </w:r>
    </w:p>
    <w:p>
      <w:pPr>
        <w:pStyle w:val="TextBody"/>
        <w:bidi w:val="0"/>
        <w:spacing w:before="280" w:after="0"/>
        <w:jc w:val="both"/>
        <w:rPr>
          <w:rFonts w:ascii="Times New Roman" w:hAnsi="Times New Roman"/>
          <w:b w:val="false"/>
          <w:sz w:val="24"/>
        </w:rPr>
      </w:pPr>
      <w:r>
        <w:rPr>
          <w:rFonts w:ascii="Times New Roman" w:hAnsi="Times New Roman"/>
          <w:b w:val="false"/>
          <w:sz w:val="24"/>
        </w:rPr>
        <w:t>(v)</w:t>
      </w:r>
    </w:p>
    <w:p>
      <w:pPr>
        <w:pStyle w:val="TextBody"/>
        <w:bidi w:val="0"/>
        <w:spacing w:before="280" w:after="283"/>
        <w:jc w:val="both"/>
        <w:rPr/>
      </w:pPr>
      <w:r>
        <w:rPr>
          <w:rFonts w:ascii="Times New Roman;serif" w:hAnsi="Times New Roman;serif"/>
          <w:b w:val="false"/>
          <w:sz w:val="24"/>
        </w:rPr>
        <w:t xml:space="preserve">Each Obligor will maintain and adhere to a commercially reasonable compliance program designed to promote compliance with and to detect, prevent and address violations of all material Healthcare Laws (a </w:t>
      </w:r>
      <w:r>
        <w:rPr/>
        <w:t>“</w:t>
      </w:r>
      <w:r>
        <w:rPr>
          <w:rFonts w:ascii="Times New Roman;serif" w:hAnsi="Times New Roman;serif"/>
          <w:b w:val="false"/>
          <w:i/>
          <w:sz w:val="24"/>
        </w:rPr>
        <w:t>Health Care Compliance Program”</w:t>
      </w:r>
      <w:r>
        <w:rPr>
          <w:rFonts w:ascii="Times New Roman;serif" w:hAnsi="Times New Roman;serif"/>
          <w:b w:val="false"/>
          <w:sz w:val="24"/>
        </w:rPr>
        <w:t>). No Obligor or Subsidiary thereof is aware of any complaints from any employees, independent contractors, vendors, physicians, customers, patients or other persons that would reasonably be considered to indicate a violation of Healthcare Laws.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7.08. Taxes.</w:t>
      </w:r>
      <w:r>
        <w:rPr>
          <w:rFonts w:ascii="Times New Roman" w:hAnsi="Times New Roman"/>
          <w:sz w:val="20"/>
        </w:rPr>
        <w:t xml:space="preserve"> </w:t>
      </w:r>
      <w:r>
        <w:rPr>
          <w:rFonts w:ascii="Times New Roman;serif" w:hAnsi="Times New Roman;serif"/>
          <w:b w:val="false"/>
          <w:sz w:val="24"/>
        </w:rPr>
        <w:t>Each Obligor has timely filed or caused to be filed all federal income and other material Tax returns and reports required to 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w:t>
      </w:r>
    </w:p>
    <w:p>
      <w:pPr>
        <w:pStyle w:val="TextBody"/>
        <w:bidi w:val="0"/>
        <w:spacing w:before="280" w:after="0"/>
        <w:jc w:val="both"/>
        <w:rPr>
          <w:rFonts w:ascii="Times New Roman" w:hAnsi="Times New Roman"/>
          <w:sz w:val="20"/>
        </w:rPr>
      </w:pPr>
      <w:r>
        <w:rPr>
          <w:rFonts w:ascii="Times New Roman;serif" w:hAnsi="Times New Roman;serif"/>
          <w:b w:val="false"/>
          <w:i/>
          <w:sz w:val="24"/>
        </w:rPr>
        <w:t xml:space="preserve">Section 7.09. Full Disclosure. </w:t>
      </w:r>
      <w:r>
        <w:rPr>
          <w:rFonts w:ascii="Times New Roman;serif" w:hAnsi="Times New Roman;serif"/>
          <w:b w:val="false"/>
          <w:sz w:val="24"/>
        </w:rPr>
        <w:t>The Borrower has disclosed to the Lenders all Material Agreements to which any Obligor is party, and all other matters to its knowledge, that, individually</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62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4"/>
        </w:rPr>
        <w:t xml:space="preserve">or in the aggregate, would reasonably be expected to result in a Material Adverse Effect. None of the reports, financial statements, certificates or other written information furnished by or on behalf of the Obligors to the Lenders in connection with the negotiation of this Agreement and the other Loan Documents or delivered hereunder or thereunder (as modified or supplemented by other information so furnished), taken as whole, contains any material misstatement of material fact or omits to state any material fact necessary to make the statements therein, in the light of the circumstances under which they were made, not misleading;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with respect to the Projections, the Borrower represents only that such information was prepared in good faith based upon assumptions believed to be reasonable at the time.</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7.10. Regulation</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Investment Company Act.</w:t>
      </w:r>
      <w:r>
        <w:rPr/>
        <w:t xml:space="preserve"> </w:t>
      </w:r>
      <w:r>
        <w:rPr>
          <w:rFonts w:ascii="Times New Roman;serif" w:hAnsi="Times New Roman;serif"/>
          <w:b w:val="false"/>
          <w:sz w:val="24"/>
        </w:rPr>
        <w:t>No Obligor is an “investment company” as defined in, or subject to regulation under, the Investment Company Act of 1940.</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pPr>
      <w:r>
        <w:rPr>
          <w:rFonts w:ascii="Times New Roman;serif" w:hAnsi="Times New Roman;serif"/>
          <w:b w:val="false"/>
          <w:i/>
          <w:sz w:val="24"/>
        </w:rPr>
        <w:t>Margin Stock.</w:t>
      </w:r>
      <w:r>
        <w:rPr/>
        <w:t xml:space="preserve"> </w:t>
      </w:r>
      <w:r>
        <w:rPr>
          <w:rFonts w:ascii="Times New Roman;serif" w:hAnsi="Times New Roman;serif"/>
          <w:b w:val="false"/>
          <w:sz w:val="24"/>
        </w:rPr>
        <w:t>No Obligor is engaged principally, or as one of its important activities, in the business of extending credit for the purpose, whether immediate, incidental or ultimate, of buying or carrying Margin Stock and no part of the proceeds of the Term Loans will be used to buy or carry any Margin Stock in violation of Regulation T, U or X.</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7.11. Solvency.</w:t>
      </w:r>
      <w:r>
        <w:rPr>
          <w:rFonts w:ascii="Times New Roman" w:hAnsi="Times New Roman"/>
          <w:sz w:val="20"/>
        </w:rPr>
        <w:t xml:space="preserve"> </w:t>
      </w:r>
      <w:r>
        <w:rPr>
          <w:rFonts w:ascii="Times New Roman;serif" w:hAnsi="Times New Roman;serif"/>
          <w:b w:val="false"/>
          <w:sz w:val="24"/>
        </w:rPr>
        <w:t>The Obligors, on a consolidated basis, are, and, immediately after giving effect to the Borrowings, the use of proceeds thereof, and the consummation of the Transactions, will be, Solvent.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7.12. Subsidiaries.</w:t>
      </w:r>
      <w:r>
        <w:rPr>
          <w:rFonts w:ascii="Times New Roman" w:hAnsi="Times New Roman"/>
          <w:sz w:val="20"/>
        </w:rPr>
        <w:t xml:space="preserve"> </w:t>
      </w:r>
      <w:r>
        <w:rPr>
          <w:rFonts w:ascii="Times New Roman;serif" w:hAnsi="Times New Roman;serif"/>
          <w:b w:val="false"/>
          <w:sz w:val="24"/>
        </w:rPr>
        <w:t>Except as set forth on Schedule 7.12 (as such Schedule may be updated by Borrower from time to time), Borrower has no direct or indirect Subsidiaries. For the avoidance of doubt, the Borrower does not have any direct or indirect Subsidiaries as of the Closing Date and the Funding Date.</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7.13. Indebtedness and Liens.</w:t>
      </w:r>
      <w:r>
        <w:rPr>
          <w:rFonts w:ascii="Times New Roman" w:hAnsi="Times New Roman"/>
          <w:sz w:val="20"/>
        </w:rPr>
        <w:t xml:space="preserve"> </w:t>
      </w:r>
      <w:r>
        <w:rPr>
          <w:rFonts w:ascii="Times New Roman;serif" w:hAnsi="Times New Roman;serif"/>
          <w:b w:val="false"/>
          <w:sz w:val="24"/>
        </w:rPr>
        <w:t>Set forth on Schedule 7.13A is a complete and correct list of all Indebtedness of each Obligor that exceeds $50,000 as of the Closing Date (other than Permitted Indebtedness and Indebtedness evidenced by the Existing Credit Agreements). Set forth on Schedule 7.13B is a complete and correct list of all Liens described in Section 9.02(b) granted by an Obligor with respect to its respective Property and outstanding as of the Closing Date (other than liens incurred in connection with the Existing Credit Agreements).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7.14. Material Agreements.</w:t>
      </w:r>
      <w:r>
        <w:rPr>
          <w:rFonts w:ascii="Times New Roman" w:hAnsi="Times New Roman"/>
          <w:sz w:val="20"/>
        </w:rPr>
        <w:t xml:space="preserve"> </w:t>
      </w:r>
      <w:r>
        <w:rPr>
          <w:rFonts w:ascii="Times New Roman;serif" w:hAnsi="Times New Roman;serif"/>
          <w:b w:val="false"/>
          <w:sz w:val="24"/>
        </w:rPr>
        <w:t>Set forth on Schedule 7.14 (as such Schedule may be updated by the Borrower from time to time) is a complete and correct list of (a) each Material Agreement and (b) each Contract creating or evidencing any Material Indebtedness. Accurate and complete copies of each such Contract listed on such schedule have been made available to the Administrative Agent. No Obligor is in default in any respect under any such Material Agreement or such Contract, in each case, other than bona fide disputes and defaults which would not, individually or in the aggregate, be reasonably expected to have a Material Adverse Effect creating or evidencing any Material Indebtedness listed on such schedule, and no Obligor has knowledge of any default in any material respect by any counterparty to such Material Agreement or such Contract. Except as otherwise disclosed on Schedule 7.14 (as such Schedule may be updated by</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63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Borrower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7.15. Restrictive Agreements.</w:t>
      </w:r>
      <w:r>
        <w:rPr>
          <w:rFonts w:ascii="Times New Roman" w:hAnsi="Times New Roman"/>
          <w:sz w:val="20"/>
        </w:rPr>
        <w:t xml:space="preserve"> </w:t>
      </w:r>
      <w:r>
        <w:rPr>
          <w:rFonts w:ascii="Times New Roman;serif" w:hAnsi="Times New Roman;serif"/>
          <w:b w:val="false"/>
          <w:sz w:val="24"/>
        </w:rPr>
        <w:t>None of the Obligors is party to any Restrictive Agreement, except (a) those listed on Schedule 7.15 or otherwise permitted under Section 9.11, (b) restrictions and conditions imposed by Law or by the Loan Documents, (c) any stockholder agreement, investor rights agreement, charter, bylaws or other Organizational Documents of an Obligor, and (d) limitations associated with Permitted Liens.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7.16. Real Property.</w:t>
      </w:r>
      <w:r>
        <w:rPr>
          <w:rFonts w:ascii="Times New Roman" w:hAnsi="Times New Roman"/>
          <w:sz w:val="20"/>
        </w:rPr>
        <w:t xml:space="preserve"> </w:t>
      </w:r>
      <w:r>
        <w:rPr>
          <w:rFonts w:ascii="Times New Roman;serif" w:hAnsi="Times New Roman;serif"/>
          <w:b w:val="false"/>
          <w:sz w:val="24"/>
        </w:rPr>
        <w:t>No Obligor or any of its Subsidiaries owns or leases (as tenant thereof) any real Property on the date hereof, except as described on Schedule 7.16.</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7.17. Pension and Other Benefit Plans</w:t>
      </w:r>
      <w:r>
        <w:rPr>
          <w:rFonts w:ascii="Times New Roman;serif" w:hAnsi="Times New Roman;serif"/>
          <w:b w:val="false"/>
          <w:sz w:val="24"/>
        </w:rPr>
        <w:t>. Schedule 7.17 sets forth, as of the date hereof, a complete and correct list of, and that separately identifies, (a) all Title IV Plans, and (b) all Multiemployer Plans. Except as would not, in the aggregate,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 course), sanctions, actions, lawsuits or other proceedings or investigations involving any Benefit Plan, and (iii) no ERISA Event has occurred or is reasonably expected to occur.</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7.18. Collateral; Security Interest.</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Security Document is effective to create in favor of the Administrative 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(subject only to Permitted Liens) to the extent that such perfection may be obtained by such filing.</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In the case of any location as to which (i) Collateral with a value in excess of $500,000 is located or (ii) an Obligor maintains its chief executive office, the Obligors will use commercially reasonable efforts to provide the Administrative Agent with a Collateral Access Agreement from the applicable landlord, bailee or similar Person within sixty (60) days after the Funding Date or sixty (60) days after the date such Collateral is so located.</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7.19. Regulatory Approvals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Except as set forth on Schedule 7.19(a), each Obligor and each of its Subsidiaries holds either directly or through licensees and agents, all Regulatory Approvals </w:t>
      </w:r>
    </w:p>
    <w:p>
      <w:pPr>
        <w:pStyle w:val="TextBody"/>
        <w:bidi w:val="0"/>
        <w:spacing w:before="0" w:after="0"/>
        <w:jc w:val="center"/>
        <w:rPr/>
      </w:pPr>
      <w:r>
        <w:rPr/>
        <w:noBreakHyphen/>
      </w:r>
      <w:r>
        <w:rPr>
          <w:rFonts w:ascii="Times New Roman;serif" w:hAnsi="Times New Roman;serif"/>
          <w:b w:val="false"/>
          <w:sz w:val="24"/>
        </w:rPr>
        <w:t>64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and Permits necessary or required for each Obligor and its Subsidiaries to conduct all material Product Development and Commercialization Activities conducted by such Obligor and its respective Subsidiaries with respect to the Products.</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Set forth on Schedule 7.19(b) is a complete and accurate list as of the date hereof of all Regulatory Approvals referred to in clause (a) above, if any, setting forth (on a per Product basis) the Obligor that holds such Regulatory Approval and identifying the Product related to such Regulatory Approval. All such Regulatory Approvals are (i) legally and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Authority. All required and material notices, registrations and listings, supplemental applications or notifications, reports (including annual reports, field alerts, Device reports or other reports of adverse experiences) and all other required and material filings with respect to the Products or any related Product Development and Commercialization Activities by such Obligor have been filed with the FDA and all other applicable Governmental Authorities.</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 All material regulatory filings required by any Regulatory Authority or in respect of any Regulatory Approval or Product Authorization with respect to any Product or any Product Development and Commercialization Activities by such Obligor have been made, and all such filings are complete and correct in all material respects and have complied in all material respects with all applicable Requirements of Law, (ii) all clinical and pre</w:t>
        <w:noBreakHyphen/>
        <w:t>clinical trials, if any, of investigational Products have been and are being conducted by each Obligor according to all applicable Requirements of Law in all material respects along with appropriate monitoring of clinical investigator trial sites for their compliance, and (iii) each Obligor has disclosed to the Lenders all such material regulatory filings and, to the extent reasonably requested by the Administrative Agent, any written material communications between representatives of each Obligor and any Regulatory Authority.</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Each Obligor and, to each Obligor’s knowledge, each of its agents are in compliance in all material respects with all applicable statutes, rules and regulations (including all Regulatory Approvals and Product Authorizations) of all applicable Governmental Authorities, including the FDA and all other Regulatory Authorities, with respect to each Product and all Product Development and Commercialization Activities by such Obligor related thereto. Each Obligor has and maintains in full force and effect all the necessary and requisite Regulatory Approvals and Product Authorizations for its Products. Each Obligor is in compliance in all material respects with all applicable registration and listing requirements set forth in all applicable FDA Laws or equivalent regulation of each other Governmental Authority having jurisdiction over such Person. Each Obligor adheres in all material respects to all applicable regulations of all Regulatory Authorities with respect to the Products and all Product Development and Commercialization Activities by such Obligor related thereto.</w:t>
      </w:r>
    </w:p>
    <w:p>
      <w:pPr>
        <w:pStyle w:val="TextBody"/>
        <w:bidi w:val="0"/>
        <w:spacing w:before="0" w:after="0"/>
        <w:jc w:val="center"/>
        <w:rPr/>
      </w:pPr>
      <w:r>
        <w:rPr/>
        <w:noBreakHyphen/>
      </w:r>
      <w:r>
        <w:rPr>
          <w:rFonts w:ascii="Times New Roman;serif" w:hAnsi="Times New Roman;serif"/>
          <w:b w:val="false"/>
          <w:sz w:val="24"/>
        </w:rPr>
        <w:t>65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Except as set forth on Schedule 7.19(e), (i) no Obligor has received from any Regulatory Authority any notice of adverse findings with respect to any Product or any Product Development and Commercialization Activities by such Obligor related thereto, including any FDA Form 483 inspectional observations,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no recalls, market withdrawals, field notifications, notifications of misbranding or adulteration or safety alerts have been conducted, requested or, to each Obligor’s knowledge, threatened by any Regulatory Authority relating to any Product, and (iii) no Obligor has received any written notification that remains unresolved from the FDA or any other Regulatory Authority indicating any breach or violation of any applicable Product Authorization or Regulatory Approval, including that any Product is misbranded or adulterated as defined in the FD&amp;C Act or the rules and regulations promulgated thereunder, in each case of (i), (ii) and (iii) that has had, or would reasonably be expected to have, a Material Adverse Effect. </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Neither any Obligor nor, to any Obligor’s knowledge, any officer, employee or agent thereof, has made an untrue statement of a material fact or fraudulent statements to the FDA or any other Regulatory Authority, failed to disclose a material fact required to be disclosed to the FDA or any other Regulatory Authority, or committed an act, made a statement, or failed to make a statement that, at the time such disclosure was made (or was not made), would reasonably be expected to provide a basis for the FDA or any other Regulatory Authority to invoke its policy respecting Fraud, Untrue Statements of Material Facts, Bribery and Illegal Gratuities, set forth in 56 Fed. Reg. 46191 (September 10, 1991) or any similar policy.</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No Obligor has received any written notice that the FDA or any other applicable Regulatory Authority has commenced or initiated, or, to the knowledge of any such Obligor, threatened to commence or initiate, any action to withdraw any Regulatory Approval or Product Authorization or requested the recall of any Products or commenced or initiated or, to the knowledge of such Obligor, threatened to commence or initiate, any action to enjoin any Product Development and Commercialization Activities of such Obligor.</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Product Authorizations. Each Obligor has operated within, and currently is in compliance in all material respects with, all applicable Laws, Product Authorizations and Regulatory Approvals, as well as the rules and regulations of the FDA and each other Regulatory Authority. No Obligor has received any notices or other </w:t>
      </w:r>
    </w:p>
    <w:p>
      <w:pPr>
        <w:pStyle w:val="TextBody"/>
        <w:bidi w:val="0"/>
        <w:spacing w:before="0" w:after="0"/>
        <w:jc w:val="center"/>
        <w:rPr/>
      </w:pPr>
      <w:r>
        <w:rPr/>
        <w:noBreakHyphen/>
      </w:r>
      <w:r>
        <w:rPr>
          <w:rFonts w:ascii="Times New Roman;serif" w:hAnsi="Times New Roman;serif"/>
          <w:b w:val="false"/>
          <w:sz w:val="24"/>
        </w:rPr>
        <w:t>66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correspondence from the FDA or any other Regulatory Authority requiring the termination or suspension of any clinical, preclinical, safety or other studies or tests used to support regulatory clearance of, or any Product Authorization or Regulatory Approval for, any Product.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No material debarment or exclusionary Claims, actions, proceedings or investigations in respect of any Obligor’s business is pending, or to such Obligor’s knowledge, threatened in writing against such Obligor or its officers, employees or agents. No Obligor or, to such Obligor’s knowledge, any officer, employee or agent of such Obligor, has been convicted of any crime or engaged in any conduct that would reasonably be expected to result in a debarment or exclusion pursuant to (i) Section 335a of the FD&amp;C Act or (ii) any similar applicable Law.</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7.20. Capitalization.</w:t>
      </w:r>
      <w:r>
        <w:rPr>
          <w:rFonts w:ascii="Times New Roman" w:hAnsi="Times New Roman"/>
          <w:sz w:val="20"/>
        </w:rPr>
        <w:t xml:space="preserve"> </w:t>
      </w:r>
      <w:r>
        <w:rPr>
          <w:rFonts w:ascii="Times New Roman;serif" w:hAnsi="Times New Roman;serif"/>
          <w:b w:val="false"/>
          <w:sz w:val="24"/>
        </w:rPr>
        <w:t>All of the issued and outstanding securities of each Obligor have been duly authorized, are validly issued, fully paid, and non</w:t>
        <w:noBreakHyphen/>
        <w:t>assessable. As of the Funding Date and except as set forth on Schedule 7.20, there are no outstanding or authorized options, warrants (other than the Warrant Certificate</w:t>
      </w:r>
      <w:r>
        <w:rPr>
          <w:rFonts w:ascii="Times New Roman" w:hAnsi="Times New Roman"/>
          <w:sz w:val="20"/>
          <w:u w:val="single"/>
        </w:rPr>
        <w:t xml:space="preserve"> </w:t>
      </w:r>
      <w:r>
        <w:rPr>
          <w:rFonts w:ascii="Times New Roman;serif" w:hAnsi="Times New Roman;serif"/>
          <w:b w:val="false"/>
          <w:sz w:val="24"/>
          <w:u w:val="single"/>
        </w:rPr>
        <w:t>(Funding Date)</w:t>
      </w:r>
      <w:r>
        <w:rPr>
          <w:rFonts w:ascii="Times New Roman;serif" w:hAnsi="Times New Roman;serif"/>
          <w:b w:val="false"/>
          <w:sz w:val="24"/>
        </w:rPr>
        <w:t>), purchase rights, subscription rights, conversion rights, exchange rights, or other Contracts or commitments that would require the Obligors to issue, sell, or otherwise cause to become outstanding any of their ownership interests. There are no outstanding or authorized stock appreciation, phantom stock, profit participation, or similar rights with respect to the Obligors. None of the Equity Interests in any Obligor has been mortgaged, assigned or pledged in favor of any Person, other than pursuant to the Security Agreement.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7.21. Insurance.</w:t>
      </w:r>
      <w:r>
        <w:rPr>
          <w:rFonts w:ascii="Times New Roman" w:hAnsi="Times New Roman"/>
          <w:sz w:val="20"/>
        </w:rPr>
        <w:t xml:space="preserve"> </w:t>
      </w:r>
      <w:r>
        <w:rPr>
          <w:rFonts w:ascii="Times New Roman;serif" w:hAnsi="Times New Roman;serif"/>
          <w:b w:val="false"/>
          <w:sz w:val="24"/>
        </w:rPr>
        <w:t>Each Obligor has obtained (and is maintaining), insurance for its assets (including the Collateral) and business as required under the Loan Documents.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7.22. Certain Fees.</w:t>
      </w:r>
      <w:r>
        <w:rPr>
          <w:rFonts w:ascii="Times New Roman" w:hAnsi="Times New Roman"/>
          <w:sz w:val="20"/>
        </w:rPr>
        <w:t xml:space="preserve"> </w:t>
      </w:r>
      <w:r>
        <w:rPr>
          <w:rFonts w:ascii="Times New Roman;serif" w:hAnsi="Times New Roman;serif"/>
          <w:b w:val="false"/>
          <w:sz w:val="24"/>
        </w:rPr>
        <w:t>Except as described on Schedule 7.22, no broker’s or finder’s fee will be payable in connection with the execution and delivery of this Agreement.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7.23. Economic Sanctions Laws.</w:t>
      </w:r>
      <w:r>
        <w:rPr>
          <w:rFonts w:ascii="Times New Roman" w:hAnsi="Times New Roman"/>
          <w:sz w:val="20"/>
        </w:rPr>
        <w:t xml:space="preserve"> </w:t>
      </w:r>
      <w:r>
        <w:rPr>
          <w:rFonts w:ascii="Times New Roman;serif" w:hAnsi="Times New Roman;serif"/>
          <w:b w:val="false"/>
          <w:sz w:val="24"/>
        </w:rPr>
        <w:t>Obligors and, to the knowledge of the Obligors, any director, officer or employee of an Obligor acting on behalf of the Obligors, are in compliance with Economic Sanctions Laws.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7.24. Anti</w:t>
        <w:noBreakHyphen/>
        <w:t>Corruption Laws.</w:t>
      </w:r>
      <w:r>
        <w:rPr>
          <w:rFonts w:ascii="Times New Roman" w:hAnsi="Times New Roman"/>
          <w:sz w:val="20"/>
        </w:rPr>
        <w:t xml:space="preserve"> </w:t>
      </w:r>
      <w:r>
        <w:rPr>
          <w:rFonts w:ascii="Times New Roman;serif" w:hAnsi="Times New Roman;serif"/>
          <w:b w:val="false"/>
          <w:sz w:val="24"/>
        </w:rPr>
        <w:t>No Obligor nor any of its Subsidiaries has, nor, to the knowledge of any Responsible Officer of any Obligor, has any director, officer, agent or employee of any Obligor acting on behalf of such Obligor (a) taken any action, directly or indirectly, that would result in a violation by such Persons of the Anti</w:t>
        <w:noBreakHyphen/>
        <w:t>Corruption Laws, (b) made, offered to make, promised to make or authorized the payment or giving of, directly or indirectly, any Prohibited Payment or (c) been subject to any investigation by any Governmental Authority with regard to any actual or alleged Prohibited Payment.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7.25. Anti</w:t>
        <w:noBreakHyphen/>
        <w:t>Terrorism Laws.</w:t>
      </w:r>
      <w:r>
        <w:rPr>
          <w:rFonts w:ascii="Times New Roman" w:hAnsi="Times New Roman"/>
          <w:sz w:val="20"/>
        </w:rPr>
        <w:t xml:space="preserve"> </w:t>
      </w:r>
      <w:r>
        <w:rPr>
          <w:rFonts w:ascii="Times New Roman;serif" w:hAnsi="Times New Roman;serif"/>
          <w:b w:val="false"/>
          <w:sz w:val="24"/>
        </w:rPr>
        <w:t>The Obligors (a) have taken reasonable measures to ensure compliance with applicable Economic Sanctions Laws and Anti</w:t>
        <w:noBreakHyphen/>
        <w:t>Terrorism Laws, (b) are not Designated Persons and (c) have not used any part of the proceeds from any advance on behalf of any Designated Person or has not used, directly by it or indirectly through any Subsidiary, such</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67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proceeds in connection with any investment in, or any transactions or dealings with, any Designated Person.</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7.26. Royalty and Other Payments</w:t>
      </w:r>
      <w:r>
        <w:rPr>
          <w:rFonts w:ascii="Times New Roman;serif" w:hAnsi="Times New Roman;serif"/>
          <w:b w:val="false"/>
          <w:sz w:val="24"/>
        </w:rPr>
        <w:t>. Except as set forth on Schedule 7.26, no Obligor, nor any of its Subsidiaries, is obligated to pay any royalty, milestone payment, deferred payment or any other contingent payment in respect of any Product, in an amount in excess of $1,500,000 in the aggregate.</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8 </w:t>
        <w:br/>
        <w:br/>
        <w:t>Affirmative Covenants and Financial Covenants</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Obligor covenants and agrees with the Lenders that, commencing with the Funding Date and until the Commitments have expired or been terminated and all Obligations (other than the Warrant Obligations and contingent and unmatured indemnity and expense reimbursement obligations) have been paid in full in cash:</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8.01. Financial Statements and Other Information</w:t>
      </w:r>
      <w:r>
        <w:rPr>
          <w:rFonts w:ascii="Times New Roman;serif" w:hAnsi="Times New Roman;serif"/>
          <w:b w:val="false"/>
          <w:sz w:val="24"/>
        </w:rPr>
        <w:t>. It will furnish to the Administrative Agent for distribution to the Lenders:</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pPr>
      <w:r>
        <w:rPr>
          <w:rFonts w:ascii="Times New Roman;serif" w:hAnsi="Times New Roman;serif"/>
          <w:b w:val="false"/>
          <w:sz w:val="24"/>
        </w:rPr>
        <w:t>(i) as soon as available and in any event within five (5) Business Days following the date the Borrower is required to file its Form 10-Q with the SEC (commencing with the fiscal quarter ending March 31, 2023) (other than each fiscal quarter ended December 31st), the consolidated balance sheet of the Borrower and its Subsidiaries as at the end of such fiscal quarter and the related consolidated statement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w:t>
        <w:noBreakHyphen/>
        <w:t>end adjustments and except for the absence of footnotes and (B) a management’s discussion and analysis of the financial condition and results of operations, including the Borrower and its Subsidiaries’ liquidity and capital resources;</w:t>
      </w:r>
      <w:r>
        <w:rPr/>
        <w:t xml:space="preserve"> </w:t>
      </w:r>
      <w:r>
        <w:rPr>
          <w:rFonts w:ascii="Times New Roman;serif" w:hAnsi="Times New Roman;serif"/>
          <w:b w:val="false"/>
          <w:i/>
          <w:sz w:val="24"/>
        </w:rPr>
        <w:t xml:space="preserve">provided </w:t>
      </w:r>
      <w:r>
        <w:rPr>
          <w:rFonts w:ascii="Times New Roman;serif" w:hAnsi="Times New Roman;serif"/>
          <w:b w:val="false"/>
          <w:sz w:val="24"/>
        </w:rPr>
        <w:t>that documents required to be furnished pursuant to this Section 8.01(a)(i) shall be deemed furnished on the date that such documents are publicly available on “EDGAR” so long as such filings include quarterly income statements, balance sheets and cash flow statements and (ii) as soon as available and in any event within forty-five (45) days after the end of each fiscal quarter ending December 31st, the unaudited consolidated balance sheet of the Borrower and its Subsidiaries as at the end of such fiscal quarter and the related consolidated statement of income, stockholders’ equity and cash flows of the Borrower and its Subsidiaries for such fiscal quarter, setting forth in comparative form the corresponding figures for the fiscal quarter ending December 31</w:t>
      </w:r>
      <w:r>
        <w:rPr>
          <w:rFonts w:ascii="Times New Roman;serif" w:hAnsi="Times New Roman;serif"/>
          <w:b w:val="false"/>
          <w:sz w:val="16"/>
        </w:rPr>
        <w:t>st</w:t>
      </w:r>
      <w:r>
        <w:rPr/>
        <w:t xml:space="preserve"> </w:t>
      </w:r>
      <w:r>
        <w:rPr>
          <w:rFonts w:ascii="Times New Roman;serif" w:hAnsi="Times New Roman;serif"/>
          <w:b w:val="false"/>
          <w:sz w:val="24"/>
        </w:rPr>
        <w:t xml:space="preserve">of the previous fiscal year, all in </w:t>
      </w:r>
    </w:p>
    <w:p>
      <w:pPr>
        <w:pStyle w:val="TextBody"/>
        <w:bidi w:val="0"/>
        <w:spacing w:before="0" w:after="0"/>
        <w:jc w:val="center"/>
        <w:rPr/>
      </w:pPr>
      <w:r>
        <w:rPr/>
        <w:noBreakHyphen/>
      </w:r>
      <w:r>
        <w:rPr>
          <w:rFonts w:ascii="Times New Roman;serif" w:hAnsi="Times New Roman;serif"/>
          <w:b w:val="false"/>
          <w:sz w:val="24"/>
        </w:rPr>
        <w:t>68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rFonts w:ascii="Times New Roman;serif" w:hAnsi="Times New Roman;serif"/>
          <w:b w:val="false"/>
          <w:sz w:val="24"/>
        </w:rPr>
        <w:t>reasonable detail and prepared substantially in accordance with GAAP consistently applied, subject to changes resulting from normal quarterly or year</w:t>
        <w:noBreakHyphen/>
        <w:t>end adjustments and except for the absence of footnotes;</w:t>
      </w:r>
      <w:r>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sz w:val="24"/>
        </w:rPr>
        <w:t xml:space="preserve">as soon as available and in any event within five (5) Business Days following the date Borrower is required to file its Form 10-K with the SEC (commencing with the fiscal year ending December 31, 2022),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 figures for the previous fiscal year, prepared substantially in accordance with GAAP consistently applied, all in reasonable detail accompanied by (i) a report and opinion thereon of KPMG LLP or another firm of independent certified public accountants of recognized national standing which report and opinion shall be prepared in accordance with generally accepted auditing standards and, commencing with the fiscal year ending December 31, 2023, shall not be subject to any “going concern” or like qualification or exception audit (other than (A) with respect to, or resulting solely from the upcoming Stated Maturity Date occurring within one year from the time such report is delivered or (B) with respect to the extent the components of such consolidated financial statements relating to a prior fiscal period are separately audited by different independent public accounting firms, the audit report of any such accounting firm may contain a qualification or exception as to scope of such consolidated financial statements as they relate to such components) or any qualification or exception as to the scope of such audit or related to the maturity of the Term Loans and (ii) a management’s discussion and analysis of the financial condition and results of operations, including the Obligors’ liquidity and capital resources; </w:t>
      </w:r>
      <w:r>
        <w:rPr>
          <w:rFonts w:ascii="Times New Roman;serif" w:hAnsi="Times New Roman;serif"/>
          <w:b w:val="false"/>
          <w:i/>
          <w:sz w:val="24"/>
        </w:rPr>
        <w:t>provided</w:t>
      </w:r>
      <w:r>
        <w:rPr/>
        <w:t xml:space="preserve"> </w:t>
      </w:r>
      <w:r>
        <w:rPr>
          <w:rFonts w:ascii="Times New Roman;serif" w:hAnsi="Times New Roman;serif"/>
          <w:b w:val="false"/>
          <w:sz w:val="24"/>
        </w:rPr>
        <w:t>that, so long as the Borrower is a Publicly Reporting Company, the Borrower’s filing of an annual report with the SEC shall be deemed to satisfy the requirements of this Section 8.01(b) on the date on which such report is first available via the SEC’s EDGAR system or a successor system related thereto;</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pPr>
      <w:r>
        <w:rPr>
          <w:rFonts w:ascii="Times New Roman;serif" w:hAnsi="Times New Roman;serif"/>
          <w:b w:val="false"/>
          <w:sz w:val="24"/>
        </w:rPr>
        <w:t xml:space="preserve">concurrently with the notification that the reports described in Section 8.01(a) and 8.01(b) are available, a compliance certificate of a Responsible Officer of the Borrower as of the end of the applicable accounting period (which delivery may, unless a Lender requests executed originals, be by electronic communication including email and shall be deemed to be an original authentic counterpart thereof for all purposes) in the form of Exhibit E (a </w:t>
      </w:r>
      <w:r>
        <w:rPr/>
        <w:t>“</w:t>
      </w:r>
      <w:r>
        <w:rPr>
          <w:rFonts w:ascii="Times New Roman;serif" w:hAnsi="Times New Roman;serif"/>
          <w:b w:val="false"/>
          <w:i/>
          <w:sz w:val="24"/>
        </w:rPr>
        <w:t>Compliance Certificate”</w:t>
      </w:r>
      <w:r>
        <w:rPr>
          <w:rFonts w:ascii="Times New Roman;serif" w:hAnsi="Times New Roman;serif"/>
          <w:b w:val="false"/>
          <w:sz w:val="24"/>
        </w:rPr>
        <w:t xml:space="preserve">) which, for purposes of clarification, shall (i) confirm the Obligors’ compliance with Section 8.11 and Section 8.15, (ii) state the representations and warranties made by the Obligors in Article 7 are true and correct in all material respects on and as of the date thereof;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4"/>
        </w:rPr>
        <w:t>provided, further</w:t>
      </w:r>
      <w:r>
        <w:rPr/>
        <w:t xml:space="preserve"> </w:t>
      </w:r>
      <w:r>
        <w:rPr>
          <w:rFonts w:ascii="Times New Roman;serif" w:hAnsi="Times New Roman;serif"/>
          <w:b w:val="false"/>
          <w:sz w:val="24"/>
        </w:rPr>
        <w:t xml:space="preserve">that any representation and warranty that is qualified as to “materiality”, “Material Adverse Effect” or similar language shall be true and correct (after giving effect to any qualification therein) in all respects (and if a representation and warranty is untrue or incorrect, state the proposed actions that the Obligors intend to take in connection with such untrue or incorrect representation and warranty), (iii) confirm that no Default or Event of Default is continuing </w:t>
      </w:r>
    </w:p>
    <w:p>
      <w:pPr>
        <w:pStyle w:val="TextBody"/>
        <w:bidi w:val="0"/>
        <w:spacing w:before="0" w:after="0"/>
        <w:jc w:val="center"/>
        <w:rPr/>
      </w:pPr>
      <w:r>
        <w:rPr/>
        <w:noBreakHyphen/>
      </w:r>
      <w:r>
        <w:rPr>
          <w:rFonts w:ascii="Times New Roman;serif" w:hAnsi="Times New Roman;serif"/>
          <w:b w:val="false"/>
          <w:sz w:val="24"/>
        </w:rPr>
        <w:t>69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rFonts w:ascii="Times New Roman;serif" w:hAnsi="Times New Roman;serif"/>
          <w:b w:val="false"/>
          <w:sz w:val="24"/>
        </w:rPr>
        <w:t xml:space="preserve">(and if a Default or Event of Default has occurred and is continuing state the proposed actions that the Obligors intend to take in connection with such Default or Event of Default), (iv) for Compliance Certificates delivered at the end of any fiscal year, attach updated Schedules (if any) to this Agreement and (v) provide a copy of any new Material Agreement;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the Borrower’s filing of any such material with the SEC shall be deemed to satisfy the requirements of this Section 8.01(c)(v) on the date on which such report is first available via the SEC’s EDGAR system or a successor system related thereto; </w:t>
      </w:r>
      <w:r>
        <w:rPr>
          <w:rFonts w:ascii="Times New Roman;serif" w:hAnsi="Times New Roman;serif"/>
          <w:b w:val="false"/>
          <w:i/>
          <w:sz w:val="24"/>
        </w:rPr>
        <w:t>provided further</w:t>
      </w:r>
      <w:r>
        <w:rPr>
          <w:rFonts w:ascii="Times New Roman;serif" w:hAnsi="Times New Roman;serif"/>
          <w:b w:val="false"/>
          <w:sz w:val="24"/>
        </w:rPr>
        <w:t>, notwithstanding the foregoing, Compliance Certificates delivered in connection with Section 8.01(a)(ii) shall only be required to confirm the Obligor’s compliance with Section 8.11 and Section 8.15;</w:t>
      </w:r>
      <w:r>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promptly, and in any event within five (5) Business Days after receipt thereof by an Obligor thereof, copies of each notice or other correspondence received from any securities regulator or exchange to the authority of which an Obligor is subject concerning any investigation or possible investigation or other inquiry by such agency regarding financial or other operational results of such Obligor;</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information regarding insurance maintained by Obligors as and when required under Section 8.05;</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promptly following the Lenders’ written request at any time, proof of the Obligors’ compliance with Section 8.15(a), which may include statements showing the current balance of each account of the Obligors holding Unrestricted Cash necessary to establish compliance with Section 8.15(a);</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0"/>
        <w:jc w:val="both"/>
        <w:rPr/>
      </w:pPr>
      <w:r>
        <w:rPr>
          <w:rFonts w:ascii="Times New Roman;serif" w:hAnsi="Times New Roman;serif"/>
          <w:b w:val="false"/>
          <w:sz w:val="24"/>
        </w:rPr>
        <w:t xml:space="preserve">within ten (10) days of delivery, copies of all periodic reports distributed by the Borrower to its shareholders generally; </w:t>
      </w:r>
      <w:r>
        <w:rPr>
          <w:rFonts w:ascii="Times New Roman;serif" w:hAnsi="Times New Roman;serif"/>
          <w:b w:val="false"/>
          <w:i/>
          <w:sz w:val="24"/>
        </w:rPr>
        <w:t>provided</w:t>
      </w:r>
      <w:r>
        <w:rPr/>
        <w:t xml:space="preserve"> </w:t>
      </w:r>
      <w:r>
        <w:rPr>
          <w:rFonts w:ascii="Times New Roman;serif" w:hAnsi="Times New Roman;serif"/>
          <w:b w:val="false"/>
          <w:sz w:val="24"/>
        </w:rPr>
        <w:t>that (i) any such material may be redacted by the Borrower to exclude information relating to the Loan Documents or the Lenders and (ii) the Lenders shall not be entitled to receive statements, reports and notices relating to topics that (A) are subject to attorney</w:t>
        <w:noBreakHyphen/>
        <w:t xml:space="preserve">client privilege or (B) present a conflict of interest for the Lenders; </w:t>
      </w:r>
      <w:r>
        <w:rPr>
          <w:rFonts w:ascii="Times New Roman;serif" w:hAnsi="Times New Roman;serif"/>
          <w:b w:val="false"/>
          <w:i/>
          <w:sz w:val="24"/>
        </w:rPr>
        <w:t>provided</w:t>
      </w:r>
      <w:r>
        <w:rPr/>
        <w:t xml:space="preserve"> </w:t>
      </w:r>
      <w:r>
        <w:rPr>
          <w:rFonts w:ascii="Times New Roman;serif" w:hAnsi="Times New Roman;serif"/>
          <w:b w:val="false"/>
          <w:sz w:val="24"/>
        </w:rPr>
        <w:t>that, so long as the Borrower is a Publicly Reporting Company, the Borrower’s filing of any such material with the SEC shall be deemed to satisfy the requirements of this Section 8.01(g) on the date on which such report is first available via the SEC’s EDGAR system or a successor system related thereto;</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0"/>
        <w:jc w:val="both"/>
        <w:rPr/>
      </w:pPr>
      <w:r>
        <w:rPr>
          <w:rFonts w:ascii="Times New Roman;serif" w:hAnsi="Times New Roman;serif"/>
          <w:b w:val="false"/>
          <w:sz w:val="24"/>
        </w:rPr>
        <w:t>a financial forecast for the Borrower and its Subsidiaries for each fiscal year, including forecasted balance sheets, statements of income and cash flows of the Borrower and its Subsidiaries (the “</w:t>
      </w:r>
      <w:r>
        <w:rPr>
          <w:rFonts w:ascii="Times New Roman;serif" w:hAnsi="Times New Roman;serif"/>
          <w:b w:val="false"/>
          <w:i/>
          <w:sz w:val="24"/>
        </w:rPr>
        <w:t>Financial Plan</w:t>
      </w:r>
      <w:r>
        <w:rPr/>
        <w:t>”</w:t>
      </w:r>
      <w:r>
        <w:rPr>
          <w:rFonts w:ascii="Times New Roman;serif" w:hAnsi="Times New Roman;serif"/>
          <w:b w:val="false"/>
          <w:sz w:val="24"/>
        </w:rPr>
        <w:t>), all of which shall be prepared on a consolidated basis and delivered not later than February 28 of such fiscal year;</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283"/>
        <w:jc w:val="both"/>
        <w:rPr/>
      </w:pPr>
      <w:r>
        <w:rPr>
          <w:rFonts w:ascii="Times New Roman;serif" w:hAnsi="Times New Roman;serif"/>
          <w:b w:val="false"/>
          <w:sz w:val="24"/>
        </w:rPr>
        <w:t>within five (5) Business Days following any Lender’s written request, certification that such Obligor is not a passive foreign investment company (</w:t>
      </w:r>
      <w:r>
        <w:rPr/>
        <w:t>“</w:t>
      </w:r>
      <w:r>
        <w:rPr>
          <w:rFonts w:ascii="Times New Roman;serif" w:hAnsi="Times New Roman;serif"/>
          <w:b w:val="false"/>
          <w:i/>
          <w:sz w:val="24"/>
        </w:rPr>
        <w:t>PFIC”</w:t>
      </w:r>
      <w:r>
        <w:rPr>
          <w:rFonts w:ascii="Times New Roman;serif" w:hAnsi="Times New Roman;serif"/>
          <w:b w:val="false"/>
          <w:sz w:val="24"/>
        </w:rPr>
        <w:t>) within the meaning of Sections 1291 through 1297 of the Code, or, if such Obligor determines that it is a PFIC, such information as would allow the Lender to make a qualified electing fund election with respect to the Equity Interest of the Obligor; and</w:t>
      </w:r>
    </w:p>
    <w:p>
      <w:pPr>
        <w:pStyle w:val="TextBody"/>
        <w:bidi w:val="0"/>
        <w:spacing w:before="0" w:after="0"/>
        <w:jc w:val="center"/>
        <w:rPr/>
      </w:pPr>
      <w:r>
        <w:rPr/>
        <w:noBreakHyphen/>
      </w:r>
      <w:r>
        <w:rPr>
          <w:rFonts w:ascii="Times New Roman;serif" w:hAnsi="Times New Roman;serif"/>
          <w:b w:val="false"/>
          <w:sz w:val="24"/>
        </w:rPr>
        <w:t>70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(j)</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so long as the Borrower is a Publicly Reporting Company, the Borrower shall within five (5) Business Days of the Borrower filing, provide access (via posting and/or links on the Borrower’s web site) to all reports on Form 10-K and Form 10-Q filed with the SEC, any Governmental Authority succeeding to any or all of the functions of the SEC or with any national securities exchange; and within five (5) Business Days of filing, provide notice and access (via posting and/or links on the Borrower’s web site) to all reports on Form 8-K filed with the SEC, and copies of (or access to, via posting and/or links on the Borrower’s web site) all other reports, proxy statements and other materials filed by the Borrower with the SEC, any Governmental Authority succeeding to any of the functions of the SEC or with any national securities exchange.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8.01) to any third party.</w:t>
      </w:r>
    </w:p>
    <w:p>
      <w:pPr>
        <w:pStyle w:val="TextBody"/>
        <w:bidi w:val="0"/>
        <w:spacing w:before="280" w:after="0"/>
        <w:jc w:val="both"/>
        <w:rPr>
          <w:rFonts w:ascii="Times New Roman" w:hAnsi="Times New Roman"/>
          <w:sz w:val="20"/>
        </w:rPr>
      </w:pPr>
      <w:r>
        <w:rPr>
          <w:rFonts w:ascii="Times New Roman;serif" w:hAnsi="Times New Roman;serif"/>
          <w:b w:val="false"/>
          <w:i/>
          <w:sz w:val="24"/>
        </w:rPr>
        <w:t xml:space="preserve">Section 8.02. Notices of Material Events. </w:t>
      </w:r>
      <w:r>
        <w:rPr>
          <w:rFonts w:ascii="Times New Roman;serif" w:hAnsi="Times New Roman;serif"/>
          <w:b w:val="false"/>
          <w:sz w:val="24"/>
        </w:rPr>
        <w:t>It will furnish to the Administrative Agent for distribution to the Lenders written notice of the following promptly after a Responsible Officer of Borrower and its Subsidiaries first learns of the existence of:</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promptly after the occurrence of any Default or Event of Default;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three (3) Business Days after the occurrence of any Casualty Event with respect to any Obligor’s Property resulting in a Loss, to the extent not covered by insurance, aggregating $250,000 or more;</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 prior to the execution of a definitive agreement for any proposed Acquisition by any Obligor that would reasonably be expected to result in environmental liability under Environmental Laws in excess of $250,000, and (ii) in each case, to the extent that any of the following would reasonably be expected to result in liability in excess of $1,000,000: (A)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threatened in writing against or affecting any Obligor or any of its Subsidiaries or with respect to the ownership, use, maintenance and operation of their respective businesses, operations or properties, relating to Environmental Laws or Hazardous Material;</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within three (3) Business Days of obtaining written notice or knowledge thereof, the assertion of any environmental matter by any Person in writing against, or with respect to the activities of, any Obligor or any of its Subsidiaries and any alleged violation </w:t>
      </w:r>
    </w:p>
    <w:p>
      <w:pPr>
        <w:pStyle w:val="TextBody"/>
        <w:bidi w:val="0"/>
        <w:spacing w:before="0" w:after="0"/>
        <w:jc w:val="center"/>
        <w:rPr/>
      </w:pPr>
      <w:r>
        <w:rPr/>
        <w:noBreakHyphen/>
      </w:r>
      <w:r>
        <w:rPr>
          <w:rFonts w:ascii="Times New Roman;serif" w:hAnsi="Times New Roman;serif"/>
          <w:b w:val="false"/>
          <w:sz w:val="24"/>
        </w:rPr>
        <w:t>71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of or non</w:t>
        <w:noBreakHyphen/>
        <w:t>compliance with any Environmental Laws or any Permits, licenses or authorizations, in each case, which would reasonably be expected to (either individually or in the aggregate) have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three (3) Business Days of obtaining notice to an Obligor of 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 within ten (10)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0"/>
        <w:jc w:val="both"/>
        <w:rPr/>
      </w:pPr>
      <w:r>
        <w:rPr>
          <w:rFonts w:ascii="Times New Roman;serif" w:hAnsi="Times New Roman;serif"/>
          <w:b w:val="false"/>
          <w:sz w:val="24"/>
        </w:rPr>
        <w:t xml:space="preserve">within ten (10) Business Days of obtaining written notice or knowledge thereof, (i) the termination of any Material Agreement (other than in the Ordinary Course of Business);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solely to the extent such Material Agreement is not made publicly available on “EDGAR”); or (iv) any amendment to a Material Agreement that would be materially adverse to the Lenders (and a copy thereof) (which includes, but is not limited to, any amendments to provisions relating to pricing and term); </w:t>
      </w:r>
      <w:r>
        <w:rPr>
          <w:rFonts w:ascii="Times New Roman;serif" w:hAnsi="Times New Roman;serif"/>
          <w:b w:val="false"/>
          <w:i/>
          <w:sz w:val="24"/>
        </w:rPr>
        <w:t>provided</w:t>
      </w:r>
      <w:r>
        <w:rPr/>
        <w:t xml:space="preserve"> </w:t>
      </w:r>
      <w:r>
        <w:rPr>
          <w:rFonts w:ascii="Times New Roman;serif" w:hAnsi="Times New Roman;serif"/>
          <w:b w:val="false"/>
          <w:sz w:val="24"/>
        </w:rPr>
        <w:t>that notices required under this subsection (g) may be delivered with the next Compliance Certificate unless any of the foregoing events would reasonably be expected to have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three (3) Business Days of obtaining written notice or knowledge thereof, any product recalls, safety alerts, corrections, withdrawals, marketing suspensions, removals or the like conducted, to be undertaken or issued by any Obligor or any of its Subsidiaries, whether or not at the request, demand or order of any Governmental Authority or otherwise with respect to any Product;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five (5) Business Days of obtaining written notice or knowledge thereof, any infringement or other violation by any Person of any Obligor Intellectual Property that would reasonably be expected to result in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(j)</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within five (5) Business Days of obtaining written notice or knowledge thereof, a material licensing agreement or arrangement entered into by any Obligor or any of its Subsidiaries in connection with any infringement or alleged infringement of the </w:t>
      </w:r>
    </w:p>
    <w:p>
      <w:pPr>
        <w:pStyle w:val="TextBody"/>
        <w:bidi w:val="0"/>
        <w:spacing w:before="0" w:after="0"/>
        <w:jc w:val="center"/>
        <w:rPr/>
      </w:pPr>
      <w:r>
        <w:rPr/>
        <w:noBreakHyphen/>
      </w:r>
      <w:r>
        <w:rPr>
          <w:rFonts w:ascii="Times New Roman;serif" w:hAnsi="Times New Roman;serif"/>
          <w:b w:val="false"/>
          <w:sz w:val="24"/>
        </w:rPr>
        <w:t>72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Intellectual Property of another Person that would reasonably be expected to have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(k)</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five (5)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(l)</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distribution of reports and notices as and when required by the Security Documents;</w:t>
      </w:r>
    </w:p>
    <w:p>
      <w:pPr>
        <w:pStyle w:val="TextBody"/>
        <w:bidi w:val="0"/>
        <w:spacing w:before="280" w:after="0"/>
        <w:jc w:val="both"/>
        <w:rPr>
          <w:rFonts w:ascii="Times New Roman" w:hAnsi="Times New Roman"/>
          <w:b w:val="false"/>
          <w:sz w:val="24"/>
        </w:rPr>
      </w:pPr>
      <w:r>
        <w:rPr>
          <w:rFonts w:ascii="Times New Roman" w:hAnsi="Times New Roman"/>
          <w:b w:val="false"/>
          <w:sz w:val="24"/>
        </w:rPr>
        <w:t>(m)</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thirty (30) days of the date thereof, or, if earlier, on the date of delivery of any financial statements pursuant to Section 8.01, notice of any material change in accounting policies or financial reporting practices by the Obligors;</w:t>
      </w:r>
    </w:p>
    <w:p>
      <w:pPr>
        <w:pStyle w:val="TextBody"/>
        <w:bidi w:val="0"/>
        <w:spacing w:before="280" w:after="0"/>
        <w:jc w:val="both"/>
        <w:rPr>
          <w:rFonts w:ascii="Times New Roman" w:hAnsi="Times New Roman"/>
          <w:b w:val="false"/>
          <w:sz w:val="24"/>
        </w:rPr>
      </w:pPr>
      <w:r>
        <w:rPr>
          <w:rFonts w:ascii="Times New Roman" w:hAnsi="Times New Roman"/>
          <w:b w:val="false"/>
          <w:sz w:val="24"/>
        </w:rPr>
        <w:t>(n)</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five (5) Business Days of the occurrence thereof, notice of any labor controversy resulting in or threatening to result in any strike, work stoppage, boycott, shutdown or other labor disruption against or involving an Obligor (or any Subsidiary thereof) that would reasonably be expected to have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(o)</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five (5) Business Days of any other failure to pay or any other development that results in, or would reasonably be expected to result in,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(p)</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five (5) Business Days of the acceleration of the maturity of any Material Indebtedness owed by any Obligor or of any default by Obligors under any indenture, mortgage, agreement, contract or other instrument to which any of them is a party or by which any of them or any of their properties is bound, if such acceleration or default could, in the reasonable opinion of the Borrower, cause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(q)</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five (5) Business Days of the failure to pay any Taxes or obligations that are not paid in accordance with Section 8.04;</w:t>
      </w:r>
    </w:p>
    <w:p>
      <w:pPr>
        <w:pStyle w:val="TextBody"/>
        <w:bidi w:val="0"/>
        <w:spacing w:before="280" w:after="0"/>
        <w:jc w:val="both"/>
        <w:rPr>
          <w:rFonts w:ascii="Times New Roman" w:hAnsi="Times New Roman"/>
          <w:b w:val="false"/>
          <w:sz w:val="24"/>
        </w:rPr>
      </w:pPr>
      <w:r>
        <w:rPr>
          <w:rFonts w:ascii="Times New Roman" w:hAnsi="Times New Roman"/>
          <w:b w:val="false"/>
          <w:sz w:val="24"/>
        </w:rPr>
        <w:t>(r)</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 and</w:t>
      </w:r>
    </w:p>
    <w:p>
      <w:pPr>
        <w:pStyle w:val="TextBody"/>
        <w:bidi w:val="0"/>
        <w:spacing w:before="280" w:after="0"/>
        <w:jc w:val="both"/>
        <w:rPr>
          <w:rFonts w:ascii="Times New Roman" w:hAnsi="Times New Roman"/>
          <w:b w:val="false"/>
          <w:sz w:val="24"/>
        </w:rPr>
      </w:pPr>
      <w:r>
        <w:rPr>
          <w:rFonts w:ascii="Times New Roman" w:hAnsi="Times New Roman"/>
          <w:b w:val="false"/>
          <w:sz w:val="24"/>
        </w:rPr>
        <w:t>(s)</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five (5) Business Days prior to any change to any Obligor’s ownership of Deposit Accounts, Securities Accounts and Commodity Accounts, by delivering to the Lenders an updated Schedule 7 to the Security Agreement setting forth a complete and correct list of all such accounts as of the date of such change.</w:t>
      </w:r>
    </w:p>
    <w:p>
      <w:pPr>
        <w:pStyle w:val="TextBody"/>
        <w:bidi w:val="0"/>
        <w:spacing w:before="0" w:after="0"/>
        <w:jc w:val="center"/>
        <w:rPr/>
      </w:pPr>
      <w:r>
        <w:rPr/>
        <w:noBreakHyphen/>
      </w:r>
      <w:r>
        <w:rPr>
          <w:rFonts w:ascii="Times New Roman;serif" w:hAnsi="Times New Roman;serif"/>
          <w:b w:val="false"/>
          <w:sz w:val="24"/>
        </w:rPr>
        <w:t>73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specified time periods in this Section 8.02 shall begin accruing after a Responsible Officer of an Obligor first learns of the existence of a circumstance requiring notice.</w:t>
      </w:r>
    </w:p>
    <w:p>
      <w:pPr>
        <w:pStyle w:val="TextBody"/>
        <w:bidi w:val="0"/>
        <w:spacing w:before="280" w:after="0"/>
        <w:jc w:val="both"/>
        <w:rPr>
          <w:rFonts w:ascii="Times New Roman" w:hAnsi="Times New Roman"/>
          <w:sz w:val="20"/>
        </w:rPr>
      </w:pPr>
      <w:r>
        <w:rPr>
          <w:rFonts w:ascii="Times New Roman;serif" w:hAnsi="Times New Roman;serif"/>
          <w:b w:val="false"/>
          <w:sz w:val="24"/>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serif" w:hAnsi="Times New Roman;serif"/>
          <w:b w:val="false"/>
          <w:i/>
          <w:sz w:val="24"/>
        </w:rPr>
        <w:t xml:space="preserve">provided </w:t>
      </w:r>
      <w:r>
        <w:rPr>
          <w:rFonts w:ascii="Times New Roman;serif" w:hAnsi="Times New Roman;serif"/>
          <w:b w:val="false"/>
          <w:sz w:val="24"/>
        </w:rPr>
        <w:t>that, so long as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w:t>
      </w:r>
    </w:p>
    <w:p>
      <w:pPr>
        <w:pStyle w:val="TextBody"/>
        <w:bidi w:val="0"/>
        <w:spacing w:before="280" w:after="0"/>
        <w:jc w:val="both"/>
        <w:rPr>
          <w:rFonts w:ascii="Times New Roman" w:hAnsi="Times New Roman"/>
          <w:sz w:val="20"/>
        </w:rPr>
      </w:pPr>
      <w:r>
        <w:rPr>
          <w:rFonts w:ascii="Times New Roman;serif" w:hAnsi="Times New Roman;serif"/>
          <w:b w:val="false"/>
          <w:sz w:val="24"/>
        </w:rPr>
        <w:t xml:space="preserve">Notwithstanding any contrary provision of this Agreement or any other Loan Document (including, without limitation, Sections 8.01 and 8.02), so long as the Borrower is a Publicly Reporting Company, in the event that the Administrative Agent provides notice to the Borrower that it no longer desires to receive any information that constitutes material non-public information, the Obligors shall not be required to provide any information pursuant to the terms hereof or thereof unless the Borrower is disclosing such information pursuant to a filing with the SEC; </w:t>
      </w:r>
      <w:r>
        <w:rPr>
          <w:rFonts w:ascii="Times New Roman;serif" w:hAnsi="Times New Roman;serif"/>
          <w:b w:val="false"/>
          <w:i/>
          <w:sz w:val="24"/>
        </w:rPr>
        <w:t xml:space="preserve">provided </w:t>
      </w:r>
      <w:r>
        <w:rPr>
          <w:rFonts w:ascii="Times New Roman;serif" w:hAnsi="Times New Roman;serif"/>
          <w:b w:val="false"/>
          <w:sz w:val="24"/>
        </w:rPr>
        <w:t>that notwithstanding the foregoing, the Obligors shall at all times comply with Section 8.01(c) and 8.02(a).</w:t>
      </w:r>
    </w:p>
    <w:p>
      <w:pPr>
        <w:pStyle w:val="TextBody"/>
        <w:bidi w:val="0"/>
        <w:spacing w:before="280" w:after="0"/>
        <w:jc w:val="both"/>
        <w:rPr>
          <w:rFonts w:ascii="Times New Roman" w:hAnsi="Times New Roman"/>
          <w:sz w:val="20"/>
        </w:rPr>
      </w:pPr>
      <w:r>
        <w:rPr>
          <w:rFonts w:ascii="Times New Roman;serif" w:hAnsi="Times New Roman;serif"/>
          <w:b w:val="false"/>
          <w:sz w:val="24"/>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8.02) to any third party.</w:t>
      </w:r>
      <w:r>
        <w:rPr>
          <w:rFonts w:ascii="Times New Roman" w:hAnsi="Times New Roman"/>
          <w:sz w:val="20"/>
        </w:rPr>
        <w:t xml:space="preserve"> </w:t>
      </w:r>
    </w:p>
    <w:p>
      <w:pPr>
        <w:pStyle w:val="TextBody"/>
        <w:bidi w:val="0"/>
        <w:spacing w:before="280" w:after="0"/>
        <w:jc w:val="both"/>
        <w:rPr>
          <w:rFonts w:ascii="Times New Roman;serif" w:hAnsi="Times New Roman;serif"/>
          <w:b w:val="false"/>
          <w:i/>
          <w:sz w:val="24"/>
        </w:rPr>
      </w:pPr>
      <w:r>
        <w:rPr>
          <w:rFonts w:ascii="Times New Roman;serif" w:hAnsi="Times New Roman;serif"/>
          <w:b w:val="false"/>
          <w:i/>
          <w:sz w:val="24"/>
        </w:rPr>
        <w:t>Section 8.03. Existence; Maintenance of Properties</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sz w:val="24"/>
        </w:rPr>
        <w:t xml:space="preserve">It will, and will cause each of its Subsidiaries to, do or cause to be done all things necessary to preserve, renew and keep in full force and effect its legal existence; </w:t>
      </w:r>
      <w:r>
        <w:rPr>
          <w:rFonts w:ascii="Times New Roman;serif" w:hAnsi="Times New Roman;serif"/>
          <w:b w:val="false"/>
          <w:i/>
          <w:sz w:val="24"/>
        </w:rPr>
        <w:t>provided</w:t>
      </w:r>
      <w:r>
        <w:rPr/>
        <w:t xml:space="preserve"> </w:t>
      </w:r>
      <w:r>
        <w:rPr>
          <w:rFonts w:ascii="Times New Roman;serif" w:hAnsi="Times New Roman;serif"/>
          <w:b w:val="false"/>
          <w:sz w:val="24"/>
        </w:rPr>
        <w:t>that the foregoing shall not prohibit any merger, amalgamation, plan of arrangement, consolidation, liquidation or dissolution permitted under Section 9.03.</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Each Obligor shall, and shall cause each of its Subsidiaries to, maintain and preserve all rights, licenses, Permits, privileges and franchises material to the conduct of its business, and maintain and preserve all of its assets and properties, including all Product Assets, necessary to the conduct of its business in good working order and condition, except for ordinary wear and tear and damage from casualty or condemnation and, with respect to Intellectual Property, abandonment, lapse or other disposition of Intellectual Property in the Ordinary Course of Business that is, in the reasonable good faith judgment of such Obligor, immaterial to the business of such Obligor, no longer economically practicable or commercially desirable to maintain or used or useful in the business of such Obligor, or the expiration of such Intellectual Property is in accordance with its statutory </w:t>
      </w:r>
    </w:p>
    <w:p>
      <w:pPr>
        <w:pStyle w:val="TextBody"/>
        <w:bidi w:val="0"/>
        <w:spacing w:before="0" w:after="0"/>
        <w:jc w:val="center"/>
        <w:rPr/>
      </w:pPr>
      <w:r>
        <w:rPr/>
        <w:noBreakHyphen/>
      </w:r>
      <w:r>
        <w:rPr>
          <w:rFonts w:ascii="Times New Roman;serif" w:hAnsi="Times New Roman;serif"/>
          <w:b w:val="false"/>
          <w:sz w:val="24"/>
        </w:rPr>
        <w:t>74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term (provided that such term is not renewable), except to the extent the failure to do so would not reasonably be expected to result in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Obligor shall use commercially reasonable efforts to cause each new employee and each contractor with access to Material Intellectual Property to execute and deliver a customary confidentiality, non-disclosure and Intellectual Property assignment agreement that includes a waiver or moral rights to the extent permitted by Law and such agreements are customary in the applicable jurisdiction.</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283"/>
        <w:jc w:val="both"/>
        <w:rPr/>
      </w:pPr>
      <w:r>
        <w:rPr>
          <w:rFonts w:ascii="Times New Roman;serif" w:hAnsi="Times New Roman;serif"/>
          <w:b w:val="false"/>
          <w:sz w:val="24"/>
        </w:rPr>
        <w:t xml:space="preserve">The Borrower shall maintain sufficient authorized but unissued share capital to satisfy in full, without the need for the passing of any further resolutions of its shareholders, the outstanding rights represented by the Warrant </w:t>
      </w:r>
      <w:r>
        <w:rPr>
          <w:rFonts w:ascii="Times New Roman;serif" w:hAnsi="Times New Roman;serif"/>
          <w:b w:val="false"/>
          <w:strike/>
          <w:sz w:val="24"/>
        </w:rPr>
        <w:t>Certificate</w:t>
      </w:r>
      <w:r>
        <w:rPr>
          <w:rFonts w:ascii="Times New Roman;serif" w:hAnsi="Times New Roman;serif"/>
          <w:b w:val="false"/>
          <w:sz w:val="24"/>
          <w:u w:val="single"/>
        </w:rPr>
        <w:t>Certificates</w:t>
      </w:r>
      <w:r>
        <w:rPr>
          <w:rFonts w:ascii="Times New Roman;serif" w:hAnsi="Times New Roman;serif"/>
          <w:b w:val="false"/>
          <w:sz w:val="24"/>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8.04. Payment of Obligations.</w:t>
      </w:r>
      <w:r>
        <w:rPr>
          <w:rFonts w:ascii="Times New Roman" w:hAnsi="Times New Roman"/>
          <w:sz w:val="20"/>
        </w:rPr>
        <w:t xml:space="preserve"> </w:t>
      </w:r>
      <w:r>
        <w:rPr>
          <w:rFonts w:ascii="Times New Roman;serif" w:hAnsi="Times New Roman;serif"/>
          <w:b w:val="false"/>
          <w:sz w:val="24"/>
        </w:rPr>
        <w:t>It will, and will cause each of its Subsidiaries to, pay and discharge (a) all federal income and other material 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8.05. Insurance.</w:t>
      </w:r>
      <w:r>
        <w:rPr>
          <w:rFonts w:ascii="Times New Roman" w:hAnsi="Times New Roman"/>
          <w:sz w:val="20"/>
        </w:rPr>
        <w:t xml:space="preserve"> </w:t>
      </w:r>
      <w:r>
        <w:rPr>
          <w:rFonts w:ascii="Times New Roman;serif" w:hAnsi="Times New Roman;serif"/>
          <w:b w:val="false"/>
          <w:sz w:val="24"/>
        </w:rPr>
        <w:t>At its own cost and expense, it will, and will cause each of its Subsidiaries, to obtain and 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The 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the Borrower (payable within three (3) Business Days of the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75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insured clauses or endorsements in favor of the Administrative Agent as required by this Section 8.05, delivered to the Administrative Agent on or before the Closing Date (or, with respect to such endorsements, within the time period set forth in Section 8.18) and at such other times as the Administrative Agent may request from time to time.</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8.06. Books and Records; Inspection Rights.</w:t>
      </w:r>
      <w:r>
        <w:rPr>
          <w:rFonts w:ascii="Times New Roman" w:hAnsi="Times New Roman"/>
          <w:sz w:val="20"/>
        </w:rPr>
        <w:t xml:space="preserve"> </w:t>
      </w:r>
      <w:r>
        <w:rPr>
          <w:rFonts w:ascii="Times New Roman;serif" w:hAnsi="Times New Roman;serif"/>
          <w:b w:val="false"/>
          <w:sz w:val="24"/>
        </w:rPr>
        <w:t>It will, and will cause each of its Subsidiaries to, keep proper books 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and at reasonable times, to visit and inspect its properties, to examine and make extracts from its books and records, and to discuss its affairs, finances and condition with its officers and independent accountants, all at such reasonable times during normal business hours and with reasonable advance notice as the Administrative Agent may request. It will, and will cause each of its Subsidiaries to, pay all reasonable and documented out</w:t>
        <w:noBreakHyphen/>
        <w:t>of</w:t>
        <w:noBreakHyphen/>
        <w:t>pocket expenses incurred by the Administrative Agent (a) so long as no Default has occurred and is continuing, for no more than two (2) such inspections each calendar year and (b) during a continuing Default, all such inspections.</w:t>
      </w:r>
    </w:p>
    <w:p>
      <w:pPr>
        <w:pStyle w:val="TextBody"/>
        <w:bidi w:val="0"/>
        <w:spacing w:before="280" w:after="0"/>
        <w:jc w:val="both"/>
        <w:rPr>
          <w:rFonts w:ascii="Times New Roman" w:hAnsi="Times New Roman"/>
          <w:sz w:val="20"/>
        </w:rPr>
      </w:pPr>
      <w:r>
        <w:rPr>
          <w:rFonts w:ascii="Times New Roman;serif" w:hAnsi="Times New Roman;serif"/>
          <w:b w:val="false"/>
          <w:sz w:val="24"/>
        </w:rPr>
        <w:t>During the course any inspections, audits and other visits and discussions permitted under this Section 8.06 or elsewhere under the Loan Documents, representatives of the Administrative Agent (or any Lender (or their respective representatives or contractors)) may encounter individually identifiable healthcare information as defined under HIPAA, or other confidential information relating to healthcare patients (collectively, the “</w:t>
      </w:r>
      <w:r>
        <w:rPr>
          <w:rFonts w:ascii="Times New Roman;serif" w:hAnsi="Times New Roman;serif"/>
          <w:b w:val="false"/>
          <w:i/>
          <w:sz w:val="24"/>
        </w:rPr>
        <w:t>Confidential Healthcare Information</w:t>
      </w:r>
      <w:r>
        <w:rPr>
          <w:rFonts w:ascii="Times New Roman" w:hAnsi="Times New Roman"/>
          <w:sz w:val="20"/>
        </w:rPr>
        <w:t>”</w:t>
      </w:r>
      <w:r>
        <w:rPr>
          <w:rFonts w:ascii="Times New Roman;serif" w:hAnsi="Times New Roman;serif"/>
          <w:b w:val="false"/>
          <w:sz w:val="24"/>
        </w:rPr>
        <w:t>). Unless otherwise required by any applicable laws, the Administrative Agent, the Lenders and their representatives shall not require or perform any act that would cause the Borrower or any other Person to violate any Healthcare Laws, including HIPAA, including, without limitation, as a result of the disclosure of any Confidential Healthcare Information. In the event that the Administrative Agent (or any Lender (or their respective representatives or contractors)) proposes to undertake activities that the Borrower reasonably believes would constitute services of a “business associate” under HIPAA, including the disclosure of any protected Confidential Healthcare Information, the parties hereto agree to review the matter and, where appropriate, the Administrative Agent (or applicable Lender (or such respective representatives or contractors)) may take action to comply with HIPAA, and shall, upon the Borrower’s reasonable request and at the Borrower’s expense, execute a business associate agreement with the applicable Person.</w:t>
      </w:r>
    </w:p>
    <w:p>
      <w:pPr>
        <w:pStyle w:val="TextBody"/>
        <w:bidi w:val="0"/>
        <w:spacing w:before="280" w:after="0"/>
        <w:jc w:val="both"/>
        <w:rPr>
          <w:rFonts w:ascii="Times New Roman" w:hAnsi="Times New Roman"/>
          <w:sz w:val="20"/>
        </w:rPr>
      </w:pPr>
      <w:r>
        <w:rPr>
          <w:rFonts w:ascii="Times New Roman;serif" w:hAnsi="Times New Roman;serif"/>
          <w:b w:val="false"/>
          <w:sz w:val="24"/>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8.06) to any third party.</w:t>
      </w:r>
      <w:r>
        <w:rPr>
          <w:rFonts w:ascii="Times New Roman" w:hAnsi="Times New Roman"/>
          <w:sz w:val="20"/>
        </w:rPr>
        <w:t xml:space="preserve"> </w:t>
      </w:r>
    </w:p>
    <w:p>
      <w:pPr>
        <w:pStyle w:val="TextBody"/>
        <w:bidi w:val="0"/>
        <w:spacing w:before="280" w:after="0"/>
        <w:jc w:val="both"/>
        <w:rPr/>
      </w:pPr>
      <w:r>
        <w:rPr/>
        <w:t> </w:t>
      </w:r>
    </w:p>
    <w:p>
      <w:pPr>
        <w:pStyle w:val="TextBody"/>
        <w:bidi w:val="0"/>
        <w:spacing w:before="0" w:after="0"/>
        <w:jc w:val="center"/>
        <w:rPr/>
      </w:pPr>
      <w:r>
        <w:rPr/>
        <w:noBreakHyphen/>
      </w:r>
      <w:r>
        <w:rPr>
          <w:rFonts w:ascii="Times New Roman;serif" w:hAnsi="Times New Roman;serif"/>
          <w:b w:val="false"/>
          <w:sz w:val="24"/>
        </w:rPr>
        <w:t>76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8.07. Compliance with Laws.</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It will, and will cause each of its Subsidiaries to, (i) comply in all material respects with all Requirements of Law (including Healthcare Laws and Environmental Laws) and (ii) comply in all material respects with all terms of outstanding Indebtedness and all Material Agreements, except (other than with respect to Material Intellectual Property) where the failure to do so, individually or in the aggregate, would not reasonably be expected to result in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Obligor will maintain, and will cause each of its Subsidiaries to maintain, all records required to be maintained by a Governmental Authority or otherwise under any applicable Healthcare Law, except where failure to do so, individually or in the aggregate, would not reasonably be expected to have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Each Obligor will maintain, and will cause each of its Subsidiaries to maintain, in all material respects, a Health Care Compliance Program, which will be reviewed and updated annually, as necessary.</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8.08. Licenses.</w:t>
      </w:r>
      <w:r>
        <w:rPr>
          <w:rFonts w:ascii="Times New Roman" w:hAnsi="Times New Roman"/>
          <w:sz w:val="20"/>
        </w:rPr>
        <w:t xml:space="preserve"> </w:t>
      </w:r>
      <w:r>
        <w:rPr>
          <w:rFonts w:ascii="Times New Roman;serif" w:hAnsi="Times New Roman;serif"/>
          <w:b w:val="false"/>
          <w:sz w:val="24"/>
        </w:rPr>
        <w:t>It will, and will cause each of its Subsidiaries to, obtain and maintain all licenses, authorizations, consents, filings, 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8.09. Action under Environmental Laws.</w:t>
      </w:r>
      <w:r>
        <w:rPr>
          <w:rFonts w:ascii="Times New Roman" w:hAnsi="Times New Roman"/>
          <w:sz w:val="20"/>
        </w:rPr>
        <w:t xml:space="preserve"> </w:t>
      </w:r>
      <w:r>
        <w:rPr>
          <w:rFonts w:ascii="Times New Roman;serif" w:hAnsi="Times New Roman;serif"/>
          <w:b w:val="false"/>
          <w:sz w:val="24"/>
        </w:rPr>
        <w:t xml:space="preserve">It will, and will cause each of its Subsidiaries to, upon a Responsible Officer becoming aware of the release of any Hazardous Materials in violation of any applicable Environmental Laws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except where failure to do so would not reasonably be expected to have a Material Adverse Effect; </w:t>
      </w:r>
      <w:r>
        <w:rPr>
          <w:rFonts w:ascii="Times New Roman;serif" w:hAnsi="Times New Roman;serif"/>
          <w:b w:val="false"/>
          <w:i/>
          <w:sz w:val="24"/>
        </w:rPr>
        <w:t>provided, however</w:t>
      </w:r>
      <w:r>
        <w:rPr>
          <w:rFonts w:ascii="Times New Roman;serif" w:hAnsi="Times New Roman;serif"/>
          <w:b w:val="false"/>
          <w:sz w:val="24"/>
        </w:rPr>
        <w:t>, that neither an Obligor nor any Subsidiary shall be required to undertake any such investigation, clean up, removal, containment, remediation or other corrective action required by Environmental Laws to the extent that its obligation to do so is being contested in good faith and by proper proceedings and appropriate reserves are being maintained with respect to such circumstances in accordance with GAAP.</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8.10. Use of Proceeds.</w:t>
      </w:r>
      <w:r>
        <w:rPr>
          <w:rFonts w:ascii="Times New Roman" w:hAnsi="Times New Roman"/>
          <w:sz w:val="20"/>
        </w:rPr>
        <w:t xml:space="preserve"> </w:t>
      </w:r>
      <w:r>
        <w:rPr>
          <w:rFonts w:ascii="Times New Roman;serif" w:hAnsi="Times New Roman;serif"/>
          <w:b w:val="false"/>
          <w:sz w:val="24"/>
        </w:rPr>
        <w:t>The proceeds of the Term Loans will be used only as provided in Section 2.05. No part of the proceeds of the Term Loans will be used, whether directly or indirectly, for any purpose that violates any of the Regulations of the Board of Governors of the Federal Reserve System, including Regulations T, U and X.</w:t>
      </w:r>
    </w:p>
    <w:p>
      <w:pPr>
        <w:pStyle w:val="TextBody"/>
        <w:bidi w:val="0"/>
        <w:spacing w:before="0" w:after="0"/>
        <w:jc w:val="center"/>
        <w:rPr/>
      </w:pPr>
      <w:r>
        <w:rPr/>
        <w:noBreakHyphen/>
      </w:r>
      <w:r>
        <w:rPr>
          <w:rFonts w:ascii="Times New Roman;serif" w:hAnsi="Times New Roman;serif"/>
          <w:b w:val="false"/>
          <w:sz w:val="24"/>
        </w:rPr>
        <w:t>77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8.11. Certain Obligations Respecting Subsidiaries; Further Assurances</w:t>
      </w:r>
      <w:r>
        <w:rPr>
          <w:rFonts w:ascii="Times New Roman;serif" w:hAnsi="Times New Roman;serif"/>
          <w:b w:val="false"/>
          <w:sz w:val="24"/>
        </w:rPr>
        <w:t>.</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Subsidiaries.</w:t>
      </w:r>
      <w:r>
        <w:rPr/>
        <w:t xml:space="preserve"> </w:t>
      </w:r>
      <w:r>
        <w:rPr>
          <w:rFonts w:ascii="Times New Roman;serif" w:hAnsi="Times New Roman;serif"/>
          <w:b w:val="false"/>
          <w:sz w:val="24"/>
        </w:rPr>
        <w:t>It will take such action, and will cause each of its Subsidiaries to take such action, from time to time as shall be necessary to ensure that all Subsidiaries are “Guarantors” hereunder. Without limiting the generality of the foregoing, in the event that any Obligor shall form or acquire any new Subsidiary, it and its Subsidiaries will promptly and in any event within thirty (30) days (or such longer time as consented to by the Administrative Agent in writing) of the formation or Acquisition of such Subsidiary:</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cause such new Subsidiary to become a “Guarantor” hereunder, and a “Grantor” under the Security Documents, pursuant to a Guarantee Assumption Agreement;</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 Property of such new Subsidiary as collateral security for the obligations of such new Subsidiary hereunder;</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to the extent that the parent of such Subsidiary is not a party to the Security Documents or has not otherwise pledged Equity Interests in its Subsidiaries in accordance with the terms of the Security Documents and this Agreement, cause the parent of such Subsidiary to execute and deliver a pledge agreement in favor of the Lenders, in respect of all outstanding issued shares of such Subsidiary; and</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deliver such proof of corporate action, incumbency of officers, opinions of counsel and other documents as is consistent with those delivered by each Obligor pursuant to Section 6.01 or as the Majority Lenders shall have requested.</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pPr>
      <w:r>
        <w:rPr>
          <w:rFonts w:ascii="Times New Roman;serif" w:hAnsi="Times New Roman;serif"/>
          <w:b w:val="false"/>
          <w:i/>
          <w:sz w:val="24"/>
        </w:rPr>
        <w:t>Further Assurances.</w:t>
      </w:r>
      <w:r>
        <w:rPr/>
        <w:t xml:space="preserve"> </w:t>
      </w:r>
      <w:r>
        <w:rPr>
          <w:rFonts w:ascii="Times New Roman;serif" w:hAnsi="Times New Roman;serif"/>
          <w:b w:val="false"/>
          <w:sz w:val="24"/>
        </w:rPr>
        <w:t xml:space="preserve">It will, and will cause each of its Subsidiaries to, take such action from time to time as shall reasonably be requested in writing by the Majority Lenders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Majority Lenders to create, in favor of the Lenders, perfected security interests and Liens (subject to Permitted Liens) in substantially all of the personal Property of such Obligor as collateral security for the Obligations; </w:t>
      </w:r>
      <w:r>
        <w:rPr>
          <w:rFonts w:ascii="Times New Roman;serif" w:hAnsi="Times New Roman;serif"/>
          <w:b w:val="false"/>
          <w:i/>
          <w:sz w:val="24"/>
        </w:rPr>
        <w:t>provided</w:t>
      </w:r>
      <w:r>
        <w:rPr/>
        <w:t xml:space="preserve"> </w:t>
      </w:r>
      <w:r>
        <w:rPr>
          <w:rFonts w:ascii="Times New Roman;serif" w:hAnsi="Times New Roman;serif"/>
          <w:b w:val="false"/>
          <w:sz w:val="24"/>
        </w:rPr>
        <w:t>that any such security interest or Lien shall be subject to the relevant requirements of the Security Documents.</w:t>
      </w:r>
    </w:p>
    <w:p>
      <w:pPr>
        <w:pStyle w:val="TextBody"/>
        <w:bidi w:val="0"/>
        <w:spacing w:before="0" w:after="0"/>
        <w:jc w:val="center"/>
        <w:rPr/>
      </w:pPr>
      <w:r>
        <w:rPr/>
        <w:noBreakHyphen/>
      </w:r>
      <w:r>
        <w:rPr>
          <w:rFonts w:ascii="Times New Roman;serif" w:hAnsi="Times New Roman;serif"/>
          <w:b w:val="false"/>
          <w:sz w:val="24"/>
        </w:rPr>
        <w:t>78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pPr>
      <w:r>
        <w:rPr>
          <w:rFonts w:ascii="Times New Roman;serif" w:hAnsi="Times New Roman;serif"/>
          <w:b w:val="false"/>
          <w:i/>
          <w:sz w:val="24"/>
        </w:rPr>
        <w:t>Intellectual Property</w:t>
      </w:r>
      <w:r>
        <w:rPr>
          <w:rFonts w:ascii="Times New Roman;serif" w:hAnsi="Times New Roman;serif"/>
          <w:b w:val="false"/>
          <w:sz w:val="24"/>
        </w:rPr>
        <w:t>. In the event that any Obligor creates, develops or acquires Obligor Intellectual 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request of the Administrative Agent, such Obligor shall take any action as shall be reasonably necessary and reasonably requested by the Administrative Agent to ensure that the provisions of this Agreement and the Security Agreement shall apply thereto and any such Obligor Intellectual Property shall constitute part of the Collateral under the Security Documents.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8.12. Termination of Non</w:t>
        <w:noBreakHyphen/>
        <w:t>Permitted Liens.</w:t>
      </w:r>
      <w:r>
        <w:rPr>
          <w:rFonts w:ascii="Times New Roman" w:hAnsi="Times New Roman"/>
          <w:sz w:val="20"/>
        </w:rPr>
        <w:t xml:space="preserve"> </w:t>
      </w:r>
      <w:r>
        <w:rPr>
          <w:rFonts w:ascii="Times New Roman;serif" w:hAnsi="Times New Roman;serif"/>
          <w:b w:val="false"/>
          <w:sz w:val="24"/>
        </w:rPr>
        <w:t>In the event that any Responsible Officer of any Obligor shall become aware or be notified by the Lenders of the existence of any outstanding Lien against any Property of any Obligor or any of its Subsidiaries, which Lien is not a Permitted Lien, such Obligor shall use its best efforts to promptly terminate or cause the termination of such Lien.</w:t>
      </w:r>
    </w:p>
    <w:p>
      <w:pPr>
        <w:pStyle w:val="TextBody"/>
        <w:bidi w:val="0"/>
        <w:spacing w:before="280" w:after="0"/>
        <w:jc w:val="both"/>
        <w:rPr>
          <w:rFonts w:ascii="Times New Roman" w:hAnsi="Times New Roman"/>
          <w:sz w:val="20"/>
        </w:rPr>
      </w:pPr>
      <w:r>
        <w:rPr>
          <w:rFonts w:ascii="Times New Roman;serif" w:hAnsi="Times New Roman;serif"/>
          <w:b w:val="false"/>
          <w:i/>
          <w:sz w:val="24"/>
        </w:rPr>
        <w:t xml:space="preserve">Section 8.13. Non-Consolidation. </w:t>
      </w:r>
      <w:r>
        <w:rPr>
          <w:rFonts w:ascii="Times New Roman;serif" w:hAnsi="Times New Roman;serif"/>
          <w:b w:val="false"/>
          <w:sz w:val="24"/>
        </w:rPr>
        <w:t>The Borrower will cause each of its Subsidiaries (other than an Obligor) to, (a) maintain entity records and books of account separate from those of any other entity which is an Affiliate of such entity and (b) not commingle its funds or assets with those of any other entity which is an Affiliate of such entity.</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8.14. Anti</w:t>
        <w:noBreakHyphen/>
        <w:t>Terrorism and Anti</w:t>
        <w:noBreakHyphen/>
        <w:t>Corruption Laws</w:t>
      </w:r>
      <w:r>
        <w:rPr>
          <w:rFonts w:ascii="Times New Roman;serif" w:hAnsi="Times New Roman;serif"/>
          <w:b w:val="false"/>
          <w:sz w:val="24"/>
        </w:rPr>
        <w:t>. No Obligor shall engage in any transaction that violates any of the applicable prohibitions set forth in any Economic Sanctions Law, Anti</w:t>
        <w:noBreakHyphen/>
        <w:t>Terrorism Law, or any Anti-Corruption Law. None of the funds or assets of such Obligor or any 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such Obligor insofar as such interest would violate any Economic Sanctions Laws applicable to such Obligor.</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8.15. Financial Covenants</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Minimum Liquidity.</w:t>
      </w:r>
      <w:r>
        <w:rPr/>
        <w:t xml:space="preserve"> </w:t>
      </w:r>
      <w:r>
        <w:rPr>
          <w:rFonts w:ascii="Times New Roman;serif" w:hAnsi="Times New Roman;serif"/>
          <w:b w:val="false"/>
          <w:sz w:val="24"/>
        </w:rPr>
        <w:t>The Borrower shall ensure that the Obligors shall have aggregate Unrestricted Cash of not less than $2,500,000 at all times.</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pPr>
      <w:r>
        <w:rPr>
          <w:rFonts w:ascii="Times New Roman;serif" w:hAnsi="Times New Roman;serif"/>
          <w:b w:val="false"/>
          <w:i/>
          <w:sz w:val="24"/>
        </w:rPr>
        <w:t>Minimum Net Revenue</w:t>
      </w:r>
      <w:r>
        <w:rPr>
          <w:rFonts w:ascii="Times New Roman;serif" w:hAnsi="Times New Roman;serif"/>
          <w:b w:val="false"/>
          <w:sz w:val="24"/>
        </w:rPr>
        <w:t>. As of the end of the fiscal quarter ended March 31, 2023, and each fiscal quarter thereafter, the Obligors shall maintain, on a consolidated basis, Net Revenue as agreed to in writing between the Borrower and the Administrative Agent from time to time.</w:t>
      </w:r>
    </w:p>
    <w:p>
      <w:pPr>
        <w:pStyle w:val="TextBody"/>
        <w:bidi w:val="0"/>
        <w:spacing w:before="0" w:after="0"/>
        <w:jc w:val="center"/>
        <w:rPr/>
      </w:pPr>
      <w:r>
        <w:rPr/>
        <w:noBreakHyphen/>
      </w:r>
      <w:r>
        <w:rPr>
          <w:rFonts w:ascii="Times New Roman;serif" w:hAnsi="Times New Roman;serif"/>
          <w:b w:val="false"/>
          <w:sz w:val="24"/>
        </w:rPr>
        <w:t>79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4"/>
        </w:rPr>
        <w:t xml:space="preserve">Section 8.16. Maintenance of Regulatory Approvals, Contracts and Intellectual Property </w:t>
      </w:r>
      <w:r>
        <w:rPr>
          <w:rFonts w:ascii="Times New Roman;serif" w:hAnsi="Times New Roman;serif"/>
          <w:b w:val="false"/>
          <w:sz w:val="24"/>
        </w:rPr>
        <w:t>Each Obligor will, and will cause each of its Subsidiaries (to the extent applicable) to:</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maintain in full force and effect all CLIA laboratory certifications or accreditations, Regulatory Approvals (including the Product Authorizations), Material Agreements, or other rights necessary for the current operations of such Obligor’s or such Subsidiary’s business, as the case may be, except where failure to do so, individually or in the aggregate, would not reasonably be expected to have a Material Adverse Effect;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maintain in full force and effect all Material Intellectual Property that is used in and necessary for current operations; and </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use commercially reasonable efforts to pursue and maintain in full force and effect legal protection for all new, Material Intellectual Property that is used in and necessary in connection with any Product Development and Commercialization Activities by such Obligor relating to any such Product.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8.17. Cash Management</w:t>
      </w:r>
      <w:r>
        <w:rPr>
          <w:rFonts w:ascii="Times New Roman;serif" w:hAnsi="Times New Roman;serif"/>
          <w:b w:val="false"/>
          <w:sz w:val="24"/>
        </w:rPr>
        <w:t>. It will, and will cause each of their Subsidiaries to:</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sz w:val="24"/>
        </w:rPr>
        <w:t xml:space="preserve">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t>“</w:t>
      </w:r>
      <w:r>
        <w:rPr>
          <w:rFonts w:ascii="Times New Roman;serif" w:hAnsi="Times New Roman;serif"/>
          <w:b w:val="false"/>
          <w:i/>
          <w:sz w:val="24"/>
        </w:rPr>
        <w:t>Controlled Account”</w:t>
      </w:r>
      <w:r>
        <w:rPr>
          <w:rFonts w:ascii="Times New Roman;serif" w:hAnsi="Times New Roman;serif"/>
          <w:b w:val="false"/>
          <w:sz w:val="24"/>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subject to Section 8.18, deposit promptly, and in any event no later than five (5) Business Days after the date of receipt thereof, all cash, checks, drafts or other similar items of payment relating to or constituting payments greater than $75,000 in the aggregate at any time made in respect of any and all accounts and other rights and interests into Controlled Accounts; and </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No Obligor shall deposit any funds to a Segregated Health Care Account or direct or permit any other Person to deposit any funds to a Segregated Health Care Account, other than funds received from third-party payer payments pertaining to clinical diagnostic testing claims including those received from Federal Health Care Programs. Subject to Section 8.18, the Obligors shall cause all amounts deposited into the Segregated Health Care Accounts to be automatically swept on a daily basis to a Controlled Account pursuant to a Sweep Agreement. Any such Sweep Agreement will require such depository bank to waive all of its existing and future rights of recoupment and set-off and banker’s lien against any Segregated Health Care Accounts, but shall permit such depository bank to maintain its existing and future rights of recoupment and set-off and banker’s lien against any Controlled Account.</w:t>
      </w:r>
    </w:p>
    <w:p>
      <w:pPr>
        <w:pStyle w:val="TextBody"/>
        <w:bidi w:val="0"/>
        <w:spacing w:before="0" w:after="0"/>
        <w:jc w:val="center"/>
        <w:rPr/>
      </w:pPr>
      <w:r>
        <w:rPr/>
        <w:noBreakHyphen/>
      </w:r>
      <w:r>
        <w:rPr>
          <w:rFonts w:ascii="Times New Roman;serif" w:hAnsi="Times New Roman;serif"/>
          <w:b w:val="false"/>
          <w:sz w:val="24"/>
        </w:rPr>
        <w:t>80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8.18. Post-Funding Obligations</w:t>
      </w:r>
      <w:r>
        <w:rPr>
          <w:rFonts w:ascii="Times New Roman;serif" w:hAnsi="Times New Roman;serif"/>
          <w:b w:val="false"/>
          <w:sz w:val="24"/>
        </w:rPr>
        <w:t>. The Obligors will provide the items set forth in Schedule 8.18 within the time periods set forth therein.</w:t>
      </w:r>
      <w:r>
        <w:rPr>
          <w:rFonts w:ascii="Times New Roman" w:hAnsi="Times New Roman"/>
          <w:sz w:val="20"/>
        </w:rPr>
        <w:t xml:space="preserve"> </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9 </w:t>
        <w:br/>
        <w:br/>
        <w:t>Negative Covenants</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Each Obligor covenants and agrees with the Administrative Agent and the Lenders that, commencing on the Funding Date and until the Commitments have expired or been terminated and all Obligations (other than the Warrant Obligations and contingent and unmatured indemnity and expense reimbursement obligations) have been paid in full in cash:</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9.01. Indebtedness.</w:t>
      </w:r>
      <w:r>
        <w:rPr>
          <w:rFonts w:ascii="Times New Roman" w:hAnsi="Times New Roman"/>
          <w:sz w:val="20"/>
        </w:rPr>
        <w:t xml:space="preserve"> </w:t>
      </w:r>
      <w:r>
        <w:rPr>
          <w:rFonts w:ascii="Times New Roman;serif" w:hAnsi="Times New Roman;serif"/>
          <w:b w:val="false"/>
          <w:sz w:val="24"/>
        </w:rPr>
        <w:t>It will not, and will not permit any of its Subsidiaries to, create, incur, assume or permit to exist any Indebtedness, whether directly or indirectly, except: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Obligations;</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Indebtedness existing on the date hereof and set forth in Schedule 7.13A;</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accounts payable to trade creditors for goods and services and current operating liabilities (not the result of the borrowing of money) incurred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Indebtedness consisting of guarantees resulting from endorsement of negotiable instruments for collection by an Obligor or any of its Subsidiaries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pPr>
      <w:r>
        <w:rPr>
          <w:rFonts w:ascii="Times New Roman;serif" w:hAnsi="Times New Roman;serif"/>
          <w:b w:val="false"/>
          <w:sz w:val="24"/>
        </w:rPr>
        <w:t xml:space="preserve">unsecured Indebtedness of an Obligor to any other Obligor; </w:t>
      </w:r>
      <w:r>
        <w:rPr>
          <w:rFonts w:ascii="Times New Roman;serif" w:hAnsi="Times New Roman;serif"/>
          <w:b w:val="false"/>
          <w:i/>
          <w:sz w:val="24"/>
        </w:rPr>
        <w:t>provided</w:t>
      </w:r>
      <w:r>
        <w:rPr/>
        <w:t xml:space="preserve"> </w:t>
      </w:r>
      <w:r>
        <w:rPr>
          <w:rFonts w:ascii="Times New Roman;serif" w:hAnsi="Times New Roman;serif"/>
          <w:b w:val="false"/>
          <w:sz w:val="24"/>
        </w:rPr>
        <w:t>such Indebtedness is pledged to the Administrative Agent for the benefit of the Lenders under the Security Agreement and otherwise subordinate in right of payment to the Obligations on terms reasonably satisfactory to the Administrative Agent in its reasonable discretion;</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Guarantees by any Obligor of Indebtedness of any other Obligor;</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0"/>
        <w:jc w:val="both"/>
        <w:rPr/>
      </w:pPr>
      <w:r>
        <w:rPr>
          <w:rFonts w:ascii="Times New Roman;serif" w:hAnsi="Times New Roman;serif"/>
          <w:b w:val="false"/>
          <w:sz w:val="24"/>
        </w:rPr>
        <w:t xml:space="preserve">purchase money Indebtedness and Capital Lease Obligations; </w:t>
      </w:r>
      <w:r>
        <w:rPr>
          <w:rFonts w:ascii="Times New Roman;serif" w:hAnsi="Times New Roman;serif"/>
          <w:b w:val="false"/>
          <w:i/>
          <w:sz w:val="24"/>
        </w:rPr>
        <w:t>provided</w:t>
      </w:r>
      <w:r>
        <w:rPr/>
        <w:t xml:space="preserve"> </w:t>
      </w:r>
      <w:r>
        <w:rPr>
          <w:rFonts w:ascii="Times New Roman;serif" w:hAnsi="Times New Roman;serif"/>
          <w:b w:val="false"/>
          <w:sz w:val="24"/>
        </w:rPr>
        <w:t>that (i) if secured, the collateral therefor consists solely of the assets being financed, the products and proceeds thereof and books and records related thereto, (ii) in the case of purchase money Indebtedness, such Indebtedness shall not constitute less than 75% of the aggregate consideration paid with respect to such asset and (iii) the aggregate outstanding principal amount of such Indebtedness does not exceed $1,500,000 at any time;</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unsecured (other than any non-consensual Liens) workers’ compensation Claims, payment obligations in connection with health, disability or other types of social security or other employee related benefits, unemployment or other insurance obligations (including premiums related thereto), reclamation and statutory obligations, in each case incurred in the Ordinary Course of Business;</w:t>
      </w:r>
    </w:p>
    <w:p>
      <w:pPr>
        <w:pStyle w:val="TextBody"/>
        <w:bidi w:val="0"/>
        <w:spacing w:before="0" w:after="0"/>
        <w:jc w:val="center"/>
        <w:rPr/>
      </w:pPr>
      <w:r>
        <w:rPr/>
        <w:noBreakHyphen/>
      </w:r>
      <w:r>
        <w:rPr>
          <w:rFonts w:ascii="Times New Roman;serif" w:hAnsi="Times New Roman;serif"/>
          <w:b w:val="false"/>
          <w:sz w:val="24"/>
        </w:rPr>
        <w:t>81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unfunded pension fund and other employee benefit plan obligations and liabilities incurred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(j)</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Indebtedness under Hedging Agreements permitted pursuant to Section 9.05(f); </w:t>
      </w:r>
    </w:p>
    <w:p>
      <w:pPr>
        <w:pStyle w:val="TextBody"/>
        <w:bidi w:val="0"/>
        <w:spacing w:before="280" w:after="0"/>
        <w:jc w:val="both"/>
        <w:rPr>
          <w:rFonts w:ascii="Times New Roman" w:hAnsi="Times New Roman"/>
          <w:b w:val="false"/>
          <w:sz w:val="24"/>
        </w:rPr>
      </w:pPr>
      <w:r>
        <w:rPr>
          <w:rFonts w:ascii="Times New Roman" w:hAnsi="Times New Roman"/>
          <w:b w:val="false"/>
          <w:sz w:val="24"/>
        </w:rPr>
        <w:t>(k)</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Indebtedness approved in advance in writing by the Majority Lenders;</w:t>
      </w:r>
    </w:p>
    <w:p>
      <w:pPr>
        <w:pStyle w:val="TextBody"/>
        <w:bidi w:val="0"/>
        <w:spacing w:before="280" w:after="0"/>
        <w:jc w:val="both"/>
        <w:rPr>
          <w:rFonts w:ascii="Times New Roman" w:hAnsi="Times New Roman"/>
          <w:b w:val="false"/>
          <w:sz w:val="24"/>
        </w:rPr>
      </w:pPr>
      <w:r>
        <w:rPr>
          <w:rFonts w:ascii="Times New Roman" w:hAnsi="Times New Roman"/>
          <w:b w:val="false"/>
          <w:sz w:val="24"/>
        </w:rPr>
        <w:t>(l)</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Indebtedness of the Borrower and its Subsidiaries with respect to overdrafts or corporate credit cards not to exceed $250,000 at any time outstanding; </w:t>
      </w:r>
    </w:p>
    <w:p>
      <w:pPr>
        <w:pStyle w:val="TextBody"/>
        <w:bidi w:val="0"/>
        <w:spacing w:before="280" w:after="0"/>
        <w:jc w:val="both"/>
        <w:rPr>
          <w:rFonts w:ascii="Times New Roman" w:hAnsi="Times New Roman"/>
          <w:b w:val="false"/>
          <w:sz w:val="24"/>
        </w:rPr>
      </w:pPr>
      <w:r>
        <w:rPr>
          <w:rFonts w:ascii="Times New Roman" w:hAnsi="Times New Roman"/>
          <w:b w:val="false"/>
          <w:sz w:val="24"/>
        </w:rPr>
        <w:t>(m)</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the Milestone Payments together with any interest accruing with respect thereto; </w:t>
      </w:r>
    </w:p>
    <w:p>
      <w:pPr>
        <w:pStyle w:val="TextBody"/>
        <w:bidi w:val="0"/>
        <w:spacing w:before="280" w:after="0"/>
        <w:jc w:val="both"/>
        <w:rPr>
          <w:rFonts w:ascii="Times New Roman" w:hAnsi="Times New Roman"/>
          <w:b w:val="false"/>
          <w:sz w:val="24"/>
        </w:rPr>
      </w:pPr>
      <w:r>
        <w:rPr>
          <w:rFonts w:ascii="Times New Roman" w:hAnsi="Times New Roman"/>
          <w:b w:val="false"/>
          <w:sz w:val="24"/>
        </w:rPr>
        <w:t>(n)</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so long as no Default shall have occurred and is continuing at the time of such Indebtedness is incurred, or after giving effect thereto, other unsecured Indebtedness in an aggregate principal amount not to exceed $1,000,000 at any time outstanding; </w:t>
      </w:r>
    </w:p>
    <w:p>
      <w:pPr>
        <w:pStyle w:val="TextBody"/>
        <w:bidi w:val="0"/>
        <w:spacing w:before="280" w:after="0"/>
        <w:jc w:val="both"/>
        <w:rPr>
          <w:rFonts w:ascii="Times New Roman" w:hAnsi="Times New Roman"/>
          <w:b w:val="false"/>
          <w:sz w:val="24"/>
        </w:rPr>
      </w:pPr>
      <w:r>
        <w:rPr>
          <w:rFonts w:ascii="Times New Roman" w:hAnsi="Times New Roman"/>
          <w:b w:val="false"/>
          <w:sz w:val="24"/>
        </w:rPr>
        <w:t>(o)</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Indebtedness of Borrower and/or any Subsidiary (i) pursuant to tenders, statutory obligations (including health, safety and environmental obligations), bids, leases, governmental contracts, trade contracts, surety, indemnity, stay, customs, judgment, appeal, performance, completion and/or return of money bonds or guaranties, contract manufacturer obligations or other similar obligations incurred in the Ordinary Course of Business, and (ii) in respect of letters of credit, bank guaranties, surety bonds, performance bonds or similar instruments to support any of the foregoing items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(p)</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Indebtedness in respect of any agreement providing for treasury, depositary or cash management services, including in connection with any automated clearing house transfers of funds or any similar transfers, netting services, overdraft protections and other cash management and similar arrangements, in each case,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(q)</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customer deposits and advance payments received in the Ordinary Course of Business from customers for goods and services purchased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(r)</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Indebtedness consisting of the deferred obligations to pay insurance premiums in respect of insurance policies pursuant to Section 8.05 insuring assets or businesses of an Obligor written or arranged in such Obligor’s Ordinary Course of Business and which are payable within one (1) year;</w:t>
      </w:r>
    </w:p>
    <w:p>
      <w:pPr>
        <w:pStyle w:val="TextBody"/>
        <w:bidi w:val="0"/>
        <w:spacing w:before="280" w:after="0"/>
        <w:jc w:val="both"/>
        <w:rPr>
          <w:rFonts w:ascii="Times New Roman" w:hAnsi="Times New Roman"/>
          <w:b w:val="false"/>
          <w:sz w:val="24"/>
        </w:rPr>
      </w:pPr>
      <w:r>
        <w:rPr>
          <w:rFonts w:ascii="Times New Roman" w:hAnsi="Times New Roman"/>
          <w:b w:val="false"/>
          <w:sz w:val="24"/>
        </w:rPr>
        <w:t>(s)</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Indebtedness incurred in connection with letters of credit that are secured solely by cash or Permitted Cash Equivalent Investments and issued on behalf of the Borrower in the Ordinary Course of Business in an aggregate amount outstanding not to exceed $1,000,000 at any time; </w:t>
      </w:r>
    </w:p>
    <w:p>
      <w:pPr>
        <w:pStyle w:val="TextBody"/>
        <w:bidi w:val="0"/>
        <w:spacing w:before="0" w:after="0"/>
        <w:jc w:val="center"/>
        <w:rPr/>
      </w:pPr>
      <w:r>
        <w:rPr/>
        <w:noBreakHyphen/>
      </w:r>
      <w:r>
        <w:rPr>
          <w:rFonts w:ascii="Times New Roman;serif" w:hAnsi="Times New Roman;serif"/>
          <w:b w:val="false"/>
          <w:sz w:val="24"/>
        </w:rPr>
        <w:t>82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(t)</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Indebtedness constituting of deposits or prepayments received from customers in the Ordinary Course of Business; and</w:t>
      </w:r>
    </w:p>
    <w:p>
      <w:pPr>
        <w:pStyle w:val="TextBody"/>
        <w:bidi w:val="0"/>
        <w:spacing w:before="280" w:after="0"/>
        <w:jc w:val="both"/>
        <w:rPr>
          <w:rFonts w:ascii="Times New Roman" w:hAnsi="Times New Roman"/>
          <w:b w:val="false"/>
          <w:sz w:val="24"/>
        </w:rPr>
      </w:pPr>
      <w:r>
        <w:rPr>
          <w:rFonts w:ascii="Times New Roman" w:hAnsi="Times New Roman"/>
          <w:b w:val="false"/>
          <w:sz w:val="24"/>
        </w:rPr>
        <w:t>(u)</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Permitted Refinancings of any of the foregoing clauses (b) through (t).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9.02. Liens.</w:t>
      </w:r>
      <w:r>
        <w:rPr>
          <w:rFonts w:ascii="Times New Roman" w:hAnsi="Times New Roman"/>
          <w:sz w:val="20"/>
        </w:rPr>
        <w:t xml:space="preserve"> </w:t>
      </w:r>
      <w:r>
        <w:rPr>
          <w:rFonts w:ascii="Times New Roman;serif" w:hAnsi="Times New Roman;serif"/>
          <w:b w:val="false"/>
          <w:sz w:val="24"/>
        </w:rPr>
        <w:t>It will not, and will not permit any of its Subsidiaries to, create, incur, assume or permit to exist any Lien on any Property now owned by it, except: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Liens securing the Obligations;</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sz w:val="24"/>
        </w:rPr>
        <w:t xml:space="preserve">any Lien on any Property of any Obligor existing on the date hereof and set forth in Schedule 7.13B; </w:t>
      </w:r>
      <w:r>
        <w:rPr>
          <w:rFonts w:ascii="Times New Roman;serif" w:hAnsi="Times New Roman;serif"/>
          <w:b w:val="false"/>
          <w:i/>
          <w:sz w:val="24"/>
        </w:rPr>
        <w:t>provided</w:t>
      </w:r>
      <w:r>
        <w:rPr/>
        <w:t xml:space="preserve"> </w:t>
      </w:r>
      <w:r>
        <w:rPr>
          <w:rFonts w:ascii="Times New Roman;serif" w:hAnsi="Times New Roman;serif"/>
          <w:b w:val="false"/>
          <w:sz w:val="24"/>
        </w:rPr>
        <w:t>that (i) no such Lien shall extend to any other Property of such Obligor and (ii) any such Lien shall secure only those obligations which it secures on the date hereof and extensions, renewals and replacements thereof that do not increase the outstanding principal amount thereof;</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pPr>
      <w:r>
        <w:rPr>
          <w:rFonts w:ascii="Times New Roman;serif" w:hAnsi="Times New Roman;serif"/>
          <w:b w:val="false"/>
          <w:sz w:val="24"/>
        </w:rPr>
        <w:t xml:space="preserve">Liens securing Indebtedness permitted under Section 9.01(g); </w:t>
      </w:r>
      <w:r>
        <w:rPr>
          <w:rFonts w:ascii="Times New Roman;serif" w:hAnsi="Times New Roman;serif"/>
          <w:b w:val="false"/>
          <w:i/>
          <w:sz w:val="24"/>
        </w:rPr>
        <w:t>provided</w:t>
      </w:r>
      <w:r>
        <w:rPr/>
        <w:t xml:space="preserve"> </w:t>
      </w:r>
      <w:r>
        <w:rPr>
          <w:rFonts w:ascii="Times New Roman;serif" w:hAnsi="Times New Roman;serif"/>
          <w:b w:val="false"/>
          <w:sz w:val="24"/>
        </w:rPr>
        <w:t>that such Liens are restricted solely to the collateral described in Section 9.01(g);</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 have the effect of preventing the forfeiture or sale of the Property subject to such Liens and for which adequate reserves have been made if required substantially in accordance with GAAP;</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Liens, pledges or deposits made in the Ordinary Course of Business in connection with bids, grant applications, Contracts, leases, surety, performance and appeal bonds, workers’ compensation, unemployment insurance or other similar social security or employment Laws;</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materially interfere with the ordinary conduct of the business of any of the Obligors;</w:t>
      </w:r>
    </w:p>
    <w:p>
      <w:pPr>
        <w:pStyle w:val="TextBody"/>
        <w:bidi w:val="0"/>
        <w:spacing w:before="0" w:after="0"/>
        <w:jc w:val="center"/>
        <w:rPr/>
      </w:pPr>
      <w:r>
        <w:rPr/>
        <w:noBreakHyphen/>
      </w:r>
      <w:r>
        <w:rPr>
          <w:rFonts w:ascii="Times New Roman;serif" w:hAnsi="Times New Roman;serif"/>
          <w:b w:val="false"/>
          <w:sz w:val="24"/>
        </w:rPr>
        <w:t>83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bankers’ Liens, rights of setoff and similar Liens incurred on deposits in the Ordinary Course of Business or otherwise arising in connection with the Obligors’ Deposit Accounts or Securities Accounts or credit card programs held at financial institutions to secure payment of fees and similar costs and expenses of such financial institutions with respect to such accounts or programs;</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Liens in connection with transfers permitted under Section 9.09;</w:t>
      </w:r>
    </w:p>
    <w:p>
      <w:pPr>
        <w:pStyle w:val="TextBody"/>
        <w:bidi w:val="0"/>
        <w:spacing w:before="280" w:after="0"/>
        <w:jc w:val="both"/>
        <w:rPr>
          <w:rFonts w:ascii="Times New Roman" w:hAnsi="Times New Roman"/>
          <w:b w:val="false"/>
          <w:sz w:val="24"/>
        </w:rPr>
      </w:pPr>
      <w:r>
        <w:rPr>
          <w:rFonts w:ascii="Times New Roman" w:hAnsi="Times New Roman"/>
          <w:b w:val="false"/>
          <w:sz w:val="24"/>
        </w:rPr>
        <w:t>(j)</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judgment Lien or Lien arising from decrees or attachments not constituting an Event of Default;</w:t>
      </w:r>
    </w:p>
    <w:p>
      <w:pPr>
        <w:pStyle w:val="TextBody"/>
        <w:bidi w:val="0"/>
        <w:spacing w:before="280" w:after="0"/>
        <w:jc w:val="both"/>
        <w:rPr>
          <w:rFonts w:ascii="Times New Roman" w:hAnsi="Times New Roman"/>
          <w:b w:val="false"/>
          <w:sz w:val="24"/>
        </w:rPr>
      </w:pPr>
      <w:r>
        <w:rPr>
          <w:rFonts w:ascii="Times New Roman" w:hAnsi="Times New Roman"/>
          <w:b w:val="false"/>
          <w:sz w:val="24"/>
        </w:rPr>
        <w:t>(k)</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leases or subleases of real property granted in the Ordinary Course of Business, and leases, subleases, nonexclusive licenses or sublicenses of personal property (other than Intellectual Property) granted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(l)</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Liens in favor of customs and revenue authorities arising as a matter of law to secure the payment of custom duties in connection with the importation of goods, not securing an amount in the aggregate in excess of $500,000 at any given time;</w:t>
      </w:r>
    </w:p>
    <w:p>
      <w:pPr>
        <w:pStyle w:val="TextBody"/>
        <w:bidi w:val="0"/>
        <w:spacing w:before="280" w:after="0"/>
        <w:jc w:val="both"/>
        <w:rPr>
          <w:rFonts w:ascii="Times New Roman" w:hAnsi="Times New Roman"/>
          <w:b w:val="false"/>
          <w:sz w:val="24"/>
        </w:rPr>
      </w:pPr>
      <w:r>
        <w:rPr>
          <w:rFonts w:ascii="Times New Roman" w:hAnsi="Times New Roman"/>
          <w:b w:val="false"/>
          <w:sz w:val="24"/>
        </w:rPr>
        <w:t>(m)</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Liens on a Deposit Account of the Obligors and the cash and Permitted Cash Equivalent Investments therein, in each case, securing Indebtedness described in Section 9.01(l); </w:t>
      </w:r>
    </w:p>
    <w:p>
      <w:pPr>
        <w:pStyle w:val="TextBody"/>
        <w:bidi w:val="0"/>
        <w:spacing w:before="280" w:after="0"/>
        <w:jc w:val="both"/>
        <w:rPr>
          <w:rFonts w:ascii="Times New Roman" w:hAnsi="Times New Roman"/>
          <w:b w:val="false"/>
          <w:sz w:val="24"/>
        </w:rPr>
      </w:pPr>
      <w:r>
        <w:rPr>
          <w:rFonts w:ascii="Times New Roman" w:hAnsi="Times New Roman"/>
          <w:b w:val="false"/>
          <w:sz w:val="24"/>
        </w:rPr>
        <w:t>(n)</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Liens on cash collateral securing reimbursement obligations in respect of Indebtedness permitted under Section 9.01(s); </w:t>
      </w:r>
    </w:p>
    <w:p>
      <w:pPr>
        <w:pStyle w:val="TextBody"/>
        <w:bidi w:val="0"/>
        <w:spacing w:before="280" w:after="0"/>
        <w:jc w:val="both"/>
        <w:rPr>
          <w:rFonts w:ascii="Times New Roman" w:hAnsi="Times New Roman"/>
          <w:b w:val="false"/>
          <w:sz w:val="24"/>
        </w:rPr>
      </w:pPr>
      <w:r>
        <w:rPr>
          <w:rFonts w:ascii="Times New Roman" w:hAnsi="Times New Roman"/>
          <w:b w:val="false"/>
          <w:sz w:val="24"/>
        </w:rPr>
        <w:t>(o)</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Liens on insurance policies and the proceeds thereof securing the financing of the premiums with respect thereto; </w:t>
      </w:r>
    </w:p>
    <w:p>
      <w:pPr>
        <w:pStyle w:val="TextBody"/>
        <w:bidi w:val="0"/>
        <w:spacing w:before="280" w:after="0"/>
        <w:jc w:val="both"/>
        <w:rPr>
          <w:rFonts w:ascii="Times New Roman" w:hAnsi="Times New Roman"/>
          <w:b w:val="false"/>
          <w:sz w:val="24"/>
        </w:rPr>
      </w:pPr>
      <w:r>
        <w:rPr>
          <w:rFonts w:ascii="Times New Roman" w:hAnsi="Times New Roman"/>
          <w:b w:val="false"/>
          <w:sz w:val="24"/>
        </w:rPr>
        <w:t>(p)</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other Liens securing other obligations to the extent permitted hereby not to exceed $500,000 in an aggregate principal amount at any time outstanding; and</w:t>
      </w:r>
    </w:p>
    <w:p>
      <w:pPr>
        <w:pStyle w:val="TextBody"/>
        <w:bidi w:val="0"/>
        <w:spacing w:before="280" w:after="0"/>
        <w:jc w:val="both"/>
        <w:rPr>
          <w:rFonts w:ascii="Times New Roman" w:hAnsi="Times New Roman"/>
          <w:b w:val="false"/>
          <w:sz w:val="24"/>
        </w:rPr>
      </w:pPr>
      <w:r>
        <w:rPr>
          <w:rFonts w:ascii="Times New Roman" w:hAnsi="Times New Roman"/>
          <w:b w:val="false"/>
          <w:sz w:val="24"/>
        </w:rPr>
        <w:t>(q)</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Permitted Licenses;</w:t>
      </w:r>
    </w:p>
    <w:p>
      <w:pPr>
        <w:pStyle w:val="TextBody"/>
        <w:bidi w:val="0"/>
        <w:spacing w:before="280" w:after="0"/>
        <w:jc w:val="both"/>
        <w:rPr>
          <w:rFonts w:ascii="Times New Roman" w:hAnsi="Times New Roman"/>
          <w:sz w:val="20"/>
        </w:rPr>
      </w:pP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no Lien otherwise permitted under any of the foregoing Sections 9.02 (excluding Sections 9.02(a), 9.02(b) and 9.02(q)) shall apply to any Material Intellectual Property.</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9.03. Fundamental Changes and Acquisitions.</w:t>
      </w:r>
      <w:r>
        <w:rPr>
          <w:rFonts w:ascii="Times New Roman" w:hAnsi="Times New Roman"/>
          <w:sz w:val="20"/>
        </w:rPr>
        <w:t xml:space="preserve"> </w:t>
      </w:r>
      <w:r>
        <w:rPr>
          <w:rFonts w:ascii="Times New Roman;serif" w:hAnsi="Times New Roman;serif"/>
          <w:b w:val="false"/>
          <w:sz w:val="24"/>
        </w:rPr>
        <w:t>It will not, and will not permit any of its Subsidiaries to:</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enter into or consummate any transaction of merger, amalgamation, plan of arrangement or consolidation, including without limitation, a reverse</w:t>
        <w:noBreakHyphen/>
        <w:t>triangular merger, or other similar transaction or series of related transactions;</w:t>
      </w:r>
    </w:p>
    <w:p>
      <w:pPr>
        <w:pStyle w:val="TextBody"/>
        <w:bidi w:val="0"/>
        <w:spacing w:before="0" w:after="0"/>
        <w:jc w:val="center"/>
        <w:rPr/>
      </w:pPr>
      <w:r>
        <w:rPr/>
        <w:noBreakHyphen/>
      </w:r>
      <w:r>
        <w:rPr>
          <w:rFonts w:ascii="Times New Roman;serif" w:hAnsi="Times New Roman;serif"/>
          <w:b w:val="false"/>
          <w:sz w:val="24"/>
        </w:rPr>
        <w:t>84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liquidate, wind up or dissolve itself (or suffer any liquidation, wind up or dissolution) (including in connection with any division or plan of division under Delaware law or any comparable event under a different jurisdiction’s laws); or </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make or consummate any Acquisition or sell or issue any Disqualified Equity Interests, except, in each case:</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Investments permitted under Section 9.05;</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Permitted Acquisitions for (i) aggregate cash consideration not to exceed $2,000,000 and (ii) total consideration not to exceed $5,000,000, in each case, for the duration of this Agreement; </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pPr>
      <w:r>
        <w:rPr>
          <w:rFonts w:ascii="Times New Roman;serif" w:hAnsi="Times New Roman;serif"/>
          <w:b w:val="false"/>
          <w:sz w:val="24"/>
        </w:rPr>
        <w:t xml:space="preserve">the merger, amalgamation or consolidation of any Obligor with or into any other Obligor, </w:t>
      </w:r>
      <w:r>
        <w:rPr>
          <w:rFonts w:ascii="Times New Roman;serif" w:hAnsi="Times New Roman;serif"/>
          <w:b w:val="false"/>
          <w:i/>
          <w:sz w:val="24"/>
        </w:rPr>
        <w:t>provided</w:t>
      </w:r>
      <w:r>
        <w:rPr/>
        <w:t xml:space="preserve"> </w:t>
      </w:r>
      <w:r>
        <w:rPr>
          <w:rFonts w:ascii="Times New Roman;serif" w:hAnsi="Times New Roman;serif"/>
          <w:b w:val="false"/>
          <w:sz w:val="24"/>
        </w:rPr>
        <w:t>that if the Borrower is a party to such merger, amalgamation or consolidation, the Borrower shall be the surviving entity;</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sale, transfer or other disposition by any Obligor of any or all of its property to any other Obligor; and</w:t>
      </w:r>
    </w:p>
    <w:p>
      <w:pPr>
        <w:pStyle w:val="TextBody"/>
        <w:bidi w:val="0"/>
        <w:spacing w:before="280" w:after="0"/>
        <w:jc w:val="both"/>
        <w:rPr>
          <w:rFonts w:ascii="Times New Roman" w:hAnsi="Times New Roman"/>
          <w:b w:val="false"/>
          <w:sz w:val="24"/>
        </w:rPr>
      </w:pPr>
      <w:r>
        <w:rPr>
          <w:rFonts w:ascii="Times New Roman" w:hAnsi="Times New Roman"/>
          <w:b w:val="false"/>
          <w:sz w:val="24"/>
        </w:rPr>
        <w:t>(v)</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sales and other transfers permitted under Section 9.09.</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9.04. Lines of Business.</w:t>
      </w:r>
      <w:r>
        <w:rPr>
          <w:rFonts w:ascii="Times New Roman" w:hAnsi="Times New Roman"/>
          <w:sz w:val="20"/>
        </w:rPr>
        <w:t xml:space="preserve"> </w:t>
      </w:r>
      <w:r>
        <w:rPr>
          <w:rFonts w:ascii="Times New Roman;serif" w:hAnsi="Times New Roman;serif"/>
          <w:b w:val="false"/>
          <w:sz w:val="24"/>
        </w:rPr>
        <w:t>It will not, and will not permit any of its Subsidiaries to, engage to any material extent in any business other than the business engaged in on the date hereof by such Obligor, or a business reasonably related, incidental or complementary thereto or reasonable extensions thereof.</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9.05. Investments.</w:t>
      </w:r>
      <w:r>
        <w:rPr>
          <w:rFonts w:ascii="Times New Roman" w:hAnsi="Times New Roman"/>
          <w:sz w:val="20"/>
        </w:rPr>
        <w:t xml:space="preserve"> </w:t>
      </w:r>
      <w:r>
        <w:rPr>
          <w:rFonts w:ascii="Times New Roman;serif" w:hAnsi="Times New Roman;serif"/>
          <w:b w:val="false"/>
          <w:sz w:val="24"/>
        </w:rPr>
        <w:t>It will not, and will not permit any of its Subsidiaries to, make, directly or indirectly, or permit to remain outstanding any Investments except: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Investments outstanding on the date hereof and identified in Schedule 9.05 and any modification, replacement, renewal or extension thereof to the extent not involving new or additional Investments;</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operating Deposit Accounts, Securities Accounts or Commodity Accounts with banks or other financial institutions;</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extensions of credit in the nature of accounts receivable, notes receivable of, or prepaid royalties and other credit extensions to, customers and suppliers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cash and Permitted Cash Equivalent Investments;</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(i) Investments consisting of 100% of the ownership of the Equity Interests of its Subsidiaries, (ii) intercompany Investments by Borrower or a Subsidiary in </w:t>
      </w:r>
    </w:p>
    <w:p>
      <w:pPr>
        <w:pStyle w:val="TextBody"/>
        <w:bidi w:val="0"/>
        <w:spacing w:before="0" w:after="0"/>
        <w:jc w:val="center"/>
        <w:rPr/>
      </w:pPr>
      <w:r>
        <w:rPr/>
        <w:noBreakHyphen/>
      </w:r>
      <w:r>
        <w:rPr>
          <w:rFonts w:ascii="Times New Roman;serif" w:hAnsi="Times New Roman;serif"/>
          <w:b w:val="false"/>
          <w:sz w:val="24"/>
        </w:rPr>
        <w:t>85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Guarantor or (iii) Investments by Borrower or any Subsidiary acquired in connection with a Permitted Acquisition;</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Hedging Agreements (i) entered into in the ordinary course of any Obligor’s financial planning solely to hedge interest rate risks or foreign currency exchange risks (and not, in either case, for speculative purposes) and in an aggregate net exposure amount for all such Hedging Agreements not in excess of $500,000 or (ii) entered into to hedge interest rate risks in respect of the Obligations hereunder;</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Investments received in connection with any Insolvency Proceedings in respect of any customers, suppliers or clients and in settlement of delinquent obligations of, and other disputes with, customers, suppliers or clients;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Investments permitted under Section 9.01(e) and Section 9.03;</w:t>
      </w:r>
    </w:p>
    <w:p>
      <w:pPr>
        <w:pStyle w:val="TextBody"/>
        <w:bidi w:val="0"/>
        <w:spacing w:before="280" w:after="0"/>
        <w:jc w:val="both"/>
        <w:rPr>
          <w:rFonts w:ascii="Times New Roman" w:hAnsi="Times New Roman"/>
          <w:b w:val="false"/>
          <w:sz w:val="24"/>
        </w:rPr>
      </w:pPr>
      <w:r>
        <w:rPr>
          <w:rFonts w:ascii="Times New Roman" w:hAnsi="Times New Roman"/>
          <w:b w:val="false"/>
          <w:sz w:val="24"/>
        </w:rPr>
        <w:t>(j)</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Investments consisting of notes receivable of, or prepaid royalties and other credit extensions, to customers and suppliers who are not Affiliates,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(k)</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in an aggregate amount not to exceed $100,000 for subclauses (i) and (ii) in any fiscal year; </w:t>
      </w:r>
    </w:p>
    <w:p>
      <w:pPr>
        <w:pStyle w:val="TextBody"/>
        <w:bidi w:val="0"/>
        <w:spacing w:before="280" w:after="0"/>
        <w:jc w:val="both"/>
        <w:rPr>
          <w:rFonts w:ascii="Times New Roman" w:hAnsi="Times New Roman"/>
          <w:b w:val="false"/>
          <w:sz w:val="24"/>
        </w:rPr>
      </w:pPr>
      <w:r>
        <w:rPr>
          <w:rFonts w:ascii="Times New Roman" w:hAnsi="Times New Roman"/>
          <w:b w:val="false"/>
          <w:sz w:val="24"/>
        </w:rPr>
        <w:t>(l)</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so long as no Default or Event of Default shall have occurred and is continuing at the time of such Investment, or after giving effect thereto, Investments not to exceed $1,000,000 at any time outstanding in joint ventures and counterparties to collaboration and license agreements; and</w:t>
      </w:r>
    </w:p>
    <w:p>
      <w:pPr>
        <w:pStyle w:val="TextBody"/>
        <w:bidi w:val="0"/>
        <w:spacing w:before="280" w:after="0"/>
        <w:jc w:val="both"/>
        <w:rPr>
          <w:rFonts w:ascii="Times New Roman" w:hAnsi="Times New Roman"/>
          <w:b w:val="false"/>
          <w:sz w:val="24"/>
        </w:rPr>
      </w:pPr>
      <w:r>
        <w:rPr>
          <w:rFonts w:ascii="Times New Roman" w:hAnsi="Times New Roman"/>
          <w:b w:val="false"/>
          <w:sz w:val="24"/>
        </w:rPr>
        <w:t>(m)</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so long as no Default or Event of Default shall have occurred and is continuing at the time of such Investment, or after giving effect thereto, other Investments in an amount not to exceed $1,000,000 in any fiscal year.</w:t>
      </w:r>
    </w:p>
    <w:p>
      <w:pPr>
        <w:pStyle w:val="TextBody"/>
        <w:bidi w:val="0"/>
        <w:spacing w:before="0" w:after="0"/>
        <w:jc w:val="center"/>
        <w:rPr/>
      </w:pPr>
      <w:r>
        <w:rPr/>
        <w:noBreakHyphen/>
      </w:r>
      <w:r>
        <w:rPr>
          <w:rFonts w:ascii="Times New Roman;serif" w:hAnsi="Times New Roman;serif"/>
          <w:b w:val="false"/>
          <w:sz w:val="24"/>
        </w:rPr>
        <w:t>86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9.06. Restricted Payments.</w:t>
      </w:r>
      <w:r>
        <w:rPr>
          <w:rFonts w:ascii="Times New Roman" w:hAnsi="Times New Roman"/>
          <w:sz w:val="20"/>
        </w:rPr>
        <w:t xml:space="preserve"> </w:t>
      </w:r>
      <w:r>
        <w:rPr>
          <w:rFonts w:ascii="Times New Roman;serif" w:hAnsi="Times New Roman;serif"/>
          <w:b w:val="false"/>
          <w:sz w:val="24"/>
        </w:rPr>
        <w:t>It will not, and will not permit any of its Subsidiaries to, declare or make, or agree to pay or make, directly or indirectly, any Restricted Payment, other than:</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dividends, stock splits or distributions with respect to any Equity Interests of the Borrower or any of its Subsidiaries payable solely in additional units or shares of its Qualified Equity Interests;</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Restricted Payment by an Obligor or a Subsidiary of an Obligor to an Obligor;</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purchase, redemption, retirement, or other Acquisition by the Borrower or any of its Subsidiaries of shares of its capital stock or other Equity Interests with the proceeds received from a substantially concurrent issue of new shares of its capital stock or other Equity Interests;</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Dividends paid by any Obligor to any other Obligor; </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cashless exercises of options and warrants;</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repurchases pursuant to the terms of employee stock purchase plans, employee restricted stock agreements, stockholder rights plans, director or consultant stock option plans, or similar plans in an aggregate amount not to exceed $100,000 in any fiscal year; </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making of cash payments in lieu of the issuance of fractional shares upon the conversion of convertible securities (or in connection with the exercise of warrants or similar securities) not to exceed $25,000 in any fiscal year; and</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283"/>
        <w:jc w:val="both"/>
        <w:rPr/>
      </w:pPr>
      <w:r>
        <w:rPr>
          <w:rFonts w:ascii="Times New Roman;serif" w:hAnsi="Times New Roman;serif"/>
          <w:b w:val="false"/>
          <w:sz w:val="24"/>
        </w:rPr>
        <w:t xml:space="preserve">the issuance of the Warrant </w:t>
      </w:r>
      <w:r>
        <w:rPr>
          <w:rFonts w:ascii="Times New Roman;serif" w:hAnsi="Times New Roman;serif"/>
          <w:b w:val="false"/>
          <w:strike/>
          <w:sz w:val="24"/>
        </w:rPr>
        <w:t>Certificate</w:t>
      </w:r>
      <w:r>
        <w:rPr>
          <w:rFonts w:ascii="Times New Roman;serif" w:hAnsi="Times New Roman;serif"/>
          <w:b w:val="false"/>
          <w:sz w:val="24"/>
          <w:u w:val="single"/>
        </w:rPr>
        <w:t>Certificates</w:t>
      </w:r>
      <w:r>
        <w:rPr/>
        <w:t xml:space="preserve"> </w:t>
      </w:r>
      <w:r>
        <w:rPr>
          <w:rFonts w:ascii="Times New Roman;serif" w:hAnsi="Times New Roman;serif"/>
          <w:b w:val="false"/>
          <w:sz w:val="24"/>
        </w:rPr>
        <w:t xml:space="preserve">and cash payments made to redeem, purchase, repurchase or retire the Warrant Obligations in accordance with the terms of the Warrant </w:t>
      </w:r>
      <w:r>
        <w:rPr>
          <w:rFonts w:ascii="Times New Roman;serif" w:hAnsi="Times New Roman;serif"/>
          <w:b w:val="false"/>
          <w:strike/>
          <w:sz w:val="24"/>
        </w:rPr>
        <w:t>Certificate</w:t>
      </w:r>
      <w:r>
        <w:rPr>
          <w:rFonts w:ascii="Times New Roman;serif" w:hAnsi="Times New Roman;serif"/>
          <w:b w:val="false"/>
          <w:sz w:val="24"/>
          <w:u w:val="single"/>
        </w:rPr>
        <w:t>Certificates</w:t>
      </w:r>
      <w:r>
        <w:rPr>
          <w:rFonts w:ascii="Times New Roman;serif" w:hAnsi="Times New Roman;serif"/>
          <w:b w:val="false"/>
          <w:sz w:val="24"/>
        </w:rPr>
        <w: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9.07. Payments of Indebtedness and Milestone Payments.</w:t>
      </w:r>
      <w:r>
        <w:rPr>
          <w:rFonts w:ascii="Times New Roman" w:hAnsi="Times New Roman"/>
          <w:sz w:val="20"/>
        </w:rPr>
        <w:t xml:space="preserve"> </w:t>
      </w:r>
      <w:r>
        <w:rPr>
          <w:rFonts w:ascii="Times New Roman;serif" w:hAnsi="Times New Roman;serif"/>
          <w:b w:val="false"/>
          <w:sz w:val="24"/>
        </w:rPr>
        <w:t>(a) It will not, and will not permit any of its Subsidiaries to, make any payments in respect of any Material Indebtedness (other than the Milestone Payments) except (i) payments of the Obligations and (ii) so long as no Default has occurred and is continuing or would result therefrom, scheduled payments of Permitted Indebtedness and repayment of intercompany Indebtedness permitted in reliance upon Section 9.01(e) (subject in each case to any subordination agreement entered into in connection therewith).</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It will not, and will not permit any of its Subsidiaries to, make any Milestone Payments except (i) prior to December 31, 2023, so long as no Default has occurred and is continuing or would result therefrom, scheduled Milestone Payments and accrued interest payable with respect thereto and (ii) commencing January 1, 2024 and thereafter, so long as (A) no Default has occurred and is continuing or would result therefrom and (B) </w:t>
      </w:r>
    </w:p>
    <w:p>
      <w:pPr>
        <w:pStyle w:val="TextBody"/>
        <w:bidi w:val="0"/>
        <w:spacing w:before="0" w:after="0"/>
        <w:jc w:val="center"/>
        <w:rPr/>
      </w:pPr>
      <w:r>
        <w:rPr/>
        <w:noBreakHyphen/>
      </w:r>
      <w:r>
        <w:rPr>
          <w:rFonts w:ascii="Times New Roman;serif" w:hAnsi="Times New Roman;serif"/>
          <w:b w:val="false"/>
          <w:sz w:val="24"/>
        </w:rPr>
        <w:t>87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283"/>
        <w:jc w:val="both"/>
        <w:rPr/>
      </w:pPr>
      <w:r>
        <w:rPr>
          <w:rFonts w:ascii="Times New Roman;serif" w:hAnsi="Times New Roman;serif"/>
          <w:b w:val="false"/>
          <w:sz w:val="24"/>
        </w:rPr>
        <w:t>consented to by the Administrative Agent, scheduled Milestone Payments and accrued interest payable with respect thereto.</w:t>
      </w:r>
      <w:r>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9.08. Change in Fiscal Year.</w:t>
      </w:r>
      <w:r>
        <w:rPr>
          <w:rFonts w:ascii="Times New Roman" w:hAnsi="Times New Roman"/>
          <w:sz w:val="20"/>
        </w:rPr>
        <w:t xml:space="preserve"> </w:t>
      </w:r>
      <w:r>
        <w:rPr>
          <w:rFonts w:ascii="Times New Roman;serif" w:hAnsi="Times New Roman;serif"/>
          <w:b w:val="false"/>
          <w:sz w:val="24"/>
        </w:rPr>
        <w:t>It will not, and will not permit any of its Subsidiaries to, change the last day of its fiscal year from that in effect on the date hereof, without prior written notice to the Administrative Agent, except to change the fiscal year of a Subsidiary acquired in connection with a Permitted Acquisition to conform its fiscal year to that of the Borrower.</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9.09. Sales of Assets.</w:t>
      </w:r>
      <w:r>
        <w:rPr>
          <w:rFonts w:ascii="Times New Roman" w:hAnsi="Times New Roman"/>
          <w:sz w:val="20"/>
        </w:rPr>
        <w:t xml:space="preserve"> </w:t>
      </w:r>
      <w:r>
        <w:rPr>
          <w:rFonts w:ascii="Times New Roman;serif" w:hAnsi="Times New Roman;serif"/>
          <w:b w:val="false"/>
          <w:sz w:val="24"/>
        </w:rPr>
        <w:t xml:space="preserve">It will not, and will not permit any of its Subsidiaries to, sell, lease, exclusively license (in terms of geography 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or forgive, release or compromise any amount owed to an Obligor or any of its Subsidiaries, in each case, in one transaction or series of transactions (any thereof, an </w:t>
      </w:r>
      <w:r>
        <w:rPr>
          <w:rFonts w:ascii="Times New Roman" w:hAnsi="Times New Roman"/>
          <w:sz w:val="20"/>
        </w:rPr>
        <w:t>“</w:t>
      </w:r>
      <w:r>
        <w:rPr>
          <w:rFonts w:ascii="Times New Roman;serif" w:hAnsi="Times New Roman;serif"/>
          <w:b w:val="false"/>
          <w:i/>
          <w:sz w:val="24"/>
        </w:rPr>
        <w:t>Asset Sale”</w:t>
      </w:r>
      <w:r>
        <w:rPr>
          <w:rFonts w:ascii="Times New Roman;serif" w:hAnsi="Times New Roman;serif"/>
          <w:b w:val="false"/>
          <w:sz w:val="24"/>
        </w:rPr>
        <w:t>), except: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transfers of cash or Permitted Cash Equivalent Investments in the Ordinary Course of Business in a manner not prohibited by the terms of this Agreement;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sales or leases of inventory, products or services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forgiveness, release or compromise of any amount owed to any Obligor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entering into, or becoming bound, by a Permitted License to the extent not otherwise prohibited by this Agreement;</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pPr>
      <w:r>
        <w:rPr>
          <w:rFonts w:ascii="Times New Roman;serif" w:hAnsi="Times New Roman;serif"/>
          <w:b w:val="false"/>
          <w:sz w:val="24"/>
        </w:rPr>
        <w:t xml:space="preserve">development and other collaborative arrangements where such arrangements provide for the license or disclosure of Patents, Trademarks, Copyrights or other Intellectual Property rights of any Obligor or any of its Subsidiaries in the Ordinary Course of Business and consistent with general market practices; </w:t>
      </w:r>
      <w:r>
        <w:rPr>
          <w:rFonts w:ascii="Times New Roman;serif" w:hAnsi="Times New Roman;serif"/>
          <w:b w:val="false"/>
          <w:i/>
          <w:sz w:val="24"/>
        </w:rPr>
        <w:t>provided</w:t>
      </w:r>
      <w:r>
        <w:rPr/>
        <w:t xml:space="preserve"> </w:t>
      </w:r>
      <w:r>
        <w:rPr>
          <w:rFonts w:ascii="Times New Roman;serif" w:hAnsi="Times New Roman;serif"/>
          <w:b w:val="false"/>
          <w:sz w:val="24"/>
        </w:rPr>
        <w:t>that such licenses must be true licenses that do not result in a legal transfer of title of the licensed Property or otherwise constitute sales transactions in substance;</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 and with respect to Intellectual Property, the conveyance, sale, lease, license, abandonment, lapse or other disposition in the Ordinary Course of Business that is, in the reasonable good faith judgment of such Obligor, immaterial to the business of such Obligor, no longer economically practicable or commercially desirable to maintain or used or useful in the business of such Obligor, or the expiration of such Intellectual Property is in accordance with its statutory term (provided that such term is not renewable);</w:t>
      </w:r>
    </w:p>
    <w:p>
      <w:pPr>
        <w:pStyle w:val="TextBody"/>
        <w:bidi w:val="0"/>
        <w:spacing w:before="0" w:after="0"/>
        <w:jc w:val="center"/>
        <w:rPr/>
      </w:pPr>
      <w:r>
        <w:rPr/>
        <w:noBreakHyphen/>
      </w:r>
      <w:r>
        <w:rPr>
          <w:rFonts w:ascii="Times New Roman;serif" w:hAnsi="Times New Roman;serif"/>
          <w:b w:val="false"/>
          <w:sz w:val="24"/>
        </w:rPr>
        <w:t>88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dispositions resulting from Casualty Events;</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any transaction permitted under Section 9.02, 9.03, 9.05, 9.06, 9.15 and 9.20;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so long as no Default or Event of Default shall have occurred and is continuing at the time of such Asset Sale, or after giving effect thereto, Asset Sales of other property not to exceed $1,000,000 in the aggregate per fiscal year; </w:t>
      </w:r>
    </w:p>
    <w:p>
      <w:pPr>
        <w:pStyle w:val="TextBody"/>
        <w:bidi w:val="0"/>
        <w:spacing w:before="280" w:after="0"/>
        <w:jc w:val="both"/>
        <w:rPr>
          <w:rFonts w:ascii="Times New Roman" w:hAnsi="Times New Roman"/>
          <w:b w:val="false"/>
          <w:sz w:val="24"/>
        </w:rPr>
      </w:pPr>
      <w:r>
        <w:rPr>
          <w:rFonts w:ascii="Times New Roman" w:hAnsi="Times New Roman"/>
          <w:b w:val="false"/>
          <w:sz w:val="24"/>
        </w:rPr>
        <w:t>(j)</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transfers to customers of Equipment located at a customer’s site for research and collaboration; </w:t>
      </w:r>
    </w:p>
    <w:p>
      <w:pPr>
        <w:pStyle w:val="TextBody"/>
        <w:bidi w:val="0"/>
        <w:spacing w:before="280" w:after="0"/>
        <w:jc w:val="both"/>
        <w:rPr>
          <w:rFonts w:ascii="Times New Roman" w:hAnsi="Times New Roman"/>
          <w:b w:val="false"/>
          <w:sz w:val="24"/>
        </w:rPr>
      </w:pPr>
      <w:r>
        <w:rPr>
          <w:rFonts w:ascii="Times New Roman" w:hAnsi="Times New Roman"/>
          <w:b w:val="false"/>
          <w:sz w:val="24"/>
        </w:rPr>
        <w:t>(k)</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sale or issuance of any Equity Interests of the Borrower permitted under this Agreement;</w:t>
      </w:r>
    </w:p>
    <w:p>
      <w:pPr>
        <w:pStyle w:val="TextBody"/>
        <w:bidi w:val="0"/>
        <w:spacing w:before="280" w:after="0"/>
        <w:jc w:val="both"/>
        <w:rPr>
          <w:rFonts w:ascii="Times New Roman" w:hAnsi="Times New Roman"/>
          <w:b w:val="false"/>
          <w:sz w:val="24"/>
        </w:rPr>
      </w:pPr>
      <w:r>
        <w:rPr>
          <w:rFonts w:ascii="Times New Roman" w:hAnsi="Times New Roman"/>
          <w:b w:val="false"/>
          <w:sz w:val="24"/>
        </w:rPr>
        <w:t>(l)</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transfers of assets or property by any Obligor to any other Obligor; </w:t>
      </w:r>
    </w:p>
    <w:p>
      <w:pPr>
        <w:pStyle w:val="TextBody"/>
        <w:bidi w:val="0"/>
        <w:spacing w:before="280" w:after="0"/>
        <w:jc w:val="both"/>
        <w:rPr>
          <w:rFonts w:ascii="Times New Roman" w:hAnsi="Times New Roman"/>
          <w:b w:val="false"/>
          <w:sz w:val="24"/>
        </w:rPr>
      </w:pPr>
      <w:r>
        <w:rPr>
          <w:rFonts w:ascii="Times New Roman" w:hAnsi="Times New Roman"/>
          <w:b w:val="false"/>
          <w:sz w:val="24"/>
        </w:rPr>
        <w:t>(m)</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transfers of non-exclusive licenses or sublicenses of Intellectual Property or software (including the rights to royalty payments and the provision of software under an open source license) in the Ordinary Course of Business; </w:t>
      </w:r>
    </w:p>
    <w:p>
      <w:pPr>
        <w:pStyle w:val="TextBody"/>
        <w:bidi w:val="0"/>
        <w:spacing w:before="280" w:after="0"/>
        <w:jc w:val="both"/>
        <w:rPr>
          <w:rFonts w:ascii="Times New Roman" w:hAnsi="Times New Roman"/>
          <w:b w:val="false"/>
          <w:sz w:val="24"/>
        </w:rPr>
      </w:pPr>
      <w:r>
        <w:rPr>
          <w:rFonts w:ascii="Times New Roman" w:hAnsi="Times New Roman"/>
          <w:b w:val="false"/>
          <w:sz w:val="24"/>
        </w:rPr>
        <w:t>(n)</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abandonments, cancellations or lapses of Intellectual Property rights or issuances or registrations, or applications for issuances or registrations, of Intellectual Property rights in the Ordinary Course of Business, which, in the good faith determination of Borrower, are not material to the conduct of the business of Borrower or its Subsidiaries; </w:t>
      </w:r>
    </w:p>
    <w:p>
      <w:pPr>
        <w:pStyle w:val="TextBody"/>
        <w:bidi w:val="0"/>
        <w:spacing w:before="280" w:after="0"/>
        <w:jc w:val="both"/>
        <w:rPr>
          <w:rFonts w:ascii="Times New Roman" w:hAnsi="Times New Roman"/>
          <w:b w:val="false"/>
          <w:sz w:val="24"/>
        </w:rPr>
      </w:pPr>
      <w:r>
        <w:rPr>
          <w:rFonts w:ascii="Times New Roman" w:hAnsi="Times New Roman"/>
          <w:b w:val="false"/>
          <w:sz w:val="24"/>
        </w:rPr>
        <w:t>(o)</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the leasing or subleasing of real property in the Ordinary Course of Business; </w:t>
      </w:r>
    </w:p>
    <w:p>
      <w:pPr>
        <w:pStyle w:val="TextBody"/>
        <w:bidi w:val="0"/>
        <w:spacing w:before="280" w:after="0"/>
        <w:jc w:val="both"/>
        <w:rPr>
          <w:rFonts w:ascii="Times New Roman" w:hAnsi="Times New Roman"/>
          <w:b w:val="false"/>
          <w:sz w:val="24"/>
        </w:rPr>
      </w:pPr>
      <w:r>
        <w:rPr>
          <w:rFonts w:ascii="Times New Roman" w:hAnsi="Times New Roman"/>
          <w:b w:val="false"/>
          <w:sz w:val="24"/>
        </w:rPr>
        <w:t>(p)</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transfers and/or terminations of, or constituting, leases, subleases, licenses, sublicenses or cross-licenses (including the provision of software under any open source license and any related transfer of improvements made to leased real property resulting therefrom), the transfers or terminations of which (i) do not materially interfere with the business of the Borrower and its Subsidiaries or (ii) relate to closed facilities or the discontinuation of any product line, and in each case are made in the Ordinary Course of Business; </w:t>
      </w:r>
    </w:p>
    <w:p>
      <w:pPr>
        <w:pStyle w:val="TextBody"/>
        <w:bidi w:val="0"/>
        <w:spacing w:before="280" w:after="0"/>
        <w:jc w:val="both"/>
        <w:rPr>
          <w:rFonts w:ascii="Times New Roman" w:hAnsi="Times New Roman"/>
          <w:b w:val="false"/>
          <w:sz w:val="24"/>
        </w:rPr>
      </w:pPr>
      <w:r>
        <w:rPr>
          <w:rFonts w:ascii="Times New Roman" w:hAnsi="Times New Roman"/>
          <w:b w:val="false"/>
          <w:sz w:val="24"/>
        </w:rPr>
        <w:t>(q)</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any surrender or waiver of contractual rights or the settlement, release or surrender of contractual rights or litigation claims (including in tort) in the Ordinary Course of Business; </w:t>
      </w:r>
    </w:p>
    <w:p>
      <w:pPr>
        <w:pStyle w:val="TextBody"/>
        <w:bidi w:val="0"/>
        <w:spacing w:before="280" w:after="0"/>
        <w:jc w:val="both"/>
        <w:rPr>
          <w:rFonts w:ascii="Times New Roman" w:hAnsi="Times New Roman"/>
          <w:b w:val="false"/>
          <w:sz w:val="24"/>
        </w:rPr>
      </w:pPr>
      <w:r>
        <w:rPr>
          <w:rFonts w:ascii="Times New Roman" w:hAnsi="Times New Roman"/>
          <w:b w:val="false"/>
          <w:sz w:val="24"/>
        </w:rPr>
        <w:t>(r)</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non-exclusive licenses for the use of the Borrower’s or any Subsidiary’s Intellectual Property entered into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(s)</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exclusive licenses for the use of non-material and non-core Intellectual Property owned or co-owned by the Borrower or any Subsidiary, which in the good faith </w:t>
      </w:r>
    </w:p>
    <w:p>
      <w:pPr>
        <w:pStyle w:val="TextBody"/>
        <w:bidi w:val="0"/>
        <w:spacing w:before="0" w:after="0"/>
        <w:jc w:val="center"/>
        <w:rPr/>
      </w:pPr>
      <w:r>
        <w:rPr/>
        <w:noBreakHyphen/>
      </w:r>
      <w:r>
        <w:rPr>
          <w:rFonts w:ascii="Times New Roman;serif" w:hAnsi="Times New Roman;serif"/>
          <w:b w:val="false"/>
          <w:sz w:val="24"/>
        </w:rPr>
        <w:t>89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rFonts w:ascii="Times New Roman;serif" w:hAnsi="Times New Roman;serif"/>
          <w:b w:val="false"/>
          <w:sz w:val="24"/>
        </w:rPr>
        <w:t xml:space="preserve">business judgment of the Borrower is expected to remain non-material and non-core to the Borrower in perpetuity, entered into in the Ordinary Course of Business; </w:t>
      </w:r>
      <w:r>
        <w:rPr>
          <w:rFonts w:ascii="Times New Roman;serif" w:hAnsi="Times New Roman;serif"/>
          <w:b w:val="false"/>
          <w:i/>
          <w:sz w:val="24"/>
        </w:rPr>
        <w:t>provided</w:t>
      </w:r>
      <w:r>
        <w:rPr/>
        <w:t xml:space="preserve"> </w:t>
      </w:r>
      <w:r>
        <w:rPr>
          <w:rFonts w:ascii="Times New Roman;serif" w:hAnsi="Times New Roman;serif"/>
          <w:b w:val="false"/>
          <w:sz w:val="24"/>
        </w:rPr>
        <w:t>that (i) the Borrower must deliver ten (10) days’ prior written notice and a brief summary of the terms of the proposed license to the Administrative Agent and deliver to the Administrative Agent copies of the final executed licensing documents in connection with the exclusive license promptly upon consummation thereof, and (ii) any such license could not result in a legal transfer of title of the licensed property but may be exclusive in respects other than territory and may be exclusive as to territory only as to discrete geographical areas outside of the United States; and</w:t>
      </w:r>
    </w:p>
    <w:p>
      <w:pPr>
        <w:pStyle w:val="TextBody"/>
        <w:bidi w:val="0"/>
        <w:spacing w:before="280" w:after="0"/>
        <w:jc w:val="both"/>
        <w:rPr>
          <w:rFonts w:ascii="Times New Roman" w:hAnsi="Times New Roman"/>
          <w:b w:val="false"/>
          <w:sz w:val="24"/>
        </w:rPr>
      </w:pPr>
      <w:r>
        <w:rPr>
          <w:rFonts w:ascii="Times New Roman" w:hAnsi="Times New Roman"/>
          <w:b w:val="false"/>
          <w:sz w:val="24"/>
        </w:rPr>
        <w:t>(t)</w:t>
      </w:r>
    </w:p>
    <w:p>
      <w:pPr>
        <w:pStyle w:val="TextBody"/>
        <w:bidi w:val="0"/>
        <w:spacing w:before="280" w:after="283"/>
        <w:jc w:val="both"/>
        <w:rPr/>
      </w:pPr>
      <w:r>
        <w:rPr>
          <w:rFonts w:ascii="Times New Roman;serif" w:hAnsi="Times New Roman;serif"/>
          <w:b w:val="false"/>
          <w:sz w:val="24"/>
        </w:rPr>
        <w:t xml:space="preserve">transfers or sales of licenses or Intellectual Property and other related assets or rights to a third party, or solely to the extent formed in connection with such transaction, a wholly owned Subsidiary of the Borrower, so long as such Subsidiary is thereafter sold, merged with or acquired by such third party within thirty (30) days of formation; </w:t>
      </w:r>
      <w:r>
        <w:rPr>
          <w:rFonts w:ascii="Times New Roman;serif" w:hAnsi="Times New Roman;serif"/>
          <w:b w:val="false"/>
          <w:i/>
          <w:sz w:val="24"/>
        </w:rPr>
        <w:t>provided</w:t>
      </w:r>
      <w:r>
        <w:rPr>
          <w:rFonts w:ascii="Times New Roman;serif" w:hAnsi="Times New Roman;serif"/>
          <w:b w:val="false"/>
          <w:sz w:val="24"/>
        </w:rPr>
        <w:t>, (i) the aggregate amount of all such transfers, sales or licenses during the term of this Agreement shall not to exceed $2,500,000 (or such greater amount that may be consented to by the Administrative Agent) and (ii) any royalty payments or other such payments owing to the Borrower pursuant to such sale shall be Collateral in which the Administrative Agent for the benefit of the Lenders has been granted a security interest under the Security Documents.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9.10. Transactions with Affiliates.</w:t>
      </w:r>
      <w:r>
        <w:rPr>
          <w:rFonts w:ascii="Times New Roman" w:hAnsi="Times New Roman"/>
          <w:sz w:val="20"/>
        </w:rPr>
        <w:t xml:space="preserve"> </w:t>
      </w:r>
      <w:r>
        <w:rPr>
          <w:rFonts w:ascii="Times New Roman;serif" w:hAnsi="Times New Roman;serif"/>
          <w:b w:val="false"/>
          <w:sz w:val="24"/>
        </w:rPr>
        <w:t>It will not, and will not permit any of its Subsidiaries to, sell, lease, license or otherwise transfer any assets to, or purchase, lease, license or otherwise acquire any assets from, or otherwise engage in any other transactions with, any of its Affiliates, except: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transactions between or among the Obligors;</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transaction permitted under Section 9.01, 9.03, 9.05, 9.06 or 9.09;</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customary compensation and indemnification of, and other employment arrangements with, directors, officers and employees of any Obligor in the Ordinary Course of Business;</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other transaction is (i) on fair, reasonable and arm’s-length terms that are no less favorable (including with respect to the amount of cash or other consideration receivable or payable in connection therewith) to such Obligor or any such Subsidiary than it could obtain in a transaction with a Person that is not an Affiliate of such Obligor or any such Subsidiary, as applicable, and (ii) of the kind which would be entered into by a prudent Person in the position of such Obligor or any such Subsidiary with another Person that is not an Affiliate of such Obligor or any such Subsidiary, as applicable;</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transactions upon fair and reasonable terms that are no less favorable to any Obligor than would be obtained in a comparable arm’s</w:t>
        <w:noBreakHyphen/>
        <w:t>length transaction with a Person not an Affiliate; and</w:t>
      </w:r>
    </w:p>
    <w:p>
      <w:pPr>
        <w:pStyle w:val="TextBody"/>
        <w:bidi w:val="0"/>
        <w:spacing w:before="0" w:after="0"/>
        <w:jc w:val="center"/>
        <w:rPr/>
      </w:pPr>
      <w:r>
        <w:rPr/>
        <w:noBreakHyphen/>
      </w:r>
      <w:r>
        <w:rPr>
          <w:rFonts w:ascii="Times New Roman;serif" w:hAnsi="Times New Roman;serif"/>
          <w:b w:val="false"/>
          <w:sz w:val="24"/>
        </w:rPr>
        <w:t>90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the transactions set forth on Schedule 9.10.</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9.11. Restrictive Agreements.</w:t>
      </w:r>
      <w:r>
        <w:rPr>
          <w:rFonts w:ascii="Times New Roman" w:hAnsi="Times New Roman"/>
          <w:sz w:val="20"/>
        </w:rPr>
        <w:t xml:space="preserve"> </w:t>
      </w:r>
      <w:r>
        <w:rPr>
          <w:rFonts w:ascii="Times New Roman;serif" w:hAnsi="Times New Roman;serif"/>
          <w:b w:val="false"/>
          <w:sz w:val="24"/>
        </w:rPr>
        <w:t xml:space="preserve">It will not, and will not permit any of its Subsidiaries to, directly or indirectly, enter into, incur or permit to exist any Restrictive Agreement other than (a) restrictions and conditions imposed by Law or by the Loan Documents, (b) Restrictive Agreements listed on Schedule 7.15, (c) any stockholder agreement, investor rights agreement, charter, bylaws or other Organizational Documents of an Obligor as in effect on the date hereof, (d) limitations associated with Permitted Liens or with any transaction permitted under Section 9.01, 9.03, 9.05, 9.06 or 9.09, (e) restrictions on cash (or Permitted Cash Equivalent Investments) or other deposits imposed by agreements entered into with customers in the Ordinary Course of Business (or other restrictions on cash or deposits constituting Permitted Liens), (f) customary provisions in leases and other agreements restricting the assignment thereof, (g) any restrictions and conditions imposed by any agreement relating to Indebtedness of any Subsidiary in existence at the time such Subsidiary became a Subsidiary (and any extension, renewal, amendment, modification or replacement thereof, expect to the extent any such amendment, modification or replacement materially expands the scope of any such restriction or condition), (h) in the case of any Subsidiary that is not a wholly-owned Subsidiary, restrictions and conditions imposed by its organizational documents or any related joint venture or similar agreements;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 xml:space="preserve">that such restrictions and conditions apply only to such Subsidiary and to the Equity Interests of such Subsidiary, (i) restrictions and conditions imposed by any agreement relating to secured Indebtedness permitted by Section 9.01(g) if such restrictions and conditions apply only to the assets securing such Indebtedness and (j) customary restrictions and conditions (and any extension, renewal, amendment, modification or replacement thereof, except to the extent any such amendment, modification or replacement expands the scope of any such restriction or condition) contained in agreements relating to the sale of a Subsidiary or any assets of the Borrower or any Subsidiary, in each case pending such sale;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such restrictions and conditions apply only to such Subsidiary or the assets that are to be sole and, in each case, such sale is permitted hereunder.</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9.12. Organizational Documents, Material Agreements</w:t>
      </w:r>
      <w:r>
        <w:rPr>
          <w:rFonts w:ascii="Times New Roman;serif" w:hAnsi="Times New Roman;serif"/>
          <w:b w:val="false"/>
          <w:sz w:val="24"/>
        </w:rPr>
        <w:t>.</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It will not, and will not permit any of its Subsidiaries to, enter into any amendment to or modification of any Organizational Document that would be reasonably expected to adversely affect the Lenders in any material respect, without the prior written consent of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It will not, and will not permit any of its Subsidiaries to (i) enter into any material waiver, amendment or modification of any Material Agreement (including, but not limited to, any amendments to provisions relating to pricing and term) that would be reasonably expected to materially and adversely affect the Lenders in any material respect or (ii) take or omit to take any action that results in the termination of, or permits any other Person to terminate, any Material Agreement or Material Intellectual Property that would be reasonably expected to have a Material Adverse Effect, without, in each case, the prior written consent of the Administrative Agent. For the avoidance of doubt, with respect to the Indi Purchase Agreement, (A) increasing interest rates payable by the Obligors, (B) increasing or adding fees or charges payable by the Obligors and (C) changing (to earlier </w:t>
      </w:r>
    </w:p>
    <w:p>
      <w:pPr>
        <w:pStyle w:val="TextBody"/>
        <w:bidi w:val="0"/>
        <w:spacing w:before="0" w:after="0"/>
        <w:jc w:val="center"/>
        <w:rPr/>
      </w:pPr>
      <w:r>
        <w:rPr/>
        <w:noBreakHyphen/>
      </w:r>
      <w:r>
        <w:rPr>
          <w:rFonts w:ascii="Times New Roman;serif" w:hAnsi="Times New Roman;serif"/>
          <w:b w:val="false"/>
          <w:sz w:val="24"/>
        </w:rPr>
        <w:t>91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283"/>
        <w:jc w:val="both"/>
        <w:rPr/>
      </w:pPr>
      <w:r>
        <w:rPr>
          <w:rFonts w:ascii="Times New Roman;serif" w:hAnsi="Times New Roman;serif"/>
          <w:b w:val="false"/>
          <w:sz w:val="24"/>
        </w:rPr>
        <w:t>dates) any dates upon which payments by the Obligors are due shall be deemed to adversely affect the Lenders in a material respect.</w:t>
      </w:r>
      <w:r>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9.13. [Reserved]</w:t>
      </w:r>
      <w:r>
        <w:rPr>
          <w:rFonts w:ascii="Times New Roman;serif" w:hAnsi="Times New Roman;serif"/>
          <w:b w:val="false"/>
          <w:sz w:val="24"/>
        </w:rPr>
        <w: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9.14. Sales and Leasebacks.</w:t>
      </w:r>
      <w:r>
        <w:rPr>
          <w:rFonts w:ascii="Times New Roman" w:hAnsi="Times New Roman"/>
          <w:sz w:val="20"/>
        </w:rPr>
        <w:t xml:space="preserve"> </w:t>
      </w:r>
      <w:r>
        <w:rPr>
          <w:rFonts w:ascii="Times New Roman;serif" w:hAnsi="Times New Roman;serif"/>
          <w:b w:val="false"/>
          <w:sz w:val="24"/>
        </w:rPr>
        <w:t>Except as permitted by Section 9.01(g), it will not, and will not permit any of its Subsidiaries to, become liable, directly or indirectly, with respect to any lease, whether an operating lease or a Capital Lease Obligation, of any Property (whether real, personal, or mixed), whether now owned or hereafter acquired, which (a) any Obligor has sold or transferred or is to sell or transfer to any other Person and (b) any Obligor intends to use for substantially the same purposes as Property which has been or is to be sold or transferred.</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9.15. Hazardous Material.</w:t>
      </w:r>
      <w:r>
        <w:rPr>
          <w:rFonts w:ascii="Times New Roman" w:hAnsi="Times New Roman"/>
          <w:sz w:val="20"/>
        </w:rPr>
        <w:t xml:space="preserve"> </w:t>
      </w:r>
      <w:r>
        <w:rPr>
          <w:rFonts w:ascii="Times New Roman;serif" w:hAnsi="Times New Roman;serif"/>
          <w:b w:val="false"/>
          <w:sz w:val="24"/>
        </w:rPr>
        <w:t>It will not, and will not permit any of its Subsidiaries to, use, generate, manufacture, install, treat, release, store or dispose of any Hazardous Material, except in compliance with all applicable Environmental Laws or where the failure to comply would not reasonably be expected to result in a Material Adverse Change.</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9.16. Accounting Changes.</w:t>
      </w:r>
      <w:r>
        <w:rPr>
          <w:rFonts w:ascii="Times New Roman" w:hAnsi="Times New Roman"/>
          <w:sz w:val="20"/>
        </w:rPr>
        <w:t xml:space="preserve"> </w:t>
      </w:r>
      <w:r>
        <w:rPr>
          <w:rFonts w:ascii="Times New Roman;serif" w:hAnsi="Times New Roman;serif"/>
          <w:b w:val="false"/>
          <w:sz w:val="24"/>
        </w:rPr>
        <w:t>It will not, and will not permit any of its Subsidiaries to, make any significant change in accounting treatment, except as required or permitted by GAAP, without the consent of the Lenders, such consent not to be unreasonably withheld or delayed.</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9.17. Compliance with ERISA.</w:t>
      </w:r>
      <w:r>
        <w:rPr>
          <w:rFonts w:ascii="Times New Roman" w:hAnsi="Times New Roman"/>
          <w:sz w:val="20"/>
        </w:rPr>
        <w:t xml:space="preserve"> </w:t>
      </w:r>
      <w:r>
        <w:rPr>
          <w:rFonts w:ascii="Times New Roman;serif" w:hAnsi="Times New Roman;serif"/>
          <w:b w:val="false"/>
          <w:sz w:val="24"/>
        </w:rPr>
        <w:t>No Obligor or ERISA Affiliate shall cause or suffer to exist (a) any event that would result in the imposition of a Lien with respect to any Title IV Plan or Multiemployer Plan or (b) any other ERISA Event, in the case of (a) and (b), that would, in the aggregate, have a Material Adverse Effect.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9.18. Deposit Accounts.</w:t>
      </w:r>
      <w:r>
        <w:rPr>
          <w:rFonts w:ascii="Times New Roman" w:hAnsi="Times New Roman"/>
          <w:sz w:val="20"/>
        </w:rPr>
        <w:t xml:space="preserve"> </w:t>
      </w:r>
      <w:r>
        <w:rPr>
          <w:rFonts w:ascii="Times New Roman;serif" w:hAnsi="Times New Roman;serif"/>
          <w:b w:val="false"/>
          <w:sz w:val="24"/>
        </w:rPr>
        <w:t>It will not, and will not permit any of its Subsidiaries to, establish or maintain any bank account that is not a Controlled Account (other than an Excluded Account) and will not, and will not permit any of its Subsidiaries to, deposit proceeds in a bank account that is not a Controlled Account.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9.19. Outbound Licenses.</w:t>
      </w:r>
      <w:r>
        <w:rPr>
          <w:rFonts w:ascii="Times New Roman" w:hAnsi="Times New Roman"/>
          <w:sz w:val="20"/>
        </w:rPr>
        <w:t xml:space="preserve"> </w:t>
      </w:r>
      <w:r>
        <w:rPr>
          <w:rFonts w:ascii="Times New Roman;serif" w:hAnsi="Times New Roman;serif"/>
          <w:b w:val="false"/>
          <w:sz w:val="24"/>
        </w:rPr>
        <w:t>It will not, and will not permit any of its Subsidiaries to, enter into or become bound by any outbound license or agreement unless such outbound license or agreement is a Permitted License.</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9.20. Inbound Licenses.</w:t>
      </w:r>
      <w:r>
        <w:rPr>
          <w:rFonts w:ascii="Times New Roman" w:hAnsi="Times New Roman"/>
          <w:sz w:val="20"/>
        </w:rPr>
        <w:t xml:space="preserve"> </w:t>
      </w:r>
      <w:r>
        <w:rPr>
          <w:rFonts w:ascii="Times New Roman;serif" w:hAnsi="Times New Roman;serif"/>
          <w:b w:val="false"/>
          <w:sz w:val="24"/>
        </w:rPr>
        <w:t xml:space="preserve">It will not, and will not permit any of its Subsidiaries to, enter into or become bound by any inbound license or agreement (other than Permitted Licenses) unless (a) no Default has occurred and is continuing, (b) such Obligor has provided written notice to the Administrative Agent of the material terms of such license or agreement with a description of its anticipated and projected impact on such Obligor’s business or financial condition and (c)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and to allow the Administrative Agent to fully exercise its rights under any of the Loan Documents in the event of a disposition or liquidation of the rights, assets or property that is the subject of such license or agreement;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the aggregate amounts to be paid</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92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under all such inbound licenses pursuant to this Section 9.20 shall not exceed an amount equal to $2,000,000 per fiscal year.</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10 </w:t>
        <w:br/>
        <w:br/>
        <w:t>Events of Default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10.01. Events of Default.</w:t>
      </w:r>
      <w:r>
        <w:rPr>
          <w:rFonts w:ascii="Times New Roman" w:hAnsi="Times New Roman"/>
          <w:sz w:val="20"/>
        </w:rPr>
        <w:t xml:space="preserve"> </w:t>
      </w:r>
      <w:r>
        <w:rPr>
          <w:rFonts w:ascii="Times New Roman;serif" w:hAnsi="Times New Roman;serif"/>
          <w:b w:val="false"/>
          <w:sz w:val="24"/>
        </w:rPr>
        <w:t xml:space="preserve">Each of the following events shall constitute an </w:t>
      </w:r>
      <w:r>
        <w:rPr>
          <w:rFonts w:ascii="Times New Roman" w:hAnsi="Times New Roman"/>
          <w:sz w:val="20"/>
        </w:rPr>
        <w:t>“</w:t>
      </w:r>
      <w:r>
        <w:rPr>
          <w:rFonts w:ascii="Times New Roman;serif" w:hAnsi="Times New Roman;serif"/>
          <w:b w:val="false"/>
          <w:i/>
          <w:sz w:val="24"/>
        </w:rPr>
        <w:t>Event of Default”</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Borrower shall fail to pay any principal on the Term Loans when and as the same shall become due and payable at the due date thereof; or</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Obligor shall fail to pay any Obligation (other than an amount referred to in Section 10.01(a)) when and as the same shall become due and payable, and such failure shall continue unremedied for a period of three (3) Business Days; or</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representation or warranty made in writing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Obligor shall fail to observe or perform any covenant, condition or agreement contained in Sections 8.01(a)-(d), 8.02(a), 8.02(b), 8.03(a) (with respect to such Obligor’s existence), 8.10, 8.11, 8.15, 8.18 or Article 9; or</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any Obligor shall fail to observe or perform any covenant, condition or agreement contained in Section 8.01 (other than in clauses (a)-(d) and 8.02 (other than in clauses (a) and (b)), and in the case of any failure that is capable of cure, such failure shall continue unremedied for a period of five (5) or more days; or </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Obligor shall fail to observe or perform any covenant, condition or agreement contained in this Agreement (other than those specified in Section 10.01(a), (b), (d) or (e)) or any other Loan Document, and, in the case of any failure that is capable of cure, such failure shall continue unremedied for a period of thirty (30) or more days, after actual knowledge by a Responsible Office or receipt of notice from the Administrative Agent; or</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any Obligor shall fail to make any payment (whether of principal or interest and regardless of amount) in respect of any Material Indebtedness, when and as the </w:t>
      </w:r>
    </w:p>
    <w:p>
      <w:pPr>
        <w:pStyle w:val="TextBody"/>
        <w:bidi w:val="0"/>
        <w:spacing w:before="0" w:after="0"/>
        <w:jc w:val="center"/>
        <w:rPr/>
      </w:pPr>
      <w:r>
        <w:rPr/>
        <w:noBreakHyphen/>
      </w:r>
      <w:r>
        <w:rPr>
          <w:rFonts w:ascii="Times New Roman;serif" w:hAnsi="Times New Roman;serif"/>
          <w:b w:val="false"/>
          <w:sz w:val="24"/>
        </w:rPr>
        <w:t>93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same shall become due and payable after giving effect to any applicable grace or cure period as originally provided by the terms of such Indebtedness; or</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0"/>
        <w:jc w:val="both"/>
        <w:rPr/>
      </w:pPr>
      <w:r>
        <w:rPr>
          <w:rFonts w:ascii="Times New Roman;serif" w:hAnsi="Times New Roman;serif"/>
          <w:b w:val="false"/>
          <w:sz w:val="24"/>
        </w:rPr>
        <w:t xml:space="preserve">(i)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cure period thereunder, or (ii)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serif" w:hAnsi="Times New Roman;serif"/>
          <w:b w:val="false"/>
          <w:i/>
          <w:sz w:val="24"/>
        </w:rPr>
        <w:t>provided</w:t>
      </w:r>
      <w:r>
        <w:rPr/>
        <w:t xml:space="preserve"> </w:t>
      </w:r>
      <w:r>
        <w:rPr>
          <w:rFonts w:ascii="Times New Roman;serif" w:hAnsi="Times New Roman;serif"/>
          <w:b w:val="false"/>
          <w:sz w:val="24"/>
        </w:rPr>
        <w:t>that this Section 10.01(h) shall not apply to secured Indebtedness that becomes due as a result of the voluntary sale or transfer of the Property securing such Material Indebtedness; or</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Obligor or any of its Subsidiaries:</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10.01(j), (C) apply for or consent to the appointment of a receiver, trustee, custodian, sequestrator, conservator or similar official for an Obligor or for a substantial part of its assets, (D) file an answer admitting the material allegations of a petition filed against it in any such proceeding, (E) make a general assignment for the benefit of creditors or (F) take any action for the purpose of effecting any of the foregoing; or</w:t>
      </w:r>
    </w:p>
    <w:p>
      <w:pPr>
        <w:pStyle w:val="TextBody"/>
        <w:bidi w:val="0"/>
        <w:spacing w:before="280" w:after="0"/>
        <w:jc w:val="both"/>
        <w:rPr>
          <w:rFonts w:ascii="Times New Roman" w:hAnsi="Times New Roman"/>
          <w:b w:val="false"/>
          <w:sz w:val="24"/>
        </w:rPr>
      </w:pPr>
      <w:r>
        <w:rPr>
          <w:rFonts w:ascii="Times New Roman" w:hAnsi="Times New Roman"/>
          <w:b w:val="false"/>
          <w:sz w:val="24"/>
        </w:rPr>
        <w:t>(j)</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an involuntary proceeding shall be commenced or an involuntary petition shall be filed seeking (i) 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w:t>
      </w:r>
    </w:p>
    <w:p>
      <w:pPr>
        <w:pStyle w:val="TextBody"/>
        <w:bidi w:val="0"/>
        <w:spacing w:before="0" w:after="0"/>
        <w:jc w:val="center"/>
        <w:rPr/>
      </w:pPr>
      <w:r>
        <w:rPr/>
        <w:noBreakHyphen/>
      </w:r>
      <w:r>
        <w:rPr>
          <w:rFonts w:ascii="Times New Roman;serif" w:hAnsi="Times New Roman;serif"/>
          <w:b w:val="false"/>
          <w:sz w:val="24"/>
        </w:rPr>
        <w:t>94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(k)</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one or more judgments for the payment of money in an aggregate amount in excess of $500,000 (excluding any amounts covered by insurance as to which the applicable carrier has not denied coverage) shall be rendered against any Obligor or any combination thereof and the same shall remain undischarged for a period of forty-five (45) consecutive days during which execution shall not be effectively stayed, or any action shall be legally taken by a judgment creditor to attach or levy upon any assets of any Obligor to enforce any such judgment; or</w:t>
      </w:r>
    </w:p>
    <w:p>
      <w:pPr>
        <w:pStyle w:val="TextBody"/>
        <w:bidi w:val="0"/>
        <w:spacing w:before="280" w:after="0"/>
        <w:jc w:val="both"/>
        <w:rPr>
          <w:rFonts w:ascii="Times New Roman" w:hAnsi="Times New Roman"/>
          <w:b w:val="false"/>
          <w:sz w:val="24"/>
        </w:rPr>
      </w:pPr>
      <w:r>
        <w:rPr>
          <w:rFonts w:ascii="Times New Roman" w:hAnsi="Times New Roman"/>
          <w:b w:val="false"/>
          <w:sz w:val="24"/>
        </w:rPr>
        <w:t>(l)</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 ERISA Event shall have occurred that, in the reasonable opinion of the Lenders, when taken together with all other ERISA Events that have occurred, would reasonably be expected to have a Material Adverse Effect; or</w:t>
      </w:r>
    </w:p>
    <w:p>
      <w:pPr>
        <w:pStyle w:val="TextBody"/>
        <w:bidi w:val="0"/>
        <w:spacing w:before="280" w:after="0"/>
        <w:jc w:val="both"/>
        <w:rPr>
          <w:rFonts w:ascii="Times New Roman" w:hAnsi="Times New Roman"/>
          <w:b w:val="false"/>
          <w:sz w:val="24"/>
        </w:rPr>
      </w:pPr>
      <w:r>
        <w:rPr>
          <w:rFonts w:ascii="Times New Roman" w:hAnsi="Times New Roman"/>
          <w:b w:val="false"/>
          <w:sz w:val="24"/>
        </w:rPr>
        <w:t>(m)</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 Change of Control shall have occurred; or</w:t>
      </w:r>
    </w:p>
    <w:p>
      <w:pPr>
        <w:pStyle w:val="TextBody"/>
        <w:bidi w:val="0"/>
        <w:spacing w:before="280" w:after="0"/>
        <w:jc w:val="both"/>
        <w:rPr>
          <w:rFonts w:ascii="Times New Roman" w:hAnsi="Times New Roman"/>
          <w:b w:val="false"/>
          <w:sz w:val="24"/>
        </w:rPr>
      </w:pPr>
      <w:r>
        <w:rPr>
          <w:rFonts w:ascii="Times New Roman" w:hAnsi="Times New Roman"/>
          <w:b w:val="false"/>
          <w:sz w:val="24"/>
        </w:rPr>
        <w:t>(n)</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[reserved]; or</w:t>
      </w:r>
    </w:p>
    <w:p>
      <w:pPr>
        <w:pStyle w:val="TextBody"/>
        <w:bidi w:val="0"/>
        <w:spacing w:before="280" w:after="0"/>
        <w:jc w:val="both"/>
        <w:rPr>
          <w:rFonts w:ascii="Times New Roman" w:hAnsi="Times New Roman"/>
          <w:b w:val="false"/>
          <w:sz w:val="24"/>
        </w:rPr>
      </w:pPr>
      <w:r>
        <w:rPr>
          <w:rFonts w:ascii="Times New Roman" w:hAnsi="Times New Roman"/>
          <w:b w:val="false"/>
          <w:sz w:val="24"/>
        </w:rPr>
        <w:t>(o)</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 Material Adverse Change shall have occurred; or</w:t>
      </w:r>
    </w:p>
    <w:p>
      <w:pPr>
        <w:pStyle w:val="TextBody"/>
        <w:bidi w:val="0"/>
        <w:spacing w:before="280" w:after="0"/>
        <w:jc w:val="both"/>
        <w:rPr>
          <w:rFonts w:ascii="Times New Roman" w:hAnsi="Times New Roman"/>
          <w:b w:val="false"/>
          <w:sz w:val="24"/>
        </w:rPr>
      </w:pPr>
      <w:r>
        <w:rPr>
          <w:rFonts w:ascii="Times New Roman" w:hAnsi="Times New Roman"/>
          <w:b w:val="false"/>
          <w:sz w:val="24"/>
        </w:rPr>
        <w:t>(p)</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 any Lien created by any of the Security Documents shall at any time not constitute a valid and perfected Lien in favor of the Administrative Agent on Collateral with an aggregate value in excess of $250,000, free and clear of all other Liens (other than Permitted Liens) except due to the action or inaction of the Administrative Agent or any Lender(s), (ii) except for expiration in accordance with its terms and except due to the action or inaction of the Administrative Agent or any Lender(s), any material provision of the Security Documents or any Guarantee of any of the Obligations shall for whatever reason cease to be in full force and effect, or (iii) any of the Security Documents or any Guarantee of any of the Obligations, or the enforceability thereof, shall be repudiated or contested by any Obligor; or</w:t>
      </w:r>
    </w:p>
    <w:p>
      <w:pPr>
        <w:pStyle w:val="TextBody"/>
        <w:bidi w:val="0"/>
        <w:spacing w:before="280" w:after="0"/>
        <w:jc w:val="both"/>
        <w:rPr>
          <w:rFonts w:ascii="Times New Roman" w:hAnsi="Times New Roman"/>
          <w:b w:val="false"/>
          <w:sz w:val="24"/>
        </w:rPr>
      </w:pPr>
      <w:r>
        <w:rPr>
          <w:rFonts w:ascii="Times New Roman" w:hAnsi="Times New Roman"/>
          <w:b w:val="false"/>
          <w:sz w:val="24"/>
        </w:rPr>
        <w:t>(q)</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injunction, whether temporary or permanent, shall be rendered against any Obligor that prevents the Obligors from selling or manufacturing any Product that has a Material Adverse Effect; or</w:t>
      </w:r>
    </w:p>
    <w:p>
      <w:pPr>
        <w:pStyle w:val="TextBody"/>
        <w:bidi w:val="0"/>
        <w:spacing w:before="280" w:after="0"/>
        <w:jc w:val="both"/>
        <w:rPr>
          <w:rFonts w:ascii="Times New Roman" w:hAnsi="Times New Roman"/>
          <w:b w:val="false"/>
          <w:sz w:val="24"/>
        </w:rPr>
      </w:pPr>
      <w:r>
        <w:rPr>
          <w:rFonts w:ascii="Times New Roman" w:hAnsi="Times New Roman"/>
          <w:b w:val="false"/>
          <w:sz w:val="24"/>
        </w:rPr>
        <w:t>(r)</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(i) the FDA or any other Governmental Authority (A) issues a letter or other communication asserting that any Product lacks a required Product Authorization (other than the revocation of any emergency use authorization issued pursuant to Section 564 of the FD&amp;C Act), including in respect of CE marks or 510(k)s or (B) initiates enforcement action against, or issues a warning letter with respect to, any Obligor, or any of their Products or the manufacturing facilities therefor, that causes any Obligor thereof to discontinue marketing or withdraw any of its Products, or causes a delay in the manufacture of any of its Products, which discontinuance, withdrawal or delay would reasonably be expected to last for more than ninety (90) days, (ii) any material Permit (including all Product Authorizations or clinical laboratory Permits), or any of the Obligors’ material rights or interests thereunder, is terminated, adversely amended or otherwise determined to be ineffective in any manner materially adverse to any of the Obligors, in each case, for more than ninety (90) days, (iii) there is a recall of any Product </w:t>
      </w:r>
    </w:p>
    <w:p>
      <w:pPr>
        <w:pStyle w:val="TextBody"/>
        <w:bidi w:val="0"/>
        <w:spacing w:before="0" w:after="0"/>
        <w:jc w:val="center"/>
        <w:rPr/>
      </w:pPr>
      <w:r>
        <w:rPr/>
        <w:noBreakHyphen/>
      </w:r>
      <w:r>
        <w:rPr>
          <w:rFonts w:ascii="Times New Roman;serif" w:hAnsi="Times New Roman;serif"/>
          <w:b w:val="false"/>
          <w:sz w:val="24"/>
        </w:rPr>
        <w:t>95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in any territory in the case of (i) or (ii) that would reasonably be expected to result in a loss of revenue equal to at least $3,000,000 over the twelve (12) month period following such event or (iv) any Obligor is required to pay a fine, penalty, settlement amount or other payment to any Governmental Authority which individually or in the aggregate is in excess of $1,500,000 (except to the extent covered by insurance as to which the insurer does not dispute coverage) for any violation or alleged violation of any Healthcare Law.</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10.02. Remedies</w:t>
      </w:r>
      <w:r>
        <w:rPr>
          <w:rFonts w:ascii="Times New Roman;serif" w:hAnsi="Times New Roman;serif"/>
          <w:b w:val="false"/>
          <w:sz w:val="24"/>
        </w:rPr>
        <w:t>.</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Upon the occurrence of any Event of Default, then, and in every such event (other than an Event of Default described in Section 10.01(i) or (j)), and at any time thereafter during the continuance of such event, the Majority Lenders may, by notice to the Borrower, take either or both of the following actions, at the same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shall become due and payable immediately (in the case of the Term Loans, at the Redemption Price therefor), without presentment, demand, protest or other notice of any kind, all of which are hereby waived by each Obligor.</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Upon the occurrence of any Event of Default described in Section 10.01(i) or (j), the Commitments shall automatically terminate and the principal amount of the Term Loans then outstanding, together with accrued interest thereon and all fees and other Obligations, shall automatically become due and payable immediately (in the case of the Term Loan, at the Redemption Price therefor), without presentment, demand, protest or other notice of any kind, all of which are hereby waived by each Obligor.</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If any Lender collects any money or property pursuant to this Article 10, they shall pay out the money or property in the order set forth in Section 4.01(b).</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10.03. Prepayment Premium and Redemption Price.</w:t>
      </w:r>
      <w:r>
        <w:rPr>
          <w:rFonts w:ascii="Times New Roman" w:hAnsi="Times New Roman"/>
          <w:sz w:val="20"/>
        </w:rPr>
        <w:t xml:space="preserve"> </w:t>
      </w:r>
      <w:r>
        <w:rPr>
          <w:rFonts w:ascii="Times New Roman;serif" w:hAnsi="Times New Roman;serif"/>
          <w:b w:val="false"/>
          <w:sz w:val="24"/>
        </w:rPr>
        <w:t>For the avoidance of doubt, if any Prepayment Premium (as a component of the Redemption Price) shall be due and payable at any time the Term Loans become due and payable prior to the Stated Maturity Date for any reason, whether due to acceleration pursuant to the terms of this Agreement (in which case it shall be due immediately, upon the giving of notice to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any Prepayment Premium shall be due and payable upon such date. Each Obligor hereby waives any defense to payment, whether such defense may be based in public policy, ambiguity, or otherwise. The Obligors and the Lenders acknowledge and agree that any Prepayment Premium due and payable in accordance with this Agreement shall not constitute unmatured interest, whether under</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96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Section 502(b)(3) of the Bankruptcy Code or otherwise. Each Obligor further acknowledges and agrees, and waives any argument to the contrary, that payment of such amount does not constitute a penalty or an otherwise unenforceable or invalid obligation.</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11 </w:t>
        <w:br/>
        <w:br/>
        <w:t>Guarantee</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11.01. The Guarantee.</w:t>
      </w:r>
      <w:r>
        <w:rPr>
          <w:rFonts w:ascii="Times New Roman" w:hAnsi="Times New Roman"/>
          <w:sz w:val="20"/>
        </w:rPr>
        <w:t xml:space="preserve"> </w:t>
      </w:r>
      <w:r>
        <w:rPr>
          <w:rFonts w:ascii="Times New Roman;serif" w:hAnsi="Times New Roman;serif"/>
          <w:b w:val="false"/>
          <w:sz w:val="24"/>
        </w:rPr>
        <w:t xml:space="preserve">The Guarantors hereby jointly and severally guarantee to the Administrative Agent and each Lender, and its successors and assigns, the prompt payment in full when due (whether at stated maturity, by acceleration or otherwise) of the principal of and interest on the Term Loans, all fees and other amounts and Obligations from time to time owing to the Administrative Agent and any Lender by the Borrower under this Agreement or under any other Loan Document and by any other Obligor under any of the Loan Documents, in each case strictly in accordance with the terms thereof (such obligations being herein collectively called the </w:t>
      </w:r>
      <w:r>
        <w:rPr>
          <w:rFonts w:ascii="Times New Roman" w:hAnsi="Times New Roman"/>
          <w:sz w:val="20"/>
        </w:rPr>
        <w:t>“</w:t>
      </w:r>
      <w:r>
        <w:rPr>
          <w:rFonts w:ascii="Times New Roman;serif" w:hAnsi="Times New Roman;serif"/>
          <w:b w:val="false"/>
          <w:i/>
          <w:sz w:val="24"/>
        </w:rPr>
        <w:t>Guaranteed Obligations”</w:t>
      </w:r>
      <w:r>
        <w:rPr>
          <w:rFonts w:ascii="Times New Roman;serif" w:hAnsi="Times New Roman;serif"/>
          <w:b w:val="false"/>
          <w:sz w:val="24"/>
        </w:rPr>
        <w:t>).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11.02. Obligations Unconditional.</w:t>
      </w:r>
      <w:r>
        <w:rPr>
          <w:rFonts w:ascii="Times New Roman" w:hAnsi="Times New Roman"/>
          <w:sz w:val="20"/>
        </w:rPr>
        <w:t xml:space="preserve"> </w:t>
      </w:r>
      <w:r>
        <w:rPr>
          <w:rFonts w:ascii="Times New Roman;serif" w:hAnsi="Times New Roman;serif"/>
          <w:b w:val="false"/>
          <w:sz w:val="24"/>
        </w:rPr>
        <w:t>The Obligations of the Guarantors under Section 11.01 are irrevocable, continuing, absolute and unconditional, joint and several,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Obligations of the Guarantors hereunder shall be absolute and unconditional, joint and several, under any and all circumstances. Without limiting the generality of the foregoing, other than the defense of the payment in full of the Obligations, it is agreed that the occurrence of any one or more of the following shall not alter or impair the liability of the Guarantors hereunder, which shall remain absolute and unconditional as described above:</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at any time or from time to time, without notice to the Guarantors, the time for any performance of or compliance with any of the Guaranteed Obligations shall be extended, or such performance or compliance shall be waived;</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of the acts mentioned in any of the provisions of this Agreement or any other agreement or instrument referred to herein shall be done or omitted;</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the maturity of any of the Guaranteed Obligations shall be accelerated, or any of the Guaranteed Obligations shall be modified, supplemented or amended in any </w:t>
      </w:r>
    </w:p>
    <w:p>
      <w:pPr>
        <w:pStyle w:val="TextBody"/>
        <w:bidi w:val="0"/>
        <w:spacing w:before="0" w:after="0"/>
        <w:jc w:val="center"/>
        <w:rPr/>
      </w:pPr>
      <w:r>
        <w:rPr/>
        <w:noBreakHyphen/>
      </w:r>
      <w:r>
        <w:rPr>
          <w:rFonts w:ascii="Times New Roman;serif" w:hAnsi="Times New Roman;serif"/>
          <w:b w:val="false"/>
          <w:sz w:val="24"/>
        </w:rPr>
        <w:t>97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rFonts w:ascii="Times New Roman;serif" w:hAnsi="Times New Roman;serif"/>
          <w:b w:val="false"/>
          <w:sz w:val="24"/>
        </w:rPr>
        <w:t>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this Agreement or any other agreement or instrument referred to herein shall be waived or any other Guarantee of any of the Guaranteed Obligations or any security therefor shall be released or exchanged in whole or in part or otherwise dealt with;</w:t>
      </w:r>
      <w:r>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any Lien or security interest granted to, or in favor of, any Lender as security for any of the Guaranteed Obligations shall fail to be perfected or otherwise be taken, exchanged, substituted, varied, released, impaired, or subordinated; </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Guarantee of the Guaranteed Obligations shall be taken, released, impaired, amended, waived or otherwise modified;</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of the Guaranteed Obligations, any Loan Document, or any related agreement, security, or instrument shall be illegal, invalid or unenforceable for any reason whatsoever;</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Collateral or other assets shall be sold or disposed, and/or the proceeds of such sale or disposition applied, to satisfy all or part of the Guaranteed Obligations;</w:t>
      </w:r>
    </w:p>
    <w:p>
      <w:pPr>
        <w:pStyle w:val="TextBody"/>
        <w:bidi w:val="0"/>
        <w:spacing w:before="280" w:after="0"/>
        <w:jc w:val="both"/>
        <w:rPr>
          <w:rFonts w:ascii="Times New Roman" w:hAnsi="Times New Roman"/>
          <w:b w:val="false"/>
          <w:sz w:val="24"/>
        </w:rPr>
      </w:pPr>
      <w:r>
        <w:rPr>
          <w:rFonts w:ascii="Times New Roman" w:hAnsi="Times New Roman"/>
          <w:b w:val="false"/>
          <w:sz w:val="24"/>
        </w:rPr>
        <w:t>(h)</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any of the security or Collateral held for the Guaranteed Obligations shall lose or diminish in value, whether such loss or diminution arises from any act or omission of the Administrative Agent or any Lender;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there shall be any Default, failure, or delay, willful or otherwise, in the payment and/or performance of the Guaranteed Obligations; </w:t>
      </w:r>
    </w:p>
    <w:p>
      <w:pPr>
        <w:pStyle w:val="TextBody"/>
        <w:bidi w:val="0"/>
        <w:spacing w:before="280" w:after="0"/>
        <w:jc w:val="both"/>
        <w:rPr>
          <w:rFonts w:ascii="Times New Roman" w:hAnsi="Times New Roman"/>
          <w:b w:val="false"/>
          <w:sz w:val="24"/>
        </w:rPr>
      </w:pPr>
      <w:r>
        <w:rPr>
          <w:rFonts w:ascii="Times New Roman" w:hAnsi="Times New Roman"/>
          <w:b w:val="false"/>
          <w:sz w:val="24"/>
        </w:rPr>
        <w:t>(j)</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w:t>
      </w:r>
    </w:p>
    <w:p>
      <w:pPr>
        <w:pStyle w:val="TextBody"/>
        <w:bidi w:val="0"/>
        <w:spacing w:before="280" w:after="0"/>
        <w:jc w:val="both"/>
        <w:rPr>
          <w:rFonts w:ascii="Times New Roman" w:hAnsi="Times New Roman"/>
          <w:b w:val="false"/>
          <w:sz w:val="24"/>
        </w:rPr>
      </w:pPr>
      <w:r>
        <w:rPr>
          <w:rFonts w:ascii="Times New Roman" w:hAnsi="Times New Roman"/>
          <w:b w:val="false"/>
          <w:sz w:val="24"/>
        </w:rPr>
        <w:t>(k)</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there shall be any failure of any of the Administrative Agent or any Lender to disclose to any Obligor any information relating to the business, condition (financial or otherwise), operations, performance, properties or prospects of any other Obligor, or any other information now or hereafter known to the Administrative Agent or such Lender;</w:t>
      </w:r>
    </w:p>
    <w:p>
      <w:pPr>
        <w:pStyle w:val="TextBody"/>
        <w:bidi w:val="0"/>
        <w:spacing w:before="280" w:after="0"/>
        <w:jc w:val="both"/>
        <w:rPr>
          <w:rFonts w:ascii="Times New Roman" w:hAnsi="Times New Roman"/>
          <w:b w:val="false"/>
          <w:sz w:val="24"/>
        </w:rPr>
      </w:pPr>
      <w:r>
        <w:rPr>
          <w:rFonts w:ascii="Times New Roman" w:hAnsi="Times New Roman"/>
          <w:b w:val="false"/>
          <w:sz w:val="24"/>
        </w:rPr>
        <w:t>(l)</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any person shall fail to execute or deliver this Agreement (including the Guarantee in this Article 11) or any other Guarantee or agreement or the release or reduction of liability of any Obligor or surety with respect to the Guaranteed Obligations;</w:t>
      </w:r>
    </w:p>
    <w:p>
      <w:pPr>
        <w:pStyle w:val="TextBody"/>
        <w:bidi w:val="0"/>
        <w:spacing w:before="0" w:after="0"/>
        <w:jc w:val="center"/>
        <w:rPr/>
      </w:pPr>
      <w:r>
        <w:rPr/>
        <w:noBreakHyphen/>
      </w:r>
      <w:r>
        <w:rPr>
          <w:rFonts w:ascii="Times New Roman;serif" w:hAnsi="Times New Roman;serif"/>
          <w:b w:val="false"/>
          <w:sz w:val="24"/>
        </w:rPr>
        <w:t>98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b w:val="false"/>
          <w:sz w:val="24"/>
        </w:rPr>
      </w:pPr>
      <w:r>
        <w:rPr>
          <w:rFonts w:ascii="Times New Roman" w:hAnsi="Times New Roman"/>
          <w:b w:val="false"/>
          <w:sz w:val="24"/>
        </w:rPr>
        <w:t>(m)</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of the Administrative Agent or any Lender shall fail to assert any claim or demand or to exercise or enforce any right or remedy under the provisions of any Loan Document or otherwise;</w:t>
      </w:r>
    </w:p>
    <w:p>
      <w:pPr>
        <w:pStyle w:val="TextBody"/>
        <w:bidi w:val="0"/>
        <w:spacing w:before="280" w:after="0"/>
        <w:jc w:val="both"/>
        <w:rPr>
          <w:rFonts w:ascii="Times New Roman" w:hAnsi="Times New Roman"/>
          <w:b w:val="false"/>
          <w:sz w:val="24"/>
        </w:rPr>
      </w:pPr>
      <w:r>
        <w:rPr>
          <w:rFonts w:ascii="Times New Roman" w:hAnsi="Times New Roman"/>
          <w:b w:val="false"/>
          <w:sz w:val="24"/>
        </w:rPr>
        <w:t>(n)</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any Obligor shall assert any defense, set-off or counterclaim (other than a defense of payment or performance) that may at any time be available to, or be asserted by, such against any of the Administrative Agent or any Lender; or </w:t>
      </w:r>
    </w:p>
    <w:p>
      <w:pPr>
        <w:pStyle w:val="TextBody"/>
        <w:bidi w:val="0"/>
        <w:spacing w:before="280" w:after="0"/>
        <w:jc w:val="both"/>
        <w:rPr>
          <w:rFonts w:ascii="Times New Roman" w:hAnsi="Times New Roman"/>
          <w:b w:val="false"/>
          <w:sz w:val="24"/>
        </w:rPr>
      </w:pPr>
      <w:r>
        <w:rPr>
          <w:rFonts w:ascii="Times New Roman" w:hAnsi="Times New Roman"/>
          <w:b w:val="false"/>
          <w:sz w:val="24"/>
        </w:rPr>
        <w:t>(o)</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11.03. Reinstatement.</w:t>
      </w:r>
      <w:r>
        <w:rPr>
          <w:rFonts w:ascii="Times New Roman" w:hAnsi="Times New Roman"/>
          <w:sz w:val="20"/>
        </w:rPr>
        <w:t xml:space="preserve"> </w:t>
      </w:r>
      <w:r>
        <w:rPr>
          <w:rFonts w:ascii="Times New Roman;serif" w:hAnsi="Times New Roman;serif"/>
          <w:b w:val="false"/>
          <w:sz w:val="24"/>
        </w:rPr>
        <w:t>The obligations of the Guarantors under this Article 11 shall be automatically reinstated if 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(including reasonable and documented out-of-pocket fees of counsel) incurred by such Persons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11.04. Subrogation.</w:t>
      </w:r>
      <w:r>
        <w:rPr>
          <w:rFonts w:ascii="Times New Roman" w:hAnsi="Times New Roman"/>
          <w:sz w:val="20"/>
        </w:rPr>
        <w:t xml:space="preserve"> </w:t>
      </w:r>
      <w:r>
        <w:rPr>
          <w:rFonts w:ascii="Times New Roman;serif" w:hAnsi="Times New Roman;serif"/>
          <w:b w:val="false"/>
          <w:sz w:val="24"/>
        </w:rPr>
        <w:t>The Guarantors hereby jointly and severally agree that, until the payment and satisfaction in full of all Guaranteed Obligations (other than the Warrant Obligations and contingent and unmatured indemnity and expense reimbursement obligations) and the expiration and termination of the Commitments and the repayment, satisfaction or discharge of all Obligations under any Loan Document,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11.05. Remedies.</w:t>
      </w:r>
      <w:r>
        <w:rPr>
          <w:rFonts w:ascii="Times New Roman" w:hAnsi="Times New Roman"/>
          <w:sz w:val="20"/>
        </w:rPr>
        <w:t xml:space="preserve"> </w:t>
      </w:r>
      <w:r>
        <w:rPr>
          <w:rFonts w:ascii="Times New Roman;serif" w:hAnsi="Times New Roman;serif"/>
          <w:b w:val="false"/>
          <w:sz w:val="24"/>
        </w:rPr>
        <w:t>The Guarantors jointly and severally agree that, as between the Guarantors, on one hand, and the Lenders, on the other 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99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11.06. Instrument for the Payment of Money.</w:t>
      </w:r>
      <w:r>
        <w:rPr>
          <w:rFonts w:ascii="Times New Roman" w:hAnsi="Times New Roman"/>
          <w:sz w:val="20"/>
        </w:rPr>
        <w:t xml:space="preserve"> </w:t>
      </w:r>
      <w:r>
        <w:rPr>
          <w:rFonts w:ascii="Times New Roman;serif" w:hAnsi="Times New Roman;serif"/>
          <w:b w:val="false"/>
          <w:sz w:val="24"/>
        </w:rPr>
        <w:t>Each Guarantor hereby acknowledges that the Guarantee in this Article 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11.07. Continuing Guarantee.</w:t>
      </w:r>
      <w:r>
        <w:rPr>
          <w:rFonts w:ascii="Times New Roman" w:hAnsi="Times New Roman"/>
          <w:sz w:val="20"/>
        </w:rPr>
        <w:t xml:space="preserve"> </w:t>
      </w:r>
      <w:r>
        <w:rPr>
          <w:rFonts w:ascii="Times New Roman;serif" w:hAnsi="Times New Roman;serif"/>
          <w:b w:val="false"/>
          <w:sz w:val="24"/>
        </w:rPr>
        <w:t>The Guarantee in this Article 11 is a continuing guarantee, and shall apply to all Guaranteed Obligations whenever arising. Without limiting the generality of the foregoing, the Guarantors hereby unconditionally and irrevocably waive any right to revoke this Guarantee in this Article 11 and acknowledge that the Guarantee in this Article 11 is continuing in nature, shall guarantee any ultimate balance owing to any of the Administrative Agent or any Lender, and applies to all presently existing and future Guaranteed Obligations, until the complete, irrevocable and indefeasible payment and satisfaction in full of the Guaranteed Obligations.</w:t>
      </w:r>
      <w:r>
        <w:rPr>
          <w:rFonts w:ascii="Times New Roman" w:hAnsi="Times New Roman"/>
          <w:sz w:val="20"/>
        </w:rPr>
        <w:t xml:space="preserve"> </w:t>
      </w:r>
      <w:r>
        <w:rPr>
          <w:rFonts w:ascii="Times New Roman;serif" w:hAnsi="Times New Roman;serif"/>
          <w:b w:val="false"/>
          <w:sz w:val="24"/>
        </w:rPr>
        <w:t>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11.08. Rights of Contribution.</w:t>
      </w:r>
      <w:r>
        <w:rPr>
          <w:rFonts w:ascii="Times New Roman" w:hAnsi="Times New Roman"/>
          <w:sz w:val="20"/>
        </w:rPr>
        <w:t xml:space="preserve"> </w:t>
      </w:r>
      <w:r>
        <w:rPr>
          <w:rFonts w:ascii="Times New Roman;serif" w:hAnsi="Times New Roman;serif"/>
          <w:b w:val="false"/>
          <w:sz w:val="24"/>
        </w:rPr>
        <w:t>The Guarantors hereby agree, as between themselves, that if any Guarantor shall 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pStyle w:val="TextBody"/>
        <w:bidi w:val="0"/>
        <w:spacing w:before="280" w:after="0"/>
        <w:jc w:val="both"/>
        <w:rPr>
          <w:rFonts w:ascii="Times New Roman" w:hAnsi="Times New Roman"/>
          <w:sz w:val="20"/>
        </w:rPr>
      </w:pPr>
      <w:r>
        <w:rPr>
          <w:rFonts w:ascii="Times New Roman;serif" w:hAnsi="Times New Roman;serif"/>
          <w:b w:val="false"/>
          <w:sz w:val="24"/>
        </w:rPr>
        <w:t xml:space="preserve">For purposes of this Section 11.08, (a) </w:t>
      </w:r>
      <w:r>
        <w:rPr>
          <w:rFonts w:ascii="Times New Roman" w:hAnsi="Times New Roman"/>
          <w:sz w:val="20"/>
        </w:rPr>
        <w:t>“</w:t>
      </w:r>
      <w:r>
        <w:rPr>
          <w:rFonts w:ascii="Times New Roman;serif" w:hAnsi="Times New Roman;serif"/>
          <w:b w:val="false"/>
          <w:i/>
          <w:sz w:val="24"/>
        </w:rPr>
        <w:t>Excess Funding Guarantor”</w:t>
      </w:r>
      <w:r>
        <w:rPr>
          <w:rFonts w:ascii="Times New Roman" w:hAnsi="Times New Roman"/>
          <w:sz w:val="20"/>
        </w:rPr>
        <w:t xml:space="preserve"> </w:t>
      </w:r>
      <w:r>
        <w:rPr>
          <w:rFonts w:ascii="Times New Roman;serif" w:hAnsi="Times New Roman;serif"/>
          <w:b w:val="false"/>
          <w:sz w:val="24"/>
        </w:rPr>
        <w:t xml:space="preserve">means, in respect of any Guaranteed Obligations, a Guarantor that has paid an amount in excess of its Pro Rata Share of such Guaranteed Obligations, (b) </w:t>
      </w:r>
      <w:r>
        <w:rPr>
          <w:rFonts w:ascii="Times New Roman" w:hAnsi="Times New Roman"/>
          <w:sz w:val="20"/>
        </w:rPr>
        <w:t>“</w:t>
      </w:r>
      <w:r>
        <w:rPr>
          <w:rFonts w:ascii="Times New Roman;serif" w:hAnsi="Times New Roman;serif"/>
          <w:b w:val="false"/>
          <w:i/>
          <w:sz w:val="24"/>
        </w:rPr>
        <w:t>Excess Payment”</w:t>
      </w:r>
      <w:r>
        <w:rPr>
          <w:rFonts w:ascii="Times New Roman" w:hAnsi="Times New Roman"/>
          <w:sz w:val="20"/>
        </w:rPr>
        <w:t xml:space="preserve"> </w:t>
      </w:r>
      <w:r>
        <w:rPr>
          <w:rFonts w:ascii="Times New Roman;serif" w:hAnsi="Times New Roman;serif"/>
          <w:b w:val="false"/>
          <w:sz w:val="24"/>
        </w:rPr>
        <w:t xml:space="preserve">means, in respect of any Guaranteed Obligations, the amount paid by an Excess Funding Guarantor in excess of its Pro Rata Share of such Guaranteed Obligations and (c) </w:t>
      </w:r>
      <w:r>
        <w:rPr>
          <w:rFonts w:ascii="Times New Roman" w:hAnsi="Times New Roman"/>
          <w:sz w:val="20"/>
        </w:rPr>
        <w:t>“</w:t>
      </w:r>
      <w:r>
        <w:rPr>
          <w:rFonts w:ascii="Times New Roman;serif" w:hAnsi="Times New Roman;serif"/>
          <w:b w:val="false"/>
          <w:i/>
          <w:sz w:val="24"/>
        </w:rPr>
        <w:t>Pro Rata Share”</w:t>
      </w:r>
      <w:r>
        <w:rPr>
          <w:rFonts w:ascii="Times New Roman" w:hAnsi="Times New Roman"/>
          <w:sz w:val="20"/>
        </w:rPr>
        <w:t xml:space="preserve"> </w:t>
      </w:r>
      <w:r>
        <w:rPr>
          <w:rFonts w:ascii="Times New Roman;serif" w:hAnsi="Times New Roman;serif"/>
          <w:b w:val="false"/>
          <w:sz w:val="24"/>
        </w:rPr>
        <w:t>means, as of the date of determination, for any Guarantor, the ratio (expressed as a percentage) of (i)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100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11.09. General Limitation on Guarantee Obligations.</w:t>
      </w:r>
      <w:r>
        <w:rPr>
          <w:rFonts w:ascii="Times New Roman" w:hAnsi="Times New Roman"/>
          <w:sz w:val="20"/>
        </w:rPr>
        <w:t xml:space="preserve"> </w:t>
      </w:r>
      <w:r>
        <w:rPr>
          <w:rFonts w:ascii="Times New Roman;serif" w:hAnsi="Times New Roman;serif"/>
          <w:b w:val="false"/>
          <w:sz w:val="24"/>
        </w:rPr>
        <w:t>In any action or proceeding involving any provincial, territorial or state corporate Law, or any state, federal, provincial, territorial or foreign bankruptcy, insolvency, reorganization or other Law affecting the rights of creditors generally, 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 xml:space="preserve">Article 12 </w:t>
        <w:br/>
        <w:br/>
        <w:t>Administrative Agent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12.01. Appointment</w:t>
      </w:r>
      <w:r>
        <w:rPr>
          <w:rFonts w:ascii="Times New Roman;serif" w:hAnsi="Times New Roman;serif"/>
          <w:b w:val="false"/>
          <w:sz w:val="24"/>
        </w:rPr>
        <w:t>. Each of the Lenders hereby irrevocably appoints Perceptive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(other than as set forth in Section 12.06) are solely for the benefit of the Administrative Agent and the Lenders, and neither the Borrower nor any other Obligor will have rights as a third</w:t>
        <w:noBreakHyphen/>
        <w:t>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12.02. Rights as a Lender</w:t>
      </w:r>
      <w:r>
        <w:rPr>
          <w:rFonts w:ascii="Times New Roman;serif" w:hAnsi="Times New Roman;serif"/>
          <w:b w:val="false"/>
          <w:sz w:val="24"/>
        </w:rPr>
        <w:t>. The Person serving as the Administrative Agent hereunder will have the same rights and powers in its capacity as 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101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4"/>
        </w:rPr>
        <w:t>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12.03. Exculpatory Provisions</w:t>
      </w:r>
      <w:r>
        <w:rPr>
          <w:rFonts w:ascii="Times New Roman;serif" w:hAnsi="Times New Roman;serif"/>
          <w:b w:val="false"/>
          <w:sz w:val="24"/>
        </w:rPr>
        <w:t>.</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Administrative Agent will not have any duties or obligations except those expressly set forth herein and in the other Loan Documents, and its duties hereunder are administrative in nature. Without limiting the generality of the foregoing,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will not be subject to any fiduciary or other implied duties, regardless of whether a Default has occurred and is continuing;</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pPr>
      <w:r>
        <w:rPr>
          <w:rFonts w:ascii="Times New Roman;serif" w:hAnsi="Times New Roman;serif"/>
          <w:b w:val="false"/>
          <w:sz w:val="24"/>
        </w:rPr>
        <w:t xml:space="preserve">will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will be expressly provided for herein or in the other Loan Documents); </w:t>
      </w:r>
      <w:r>
        <w:rPr>
          <w:rFonts w:ascii="Times New Roman;serif" w:hAnsi="Times New Roman;serif"/>
          <w:b w:val="false"/>
          <w:i/>
          <w:sz w:val="24"/>
        </w:rPr>
        <w:t>provided</w:t>
      </w:r>
      <w:r>
        <w:rPr/>
        <w:t xml:space="preserve"> </w:t>
      </w:r>
      <w:r>
        <w:rPr>
          <w:rFonts w:ascii="Times New Roman;serif" w:hAnsi="Times New Roman;serif"/>
          <w:b w:val="false"/>
          <w:sz w:val="24"/>
        </w:rPr>
        <w:t>that the Administrative Agent will not be required to take any action that, in its opinion or the opinion of its counsel, may expose the Administrative Agent to liability or that is contrary to any Loan Document or applicable Law, including any action that may be in violation of the automatic stay under any Insolvency Proceeding; and</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w:t>
        <w:noBreakHyphen/>
        <w:t>appealable judgment. The Administrative Agent will be deemed not to have knowledge of any Default unless and until notice describing such Default is given to the Administrative Agent in writing by the Borrower or a Lender.</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w:t>
      </w:r>
    </w:p>
    <w:p>
      <w:pPr>
        <w:pStyle w:val="TextBody"/>
        <w:bidi w:val="0"/>
        <w:spacing w:before="0" w:after="0"/>
        <w:jc w:val="center"/>
        <w:rPr/>
      </w:pPr>
      <w:r>
        <w:rPr/>
        <w:noBreakHyphen/>
      </w:r>
      <w:r>
        <w:rPr>
          <w:rFonts w:ascii="Times New Roman;serif" w:hAnsi="Times New Roman;serif"/>
          <w:b w:val="false"/>
          <w:sz w:val="24"/>
        </w:rPr>
        <w:t>102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12.04. Reliance by Administrative Agent</w:t>
      </w:r>
      <w:r>
        <w:rPr>
          <w:rFonts w:ascii="Times New Roman;serif" w:hAnsi="Times New Roman;serif"/>
          <w:b w:val="false"/>
          <w:sz w:val="24"/>
        </w:rPr>
        <w:t>. The Administrative Agent will be entitled to rely upon, and will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12.05. Delegation of Duties</w:t>
      </w:r>
      <w:r>
        <w:rPr>
          <w:rFonts w:ascii="Times New Roman;serif" w:hAnsi="Times New Roman;serif"/>
          <w:b w:val="false"/>
          <w:sz w:val="24"/>
        </w:rPr>
        <w:t>. The Administrative Agent may perform any and all of its duties and exercise its rights and powers hereunder or under any other Loan Document by or through any one or more sub</w:t>
        <w:noBreakHyphen/>
        <w:t>agents appointed by the Administrative Agent. The Administrative Agent and any such sub</w:t>
        <w:noBreakHyphen/>
        <w:t>agent may perform any and all of its duties and exercise its rights and powers by or through their respective Affiliates. The exculpatory provisions of this Article 12 will apply to any such sub</w:t>
        <w:noBreakHyphen/>
        <w:t>agent and to the Affiliates of the Administrative Agent and any such sub</w:t>
        <w:noBreakHyphen/>
        <w:t>agent, and will apply to their respective activities in connection with the syndication of the facility as well as activities as Administrative Agent. The Administrative Agent will not be responsible for the negligence or misconduct of any sub</w:t>
        <w:noBreakHyphen/>
        <w:t>agents except to the extent that a court of competent jurisdiction determines in a final and non</w:t>
        <w:noBreakHyphen/>
        <w:t>appealable judgment that the Administrative Agent acted with gross negligence or willful misconduct in the selection of such sub</w:t>
        <w:noBreakHyphen/>
        <w:t>agents.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12.06. Resignation of Agent</w:t>
      </w:r>
      <w:r>
        <w:rPr>
          <w:rFonts w:ascii="Times New Roman;serif" w:hAnsi="Times New Roman;serif"/>
          <w:b w:val="false"/>
          <w:sz w:val="24"/>
        </w:rPr>
        <w:t>.</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pPr>
      <w:r>
        <w:rPr>
          <w:rFonts w:ascii="Times New Roman;serif" w:hAnsi="Times New Roman;serif"/>
          <w:b w:val="false"/>
          <w:sz w:val="24"/>
        </w:rPr>
        <w:t xml:space="preserve">The Administrative Agent may at any time give notice of its resignation to the Lenders and the Borrower, which notice shall set forth the effective date of such resignation (the </w:t>
      </w:r>
      <w:r>
        <w:rPr/>
        <w:t>“</w:t>
      </w:r>
      <w:r>
        <w:rPr>
          <w:rFonts w:ascii="Times New Roman;serif" w:hAnsi="Times New Roman;serif"/>
          <w:b w:val="false"/>
          <w:i/>
          <w:sz w:val="24"/>
        </w:rPr>
        <w:t>Resignation Effective Date”</w:t>
      </w:r>
      <w:r>
        <w:rPr>
          <w:rFonts w:ascii="Times New Roman;serif" w:hAnsi="Times New Roman;serif"/>
          <w:b w:val="false"/>
          <w:sz w:val="24"/>
        </w:rPr>
        <w:t>), such date not to be earlier than the thirtieth (30</w:t>
      </w:r>
      <w:r>
        <w:rPr>
          <w:rFonts w:ascii="Times New Roman;serif" w:hAnsi="Times New Roman;serif"/>
          <w:b w:val="false"/>
          <w:sz w:val="16"/>
        </w:rPr>
        <w:t>th</w:t>
      </w:r>
      <w:r>
        <w:rPr>
          <w:rFonts w:ascii="Times New Roman;serif" w:hAnsi="Times New Roman;serif"/>
          <w:b w:val="false"/>
          <w:sz w:val="24"/>
        </w:rPr>
        <w:t>) day following the date of such notice. The Majority Lenders and the Borrower shall mutually agree upon a successor to the Administrative Agent. If the Majority Lenders and the Borrower are unable to so mutually agree and no successor shall have been appointed within twenty</w:t>
        <w:noBreakHyphen/>
        <w:t xml:space="preserve">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Majority Lenders). </w:t>
      </w:r>
    </w:p>
    <w:p>
      <w:pPr>
        <w:pStyle w:val="TextBody"/>
        <w:bidi w:val="0"/>
        <w:spacing w:before="0" w:after="0"/>
        <w:jc w:val="center"/>
        <w:rPr/>
      </w:pPr>
      <w:r>
        <w:rPr/>
        <w:noBreakHyphen/>
      </w:r>
      <w:r>
        <w:rPr>
          <w:rFonts w:ascii="Times New Roman;serif" w:hAnsi="Times New Roman;serif"/>
          <w:b w:val="false"/>
          <w:sz w:val="24"/>
        </w:rPr>
        <w:t>103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Whether or not a successor has been appointed, such resignation will become effective in accordance with such notice on the Resignation Effective Date.</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 13.06 will continue in effect for the benefit of such retiring Administrative Agent, its sub</w:t>
        <w:noBreakHyphen/>
        <w:t xml:space="preserve">agents and their respective Affiliates in respect of any actions taken or omitted to be taken by any of them while the retiring Administrative Agent was acting as Administrative Agent. </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12.07. Non</w:t>
        <w:noBreakHyphen/>
        <w:t>Reliance on Administrative Agent and Other Lenders</w:t>
      </w:r>
      <w:r>
        <w:rPr>
          <w:rFonts w:ascii="Times New Roman;serif" w:hAnsi="Times New Roman;serif"/>
          <w:b w:val="false"/>
          <w:sz w:val="24"/>
        </w:rPr>
        <w:t>. Each Lender acknowledges that it has, 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12.08. Administrative Agent May File Proofs of Claim</w:t>
      </w:r>
      <w:r>
        <w:rPr>
          <w:rFonts w:ascii="Times New Roman;serif" w:hAnsi="Times New Roman;serif"/>
          <w:b w:val="false"/>
          <w:sz w:val="24"/>
        </w:rPr>
        <w:t>. In case of the pendency of any Insolvency Proceeding or any other judicial proceeding relative to the Borrower, the Administrative Agent (irrespective of whether the principal of the Term Loans will then be due and payable as herein expressed or by declaration or otherwise and irrespective of whether the Administrative Agent has made any demand on the Borrower) will be entitled and empowered (but not obligated), by intervention in such proceeding or otherwise:</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to file and prove a Claim for the whole amount of the principal and interest owing and unpaid in respect of the Term Loans and all other Obligations that are owing and unpaid hereunder or under any other Loan Document and to file such other </w:t>
      </w:r>
    </w:p>
    <w:p>
      <w:pPr>
        <w:pStyle w:val="TextBody"/>
        <w:bidi w:val="0"/>
        <w:spacing w:before="0" w:after="0"/>
        <w:jc w:val="center"/>
        <w:rPr/>
      </w:pPr>
      <w:r>
        <w:rPr/>
        <w:noBreakHyphen/>
      </w:r>
      <w:r>
        <w:rPr>
          <w:rFonts w:ascii="Times New Roman;serif" w:hAnsi="Times New Roman;serif"/>
          <w:b w:val="false"/>
          <w:sz w:val="24"/>
        </w:rPr>
        <w:t>104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to collect and receive any monies or other property payable or deliverable on any such Claims and to distribute the same.</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12.09. Collateral and Guaranty Matters; Appointment of Collateral Agent</w:t>
      </w:r>
      <w:r>
        <w:rPr>
          <w:rFonts w:ascii="Times New Roman;serif" w:hAnsi="Times New Roman;serif"/>
          <w:b w:val="false"/>
          <w:sz w:val="24"/>
        </w:rPr>
        <w:t>.</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Without limiting the provisions of Section 12.08, the Lenders irrevocably agree as follows: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Administrative Agent is authorized, at its option and in its discretion, to release any Lien on any property granted to or held by the Administrative Agent under any Loan Document (A) on the date when all Obligations have been satisfied in full in cash (other than Warrant Obligations and contingent obligations as to which no Claims have been asserted), (B) that is sold or otherwise disposed of or to be sold or otherwise disposed of as part of or in connection with any sale or other disposition permitted under the Loan Documents, or (C) subject to Sections 13.01 and 13.04, if approved, authorized or ratified in writing by the Majority Lenders; and</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the Administrative Agent is authorized, at its option and discretion, to release any Guarantor from its obligations hereunder if such Person ceases to be a Subsidiary as a result of a transaction permitted under the Loan Documents.</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w:t>
      </w:r>
    </w:p>
    <w:p>
      <w:pPr>
        <w:pStyle w:val="TextBody"/>
        <w:bidi w:val="0"/>
        <w:spacing w:before="0" w:after="0"/>
        <w:jc w:val="center"/>
        <w:rPr/>
      </w:pPr>
      <w:r>
        <w:rPr/>
        <w:noBreakHyphen/>
      </w:r>
      <w:r>
        <w:rPr>
          <w:rFonts w:ascii="Times New Roman;serif" w:hAnsi="Times New Roman;serif"/>
          <w:b w:val="false"/>
          <w:sz w:val="24"/>
        </w:rPr>
        <w:t>105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nor will the Administrative Agent be responsible or liable to the Lenders for any failure to monitor or maintain any portion of the Collateral.</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(iv) enter into non</w:t>
        <w:noBreakHyphen/>
        <w:t>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pStyle w:val="TextBody"/>
        <w:bidi w:val="0"/>
        <w:spacing w:before="360" w:after="0"/>
        <w:jc w:val="center"/>
        <w:rPr>
          <w:rFonts w:ascii="Times New Roman;serif" w:hAnsi="Times New Roman;serif"/>
          <w:b/>
          <w:smallCaps/>
          <w:sz w:val="24"/>
        </w:rPr>
      </w:pPr>
      <w:r>
        <w:rPr>
          <w:rFonts w:ascii="Times New Roman;serif" w:hAnsi="Times New Roman;serif"/>
          <w:b/>
          <w:smallCaps/>
          <w:sz w:val="24"/>
        </w:rPr>
        <w:t>Article 13</w:t>
        <w:br/>
        <w:t>Miscellaneous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13.01. No Waiver.</w:t>
      </w:r>
      <w:r>
        <w:rPr>
          <w:rFonts w:ascii="Times New Roman" w:hAnsi="Times New Roman"/>
          <w:sz w:val="20"/>
        </w:rPr>
        <w:t xml:space="preserve"> </w:t>
      </w:r>
      <w:r>
        <w:rPr>
          <w:rFonts w:ascii="Times New Roman;serif" w:hAnsi="Times New Roman;serif"/>
          <w:b w:val="false"/>
          <w:sz w:val="24"/>
        </w:rPr>
        <w:t>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13.02. Notices.</w:t>
      </w:r>
      <w:r>
        <w:rPr>
          <w:rFonts w:ascii="Times New Roman" w:hAnsi="Times New Roman"/>
          <w:sz w:val="20"/>
        </w:rPr>
        <w:t xml:space="preserve"> </w:t>
      </w:r>
      <w:r>
        <w:rPr>
          <w:rFonts w:ascii="Times New Roman;serif" w:hAnsi="Times New Roman;serif"/>
          <w:b w:val="false"/>
          <w:sz w:val="24"/>
        </w:rPr>
        <w:t>All notices, requests, instructions, directions and other communications provided for herein (including any modifications of, or waivers, requests or consents under, the Loan Documents) shall be given or made in writing (including by telecopy or electronic mail) delivered, if to the Borrower, another Obligor, the Administrative Agent or the Lenders, to its address specified on Schedule 2 hereto or its Guarantee Assumption Agreement, as the case may be, or at such other address as shall be designated by such party in a written notice to the other parties. Except as otherwise provided in this Agreement, all such communications shall be deemed to have been duly given upon receipt of a legible copy thereof, in each case given or addressed as aforesaid.</w:t>
      </w:r>
      <w:r>
        <w:rPr>
          <w:rFonts w:ascii="Times New Roman" w:hAnsi="Times New Roman"/>
          <w:sz w:val="20"/>
        </w:rPr>
        <w:t xml:space="preserve"> </w:t>
      </w:r>
    </w:p>
    <w:p>
      <w:pPr>
        <w:pStyle w:val="TextBody"/>
        <w:bidi w:val="0"/>
        <w:spacing w:before="280" w:after="0"/>
        <w:jc w:val="both"/>
        <w:rPr>
          <w:rFonts w:ascii="Times New Roman;serif" w:hAnsi="Times New Roman;serif"/>
          <w:b w:val="false"/>
          <w:i/>
          <w:sz w:val="24"/>
        </w:rPr>
      </w:pPr>
      <w:r>
        <w:rPr>
          <w:rFonts w:ascii="Times New Roman;serif" w:hAnsi="Times New Roman;serif"/>
          <w:b w:val="false"/>
          <w:i/>
          <w:sz w:val="24"/>
        </w:rPr>
        <w:t>Section 13.03. Expenses and Indemnification.</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283"/>
        <w:jc w:val="both"/>
        <w:rPr/>
      </w:pPr>
      <w:r>
        <w:rPr>
          <w:rFonts w:ascii="Times New Roman;serif" w:hAnsi="Times New Roman;serif"/>
          <w:b w:val="false"/>
          <w:i/>
          <w:sz w:val="24"/>
        </w:rPr>
        <w:t xml:space="preserve">Expenses. </w:t>
      </w:r>
      <w:r>
        <w:rPr>
          <w:rFonts w:ascii="Times New Roman;serif" w:hAnsi="Times New Roman;serif"/>
          <w:b w:val="false"/>
          <w:sz w:val="24"/>
        </w:rPr>
        <w:t xml:space="preserve">The Borrower agrees to pay or reimburse (i) the Administrative Agent and the Lenders for all of their reasonable and documented out of </w:t>
      </w:r>
    </w:p>
    <w:p>
      <w:pPr>
        <w:pStyle w:val="TextBody"/>
        <w:bidi w:val="0"/>
        <w:spacing w:before="0" w:after="0"/>
        <w:jc w:val="center"/>
        <w:rPr/>
      </w:pPr>
      <w:r>
        <w:rPr/>
        <w:noBreakHyphen/>
      </w:r>
      <w:r>
        <w:rPr>
          <w:rFonts w:ascii="Times New Roman;serif" w:hAnsi="Times New Roman;serif"/>
          <w:b w:val="false"/>
          <w:sz w:val="24"/>
        </w:rPr>
        <w:t>106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rFonts w:ascii="Times New Roman;serif" w:hAnsi="Times New Roman;serif"/>
          <w:b w:val="false"/>
          <w:sz w:val="24"/>
        </w:rPr>
        <w:t>pocket costs and expenses (including the reasonable and documented fees and expenses of Chapman and Cutler LLP, counsel to the Administrative Agent) in connection with (A) the negotiation, preparation, execution and delivery of this Agreement and the other Loan Documents and the making of the Term Loans (exclusive of post</w:t>
        <w:noBreakHyphen/>
        <w:t xml:space="preserve">funding costs); </w:t>
      </w:r>
      <w:r>
        <w:rPr>
          <w:rFonts w:ascii="Times New Roman;serif" w:hAnsi="Times New Roman;serif"/>
          <w:b w:val="false"/>
          <w:i/>
          <w:sz w:val="24"/>
        </w:rPr>
        <w:t>provided</w:t>
      </w:r>
      <w:r>
        <w:rPr/>
        <w:t xml:space="preserve"> </w:t>
      </w:r>
      <w:r>
        <w:rPr>
          <w:rFonts w:ascii="Times New Roman;serif" w:hAnsi="Times New Roman;serif"/>
          <w:b w:val="false"/>
          <w:sz w:val="24"/>
        </w:rPr>
        <w:t>that, so long as the Borrowing of the Tranche A Loan is made, such fees shall be credited against the Expense Deposit paid by the Borrower, (B) post</w:t>
        <w:noBreakHyphen/>
        <w:t>funding costs and (C) the negotiation or preparation of any amendment, modification, supplement or waiver of any of the terms of this Agreement or any of the other Loan Documents (whether or not consummated) and (ii) the Administrative Agent and the Lenders for all of their reasonable and documented out of pocket costs and expenses (including the reasonable and documented out of pocket fees and expenses of legal counsel) in connection with any enforcement or collection proceedings resulting from the occurrence and continuance of an Event of Default.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pPr>
      <w:r>
        <w:rPr>
          <w:rFonts w:ascii="Times New Roman;serif" w:hAnsi="Times New Roman;serif"/>
          <w:b w:val="false"/>
          <w:i/>
          <w:sz w:val="24"/>
        </w:rPr>
        <w:t xml:space="preserve">Indemnification. </w:t>
      </w:r>
      <w:r>
        <w:rPr>
          <w:rFonts w:ascii="Times New Roman;serif" w:hAnsi="Times New Roman;serif"/>
          <w:b w:val="false"/>
          <w:sz w:val="24"/>
        </w:rPr>
        <w:t xml:space="preserve">Each Obligor hereby indemnifies the Administrative Agent, the Lenders, their respective Affiliates, and their respective directors, officers, employees, attorneys, agents and advisors (each, an </w:t>
      </w:r>
      <w:r>
        <w:rPr/>
        <w:t>“</w:t>
      </w:r>
      <w:r>
        <w:rPr>
          <w:rFonts w:ascii="Times New Roman;serif" w:hAnsi="Times New Roman;serif"/>
          <w:b w:val="false"/>
          <w:i/>
          <w:sz w:val="24"/>
        </w:rPr>
        <w:t>Indemnified Party”</w:t>
      </w:r>
      <w:r>
        <w:rPr>
          <w:rFonts w:ascii="Times New Roman;serif" w:hAnsi="Times New Roman;serif"/>
          <w:b w:val="false"/>
          <w:sz w:val="24"/>
        </w:rPr>
        <w:t>) from and against, and agrees to hold them harmless against, any and all Claims and Losses of any kind (including reasonable and documented out of pocket fees and disbursements of counsel),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(x) is found in a final, non</w:t>
        <w:noBreakHyphen/>
        <w:t>appealable judgment by a court of competent jurisdiction to have resulted from any Indemnified Party’s gross negligence, willful misconduct, (y) results from a Claim brought by an Obligor against an Indemnified Party for breach of such Indemnified Party’s obligations hereunder or under any other Loan Document, if such Obligor has obtained a final and non-appealable judgment in its favor on such Claim as determined by a court of competent jurisdiction or (z) results from a Claim not involving an act or omission of an Obligor and that is brought by an Indemnified Party against another Indemnified Party (other than against the Administrative Agent in its capacity as such).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apply to Taxes other than Taxes relating to a non</w:t>
        <w:noBreakHyphen/>
        <w:t>Tax Claim or Loss governed by this Section 13.03(b).</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13.04. Amendments</w:t>
      </w:r>
      <w:r>
        <w:rPr>
          <w:rFonts w:ascii="Times New Roman" w:hAnsi="Times New Roman"/>
          <w:sz w:val="20"/>
        </w:rPr>
        <w:t xml:space="preserve"> </w:t>
      </w:r>
      <w:r>
        <w:rPr>
          <w:rFonts w:ascii="Times New Roman;serif" w:hAnsi="Times New Roman;serif"/>
          <w:b w:val="false"/>
          <w:sz w:val="24"/>
        </w:rPr>
        <w:t>Except as otherwise expressly provided in this Agreement, any provision of this Agreement or any other Loan Document (except for the Warrant</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107</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trike/>
          <w:sz w:val="24"/>
        </w:rPr>
        <w:t>Certificate</w:t>
      </w:r>
      <w:r>
        <w:rPr>
          <w:rFonts w:ascii="Times New Roman;serif" w:hAnsi="Times New Roman;serif"/>
          <w:b w:val="false"/>
          <w:sz w:val="24"/>
          <w:u w:val="single"/>
        </w:rPr>
        <w:t>Certificates</w:t>
      </w:r>
      <w:r>
        <w:rPr>
          <w:rFonts w:ascii="Times New Roman;serif" w:hAnsi="Times New Roman;serif"/>
          <w:b w:val="false"/>
          <w:sz w:val="24"/>
        </w:rPr>
        <w:t xml:space="preserve">, which may be amended, modified, waived or supplemented in accordance with the terms thereof) may be amended, modified, waived or supplemented only by an instrument in writing signed by the Borrower, the Administrative Agent and the Majority Lenders;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no amendment, waiver or consent shall, unless in writing and signed by all of the Lenders and the Borrower, do any of the following at any time:</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pPr>
      <w:r>
        <w:rPr>
          <w:rFonts w:ascii="Times New Roman;serif" w:hAnsi="Times New Roman;serif"/>
          <w:b w:val="false"/>
          <w:sz w:val="24"/>
        </w:rPr>
        <w:t xml:space="preserve">change the number of Lenders or the percentage of (A) the Commitments or (B) the aggregate unpaid principal amount of the Term Loans that, in each case, shall be required for the Lenders or any of them to take any action hereunder (including pursuant to any change to the definition of </w:t>
      </w:r>
      <w:r>
        <w:rPr/>
        <w:t>“</w:t>
      </w:r>
      <w:r>
        <w:rPr>
          <w:rFonts w:ascii="Times New Roman;serif" w:hAnsi="Times New Roman;serif"/>
          <w:b w:val="false"/>
          <w:i/>
          <w:sz w:val="24"/>
        </w:rPr>
        <w:t>Majority Lenders”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 xml:space="preserve">release, or subordinate the Lenders’ Liens in, all or substantially all of the Collateral in any transaction or series of related transactions (other than in connection with any sale of Collateral permitted herein); </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amend any provision of this Section 13.04; or</w:t>
      </w:r>
    </w:p>
    <w:p>
      <w:pPr>
        <w:pStyle w:val="TextBody"/>
        <w:bidi w:val="0"/>
        <w:spacing w:before="280" w:after="0"/>
        <w:jc w:val="both"/>
        <w:rPr>
          <w:rFonts w:ascii="Times New Roman" w:hAnsi="Times New Roman"/>
          <w:b w:val="false"/>
          <w:sz w:val="24"/>
        </w:rPr>
      </w:pPr>
      <w:r>
        <w:rPr>
          <w:rFonts w:ascii="Times New Roman" w:hAnsi="Times New Roman"/>
          <w:b w:val="false"/>
          <w:sz w:val="24"/>
        </w:rPr>
        <w:t>(v)</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amend the terms of the Fee Letter.</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no amendment, waiver or consent shall, unless in writing and signed by the Borrower and each Lender specified below for such amendment, waiver or consent:</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increase the Commitments of a Lender without the consent of such Lender;</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reduce the principal of, or stated rate of interest on, or any Prepayment Premium payable on, the Term Loans owed to a Lender or any fees or other amounts stated to be payable hereunder or under the other Loan Documents to such Lender without the consent of such Lender;</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w:t>
      </w:r>
    </w:p>
    <w:p>
      <w:pPr>
        <w:pStyle w:val="TextBody"/>
        <w:bidi w:val="0"/>
        <w:spacing w:before="280" w:after="0"/>
        <w:jc w:val="both"/>
        <w:rPr>
          <w:rFonts w:ascii="Times New Roman" w:hAnsi="Times New Roman"/>
          <w:b w:val="false"/>
          <w:sz w:val="24"/>
        </w:rPr>
      </w:pPr>
      <w:r>
        <w:rPr>
          <w:rFonts w:ascii="Times New Roman" w:hAnsi="Times New Roman"/>
          <w:b w:val="false"/>
          <w:sz w:val="24"/>
        </w:rPr>
        <w:t>(iv)</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change the order of application of prepayment of the Term Loans from the application thereof set forth in the applicable provisions of Section 4.01(b) </w:t>
      </w:r>
    </w:p>
    <w:p>
      <w:pPr>
        <w:pStyle w:val="TextBody"/>
        <w:bidi w:val="0"/>
        <w:spacing w:before="0" w:after="0"/>
        <w:jc w:val="center"/>
        <w:rPr/>
      </w:pPr>
      <w:r>
        <w:rPr/>
        <w:noBreakHyphen/>
      </w:r>
      <w:r>
        <w:rPr>
          <w:rFonts w:ascii="Times New Roman;serif" w:hAnsi="Times New Roman;serif"/>
          <w:b w:val="false"/>
          <w:sz w:val="24"/>
        </w:rPr>
        <w:t>108</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 any manner that adversely affects the Lenders without the consent of holders of a majority of the Commitments or Term Loans outstanding or otherwise change any provision requiring the pro rata distributions hereunder among the Lenders without all Lenders’ consent; or</w:t>
      </w:r>
    </w:p>
    <w:p>
      <w:pPr>
        <w:pStyle w:val="TextBody"/>
        <w:bidi w:val="0"/>
        <w:spacing w:before="280" w:after="0"/>
        <w:jc w:val="both"/>
        <w:rPr>
          <w:rFonts w:ascii="Times New Roman" w:hAnsi="Times New Roman"/>
          <w:b w:val="false"/>
          <w:sz w:val="24"/>
        </w:rPr>
      </w:pPr>
      <w:r>
        <w:rPr>
          <w:rFonts w:ascii="Times New Roman" w:hAnsi="Times New Roman"/>
          <w:b w:val="false"/>
          <w:sz w:val="24"/>
        </w:rPr>
        <w:t>(v)</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modify Section 2.02 without the consent of each Lender directly and adversely affected thereby.</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13.05. Successors and Assigns</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sz w:val="24"/>
        </w:rPr>
        <w:t>General.</w:t>
      </w:r>
      <w:r>
        <w:rPr/>
        <w:t xml:space="preserve"> </w:t>
      </w:r>
      <w:r>
        <w:rPr>
          <w:rFonts w:ascii="Times New Roman;serif" w:hAnsi="Times New Roman;serif"/>
          <w:b w:val="false"/>
          <w:sz w:val="24"/>
        </w:rPr>
        <w:t>The provisions of this Agreement shall be binding upon and inure to the benefit of the parties 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 (e) of this Section 13.05) and, to the extent expressly contemplated hereby, the Indemnified Parties of the Lenders) any legal or equitable right, remedy or Claim under or by reason of this Agreement.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Amendments to Loan Documents.</w:t>
      </w:r>
      <w:r>
        <w:rPr/>
        <w:t xml:space="preserve"> </w:t>
      </w:r>
      <w:r>
        <w:rPr>
          <w:rFonts w:ascii="Times New Roman;serif" w:hAnsi="Times New Roman;serif"/>
          <w:b w:val="false"/>
          <w:sz w:val="24"/>
        </w:rPr>
        <w:t>Each of the Lenders and the Obligors agrees to enter into such 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0"/>
        <w:jc w:val="both"/>
        <w:rPr/>
      </w:pPr>
      <w:r>
        <w:rPr>
          <w:rFonts w:ascii="Times New Roman;serif" w:hAnsi="Times New Roman;serif"/>
          <w:b w:val="false"/>
          <w:i/>
          <w:sz w:val="24"/>
        </w:rPr>
        <w:t>Assignments by Lenders</w:t>
      </w:r>
      <w:r>
        <w:rPr>
          <w:rFonts w:ascii="Times New Roman;serif" w:hAnsi="Times New Roman;serif"/>
          <w:b w:val="false"/>
          <w:sz w:val="24"/>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Assignments shall be subject to the following additional conditions:</w:t>
      </w:r>
    </w:p>
    <w:p>
      <w:pPr>
        <w:pStyle w:val="TextBody"/>
        <w:bidi w:val="0"/>
        <w:spacing w:before="0" w:after="0"/>
        <w:jc w:val="center"/>
        <w:rPr/>
      </w:pPr>
      <w:r>
        <w:rPr/>
        <w:noBreakHyphen/>
      </w:r>
      <w:r>
        <w:rPr>
          <w:rFonts w:ascii="Times New Roman;serif" w:hAnsi="Times New Roman;serif"/>
          <w:b w:val="false"/>
          <w:sz w:val="24"/>
        </w:rPr>
        <w:t>109</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 w:hAnsi="Times New Roman"/>
          <w:b w:val="false"/>
          <w:sz w:val="24"/>
        </w:rPr>
      </w:pPr>
      <w:r>
        <w:rPr>
          <w:rFonts w:ascii="Times New Roman" w:hAnsi="Times New Roman"/>
          <w:b w:val="false"/>
          <w:sz w:val="24"/>
        </w:rPr>
        <w:t>(A)</w:t>
      </w:r>
    </w:p>
    <w:p>
      <w:pPr>
        <w:pStyle w:val="TextBody"/>
        <w:bidi w:val="0"/>
        <w:spacing w:before="360" w:after="0"/>
        <w:jc w:val="both"/>
        <w:rPr>
          <w:rFonts w:ascii="Times New Roman;serif" w:hAnsi="Times New Roman;serif"/>
          <w:b w:val="false"/>
          <w:sz w:val="24"/>
        </w:rPr>
      </w:pPr>
      <w:r>
        <w:rPr>
          <w:rFonts w:ascii="Times New Roman;serif" w:hAnsi="Times New Roman;serif"/>
          <w:b w:val="false"/>
          <w:sz w:val="24"/>
        </w:rPr>
        <w:t xml:space="preserve">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not be less than $500,000, unless the Administrative Agent otherwise consents; </w:t>
      </w:r>
    </w:p>
    <w:p>
      <w:pPr>
        <w:pStyle w:val="TextBody"/>
        <w:bidi w:val="0"/>
        <w:spacing w:before="360" w:after="0"/>
        <w:jc w:val="both"/>
        <w:rPr>
          <w:rFonts w:ascii="Times New Roman" w:hAnsi="Times New Roman"/>
          <w:b w:val="false"/>
          <w:sz w:val="24"/>
        </w:rPr>
      </w:pPr>
      <w:r>
        <w:rPr>
          <w:rFonts w:ascii="Times New Roman" w:hAnsi="Times New Roman"/>
          <w:b w:val="false"/>
          <w:sz w:val="24"/>
        </w:rPr>
        <w:t>(B)</w:t>
      </w:r>
    </w:p>
    <w:p>
      <w:pPr>
        <w:pStyle w:val="TextBody"/>
        <w:bidi w:val="0"/>
        <w:spacing w:before="360" w:after="0"/>
        <w:jc w:val="both"/>
        <w:rPr>
          <w:rFonts w:ascii="Times New Roman;serif" w:hAnsi="Times New Roman;serif"/>
          <w:b w:val="false"/>
          <w:sz w:val="24"/>
        </w:rPr>
      </w:pPr>
      <w:r>
        <w:rPr>
          <w:rFonts w:ascii="Times New Roman;serif" w:hAnsi="Times New Roman;serif"/>
          <w:b w:val="false"/>
          <w:sz w:val="24"/>
        </w:rPr>
        <w:t>each partial assignment shall be made as an assignment of a proportionate part of all the assigning Lender’s rights and obligations under this Agreement and the other Loan Documents; and</w:t>
      </w:r>
    </w:p>
    <w:p>
      <w:pPr>
        <w:pStyle w:val="TextBody"/>
        <w:bidi w:val="0"/>
        <w:spacing w:before="360" w:after="0"/>
        <w:jc w:val="both"/>
        <w:rPr>
          <w:rFonts w:ascii="Times New Roman" w:hAnsi="Times New Roman"/>
          <w:b w:val="false"/>
          <w:sz w:val="24"/>
        </w:rPr>
      </w:pPr>
      <w:r>
        <w:rPr>
          <w:rFonts w:ascii="Times New Roman" w:hAnsi="Times New Roman"/>
          <w:b w:val="false"/>
          <w:sz w:val="24"/>
        </w:rPr>
        <w:t>(C)</w:t>
      </w:r>
    </w:p>
    <w:p>
      <w:pPr>
        <w:pStyle w:val="TextBody"/>
        <w:bidi w:val="0"/>
        <w:spacing w:before="360" w:after="0"/>
        <w:jc w:val="both"/>
        <w:rPr/>
      </w:pPr>
      <w:r>
        <w:rPr>
          <w:rFonts w:ascii="Times New Roman;serif" w:hAnsi="Times New Roman;serif"/>
          <w:b w:val="false"/>
          <w:sz w:val="24"/>
        </w:rPr>
        <w:t xml:space="preserve">the parties to each assignment shall execute and deliver to the Administrative Agent (with a copy to the Borrower, </w:t>
      </w:r>
      <w:r>
        <w:rPr>
          <w:rFonts w:ascii="Times New Roman;serif" w:hAnsi="Times New Roman;serif"/>
          <w:b w:val="false"/>
          <w:i/>
          <w:sz w:val="24"/>
        </w:rPr>
        <w:t>provided</w:t>
      </w:r>
      <w:r>
        <w:rPr/>
        <w:t xml:space="preserve"> </w:t>
      </w:r>
      <w:r>
        <w:rPr>
          <w:rFonts w:ascii="Times New Roman;serif" w:hAnsi="Times New Roman;serif"/>
          <w:b w:val="false"/>
          <w:sz w:val="24"/>
        </w:rPr>
        <w:t>that the failure to give such copy to the Borrower shall not affect the validity of such Assignment Agreement) an Assignment Agreement in form and substance reasonably satisfactory to the Administrative Agent.</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w:t>
      </w:r>
    </w:p>
    <w:p>
      <w:pPr>
        <w:pStyle w:val="TextBody"/>
        <w:bidi w:val="0"/>
        <w:spacing w:before="280" w:after="0"/>
        <w:jc w:val="both"/>
        <w:rPr>
          <w:rFonts w:ascii="Times New Roman" w:hAnsi="Times New Roman"/>
          <w:b w:val="false"/>
          <w:sz w:val="24"/>
        </w:rPr>
      </w:pPr>
      <w:r>
        <w:rPr>
          <w:rFonts w:ascii="Times New Roman" w:hAnsi="Times New Roman"/>
          <w:b w:val="false"/>
          <w:sz w:val="24"/>
        </w:rPr>
        <w:t>(d)</w:t>
      </w:r>
    </w:p>
    <w:p>
      <w:pPr>
        <w:pStyle w:val="TextBody"/>
        <w:bidi w:val="0"/>
        <w:spacing w:before="280" w:after="283"/>
        <w:jc w:val="both"/>
        <w:rPr/>
      </w:pPr>
      <w:r>
        <w:rPr>
          <w:rFonts w:ascii="Times New Roman;serif" w:hAnsi="Times New Roman;serif"/>
          <w:b w:val="false"/>
          <w:i/>
          <w:sz w:val="24"/>
        </w:rPr>
        <w:t>Register.</w:t>
      </w:r>
      <w:r>
        <w:rPr/>
        <w:t xml:space="preserve"> </w:t>
      </w:r>
      <w:r>
        <w:rPr>
          <w:rFonts w:ascii="Times New Roman;serif" w:hAnsi="Times New Roman;serif"/>
          <w:b w:val="false"/>
          <w:sz w:val="24"/>
        </w:rPr>
        <w:t>The Administrative Agent, acting for this purpose as a non</w:t>
        <w:noBreakHyphen/>
        <w:t>fiduciary agent of the Borrower, shall 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serif" w:hAnsi="Times New Roman;serif"/>
          <w:b w:val="false"/>
          <w:i/>
          <w:sz w:val="24"/>
        </w:rPr>
        <w:t>Register</w:t>
      </w:r>
      <w:r>
        <w:rPr/>
        <w:t>”</w:t>
      </w:r>
      <w:r>
        <w:rPr>
          <w:rFonts w:ascii="Times New Roman;serif" w:hAnsi="Times New Roman;serif"/>
          <w:b w:val="false"/>
          <w:sz w:val="24"/>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No assignment shall be effective for purposes of this Agreement unless (i) it has been recorded in the Register as provided in </w:t>
      </w:r>
    </w:p>
    <w:p>
      <w:pPr>
        <w:pStyle w:val="TextBody"/>
        <w:bidi w:val="0"/>
        <w:spacing w:before="0" w:after="0"/>
        <w:jc w:val="center"/>
        <w:rPr/>
      </w:pPr>
      <w:r>
        <w:rPr/>
        <w:noBreakHyphen/>
      </w:r>
      <w:r>
        <w:rPr>
          <w:rFonts w:ascii="Times New Roman;serif" w:hAnsi="Times New Roman;serif"/>
          <w:b w:val="false"/>
          <w:sz w:val="24"/>
        </w:rPr>
        <w:t>110</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this paragraph and (ii) any written consent to such assignment required by paragraph (a) of this Section 13.05 has been obtained.</w:t>
      </w:r>
    </w:p>
    <w:p>
      <w:pPr>
        <w:pStyle w:val="TextBody"/>
        <w:bidi w:val="0"/>
        <w:spacing w:before="280" w:after="0"/>
        <w:jc w:val="both"/>
        <w:rPr>
          <w:rFonts w:ascii="Times New Roman" w:hAnsi="Times New Roman"/>
          <w:b w:val="false"/>
          <w:sz w:val="24"/>
        </w:rPr>
      </w:pPr>
      <w:r>
        <w:rPr>
          <w:rFonts w:ascii="Times New Roman" w:hAnsi="Times New Roman"/>
          <w:b w:val="false"/>
          <w:sz w:val="24"/>
        </w:rPr>
        <w:t>(e)</w:t>
      </w:r>
    </w:p>
    <w:p>
      <w:pPr>
        <w:pStyle w:val="TextBody"/>
        <w:bidi w:val="0"/>
        <w:spacing w:before="280" w:after="0"/>
        <w:jc w:val="both"/>
        <w:rPr/>
      </w:pPr>
      <w:r>
        <w:rPr>
          <w:rFonts w:ascii="Times New Roman;serif" w:hAnsi="Times New Roman;serif"/>
          <w:b w:val="false"/>
          <w:i/>
          <w:sz w:val="24"/>
        </w:rPr>
        <w:t>Participations.</w:t>
      </w:r>
      <w:r>
        <w:rPr/>
        <w:t xml:space="preserve"> </w:t>
      </w:r>
      <w:r>
        <w:rPr>
          <w:rFonts w:ascii="Times New Roman;serif" w:hAnsi="Times New Roman;serif"/>
          <w:b w:val="false"/>
          <w:sz w:val="24"/>
        </w:rPr>
        <w:t>Any Lender may at any time, without the consent of, or notice to, the Borrower, sell participations to any Person (a “</w:t>
      </w:r>
      <w:r>
        <w:rPr>
          <w:rFonts w:ascii="Times New Roman;serif" w:hAnsi="Times New Roman;serif"/>
          <w:b w:val="false"/>
          <w:i/>
          <w:sz w:val="24"/>
        </w:rPr>
        <w:t>Participant</w:t>
      </w:r>
      <w:r>
        <w:rPr/>
        <w:t>”</w:t>
      </w:r>
      <w:r>
        <w:rPr>
          <w:rFonts w:ascii="Times New Roman;serif" w:hAnsi="Times New Roman;serif"/>
          <w:b w:val="false"/>
          <w:sz w:val="24"/>
        </w:rPr>
        <w:t xml:space="preserve">), other than an Ineligible Assignee, in all or a portion of such Lender’s rights and obligations under the Loan Documents (including all or a portion of its Commitment and the Term Loans owing to it); </w:t>
      </w:r>
      <w:r>
        <w:rPr>
          <w:rFonts w:ascii="Times New Roman;serif" w:hAnsi="Times New Roman;serif"/>
          <w:b w:val="false"/>
          <w:i/>
          <w:sz w:val="24"/>
        </w:rPr>
        <w:t>provided</w:t>
      </w:r>
      <w:r>
        <w:rPr/>
        <w:t xml:space="preserve"> </w:t>
      </w:r>
      <w:r>
        <w:rPr>
          <w:rFonts w:ascii="Times New Roman;serif" w:hAnsi="Times New Roman;serif"/>
          <w:b w:val="false"/>
          <w:sz w:val="24"/>
        </w:rPr>
        <w:t>that (i) such Lender’s obligations under the Loan Documents shall remain unchanged, (ii) such Lender shall remain solely responsible to the other parties hereto for the performance of such obligations and (iii) the Borrower shall continue to deal solely and directly with such Lender in connection therewith.</w:t>
      </w:r>
    </w:p>
    <w:p>
      <w:pPr>
        <w:pStyle w:val="TextBody"/>
        <w:bidi w:val="0"/>
        <w:spacing w:before="280" w:after="0"/>
        <w:jc w:val="both"/>
        <w:rPr>
          <w:rFonts w:ascii="Times New Roman" w:hAnsi="Times New Roman"/>
          <w:b w:val="false"/>
          <w:sz w:val="24"/>
        </w:rPr>
      </w:pPr>
      <w:r>
        <w:rPr>
          <w:rFonts w:ascii="Times New Roman" w:hAnsi="Times New Roman"/>
          <w:b w:val="false"/>
          <w:sz w:val="24"/>
        </w:rPr>
        <w:t>(f)</w:t>
      </w:r>
    </w:p>
    <w:p>
      <w:pPr>
        <w:pStyle w:val="TextBody"/>
        <w:bidi w:val="0"/>
        <w:spacing w:before="280" w:after="283"/>
        <w:jc w:val="both"/>
        <w:rPr/>
      </w:pPr>
      <w:r>
        <w:rPr>
          <w:rFonts w:ascii="Times New Roman;serif" w:hAnsi="Times New Roman;serif"/>
          <w:b w:val="false"/>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 entitled to receive such interest. The Borrower agrees that each Participant shall be entitled to the benefits of Section 5.03 (subject to the requirements and limitations therein, including the requirements under Section 5.03(f) (it being understood that the documentation required under Section 5.03(f) shall be delivered to the Borrower and the participating Lender)) to the same extent as if it were a Lender and had acquired its interest by assignment pursuant to Section 13.05(a), </w:t>
      </w:r>
      <w:r>
        <w:rPr>
          <w:rFonts w:ascii="Times New Roman;serif" w:hAnsi="Times New Roman;serif"/>
          <w:b w:val="false"/>
          <w:i/>
          <w:sz w:val="24"/>
        </w:rPr>
        <w:t>provided</w:t>
      </w:r>
      <w:r>
        <w:rPr/>
        <w:t xml:space="preserve"> </w:t>
      </w:r>
      <w:r>
        <w:rPr>
          <w:rFonts w:ascii="Times New Roman;serif" w:hAnsi="Times New Roman;serif"/>
          <w:b w:val="false"/>
          <w:sz w:val="24"/>
        </w:rPr>
        <w:t>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w:t>
        <w:noBreakHyphen/>
        <w:t xml:space="preserve">fiduciary agent of the Borrower, maintain a register on which it enters the name and address of each Participant and the principal amounts (and stated interest) of each Participant’s interest in the Term Loans or other obligations under the Loan Documents (the </w:t>
      </w:r>
      <w:r>
        <w:rPr/>
        <w:t>“</w:t>
      </w:r>
      <w:r>
        <w:rPr>
          <w:rFonts w:ascii="Times New Roman;serif" w:hAnsi="Times New Roman;serif"/>
          <w:b w:val="false"/>
          <w:i/>
          <w:sz w:val="24"/>
        </w:rPr>
        <w:t>Participant Register”</w:t>
      </w:r>
      <w:r>
        <w:rPr>
          <w:rFonts w:ascii="Times New Roman;serif" w:hAnsi="Times New Roman;serif"/>
          <w:b w:val="false"/>
          <w:sz w:val="24"/>
        </w:rPr>
        <w:t xml:space="preserve">); </w:t>
      </w:r>
      <w:r>
        <w:rPr>
          <w:rFonts w:ascii="Times New Roman;serif" w:hAnsi="Times New Roman;serif"/>
          <w:b w:val="false"/>
          <w:i/>
          <w:sz w:val="24"/>
        </w:rPr>
        <w:t>provided</w:t>
      </w:r>
      <w:r>
        <w:rPr/>
        <w:t xml:space="preserve"> </w:t>
      </w:r>
      <w:r>
        <w:rPr>
          <w:rFonts w:ascii="Times New Roman;serif" w:hAnsi="Times New Roman;serif"/>
          <w:b w:val="false"/>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noBreakHyphen/>
        <w:t xml:space="preserve">1(c) of the United States Treasury Regulations. The entries in the Participant Register shall be conclusive absent manifest error, and such Lender shall treat each Person whose name is recorded in the </w:t>
      </w:r>
    </w:p>
    <w:p>
      <w:pPr>
        <w:pStyle w:val="TextBody"/>
        <w:bidi w:val="0"/>
        <w:spacing w:before="0" w:after="0"/>
        <w:jc w:val="center"/>
        <w:rPr/>
      </w:pPr>
      <w:r>
        <w:rPr/>
        <w:noBreakHyphen/>
      </w:r>
      <w:r>
        <w:rPr>
          <w:rFonts w:ascii="Times New Roman;serif" w:hAnsi="Times New Roman;serif"/>
          <w:b w:val="false"/>
          <w:sz w:val="24"/>
        </w:rPr>
        <w:t>111</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Participant Register as the owner of such participation for all purposes of this Agreement notwithstanding any notice to the contrary.</w:t>
      </w:r>
    </w:p>
    <w:p>
      <w:pPr>
        <w:pStyle w:val="TextBody"/>
        <w:bidi w:val="0"/>
        <w:spacing w:before="280" w:after="0"/>
        <w:jc w:val="both"/>
        <w:rPr>
          <w:rFonts w:ascii="Times New Roman" w:hAnsi="Times New Roman"/>
          <w:b w:val="false"/>
          <w:sz w:val="24"/>
        </w:rPr>
      </w:pPr>
      <w:r>
        <w:rPr>
          <w:rFonts w:ascii="Times New Roman" w:hAnsi="Times New Roman"/>
          <w:b w:val="false"/>
          <w:sz w:val="24"/>
        </w:rPr>
        <w:t>(g)</w:t>
      </w:r>
    </w:p>
    <w:p>
      <w:pPr>
        <w:pStyle w:val="TextBody"/>
        <w:bidi w:val="0"/>
        <w:spacing w:before="280" w:after="283"/>
        <w:jc w:val="both"/>
        <w:rPr/>
      </w:pPr>
      <w:r>
        <w:rPr>
          <w:rFonts w:ascii="Times New Roman;serif" w:hAnsi="Times New Roman;serif"/>
          <w:b w:val="false"/>
          <w:i/>
          <w:sz w:val="24"/>
        </w:rPr>
        <w:t>Certain Pledges.</w:t>
      </w:r>
      <w:r>
        <w:rPr/>
        <w:t xml:space="preserve"> </w:t>
      </w:r>
      <w:r>
        <w:rPr>
          <w:rFonts w:ascii="Times New Roman;serif" w:hAnsi="Times New Roman;serif"/>
          <w:b w:val="false"/>
          <w:sz w:val="24"/>
        </w:rPr>
        <w:t xml:space="preserve">Subject to Section 13.05(d), the Lenders may at any time pledge or assign a security interest in all or any portion of its rights under this Agreement and any other Loan Document to secure obligations of the Lenders, including any pledge or assignment to secure obligations to a Federal Reserve Bank or another central bank; </w:t>
      </w:r>
      <w:r>
        <w:rPr>
          <w:rFonts w:ascii="Times New Roman;serif" w:hAnsi="Times New Roman;serif"/>
          <w:b w:val="false"/>
          <w:i/>
          <w:sz w:val="24"/>
        </w:rPr>
        <w:t>provided</w:t>
      </w:r>
      <w:r>
        <w:rPr/>
        <w:t xml:space="preserve"> </w:t>
      </w:r>
      <w:r>
        <w:rPr>
          <w:rFonts w:ascii="Times New Roman;serif" w:hAnsi="Times New Roman;serif"/>
          <w:b w:val="false"/>
          <w:sz w:val="24"/>
        </w:rPr>
        <w:t>that no such pledge or assignment shall release the Lenders from any of their obligations hereunder or substitute any such pledgee or assignee for the Lenders as a party hereto.</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13.06. Survival.</w:t>
      </w:r>
      <w:r>
        <w:rPr>
          <w:rFonts w:ascii="Times New Roman" w:hAnsi="Times New Roman"/>
          <w:sz w:val="20"/>
        </w:rPr>
        <w:t xml:space="preserve"> </w:t>
      </w:r>
      <w:r>
        <w:rPr>
          <w:rFonts w:ascii="Times New Roman;serif" w:hAnsi="Times New Roman;serif"/>
          <w:b w:val="false"/>
          <w:sz w:val="24"/>
        </w:rPr>
        <w:t>The obligations of the Borrower under Sections 5.01, 5.02, 5.03, 13.03, 13.05, 13.09, 13.10, 13.11, 13.12, 13.13, 13.14 and 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13.07. Captions.</w:t>
      </w:r>
      <w:r>
        <w:rPr>
          <w:rFonts w:ascii="Times New Roman" w:hAnsi="Times New Roman"/>
          <w:sz w:val="20"/>
        </w:rPr>
        <w:t xml:space="preserve"> </w:t>
      </w:r>
      <w:r>
        <w:rPr>
          <w:rFonts w:ascii="Times New Roman;serif" w:hAnsi="Times New Roman;serif"/>
          <w:b w:val="false"/>
          <w:sz w:val="24"/>
        </w:rPr>
        <w:t>The table of contents and captions and section headings appearing herein are included solely for convenience of reference and are not intended to affect the interpretation of any provision of this Agreement.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13.08. Counterparts.</w:t>
      </w:r>
      <w:r>
        <w:rPr>
          <w:rFonts w:ascii="Times New Roman" w:hAnsi="Times New Roman"/>
          <w:sz w:val="20"/>
        </w:rPr>
        <w:t xml:space="preserve"> </w:t>
      </w:r>
      <w:r>
        <w:rPr>
          <w:rFonts w:ascii="Times New Roman;serif" w:hAnsi="Times New Roman;serif"/>
          <w:b w:val="false"/>
          <w:sz w:val="24"/>
        </w:rPr>
        <w:t>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13.09. GOVERNING LAW.</w:t>
      </w:r>
      <w:r>
        <w:rPr>
          <w:rFonts w:ascii="Times New Roman" w:hAnsi="Times New Roman"/>
          <w:sz w:val="20"/>
        </w:rPr>
        <w:t xml:space="preserve"> </w:t>
      </w:r>
      <w:r>
        <w:rPr>
          <w:rFonts w:ascii="Times New Roman;serif" w:hAnsi="Times New Roman;serif"/>
          <w:b w:val="false"/>
          <w:sz w:val="24"/>
        </w:rPr>
        <w:t>THIS AGREEMENT AND THE OTHER LOAN DOCUMENTS, THE RIGHTS AND 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112</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WITHIN THAT STATE, WITHOUT REFERENCE TO CONFLICTS OF LAWS PROVISIONS (OTHER THAN SECTION 5-1401 OF THE NEW YORK GENERAL OBLIGATIONS LAW).</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13.10. Jurisdiction, Service of Process and Venue</w:t>
      </w:r>
      <w:r>
        <w:rPr>
          <w:rFonts w:ascii="Times New Roman;serif" w:hAnsi="Times New Roman;serif"/>
          <w:b w:val="false"/>
          <w:sz w:val="24"/>
        </w:rPr>
        <w:t>.</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pPr>
      <w:r>
        <w:rPr>
          <w:rFonts w:ascii="Times New Roman;serif" w:hAnsi="Times New Roman;serif"/>
          <w:b w:val="false"/>
          <w:i/>
          <w:caps/>
          <w:sz w:val="24"/>
        </w:rPr>
        <w:t>Submission to Jurisdiction.</w:t>
      </w:r>
      <w:r>
        <w:rPr>
          <w:caps/>
        </w:rPr>
        <w:t xml:space="preserve"> </w:t>
      </w:r>
      <w:r>
        <w:rPr>
          <w:rFonts w:ascii="Times New Roman;serif" w:hAnsi="Times New Roman;serif"/>
          <w:b w:val="false"/>
          <w:caps/>
          <w:sz w:val="24"/>
        </w:rPr>
        <w:t>Each Obligor agrees that any suit, action or 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pPr>
      <w:r>
        <w:rPr>
          <w:rFonts w:ascii="Times New Roman;serif" w:hAnsi="Times New Roman;serif"/>
          <w:b w:val="false"/>
          <w:i/>
          <w:sz w:val="24"/>
        </w:rPr>
        <w:t>Alternative Process.</w:t>
      </w:r>
      <w:r>
        <w:rPr/>
        <w:t xml:space="preserve"> </w:t>
      </w:r>
      <w:r>
        <w:rPr>
          <w:rFonts w:ascii="Times New Roman;serif" w:hAnsi="Times New Roman;serif"/>
          <w:b w:val="false"/>
          <w:sz w:val="24"/>
        </w:rPr>
        <w:t>Nothing herein shall in any way be deemed to limit the ability of the Lenders to serve any such process or summonses in any other manner permitted by applicable Law.</w:t>
      </w:r>
    </w:p>
    <w:p>
      <w:pPr>
        <w:pStyle w:val="TextBody"/>
        <w:bidi w:val="0"/>
        <w:spacing w:before="280" w:after="0"/>
        <w:jc w:val="both"/>
        <w:rPr>
          <w:rFonts w:ascii="Times New Roman" w:hAnsi="Times New Roman"/>
          <w:b w:val="false"/>
          <w:sz w:val="24"/>
        </w:rPr>
      </w:pPr>
      <w:r>
        <w:rPr>
          <w:rFonts w:ascii="Times New Roman" w:hAnsi="Times New Roman"/>
          <w:b w:val="false"/>
          <w:sz w:val="24"/>
        </w:rPr>
        <w:t>(c)</w:t>
      </w:r>
    </w:p>
    <w:p>
      <w:pPr>
        <w:pStyle w:val="TextBody"/>
        <w:bidi w:val="0"/>
        <w:spacing w:before="280" w:after="283"/>
        <w:jc w:val="both"/>
        <w:rPr/>
      </w:pPr>
      <w:r>
        <w:rPr>
          <w:rFonts w:ascii="Times New Roman;serif" w:hAnsi="Times New Roman;serif"/>
          <w:b w:val="false"/>
          <w:i/>
          <w:caps/>
          <w:sz w:val="24"/>
        </w:rPr>
        <w:t>Waiver of Venue.</w:t>
      </w:r>
      <w:r>
        <w:rPr>
          <w:caps/>
        </w:rPr>
        <w:t xml:space="preserve"> </w:t>
      </w:r>
      <w:r>
        <w:rPr>
          <w:rFonts w:ascii="Times New Roman;serif" w:hAnsi="Times New Roman;serif"/>
          <w:b w:val="false"/>
          <w:caps/>
          <w:sz w:val="24"/>
        </w:rPr>
        <w:t>Each Obligor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13.11. WAIVER OF JURY TRIAL</w:t>
      </w:r>
      <w:r>
        <w:rPr>
          <w:rFonts w:ascii="Times New Roman;serif" w:hAnsi="Times New Roman;serif"/>
          <w:b w:val="false"/>
          <w:sz w:val="24"/>
        </w:rPr>
        <w:t>.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pStyle w:val="TextBody"/>
        <w:bidi w:val="0"/>
        <w:spacing w:before="280" w:after="0"/>
        <w:jc w:val="both"/>
        <w:rPr>
          <w:rFonts w:ascii="Times New Roman" w:hAnsi="Times New Roman"/>
          <w:sz w:val="20"/>
        </w:rPr>
      </w:pPr>
      <w:r>
        <w:rPr>
          <w:rFonts w:ascii="Times New Roman;serif" w:hAnsi="Times New Roman;serif"/>
          <w:b w:val="false"/>
          <w:i/>
          <w:sz w:val="24"/>
        </w:rPr>
        <w:t xml:space="preserve">Section 13.12. </w:t>
      </w:r>
      <w:r>
        <w:rPr>
          <w:rFonts w:ascii="Times New Roman;serif" w:hAnsi="Times New Roman;serif"/>
          <w:b w:val="false"/>
          <w:i/>
          <w:smallCaps/>
          <w:sz w:val="24"/>
        </w:rPr>
        <w:t>WAIVER OF IMMUNITY</w:t>
      </w:r>
      <w:r>
        <w:rPr>
          <w:rFonts w:ascii="Times New Roman;serif" w:hAnsi="Times New Roman;serif"/>
          <w:b w:val="false"/>
          <w:sz w:val="24"/>
        </w:rPr>
        <w:t>.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113</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AGREES NOT TO CLAIM AND HEREBY IRREVOCABLY WAIVES SUCH IMMUNITY WITH RESPECT TO ITS OBLIGATIONS UNDER THIS AGREEMENT AND THE OTHER LOAN DOCUMENTS.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13.13. Entire Agreement.</w:t>
      </w:r>
      <w:r>
        <w:rPr>
          <w:rFonts w:ascii="Times New Roman" w:hAnsi="Times New Roman"/>
          <w:sz w:val="20"/>
        </w:rPr>
        <w:t xml:space="preserve"> </w:t>
      </w:r>
      <w:r>
        <w:rPr>
          <w:rFonts w:ascii="Times New Roman;serif" w:hAnsi="Times New Roman;serif"/>
          <w:b w:val="false"/>
          <w:sz w:val="24"/>
        </w:rPr>
        <w:t>This Agreement and the other Loan Documents constitute the entire agreement among the 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13.14. Severability.</w:t>
      </w:r>
      <w:r>
        <w:rPr>
          <w:rFonts w:ascii="Times New Roman" w:hAnsi="Times New Roman"/>
          <w:sz w:val="20"/>
        </w:rPr>
        <w:t xml:space="preserve"> </w:t>
      </w:r>
      <w:r>
        <w:rPr>
          <w:rFonts w:ascii="Times New Roman;serif" w:hAnsi="Times New Roman;serif"/>
          <w:b w:val="false"/>
          <w:sz w:val="24"/>
        </w:rPr>
        <w:t>If any provision hereof is found by a court to be invalid or unenforceable, to the fullest extent permitted by applicable Law the parties agree that such invalidity or unenforceability shall not impair the validity or enforceability of any other provision hereof.</w:t>
      </w:r>
    </w:p>
    <w:p>
      <w:pPr>
        <w:pStyle w:val="TextBody"/>
        <w:bidi w:val="0"/>
        <w:spacing w:before="280" w:after="0"/>
        <w:jc w:val="both"/>
        <w:rPr>
          <w:rFonts w:ascii="Times New Roman" w:hAnsi="Times New Roman"/>
          <w:sz w:val="20"/>
        </w:rPr>
      </w:pPr>
      <w:r>
        <w:rPr>
          <w:rFonts w:ascii="Times New Roman;serif" w:hAnsi="Times New Roman;serif"/>
          <w:b w:val="false"/>
          <w:i/>
          <w:sz w:val="24"/>
        </w:rPr>
        <w:t xml:space="preserve">Section 13.15. No Fiduciary Relationship. </w:t>
      </w:r>
      <w:r>
        <w:rPr>
          <w:rFonts w:ascii="Times New Roman;serif" w:hAnsi="Times New Roman;serif"/>
          <w:b w:val="false"/>
          <w:sz w:val="24"/>
        </w:rPr>
        <w:t xml:space="preserve">The Administrative Agent, each Lender and their Affiliates (collectively, solely for purposes of this paragraph, the </w:t>
      </w:r>
      <w:r>
        <w:rPr>
          <w:rFonts w:ascii="Times New Roman" w:hAnsi="Times New Roman"/>
          <w:sz w:val="20"/>
        </w:rPr>
        <w:t>“</w:t>
      </w:r>
      <w:r>
        <w:rPr>
          <w:rFonts w:ascii="Times New Roman;serif" w:hAnsi="Times New Roman;serif"/>
          <w:b w:val="false"/>
          <w:i/>
          <w:sz w:val="24"/>
        </w:rPr>
        <w:t>Lenders”</w:t>
      </w:r>
      <w:r>
        <w:rPr>
          <w:rFonts w:ascii="Times New Roman;serif" w:hAnsi="Times New Roman;serif"/>
          <w:b w:val="false"/>
          <w:sz w:val="24"/>
        </w:rPr>
        <w:t xml:space="preserve">), may have economic interests that conflict with those of the Obligors, their stockholders or equity holders and/or their Affiliates (collectively, solely for purposes of this paragraph, the </w:t>
      </w:r>
      <w:r>
        <w:rPr>
          <w:rFonts w:ascii="Times New Roman" w:hAnsi="Times New Roman"/>
          <w:sz w:val="20"/>
        </w:rPr>
        <w:t>“</w:t>
      </w:r>
      <w:r>
        <w:rPr>
          <w:rFonts w:ascii="Times New Roman;serif" w:hAnsi="Times New Roman;serif"/>
          <w:b w:val="false"/>
          <w:i/>
          <w:sz w:val="24"/>
        </w:rPr>
        <w:t>Obligors”</w:t>
      </w:r>
      <w:r>
        <w:rPr>
          <w:rFonts w:ascii="Times New Roman;serif" w:hAnsi="Times New Roman;serif"/>
          <w:b w:val="false"/>
          <w:sz w:val="24"/>
        </w:rPr>
        <w:t>).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13.16. USA Patriot Act</w:t>
      </w:r>
      <w:r>
        <w:rPr>
          <w:rFonts w:ascii="Times New Roman;serif" w:hAnsi="Times New Roman;serif"/>
          <w:b w:val="false"/>
          <w:sz w:val="24"/>
        </w:rPr>
        <w:t>. The Administrative Agent and the Lenders hereby notify the Obligors that pursuant to the requirements of the Patriot Act and 31 C.F.R. § 1010.230 (the “</w:t>
      </w:r>
      <w:r>
        <w:rPr>
          <w:rFonts w:ascii="Times New Roman;serif" w:hAnsi="Times New Roman;serif"/>
          <w:b w:val="false"/>
          <w:i/>
          <w:sz w:val="24"/>
        </w:rPr>
        <w:t>Beneficial Ownership Regulation</w:t>
      </w:r>
      <w:r>
        <w:rPr>
          <w:rFonts w:ascii="Times New Roman" w:hAnsi="Times New Roman"/>
          <w:sz w:val="20"/>
        </w:rPr>
        <w:t>”</w:t>
      </w:r>
      <w:r>
        <w:rPr>
          <w:rFonts w:ascii="Times New Roman;serif" w:hAnsi="Times New Roman;serif"/>
          <w:b w:val="false"/>
          <w:sz w:val="24"/>
        </w:rPr>
        <w:t>), they are required to obtain, verify and record information that identifies the Obligors, which information includes the name and address of each Obligor and other information that will allow the Administrative Agent and such Lender to identify each Obligor in accordance with the Patriot Act and Beneficial Ownership Regulation, including a beneficial ownership certification in form and substance acceptable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13.17. Treatment of Certain Information; Confidentiality.</w:t>
      </w:r>
      <w:r>
        <w:rPr>
          <w:rFonts w:ascii="Times New Roman" w:hAnsi="Times New Roman"/>
          <w:sz w:val="20"/>
        </w:rPr>
        <w:t xml:space="preserve"> </w:t>
      </w:r>
      <w:r>
        <w:rPr>
          <w:rFonts w:ascii="Times New Roman;serif" w:hAnsi="Times New Roman;serif"/>
          <w:b w:val="false"/>
          <w:sz w:val="24"/>
        </w:rPr>
        <w:t xml:space="preserve">The Lenders agree to maintain the confidentiality of the Information (as defined below), except that Information may be disclosed to (a) its Affiliates and to its and its Affiliates’ respective partners, directors, officers, employees, agents, trustees, advisors and representatives (collectively, </w:t>
      </w:r>
      <w:r>
        <w:rPr>
          <w:rFonts w:ascii="Times New Roman" w:hAnsi="Times New Roman"/>
          <w:sz w:val="20"/>
        </w:rPr>
        <w:t>“</w:t>
      </w:r>
      <w:r>
        <w:rPr>
          <w:rFonts w:ascii="Times New Roman;serif" w:hAnsi="Times New Roman;serif"/>
          <w:b w:val="false"/>
          <w:i/>
          <w:sz w:val="24"/>
        </w:rPr>
        <w:t>Representatives”</w:t>
      </w:r>
      <w:r>
        <w:rPr>
          <w:rFonts w:ascii="Times New Roman;serif" w:hAnsi="Times New Roman;serif"/>
          <w:b w:val="false"/>
          <w:sz w:val="24"/>
        </w:rPr>
        <w: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w:t>
        <w:noBreakHyphen/>
        <w:t>regulatory authority, such as FINRA or the National Association of Insurance Commissioners) or any exchange, (c) to the extent required by the applicable Laws or by any subpoena or similar legal process, (d) to any other party hereto, (e) in connection with the exercise of any remedies hereunder or under any other Loan Document or any action or proceeding relating</w:t>
      </w:r>
      <w:r>
        <w:rPr>
          <w:rFonts w:ascii="Times New Roman" w:hAnsi="Times New Roman"/>
          <w:sz w:val="20"/>
        </w:rPr>
        <w:t xml:space="preserve"> </w:t>
      </w:r>
    </w:p>
    <w:p>
      <w:pPr>
        <w:pStyle w:val="TextBody"/>
        <w:bidi w:val="0"/>
        <w:spacing w:before="0" w:after="0"/>
        <w:jc w:val="center"/>
        <w:rPr/>
      </w:pPr>
      <w:r>
        <w:rPr/>
        <w:noBreakHyphen/>
      </w:r>
      <w:r>
        <w:rPr>
          <w:rFonts w:ascii="Times New Roman;serif" w:hAnsi="Times New Roman;serif"/>
          <w:b w:val="false"/>
          <w:sz w:val="24"/>
        </w:rPr>
        <w:t>114</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4"/>
        </w:rPr>
        <w:t xml:space="preserve">to this Agreement or any other Loan Document or the enforcement of rights hereunder or thereunder, (f) subject to an agreement containing provisions substantially the same as those in this Section 13.17, to (i) any assignee of or Participant in, or any prospective assignee of or Participant in, any of its rights or obligations under this Agreement or (ii) any actual or prospective counterparty (or its advisors) to any swap or derivative transaction relating to Borrower or any Guarantor and its obligation, (g) with the consent of Borrower or (h) to the extent such Information (i) becomes publicly available other than as a result of a breach of this Section 13.17 or (ii) becomes available to the Lender, or any of its respective Representatives on a nonconfidential basis from a source other than Borrower or any other Obligor. For purposes of this Section 13.17, </w:t>
      </w:r>
      <w:r>
        <w:rPr>
          <w:rFonts w:ascii="Times New Roman" w:hAnsi="Times New Roman"/>
          <w:sz w:val="20"/>
        </w:rPr>
        <w:t>“</w:t>
      </w:r>
      <w:r>
        <w:rPr>
          <w:rFonts w:ascii="Times New Roman;serif" w:hAnsi="Times New Roman;serif"/>
          <w:b w:val="false"/>
          <w:i/>
          <w:sz w:val="24"/>
        </w:rPr>
        <w:t>Information”</w:t>
      </w:r>
      <w:r>
        <w:rPr>
          <w:rFonts w:ascii="Times New Roman" w:hAnsi="Times New Roman"/>
          <w:sz w:val="20"/>
        </w:rPr>
        <w:t xml:space="preserve"> </w:t>
      </w:r>
      <w:r>
        <w:rPr>
          <w:rFonts w:ascii="Times New Roman;serif" w:hAnsi="Times New Roman;serif"/>
          <w:b w:val="false"/>
          <w:sz w:val="24"/>
        </w:rPr>
        <w:t>means all information received from an Obligor relating to such Obligor or its Subsidiary or any of their respective businesses, except that the term “Information” shall not include, and the Lenders shall not be subject to any confidentiality 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is not subject to a confidentiality obligation to such Obligor, (C) is or becomes publicly available other than as a result of a breach by such Lender, or (D) is developed by a Lender or any of its Representatives.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In the case of any Lender that has elected to receive material non</w:t>
        <w:noBreakHyphen/>
        <w:t>public information pursuant to Section 8.02, such Lender acknowledges that (a) the Information may include material non</w:t>
        <w:noBreakHyphen/>
        <w:t>public information concerning an Obligor or its Subsidiary, as the case may be, (b) it has developed compliance procedures regarding the use of material non</w:t>
        <w:noBreakHyphen/>
        <w:t>public information and (c) it will handle such material non</w:t>
        <w:noBreakHyphen/>
        <w:t>public information in accordance with applicable Law, including United States federal and state securities Laws.</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13.18. Releases of Guarantees and Liens</w:t>
      </w:r>
      <w:r>
        <w:rPr>
          <w:rFonts w:ascii="Times New Roman;serif" w:hAnsi="Times New Roman;serif"/>
          <w:b w:val="false"/>
          <w:sz w:val="24"/>
        </w:rPr>
        <w:t>.</w:t>
      </w:r>
      <w:r>
        <w:rPr>
          <w:rFonts w:ascii="Times New Roman" w:hAnsi="Times New Roman"/>
          <w:sz w:val="20"/>
        </w:rPr>
        <w:t xml:space="preserve"> </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 (ii) under the circumstances described in paragraph (b) below.</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 xml:space="preserve">At such time as the Term Loans and the other Obligations (other than the Warrant Obligations and contingent and unmatured indemnity and expense reimbursement obligations) under the Loan Documents shall have been paid in full in cash and the Commitments have been terminated, the Collateral shall be released from the Liens created </w:t>
      </w:r>
    </w:p>
    <w:p>
      <w:pPr>
        <w:pStyle w:val="TextBody"/>
        <w:bidi w:val="0"/>
        <w:spacing w:before="0" w:after="0"/>
        <w:jc w:val="center"/>
        <w:rPr/>
      </w:pPr>
      <w:r>
        <w:rPr/>
        <w:noBreakHyphen/>
      </w:r>
      <w:r>
        <w:rPr>
          <w:rFonts w:ascii="Times New Roman;serif" w:hAnsi="Times New Roman;serif"/>
          <w:b w:val="false"/>
          <w:sz w:val="24"/>
        </w:rPr>
        <w:t>115</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pStyle w:val="TextBody"/>
        <w:bidi w:val="0"/>
        <w:spacing w:before="280" w:after="0"/>
        <w:jc w:val="both"/>
        <w:rPr>
          <w:rFonts w:ascii="Times New Roman" w:hAnsi="Times New Roman"/>
          <w:sz w:val="20"/>
        </w:rPr>
      </w:pPr>
      <w:r>
        <w:rPr>
          <w:rFonts w:ascii="Times New Roman;serif" w:hAnsi="Times New Roman;serif"/>
          <w:b w:val="false"/>
          <w:i/>
          <w:sz w:val="24"/>
        </w:rPr>
        <w:t>Section 13.19. Acknowledgement and Consent to Bail</w:t>
        <w:noBreakHyphen/>
        <w:t>In of Affected Financial Institutions</w:t>
      </w:r>
      <w:r>
        <w:rPr>
          <w:rFonts w:ascii="Times New Roman;serif" w:hAnsi="Times New Roman;serif"/>
          <w:b w:val="false"/>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w:t>
        <w:noBreakHyphen/>
        <w:t>Down and Conversion Powers of the applicable Resolution Authority and agrees and consents to, and acknowledges and agrees to be bound by:</w:t>
      </w:r>
    </w:p>
    <w:p>
      <w:pPr>
        <w:pStyle w:val="TextBody"/>
        <w:bidi w:val="0"/>
        <w:spacing w:before="280" w:after="0"/>
        <w:jc w:val="both"/>
        <w:rPr>
          <w:rFonts w:ascii="Times New Roman" w:hAnsi="Times New Roman"/>
          <w:b w:val="false"/>
          <w:sz w:val="24"/>
        </w:rPr>
      </w:pPr>
      <w:r>
        <w:rPr>
          <w:rFonts w:ascii="Times New Roman" w:hAnsi="Times New Roman"/>
          <w:b w:val="false"/>
          <w:sz w:val="24"/>
        </w:rPr>
        <w:t>(a)</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application of any Write</w:t>
        <w:noBreakHyphen/>
        <w:t>Down and Conversion Powers by the applicable Resolution Authority to any such liabilities arising hereunder which may be payable to it by any party hereto that is an Affected Financial Institution; and</w:t>
      </w:r>
    </w:p>
    <w:p>
      <w:pPr>
        <w:pStyle w:val="TextBody"/>
        <w:bidi w:val="0"/>
        <w:spacing w:before="280" w:after="0"/>
        <w:jc w:val="both"/>
        <w:rPr>
          <w:rFonts w:ascii="Times New Roman" w:hAnsi="Times New Roman"/>
          <w:b w:val="false"/>
          <w:sz w:val="24"/>
        </w:rPr>
      </w:pPr>
      <w:r>
        <w:rPr>
          <w:rFonts w:ascii="Times New Roman" w:hAnsi="Times New Roman"/>
          <w:b w:val="false"/>
          <w:sz w:val="24"/>
        </w:rPr>
        <w:t>(b)</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the effects of any Bail</w:t>
        <w:noBreakHyphen/>
        <w:t>In Action on any such liability, including, if applicable:</w:t>
      </w:r>
    </w:p>
    <w:p>
      <w:pPr>
        <w:pStyle w:val="TextBody"/>
        <w:bidi w:val="0"/>
        <w:spacing w:before="280" w:after="0"/>
        <w:jc w:val="both"/>
        <w:rPr>
          <w:rFonts w:ascii="Times New Roman" w:hAnsi="Times New Roman"/>
          <w:b w:val="false"/>
          <w:sz w:val="24"/>
        </w:rPr>
      </w:pPr>
      <w:r>
        <w:rPr>
          <w:rFonts w:ascii="Times New Roman" w:hAnsi="Times New Roman"/>
          <w:b w:val="false"/>
          <w:sz w:val="24"/>
        </w:rPr>
        <w:t>(i)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 reduction in full or in part or cancellation of any such liability;</w:t>
      </w:r>
    </w:p>
    <w:p>
      <w:pPr>
        <w:pStyle w:val="TextBody"/>
        <w:bidi w:val="0"/>
        <w:spacing w:before="280" w:after="0"/>
        <w:jc w:val="both"/>
        <w:rPr>
          <w:rFonts w:ascii="Times New Roman" w:hAnsi="Times New Roman"/>
          <w:b w:val="false"/>
          <w:sz w:val="24"/>
        </w:rPr>
      </w:pPr>
      <w:r>
        <w:rPr>
          <w:rFonts w:ascii="Times New Roman" w:hAnsi="Times New Roman"/>
          <w:b w:val="false"/>
          <w:sz w:val="24"/>
        </w:rPr>
        <w:t>(ii)</w:t>
      </w:r>
    </w:p>
    <w:p>
      <w:pPr>
        <w:pStyle w:val="TextBody"/>
        <w:bidi w:val="0"/>
        <w:spacing w:before="280" w:after="0"/>
        <w:jc w:val="both"/>
        <w:rPr>
          <w:rFonts w:ascii="Times New Roman;serif" w:hAnsi="Times New Roman;serif"/>
          <w:b w:val="false"/>
          <w:sz w:val="24"/>
        </w:rPr>
      </w:pPr>
      <w:r>
        <w:rPr>
          <w:rFonts w:ascii="Times New Roman;serif" w:hAnsi="Times New Roman;serif"/>
          <w:b w:val="false"/>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80" w:after="0"/>
        <w:jc w:val="both"/>
        <w:rPr>
          <w:rFonts w:ascii="Times New Roman" w:hAnsi="Times New Roman"/>
          <w:b w:val="false"/>
          <w:sz w:val="24"/>
        </w:rPr>
      </w:pPr>
      <w:r>
        <w:rPr>
          <w:rFonts w:ascii="Times New Roman" w:hAnsi="Times New Roman"/>
          <w:b w:val="false"/>
          <w:sz w:val="24"/>
        </w:rPr>
        <w:t>(iii)</w:t>
      </w:r>
    </w:p>
    <w:p>
      <w:pPr>
        <w:pStyle w:val="TextBody"/>
        <w:bidi w:val="0"/>
        <w:spacing w:before="280" w:after="283"/>
        <w:jc w:val="both"/>
        <w:rPr>
          <w:rFonts w:ascii="Times New Roman;serif" w:hAnsi="Times New Roman;serif"/>
          <w:b w:val="false"/>
          <w:sz w:val="24"/>
        </w:rPr>
      </w:pPr>
      <w:r>
        <w:rPr>
          <w:rFonts w:ascii="Times New Roman;serif" w:hAnsi="Times New Roman;serif"/>
          <w:b w:val="false"/>
          <w:sz w:val="24"/>
        </w:rPr>
        <w:t>the variation of the terms of such liability in connection with the exercise of the Write</w:t>
        <w:noBreakHyphen/>
        <w:t>Down and Conversion Powers of the applicable Resolution Authority.</w:t>
      </w:r>
    </w:p>
    <w:p>
      <w:pPr>
        <w:pStyle w:val="TextBody"/>
        <w:bidi w:val="0"/>
        <w:spacing w:before="280" w:after="0"/>
        <w:jc w:val="center"/>
        <w:rPr>
          <w:rFonts w:ascii="Times New Roman;serif" w:hAnsi="Times New Roman;serif"/>
          <w:b w:val="false"/>
          <w:i/>
          <w:sz w:val="24"/>
        </w:rPr>
      </w:pPr>
      <w:r>
        <w:rPr>
          <w:rFonts w:ascii="Times New Roman;serif" w:hAnsi="Times New Roman;serif"/>
          <w:b w:val="false"/>
          <w:i/>
          <w:sz w:val="24"/>
        </w:rPr>
        <w:t>[Remainder of the Page Intentionally Left Blank; Signature Pages Follow]</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noBreakHyphen/>
      </w:r>
      <w:r>
        <w:rPr>
          <w:rFonts w:ascii="Times New Roman;serif" w:hAnsi="Times New Roman;serif"/>
          <w:b w:val="false"/>
          <w:sz w:val="24"/>
        </w:rPr>
        <w:t>116</w:t>
      </w:r>
      <w:r>
        <w:rPr>
          <w:rFonts w:ascii="Times New Roman" w:hAnsi="Times New Roman"/>
          <w:sz w:val="20"/>
        </w:rPr>
        <w:noBreakHyphen/>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mallCaps/>
          <w:sz w:val="24"/>
        </w:rPr>
        <w:t>In Witness Whereof,</w:t>
      </w:r>
      <w:r>
        <w:rPr>
          <w:rFonts w:ascii="Times New Roman" w:hAnsi="Times New Roman"/>
          <w:sz w:val="20"/>
        </w:rPr>
        <w:t xml:space="preserve"> </w:t>
      </w:r>
      <w:r>
        <w:rPr>
          <w:rFonts w:ascii="Times New Roman;serif" w:hAnsi="Times New Roman;serif"/>
          <w:b w:val="false"/>
          <w:sz w:val="24"/>
        </w:rPr>
        <w:t>the parties hereto have caused this Agreement to be duly executed and delivered as of the day and year first above written.</w:t>
      </w:r>
    </w:p>
    <w:p>
      <w:pPr>
        <w:pStyle w:val="TextBody"/>
        <w:bidi w:val="0"/>
        <w:spacing w:before="280" w:after="0"/>
        <w:jc w:val="left"/>
        <w:rPr>
          <w:rFonts w:ascii="Times New Roman;serif" w:hAnsi="Times New Roman;serif"/>
          <w:b w:val="false"/>
          <w:smallCaps/>
          <w:sz w:val="24"/>
        </w:rPr>
      </w:pPr>
      <w:r>
        <w:rPr>
          <w:rFonts w:ascii="Times New Roman;serif" w:hAnsi="Times New Roman;serif"/>
          <w:b w:val="false"/>
          <w:smallCaps/>
          <w:sz w:val="24"/>
        </w:rPr>
        <w:t>Borrower:</w:t>
      </w:r>
    </w:p>
    <w:p>
      <w:pPr>
        <w:pStyle w:val="TextBody"/>
        <w:bidi w:val="0"/>
        <w:spacing w:before="280" w:after="0"/>
        <w:jc w:val="left"/>
        <w:rPr>
          <w:rFonts w:ascii="Times New Roman;serif" w:hAnsi="Times New Roman;serif"/>
          <w:b w:val="false"/>
          <w:smallCaps/>
          <w:sz w:val="24"/>
        </w:rPr>
      </w:pPr>
      <w:r>
        <w:rPr>
          <w:rFonts w:ascii="Times New Roman;serif" w:hAnsi="Times New Roman;serif"/>
          <w:b w:val="false"/>
          <w:smallCaps/>
          <w:sz w:val="24"/>
        </w:rPr>
        <w:t>Biodesix, Inc.</w:t>
      </w:r>
    </w:p>
    <w:p>
      <w:pPr>
        <w:pStyle w:val="TextBody"/>
        <w:bidi w:val="0"/>
        <w:spacing w:before="560" w:after="0"/>
        <w:jc w:val="left"/>
        <w:rPr>
          <w:rFonts w:ascii="Times New Roman;serif" w:hAnsi="Times New Roman;serif"/>
          <w:b w:val="false"/>
          <w:sz w:val="24"/>
        </w:rPr>
      </w:pPr>
      <w:r>
        <w:rPr>
          <w:rFonts w:ascii="Times New Roman;serif" w:hAnsi="Times New Roman;serif"/>
          <w:b w:val="false"/>
          <w:sz w:val="24"/>
        </w:rPr>
        <w:t xml:space="preserve">By: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w:t>
      </w:r>
    </w:p>
    <w:p>
      <w:pPr>
        <w:pStyle w:val="TextBody"/>
        <w:bidi w:val="0"/>
        <w:spacing w:before="28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i/>
          <w:sz w:val="24"/>
        </w:rPr>
        <w:t>Signature Page to Credit Agreement and Guaranty</w:t>
      </w:r>
      <w:r>
        <w:rPr>
          <w:rFonts w:ascii="Times New Roman;serif" w:hAnsi="Times New Roman;serif"/>
          <w:b w:val="false"/>
          <w:sz w:val="2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mallCaps/>
          <w:sz w:val="24"/>
        </w:rPr>
      </w:pPr>
      <w:r>
        <w:rPr>
          <w:rFonts w:ascii="Times New Roman;serif" w:hAnsi="Times New Roman;serif"/>
          <w:b w:val="false"/>
          <w:smallCaps/>
          <w:sz w:val="24"/>
        </w:rPr>
        <w:t>Perceptive Credit Holdings IV, LP</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as Administrative Agent and a Lender</w:t>
      </w:r>
    </w:p>
    <w:p>
      <w:pPr>
        <w:pStyle w:val="TextBody"/>
        <w:bidi w:val="0"/>
        <w:spacing w:before="280" w:after="0"/>
        <w:jc w:val="left"/>
        <w:rPr>
          <w:rFonts w:ascii="Times New Roman" w:hAnsi="Times New Roman"/>
          <w:sz w:val="20"/>
        </w:rPr>
      </w:pPr>
      <w:r>
        <w:rPr>
          <w:rFonts w:ascii="Times New Roman;serif" w:hAnsi="Times New Roman;serif"/>
          <w:b w:val="false"/>
          <w:smallCaps/>
          <w:sz w:val="24"/>
        </w:rPr>
        <w:t>B</w:t>
      </w:r>
      <w:r>
        <w:rPr>
          <w:rFonts w:ascii="Times New Roman;serif" w:hAnsi="Times New Roman;serif"/>
          <w:b w:val="false"/>
          <w:sz w:val="24"/>
        </w:rPr>
        <w:t>y: Perceptive Credit Opportunities GP, LLC, its general partner</w:t>
      </w:r>
    </w:p>
    <w:p>
      <w:pPr>
        <w:pStyle w:val="TextBody"/>
        <w:bidi w:val="0"/>
        <w:spacing w:before="520" w:after="0"/>
        <w:jc w:val="left"/>
        <w:rPr>
          <w:rFonts w:ascii="Times New Roman" w:hAnsi="Times New Roman"/>
          <w:sz w:val="20"/>
        </w:rPr>
      </w:pPr>
      <w:r>
        <w:rPr>
          <w:rFonts w:ascii="Times New Roman;serif" w:hAnsi="Times New Roman;serif"/>
          <w:b w:val="false"/>
          <w:sz w:val="24"/>
        </w:rPr>
        <w:t xml:space="preserve">By: </w:t>
        <w:br/>
        <w:t>Name: Sandeep Dixit</w:t>
        <w:br/>
        <w:t>Title: Chief Credit Officer</w:t>
      </w:r>
      <w:r>
        <w:rPr>
          <w:rFonts w:ascii="Times New Roman" w:hAnsi="Times New Roman"/>
          <w:sz w:val="20"/>
        </w:rPr>
        <w:t xml:space="preserve"> </w:t>
      </w:r>
    </w:p>
    <w:p>
      <w:pPr>
        <w:pStyle w:val="TextBody"/>
        <w:bidi w:val="0"/>
        <w:spacing w:before="520" w:after="0"/>
        <w:jc w:val="left"/>
        <w:rPr>
          <w:rFonts w:ascii="Times New Roman;serif" w:hAnsi="Times New Roman;serif"/>
          <w:b w:val="false"/>
          <w:sz w:val="24"/>
        </w:rPr>
      </w:pPr>
      <w:r>
        <w:rPr>
          <w:rFonts w:ascii="Times New Roman;serif" w:hAnsi="Times New Roman;serif"/>
          <w:b w:val="false"/>
          <w:sz w:val="24"/>
        </w:rPr>
        <w:t xml:space="preserve">By: </w:t>
        <w:br/>
        <w:t>Name: Sam Chawla</w:t>
        <w:br/>
        <w:t>Title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i/>
          <w:sz w:val="24"/>
        </w:rPr>
        <w:t>Signature Page to Credit Agreement and Guaranty</w:t>
      </w:r>
      <w:r>
        <w:rPr>
          <w:rFonts w:ascii="Times New Roman;serif" w:hAnsi="Times New Roman;serif"/>
          <w:b w:val="false"/>
          <w:sz w:val="2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ANNEX 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Conformed Credit Agreement</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2"/>
        </w:rPr>
        <w:t>(First Amendment)</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See attached.</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29" w:name="bdsx-ex31_1.htm"/>
      <w:bookmarkStart w:id="30" w:name="ksbdsxex31_1"/>
      <w:bookmarkEnd w:id="29"/>
      <w:bookmarkEnd w:id="30"/>
      <w:r>
        <w:rPr>
          <w:rFonts w:ascii="Times New Roman;serif" w:hAnsi="Times New Roman;serif"/>
          <w:b/>
          <w:sz w:val="20"/>
        </w:rPr>
        <w:t>Exhibit 31.1</w:t>
      </w:r>
      <w:r>
        <w:br w:type="page"/>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SECTION 302 CERTIFICATION</w:t>
      </w:r>
      <w:r>
        <w:rPr>
          <w:rFonts w:ascii="Times New Roman" w:hAnsi="Times New Roman"/>
          <w:sz w:val="20"/>
        </w:rPr>
        <w:t xml:space="preserve"> </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I, Scott Hutton, certify that:</w:t>
      </w:r>
    </w:p>
    <w:p>
      <w:pPr>
        <w:pStyle w:val="TextBody"/>
        <w:bidi w:val="0"/>
        <w:spacing w:before="0" w:after="240"/>
        <w:jc w:val="both"/>
        <w:rPr>
          <w:rFonts w:ascii="Times New Roman" w:hAnsi="Times New Roman"/>
          <w:b w:val="false"/>
          <w:sz w:val="22"/>
        </w:rPr>
      </w:pPr>
      <w:r>
        <w:rPr>
          <w:rFonts w:ascii="Times New Roman" w:hAnsi="Times New Roman"/>
          <w:b w:val="false"/>
          <w:sz w:val="22"/>
        </w:rPr>
        <w:t>1.</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have reviewed this Quarterly Report on Form 10-Q of Biodesix, Inc.;</w:t>
      </w:r>
    </w:p>
    <w:p>
      <w:pPr>
        <w:pStyle w:val="TextBody"/>
        <w:bidi w:val="0"/>
        <w:spacing w:before="0" w:after="240"/>
        <w:jc w:val="both"/>
        <w:rPr>
          <w:rFonts w:ascii="Times New Roman" w:hAnsi="Times New Roman"/>
          <w:b w:val="false"/>
          <w:sz w:val="22"/>
        </w:rPr>
      </w:pPr>
      <w:r>
        <w:rPr>
          <w:rFonts w:ascii="Times New Roman" w:hAnsi="Times New Roman"/>
          <w:b w:val="false"/>
          <w:sz w:val="22"/>
        </w:rPr>
        <w:t>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b w:val="false"/>
          <w:sz w:val="22"/>
        </w:rPr>
      </w:pPr>
      <w:r>
        <w:rPr>
          <w:rFonts w:ascii="Times New Roman" w:hAnsi="Times New Roman"/>
          <w:b w:val="false"/>
          <w:sz w:val="22"/>
        </w:rPr>
        <w:t>3.</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b w:val="false"/>
          <w:sz w:val="22"/>
        </w:rPr>
      </w:pPr>
      <w:r>
        <w:rPr>
          <w:rFonts w:ascii="Times New Roman" w:hAnsi="Times New Roman"/>
          <w:b w:val="false"/>
          <w:sz w:val="22"/>
        </w:rPr>
        <w:t>4.</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b w:val="false"/>
          <w:sz w:val="20"/>
        </w:rPr>
      </w:pPr>
      <w:r>
        <w:rPr>
          <w:rFonts w:ascii="Times New Roman" w:hAnsi="Times New Roman"/>
          <w:b w:val="false"/>
          <w:sz w:val="20"/>
        </w:rPr>
        <w:t>(c)</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b w:val="false"/>
          <w:sz w:val="20"/>
        </w:rPr>
      </w:pPr>
      <w:r>
        <w:rPr>
          <w:rFonts w:ascii="Times New Roman" w:hAnsi="Times New Roman"/>
          <w:b w:val="false"/>
          <w:sz w:val="20"/>
        </w:rPr>
        <w:t>(d)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b w:val="false"/>
          <w:sz w:val="22"/>
        </w:rPr>
      </w:pPr>
      <w:r>
        <w:rPr>
          <w:rFonts w:ascii="Times New Roman" w:hAnsi="Times New Roman"/>
          <w:b w:val="false"/>
          <w:sz w:val="22"/>
        </w:rPr>
        <w:t>5.</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b w:val="false"/>
          <w:sz w:val="22"/>
        </w:rPr>
      </w:pPr>
      <w:r>
        <w:rPr>
          <w:rFonts w:ascii="Times New Roman" w:hAnsi="Times New Roman"/>
          <w:b w:val="false"/>
          <w:sz w:val="22"/>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218" w:type="dxa"/>
        <w:jc w:val="left"/>
        <w:tblInd w:w="0" w:type="dxa"/>
        <w:tblLayout w:type="fixed"/>
        <w:tblCellMar>
          <w:top w:w="28" w:type="dxa"/>
          <w:left w:w="28" w:type="dxa"/>
          <w:bottom w:w="28" w:type="dxa"/>
          <w:right w:w="28" w:type="dxa"/>
        </w:tblCellMar>
      </w:tblPr>
      <w:tblGrid>
        <w:gridCol w:w="1741"/>
        <w:gridCol w:w="40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By:</w:t>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Hutton</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071" w:type="dxa"/>
            <w:tcBorders>
              <w:top w:val="single" w:sz="8" w:space="0" w:color="000000"/>
            </w:tcBorders>
            <w:tcMar>
              <w:top w:w="4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Scott Hutton</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31" w:name="bdsx-ex31_2.htm"/>
      <w:bookmarkStart w:id="32" w:name="ksbdsxex31_2"/>
      <w:bookmarkEnd w:id="31"/>
      <w:bookmarkEnd w:id="32"/>
      <w:r>
        <w:rPr>
          <w:rFonts w:ascii="Times New Roman;serif" w:hAnsi="Times New Roman;serif"/>
          <w:b/>
          <w:sz w:val="20"/>
        </w:rPr>
        <w:t>Exhibit 31.2</w:t>
      </w:r>
      <w:r>
        <w:br w:type="page"/>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SECTION 302 CERTIFICATION</w:t>
      </w:r>
      <w:r>
        <w:rPr>
          <w:rFonts w:ascii="Times New Roman" w:hAnsi="Times New Roman"/>
          <w:sz w:val="20"/>
        </w:rPr>
        <w:t xml:space="preserve"> </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I, Robin Harper Cowie, certify that:</w:t>
      </w:r>
    </w:p>
    <w:p>
      <w:pPr>
        <w:pStyle w:val="TextBody"/>
        <w:bidi w:val="0"/>
        <w:spacing w:before="0" w:after="240"/>
        <w:jc w:val="both"/>
        <w:rPr>
          <w:rFonts w:ascii="Times New Roman" w:hAnsi="Times New Roman"/>
          <w:b w:val="false"/>
          <w:sz w:val="22"/>
        </w:rPr>
      </w:pPr>
      <w:r>
        <w:rPr>
          <w:rFonts w:ascii="Times New Roman" w:hAnsi="Times New Roman"/>
          <w:b w:val="false"/>
          <w:sz w:val="22"/>
        </w:rPr>
        <w:t>1.</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have reviewed this Quarterly Report on Form 10-Q of Biodesix, Inc.;</w:t>
      </w:r>
    </w:p>
    <w:p>
      <w:pPr>
        <w:pStyle w:val="TextBody"/>
        <w:bidi w:val="0"/>
        <w:spacing w:before="0" w:after="240"/>
        <w:jc w:val="both"/>
        <w:rPr>
          <w:rFonts w:ascii="Times New Roman" w:hAnsi="Times New Roman"/>
          <w:b w:val="false"/>
          <w:sz w:val="22"/>
        </w:rPr>
      </w:pPr>
      <w:r>
        <w:rPr>
          <w:rFonts w:ascii="Times New Roman" w:hAnsi="Times New Roman"/>
          <w:b w:val="false"/>
          <w:sz w:val="22"/>
        </w:rPr>
        <w:t>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b w:val="false"/>
          <w:sz w:val="22"/>
        </w:rPr>
      </w:pPr>
      <w:r>
        <w:rPr>
          <w:rFonts w:ascii="Times New Roman" w:hAnsi="Times New Roman"/>
          <w:b w:val="false"/>
          <w:sz w:val="22"/>
        </w:rPr>
        <w:t>3.</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b w:val="false"/>
          <w:sz w:val="22"/>
        </w:rPr>
      </w:pPr>
      <w:r>
        <w:rPr>
          <w:rFonts w:ascii="Times New Roman" w:hAnsi="Times New Roman"/>
          <w:b w:val="false"/>
          <w:sz w:val="22"/>
        </w:rPr>
        <w:t>4.</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b w:val="false"/>
          <w:sz w:val="20"/>
        </w:rPr>
      </w:pPr>
      <w:r>
        <w:rPr>
          <w:rFonts w:ascii="Times New Roman" w:hAnsi="Times New Roman"/>
          <w:b w:val="false"/>
          <w:sz w:val="20"/>
        </w:rPr>
        <w:t>(c)</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b w:val="false"/>
          <w:sz w:val="20"/>
        </w:rPr>
      </w:pPr>
      <w:r>
        <w:rPr>
          <w:rFonts w:ascii="Times New Roman" w:hAnsi="Times New Roman"/>
          <w:b w:val="false"/>
          <w:sz w:val="20"/>
        </w:rPr>
        <w:t>(d)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b w:val="false"/>
          <w:sz w:val="22"/>
        </w:rPr>
      </w:pPr>
      <w:r>
        <w:rPr>
          <w:rFonts w:ascii="Times New Roman" w:hAnsi="Times New Roman"/>
          <w:b w:val="false"/>
          <w:sz w:val="22"/>
        </w:rPr>
        <w:t>5.</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b w:val="false"/>
          <w:sz w:val="22"/>
        </w:rPr>
      </w:pPr>
      <w:r>
        <w:rPr>
          <w:rFonts w:ascii="Times New Roman" w:hAnsi="Times New Roman"/>
          <w:b w:val="false"/>
          <w:sz w:val="22"/>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203" w:type="dxa"/>
        <w:jc w:val="left"/>
        <w:tblInd w:w="0" w:type="dxa"/>
        <w:tblLayout w:type="fixed"/>
        <w:tblCellMar>
          <w:top w:w="28" w:type="dxa"/>
          <w:left w:w="28" w:type="dxa"/>
          <w:bottom w:w="28" w:type="dxa"/>
          <w:right w:w="28" w:type="dxa"/>
        </w:tblCellMar>
      </w:tblPr>
      <w:tblGrid>
        <w:gridCol w:w="1741"/>
        <w:gridCol w:w="406"/>
        <w:gridCol w:w="205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By:</w:t>
            </w:r>
          </w:p>
        </w:tc>
        <w:tc>
          <w:tcPr>
            <w:tcW w:w="20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Robin Harper Cowie</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Robin Harper Cowie</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0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33" w:name="bdsx-ex32_1.htm"/>
      <w:bookmarkStart w:id="34" w:name="ksbdsxex32_1"/>
      <w:bookmarkEnd w:id="33"/>
      <w:bookmarkEnd w:id="34"/>
      <w:r>
        <w:rPr>
          <w:rFonts w:ascii="Times New Roman;serif" w:hAnsi="Times New Roman;serif"/>
          <w:b/>
          <w:sz w:val="20"/>
        </w:rPr>
        <w:t>Exhibit 32.1</w:t>
      </w:r>
      <w:r>
        <w:br w:type="page"/>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24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24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In connection with the Quarterly Report of Biodesix, Inc. (the “Company”) on Form 10-Q for the period ending March 31, 2023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364" w:type="dxa"/>
        <w:jc w:val="left"/>
        <w:tblInd w:w="0" w:type="dxa"/>
        <w:tblLayout w:type="fixed"/>
        <w:tblCellMar>
          <w:top w:w="28" w:type="dxa"/>
          <w:left w:w="28" w:type="dxa"/>
          <w:bottom w:w="28" w:type="dxa"/>
          <w:right w:w="28" w:type="dxa"/>
        </w:tblCellMar>
      </w:tblPr>
      <w:tblGrid>
        <w:gridCol w:w="1741"/>
        <w:gridCol w:w="146"/>
        <w:gridCol w:w="40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Hutton</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Scott Hutton</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35" w:name="bdsx-ex32_2.htm"/>
      <w:bookmarkStart w:id="36" w:name="ksbdsxex32_2"/>
      <w:bookmarkEnd w:id="35"/>
      <w:bookmarkEnd w:id="36"/>
      <w:r>
        <w:rPr>
          <w:rFonts w:ascii="Times New Roman;serif" w:hAnsi="Times New Roman;serif"/>
          <w:b/>
          <w:sz w:val="20"/>
        </w:rPr>
        <w:t>Exhibit 32.2</w:t>
      </w:r>
      <w:r>
        <w:br w:type="page"/>
      </w:r>
    </w:p>
    <w:p>
      <w:pPr>
        <w:pStyle w:val="TextBody"/>
        <w:bidi w:val="0"/>
        <w:spacing w:before="0" w:after="0"/>
        <w:jc w:val="both"/>
        <w:rPr/>
      </w:pPr>
      <w:r>
        <w:rPr/>
        <w:t> </w:t>
      </w:r>
    </w:p>
    <w:p>
      <w:pPr>
        <w:pStyle w:val="TextBody"/>
        <w:bidi w:val="0"/>
        <w:spacing w:before="0" w:after="24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24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24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In connection with the Quarterly Report of Biodesix, Inc. (the “Company”) on Form 10-Q for the period ending March 31, 2023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349" w:type="dxa"/>
        <w:jc w:val="left"/>
        <w:tblInd w:w="0" w:type="dxa"/>
        <w:tblLayout w:type="fixed"/>
        <w:tblCellMar>
          <w:top w:w="28" w:type="dxa"/>
          <w:left w:w="28" w:type="dxa"/>
          <w:bottom w:w="28" w:type="dxa"/>
          <w:right w:w="28" w:type="dxa"/>
        </w:tblCellMar>
      </w:tblPr>
      <w:tblGrid>
        <w:gridCol w:w="1741"/>
        <w:gridCol w:w="146"/>
        <w:gridCol w:w="406"/>
        <w:gridCol w:w="205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Date: May 11, 2023</w:t>
            </w:r>
          </w:p>
        </w:tc>
        <w:tc>
          <w:tcPr>
            <w:tcW w:w="146"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20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Robin Harper Cowie</w:t>
            </w:r>
          </w:p>
        </w:tc>
      </w:tr>
      <w:tr>
        <w:trPr/>
        <w:tc>
          <w:tcPr>
            <w:tcW w:w="174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056"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Robin Harper Cowie</w:t>
            </w:r>
          </w:p>
        </w:tc>
      </w:tr>
      <w:tr>
        <w:trPr/>
        <w:tc>
          <w:tcPr>
            <w:tcW w:w="1741"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0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100281</Words>
  <Characters>541217</Characters>
  <CharactersWithSpaces>640308</CharactersWithSpaces>
  <Paragraphs>6885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