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brhc20057429_sc13da.htm"/>
      <w:bookmarkStart w:id="1" w:name="ksbrhc20057429_sc13da"/>
      <w:bookmarkStart w:id="2" w:name="brhc20057429_sc13da.htm"/>
      <w:bookmarkStart w:id="3" w:name="ksbrhc20057429_sc13da"/>
      <w:bookmarkEnd w:id="2"/>
      <w:bookmarkEnd w:id="3"/>
    </w:p>
    <w:p>
      <w:pPr>
        <w:pStyle w:val="TextBody"/>
        <w:bidi w:val="0"/>
        <w:spacing w:before="0" w:after="0"/>
        <w:jc w:val="center"/>
        <w:rPr>
          <w:b/>
          <w:color w:val="000000"/>
          <w:sz w:val="28"/>
        </w:rPr>
      </w:pPr>
      <w:r>
        <w:rPr>
          <w:b/>
          <w:color w:val="000000"/>
          <w:sz w:val="28"/>
        </w:rPr>
        <w:t>UNITED STATES</w:t>
      </w:r>
    </w:p>
    <w:p>
      <w:pPr>
        <w:pStyle w:val="TextBody"/>
        <w:bidi w:val="0"/>
        <w:spacing w:before="0" w:after="0"/>
        <w:jc w:val="center"/>
        <w:rPr>
          <w:b/>
          <w:color w:val="000000"/>
          <w:sz w:val="28"/>
        </w:rPr>
      </w:pPr>
      <w:r>
        <w:rPr>
          <w:b/>
          <w:color w:val="000000"/>
          <w:sz w:val="28"/>
        </w:rPr>
        <w:t>SECURITIES AND EXCHANGE COMMISSION</w:t>
      </w:r>
    </w:p>
    <w:p>
      <w:pPr>
        <w:pStyle w:val="TextBody"/>
        <w:bidi w:val="0"/>
        <w:spacing w:before="0" w:after="0"/>
        <w:jc w:val="center"/>
        <w:rPr>
          <w:b/>
          <w:color w:val="000000"/>
          <w:sz w:val="24"/>
        </w:rPr>
      </w:pPr>
      <w:r>
        <w:rPr>
          <w:b/>
          <w:color w:val="000000"/>
          <w:sz w:val="24"/>
        </w:rPr>
        <w:t>Washington, D.C. 20549</w:t>
      </w:r>
    </w:p>
    <w:p>
      <w:pPr>
        <w:pStyle w:val="TextBody"/>
        <w:bidi w:val="0"/>
        <w:spacing w:before="0" w:after="0"/>
        <w:jc w:val="left"/>
        <w:rPr/>
      </w:pPr>
      <w:r>
        <w:rPr/>
      </w:r>
    </w:p>
    <w:p>
      <w:pPr>
        <w:pStyle w:val="TextBody"/>
        <w:bidi w:val="0"/>
        <w:spacing w:before="0" w:after="0"/>
        <w:jc w:val="center"/>
        <w:rPr>
          <w:b/>
          <w:color w:val="000000"/>
          <w:sz w:val="36"/>
        </w:rPr>
      </w:pPr>
      <w:r>
        <w:rPr>
          <w:b/>
          <w:color w:val="000000"/>
          <w:sz w:val="36"/>
        </w:rPr>
        <w:t>SCHEDULE 13D</w:t>
      </w:r>
    </w:p>
    <w:p>
      <w:pPr>
        <w:pStyle w:val="TextBody"/>
        <w:bidi w:val="0"/>
        <w:spacing w:before="0" w:after="0"/>
        <w:jc w:val="center"/>
        <w:rPr>
          <w:b/>
          <w:color w:val="000000"/>
        </w:rPr>
      </w:pPr>
      <w:r>
        <w:rPr>
          <w:b/>
          <w:color w:val="000000"/>
        </w:rPr>
        <w:t>Under the Securities Exchange Act of 1934</w:t>
      </w:r>
    </w:p>
    <w:p>
      <w:pPr>
        <w:pStyle w:val="TextBody"/>
        <w:bidi w:val="0"/>
        <w:spacing w:before="0" w:after="0"/>
        <w:jc w:val="center"/>
        <w:rPr>
          <w:b/>
          <w:color w:val="000000"/>
        </w:rPr>
      </w:pPr>
      <w:r>
        <w:rPr>
          <w:b/>
          <w:color w:val="000000"/>
        </w:rPr>
        <w:t>(Amendment No. 4)*</w:t>
      </w:r>
    </w:p>
    <w:p>
      <w:pPr>
        <w:pStyle w:val="TextBody"/>
        <w:bidi w:val="0"/>
        <w:spacing w:before="0" w:after="0"/>
        <w:jc w:val="left"/>
        <w:rPr/>
      </w:pPr>
      <w:r>
        <w:rPr/>
      </w:r>
    </w:p>
    <w:p>
      <w:pPr>
        <w:pStyle w:val="TextBody"/>
        <w:bidi w:val="0"/>
        <w:spacing w:before="0" w:after="0"/>
        <w:jc w:val="center"/>
        <w:rPr>
          <w:b/>
          <w:color w:val="000000"/>
          <w:sz w:val="48"/>
          <w:u w:val="single"/>
        </w:rPr>
      </w:pPr>
      <w:r>
        <w:rPr>
          <w:b/>
          <w:color w:val="000000"/>
          <w:sz w:val="48"/>
          <w:u w:val="single"/>
        </w:rPr>
        <w:t>Biodesix, Inc.</w:t>
      </w:r>
    </w:p>
    <w:p>
      <w:pPr>
        <w:pStyle w:val="TextBody"/>
        <w:bidi w:val="0"/>
        <w:spacing w:before="0" w:after="0"/>
        <w:jc w:val="center"/>
        <w:rPr>
          <w:color w:val="000000"/>
          <w:u w:val="single"/>
        </w:rPr>
      </w:pPr>
      <w:r>
        <w:rPr>
          <w:color w:val="000000"/>
          <w:u w:val="single"/>
        </w:rPr>
        <w:t>(Name of Issuer)</w:t>
      </w:r>
    </w:p>
    <w:p>
      <w:pPr>
        <w:pStyle w:val="TextBody"/>
        <w:bidi w:val="0"/>
        <w:spacing w:before="0" w:after="0"/>
        <w:jc w:val="left"/>
        <w:rPr/>
      </w:pPr>
      <w:r>
        <w:rPr/>
      </w:r>
    </w:p>
    <w:p>
      <w:pPr>
        <w:pStyle w:val="TextBody"/>
        <w:bidi w:val="0"/>
        <w:spacing w:before="0" w:after="0"/>
        <w:jc w:val="center"/>
        <w:rPr>
          <w:b/>
          <w:color w:val="000000"/>
          <w:u w:val="single"/>
        </w:rPr>
      </w:pPr>
      <w:r>
        <w:rPr>
          <w:b/>
          <w:color w:val="000000"/>
          <w:u w:val="single"/>
        </w:rPr>
        <w:t>Common Stock, Par Value $0.001 Per Share</w:t>
      </w:r>
    </w:p>
    <w:p>
      <w:pPr>
        <w:pStyle w:val="TextBody"/>
        <w:bidi w:val="0"/>
        <w:spacing w:before="0" w:after="0"/>
        <w:jc w:val="center"/>
        <w:rPr>
          <w:color w:val="000000"/>
        </w:rPr>
      </w:pPr>
      <w:r>
        <w:rPr>
          <w:color w:val="000000"/>
        </w:rPr>
        <w:t>(Title of Class of Securities)</w:t>
      </w:r>
    </w:p>
    <w:p>
      <w:pPr>
        <w:pStyle w:val="TextBody"/>
        <w:bidi w:val="0"/>
        <w:spacing w:before="0" w:after="0"/>
        <w:jc w:val="left"/>
        <w:rPr/>
      </w:pPr>
      <w:r>
        <w:rPr/>
      </w:r>
    </w:p>
    <w:p>
      <w:pPr>
        <w:pStyle w:val="TextBody"/>
        <w:bidi w:val="0"/>
        <w:spacing w:before="0" w:after="0"/>
        <w:jc w:val="center"/>
        <w:rPr>
          <w:b/>
          <w:color w:val="000000"/>
          <w:u w:val="single"/>
        </w:rPr>
      </w:pPr>
      <w:r>
        <w:rPr>
          <w:b/>
          <w:color w:val="000000"/>
          <w:u w:val="single"/>
        </w:rPr>
        <w:t>09075X108</w:t>
      </w:r>
    </w:p>
    <w:p>
      <w:pPr>
        <w:pStyle w:val="TextBody"/>
        <w:bidi w:val="0"/>
        <w:spacing w:before="0" w:after="0"/>
        <w:jc w:val="center"/>
        <w:rPr>
          <w:color w:val="000000"/>
        </w:rPr>
      </w:pPr>
      <w:r>
        <w:rPr>
          <w:color w:val="000000"/>
        </w:rPr>
        <w:t>(CUSIP Number)</w:t>
      </w:r>
    </w:p>
    <w:p>
      <w:pPr>
        <w:pStyle w:val="TextBody"/>
        <w:bidi w:val="0"/>
        <w:spacing w:before="0" w:after="0"/>
        <w:jc w:val="left"/>
        <w:rPr/>
      </w:pPr>
      <w:r>
        <w:rPr/>
      </w:r>
    </w:p>
    <w:p>
      <w:pPr>
        <w:pStyle w:val="TextBody"/>
        <w:bidi w:val="0"/>
        <w:spacing w:before="0" w:after="0"/>
        <w:jc w:val="center"/>
        <w:rPr>
          <w:b/>
          <w:color w:val="000000"/>
        </w:rPr>
      </w:pPr>
      <w:r>
        <w:rPr>
          <w:b/>
          <w:color w:val="000000"/>
        </w:rPr>
        <w:t>Jack W. Schuler</w:t>
      </w:r>
    </w:p>
    <w:p>
      <w:pPr>
        <w:pStyle w:val="TextBody"/>
        <w:bidi w:val="0"/>
        <w:spacing w:before="0" w:after="0"/>
        <w:jc w:val="center"/>
        <w:rPr>
          <w:b/>
          <w:color w:val="000000"/>
        </w:rPr>
      </w:pPr>
      <w:r>
        <w:rPr>
          <w:b/>
          <w:color w:val="000000"/>
        </w:rPr>
        <w:t>100 N. Field Drive, Suite 360</w:t>
      </w:r>
    </w:p>
    <w:p>
      <w:pPr>
        <w:pStyle w:val="TextBody"/>
        <w:bidi w:val="0"/>
        <w:spacing w:before="0" w:after="0"/>
        <w:jc w:val="center"/>
        <w:rPr>
          <w:b/>
          <w:color w:val="000000"/>
        </w:rPr>
      </w:pPr>
      <w:r>
        <w:rPr>
          <w:b/>
          <w:color w:val="000000"/>
        </w:rPr>
        <w:t>Lake Forest, Illinois 60045</w:t>
      </w:r>
    </w:p>
    <w:p>
      <w:pPr>
        <w:pStyle w:val="TextBody"/>
        <w:bidi w:val="0"/>
        <w:spacing w:before="0" w:after="0"/>
        <w:jc w:val="center"/>
        <w:rPr>
          <w:b/>
          <w:color w:val="000000"/>
          <w:u w:val="single"/>
        </w:rPr>
      </w:pPr>
      <w:r>
        <w:rPr>
          <w:b/>
          <w:color w:val="000000"/>
          <w:u w:val="single"/>
        </w:rPr>
        <w:t>(224) 880-1210</w:t>
      </w:r>
    </w:p>
    <w:p>
      <w:pPr>
        <w:pStyle w:val="TextBody"/>
        <w:bidi w:val="0"/>
        <w:spacing w:before="0" w:after="0"/>
        <w:jc w:val="center"/>
        <w:rPr>
          <w:color w:val="000000"/>
        </w:rPr>
      </w:pPr>
      <w:r>
        <w:rPr>
          <w:color w:val="000000"/>
        </w:rPr>
        <w:t>(Name, Address and Telephone Number of Person</w:t>
      </w:r>
    </w:p>
    <w:p>
      <w:pPr>
        <w:pStyle w:val="TextBody"/>
        <w:bidi w:val="0"/>
        <w:spacing w:before="0" w:after="0"/>
        <w:jc w:val="center"/>
        <w:rPr>
          <w:color w:val="000000"/>
        </w:rPr>
      </w:pPr>
      <w:r>
        <w:rPr>
          <w:color w:val="000000"/>
        </w:rPr>
        <w:t>Authorized to Receive Notices and Communications)</w:t>
      </w:r>
    </w:p>
    <w:p>
      <w:pPr>
        <w:pStyle w:val="TextBody"/>
        <w:bidi w:val="0"/>
        <w:spacing w:before="0" w:after="0"/>
        <w:jc w:val="left"/>
        <w:rPr/>
      </w:pPr>
      <w:r>
        <w:rPr/>
      </w:r>
    </w:p>
    <w:p>
      <w:pPr>
        <w:pStyle w:val="TextBody"/>
        <w:bidi w:val="0"/>
        <w:spacing w:before="0" w:after="0"/>
        <w:jc w:val="center"/>
        <w:rPr>
          <w:b/>
          <w:color w:val="000000"/>
          <w:u w:val="single"/>
        </w:rPr>
      </w:pPr>
      <w:r>
        <w:rPr>
          <w:b/>
          <w:color w:val="000000"/>
          <w:u w:val="single"/>
        </w:rPr>
        <w:t>August 3, 2023</w:t>
      </w:r>
    </w:p>
    <w:p>
      <w:pPr>
        <w:pStyle w:val="TextBody"/>
        <w:bidi w:val="0"/>
        <w:spacing w:before="0" w:after="0"/>
        <w:jc w:val="center"/>
        <w:rPr>
          <w:color w:val="000000"/>
        </w:rPr>
      </w:pPr>
      <w:r>
        <w:rPr>
          <w:color w:val="000000"/>
        </w:rPr>
        <w:t>(Date of Event which Requires Filing of this Statement)</w:t>
      </w:r>
    </w:p>
    <w:p>
      <w:pPr>
        <w:pStyle w:val="TextBody"/>
        <w:bidi w:val="0"/>
        <w:spacing w:before="0" w:after="0"/>
        <w:jc w:val="left"/>
        <w:rPr/>
      </w:pPr>
      <w:r>
        <w:rPr/>
      </w:r>
    </w:p>
    <w:p>
      <w:pPr>
        <w:pStyle w:val="TextBody"/>
        <w:bidi w:val="0"/>
        <w:spacing w:before="0" w:after="0"/>
        <w:jc w:val="both"/>
        <w:rPr>
          <w:color w:val="000000"/>
        </w:rPr>
      </w:pPr>
      <w:r>
        <w:rPr>
          <w:color w:val="000000"/>
        </w:rPr>
        <w:t>If the filing person has previously filed a statement on Schedule 13G to report the acquisition that is the subject of this Schedule 13D, and is filing this schedule because of §§240.13d-1(e), 240.13d-1(f) or 240.13d-1(g), check the following box. ☐</w:t>
      </w:r>
    </w:p>
    <w:p>
      <w:pPr>
        <w:pStyle w:val="TextBody"/>
        <w:bidi w:val="0"/>
        <w:spacing w:before="0" w:after="0"/>
        <w:jc w:val="left"/>
        <w:rPr/>
      </w:pPr>
      <w:r>
        <w:rPr/>
      </w:r>
    </w:p>
    <w:p>
      <w:pPr>
        <w:pStyle w:val="TextBody"/>
        <w:bidi w:val="0"/>
        <w:spacing w:before="0" w:after="0"/>
        <w:jc w:val="both"/>
        <w:rPr>
          <w:color w:val="000000"/>
        </w:rPr>
      </w:pPr>
      <w:r>
        <w:rPr>
          <w:color w:val="000000"/>
        </w:rPr>
        <w:t>Note: Schedules filed in paper format shall include a signed original and five copies of the schedule, including all exhibits. See Rule 13d-7 for other parties to whom copies are to be sent.</w:t>
      </w:r>
    </w:p>
    <w:p>
      <w:pPr>
        <w:pStyle w:val="TextBody"/>
        <w:bidi w:val="0"/>
        <w:spacing w:before="0" w:after="0"/>
        <w:jc w:val="left"/>
        <w:rPr/>
      </w:pPr>
      <w:r>
        <w:rPr/>
      </w:r>
    </w:p>
    <w:p>
      <w:pPr>
        <w:pStyle w:val="TextBody"/>
        <w:bidi w:val="0"/>
        <w:spacing w:before="0" w:after="0"/>
        <w:jc w:val="both"/>
        <w:rPr>
          <w:color w:val="000000"/>
        </w:rPr>
      </w:pPr>
      <w:r>
        <w:rPr>
          <w:color w:val="00000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0"/>
        <w:jc w:val="left"/>
        <w:rPr/>
      </w:pPr>
      <w:r>
        <w:rPr/>
      </w:r>
    </w:p>
    <w:p>
      <w:pPr>
        <w:pStyle w:val="TextBody"/>
        <w:bidi w:val="0"/>
        <w:spacing w:before="0" w:after="0"/>
        <w:jc w:val="both"/>
        <w:rPr>
          <w:color w:val="000000"/>
        </w:rPr>
      </w:pPr>
      <w:r>
        <w:rPr>
          <w:color w:val="00000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jc w:val="both"/>
        <w:rPr>
          <w:color w:val="000000"/>
        </w:rPr>
      </w:pPr>
      <w:r>
        <w:rPr>
          <w:color w:val="000000"/>
        </w:rPr>
      </w:r>
    </w:p>
    <w:p>
      <w:pPr>
        <w:pStyle w:val="HorizontalLine"/>
        <w:bidi w:val="0"/>
        <w:jc w:val="both"/>
        <w:rPr/>
      </w:pPr>
      <w:r>
        <w:rPr/>
      </w:r>
    </w:p>
    <w:p>
      <w:pPr>
        <w:pStyle w:val="HorizontalLine"/>
        <w:pBdr>
          <w:bottom w:val="single" w:sz="12" w:space="0" w:color="808080"/>
        </w:pBdr>
        <w:bidi w:val="0"/>
        <w:jc w:val="left"/>
        <w:rPr/>
      </w:pPr>
      <w:r>
        <w:rPr/>
      </w:r>
    </w:p>
    <w:tbl>
      <w:tblPr>
        <w:tblW w:w="5835" w:type="dxa"/>
        <w:jc w:val="left"/>
        <w:tblInd w:w="0" w:type="dxa"/>
        <w:tblLayout w:type="fixed"/>
        <w:tblCellMar>
          <w:top w:w="0" w:type="dxa"/>
          <w:left w:w="0" w:type="dxa"/>
          <w:bottom w:w="0" w:type="dxa"/>
          <w:right w:w="0" w:type="dxa"/>
        </w:tblCellMar>
      </w:tblPr>
      <w:tblGrid>
        <w:gridCol w:w="2330"/>
        <w:gridCol w:w="1790"/>
        <w:gridCol w:w="1715"/>
      </w:tblGrid>
      <w:tr>
        <w:trPr/>
        <w:tc>
          <w:tcPr>
            <w:tcW w:w="2330"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15" w:type="dxa"/>
            <w:tcBorders/>
            <w:vAlign w:val="center"/>
          </w:tcPr>
          <w:p>
            <w:pPr>
              <w:pStyle w:val="TableContents"/>
              <w:bidi w:val="0"/>
              <w:spacing w:before="0" w:after="0"/>
              <w:jc w:val="right"/>
              <w:rPr>
                <w:color w:val="000000"/>
              </w:rPr>
            </w:pPr>
            <w:r>
              <w:rPr>
                <w:color w:val="000000"/>
              </w:rPr>
              <w:t>Page 2 of 6 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Jack W. Schuler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283"/>
              <w:jc w:val="left"/>
              <w:rPr/>
            </w:pPr>
            <w:r>
              <w:rPr/>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PF</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United States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208,362 (1)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30,579,359</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208,362 (1)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30,579,359</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30,787,721 (1)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32.1% (2)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IN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bc40748a52684bd097b35a6e81f7fd07"/>
      <w:bookmarkStart w:id="5" w:name="zbc40748a52684bd097b35a6e81f7fd07"/>
      <w:bookmarkEnd w:id="5"/>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color w:val="000000"/>
              </w:rPr>
            </w:pPr>
            <w:r>
              <w:rPr>
                <w:color w:val="000000"/>
              </w:rPr>
              <w:t>1.</w:t>
            </w:r>
          </w:p>
        </w:tc>
        <w:tc>
          <w:tcPr>
            <w:tcW w:w="10008" w:type="dxa"/>
            <w:tcBorders/>
            <w:vAlign w:val="center"/>
          </w:tcPr>
          <w:p>
            <w:pPr>
              <w:pStyle w:val="TableContents"/>
              <w:bidi w:val="0"/>
              <w:spacing w:before="0" w:after="0"/>
              <w:jc w:val="left"/>
              <w:rPr>
                <w:color w:val="000000"/>
              </w:rPr>
            </w:pPr>
            <w:r>
              <w:rPr>
                <w:color w:val="000000"/>
              </w:rPr>
              <w:t>This amount includes 208,362 Shares (as defined herein) that the Reporting Person has the right to acquire within 60 days of the date of this filing.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27fd0829d54a4fb5b448eb7d011694fc"/>
      <w:bookmarkStart w:id="7" w:name="z27fd0829d54a4fb5b448eb7d011694fc"/>
      <w:bookmarkEnd w:id="7"/>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2.</w:t>
            </w:r>
          </w:p>
        </w:tc>
        <w:tc>
          <w:tcPr>
            <w:tcW w:w="10035" w:type="dxa"/>
            <w:tcBorders/>
            <w:vAlign w:val="center"/>
          </w:tcPr>
          <w:p>
            <w:pPr>
              <w:pStyle w:val="TableContents"/>
              <w:bidi w:val="0"/>
              <w:spacing w:before="0" w:after="0"/>
              <w:jc w:val="left"/>
              <w:rPr>
                <w:color w:val="000000"/>
              </w:rPr>
            </w:pPr>
            <w:r>
              <w:rPr>
                <w:color w:val="000000"/>
              </w:rPr>
              <w:t>This percentage is based on a total of 78,614,114 Shares outstanding as of August 1, 2023, as reported in the Issuer’s quarterly report on Form 10-Q filed on August 7, 2023, plus the aggregate 16,975,298 Shares to be issued in the PIPE (as defined herein), and 208,362 Shares that the Reporting Person has the right to acquire within 60 days of the date of this filing.</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5835" w:type="dxa"/>
        <w:jc w:val="left"/>
        <w:tblInd w:w="0" w:type="dxa"/>
        <w:tblLayout w:type="fixed"/>
        <w:tblCellMar>
          <w:top w:w="0" w:type="dxa"/>
          <w:left w:w="0" w:type="dxa"/>
          <w:bottom w:w="0" w:type="dxa"/>
          <w:right w:w="0" w:type="dxa"/>
        </w:tblCellMar>
      </w:tblPr>
      <w:tblGrid>
        <w:gridCol w:w="2330"/>
        <w:gridCol w:w="1790"/>
        <w:gridCol w:w="1715"/>
      </w:tblGrid>
      <w:tr>
        <w:trPr/>
        <w:tc>
          <w:tcPr>
            <w:tcW w:w="2330"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15" w:type="dxa"/>
            <w:tcBorders/>
            <w:vAlign w:val="center"/>
          </w:tcPr>
          <w:p>
            <w:pPr>
              <w:pStyle w:val="TableContents"/>
              <w:bidi w:val="0"/>
              <w:spacing w:before="0" w:after="0"/>
              <w:jc w:val="right"/>
              <w:rPr>
                <w:color w:val="000000"/>
              </w:rPr>
            </w:pPr>
            <w:r>
              <w:rPr>
                <w:color w:val="000000"/>
              </w:rPr>
              <w:t>Page 3 of 6 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Jack W. Schuler Living Trust</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283"/>
              <w:jc w:val="left"/>
              <w:rPr/>
            </w:pPr>
            <w:r>
              <w:rPr/>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WC</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Illinois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283"/>
              <w:jc w:val="left"/>
              <w:rPr/>
            </w:pPr>
            <w:r>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30,579,359</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283"/>
              <w:jc w:val="left"/>
              <w:rPr/>
            </w:pPr>
            <w:r>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30,579,359</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30,579,359</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32.0% (1)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OO</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92a70311f1f44b58ab7bc191e01421ab"/>
      <w:bookmarkStart w:id="9" w:name="z92a70311f1f44b58ab7bc191e01421ab"/>
      <w:bookmarkEnd w:id="9"/>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color w:val="000000"/>
              </w:rPr>
            </w:pPr>
            <w:r>
              <w:rPr>
                <w:color w:val="000000"/>
              </w:rPr>
              <w:t>1.</w:t>
            </w:r>
          </w:p>
        </w:tc>
        <w:tc>
          <w:tcPr>
            <w:tcW w:w="10025" w:type="dxa"/>
            <w:tcBorders/>
            <w:vAlign w:val="center"/>
          </w:tcPr>
          <w:p>
            <w:pPr>
              <w:pStyle w:val="TableContents"/>
              <w:bidi w:val="0"/>
              <w:spacing w:before="0" w:after="0"/>
              <w:jc w:val="left"/>
              <w:rPr>
                <w:color w:val="000000"/>
              </w:rPr>
            </w:pPr>
            <w:r>
              <w:rPr>
                <w:color w:val="000000"/>
              </w:rPr>
              <w:t>This percentage is based on a total of 78,614,114 Shares outstanding as of August 1, 2023, as reported in the Issuer’s quarterly report on Form 10-Q filed on August 7, 2023, plus the aggregate 16,975,298 Shares to be issued in the PIPE.</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5835" w:type="dxa"/>
        <w:jc w:val="left"/>
        <w:tblInd w:w="0" w:type="dxa"/>
        <w:tblLayout w:type="fixed"/>
        <w:tblCellMar>
          <w:top w:w="0" w:type="dxa"/>
          <w:left w:w="0" w:type="dxa"/>
          <w:bottom w:w="0" w:type="dxa"/>
          <w:right w:w="0" w:type="dxa"/>
        </w:tblCellMar>
      </w:tblPr>
      <w:tblGrid>
        <w:gridCol w:w="2330"/>
        <w:gridCol w:w="1790"/>
        <w:gridCol w:w="1715"/>
      </w:tblGrid>
      <w:tr>
        <w:trPr/>
        <w:tc>
          <w:tcPr>
            <w:tcW w:w="2330"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15" w:type="dxa"/>
            <w:tcBorders/>
            <w:vAlign w:val="center"/>
          </w:tcPr>
          <w:p>
            <w:pPr>
              <w:pStyle w:val="TableContents"/>
              <w:bidi w:val="0"/>
              <w:spacing w:before="0" w:after="0"/>
              <w:jc w:val="right"/>
              <w:rPr>
                <w:color w:val="000000"/>
              </w:rPr>
            </w:pPr>
            <w:r>
              <w:rPr>
                <w:color w:val="000000"/>
              </w:rPr>
              <w:t>Page 4 of 6 Pages</w:t>
            </w:r>
          </w:p>
        </w:tc>
      </w:tr>
    </w:tbl>
    <w:p>
      <w:pPr>
        <w:pStyle w:val="Normal"/>
        <w:bidi w:val="0"/>
        <w:spacing w:before="0" w:after="0"/>
        <w:jc w:val="left"/>
        <w:rPr>
          <w:sz w:val="4"/>
          <w:szCs w:val="4"/>
        </w:rPr>
      </w:pPr>
      <w:r>
        <w:rPr>
          <w:sz w:val="4"/>
          <w:szCs w:val="4"/>
        </w:rPr>
      </w:r>
      <w:bookmarkStart w:id="10" w:name="z463920b8cd594a8bbea392b8a3fe0ebd"/>
      <w:bookmarkStart w:id="11" w:name="z463920b8cd594a8bbea392b8a3fe0ebd"/>
      <w:bookmarkEnd w:id="11"/>
    </w:p>
    <w:tbl>
      <w:tblPr>
        <w:tblW w:w="2740" w:type="dxa"/>
        <w:jc w:val="left"/>
        <w:tblInd w:w="0" w:type="dxa"/>
        <w:tblLayout w:type="fixed"/>
        <w:tblCellMar>
          <w:top w:w="0" w:type="dxa"/>
          <w:left w:w="0" w:type="dxa"/>
          <w:bottom w:w="0" w:type="dxa"/>
          <w:right w:w="0" w:type="dxa"/>
        </w:tblCellMar>
      </w:tblPr>
      <w:tblGrid>
        <w:gridCol w:w="740"/>
        <w:gridCol w:w="2000"/>
      </w:tblGrid>
      <w:tr>
        <w:trPr/>
        <w:tc>
          <w:tcPr>
            <w:tcW w:w="740" w:type="dxa"/>
            <w:tcBorders/>
            <w:vAlign w:val="center"/>
          </w:tcPr>
          <w:p>
            <w:pPr>
              <w:pStyle w:val="TableContents"/>
              <w:bidi w:val="0"/>
              <w:spacing w:before="0" w:after="283"/>
              <w:jc w:val="left"/>
              <w:rPr>
                <w:b/>
                <w:color w:val="000000"/>
              </w:rPr>
            </w:pPr>
            <w:r>
              <w:rPr>
                <w:b/>
                <w:color w:val="000000"/>
              </w:rPr>
              <w:t>Item 1.</w:t>
            </w:r>
          </w:p>
        </w:tc>
        <w:tc>
          <w:tcPr>
            <w:tcW w:w="2000" w:type="dxa"/>
            <w:tcBorders/>
            <w:vAlign w:val="center"/>
          </w:tcPr>
          <w:p>
            <w:pPr>
              <w:pStyle w:val="TableContents"/>
              <w:bidi w:val="0"/>
              <w:spacing w:before="0" w:after="0"/>
              <w:jc w:val="left"/>
              <w:rPr>
                <w:b/>
                <w:color w:val="000000"/>
              </w:rPr>
            </w:pPr>
            <w:r>
              <w:rPr>
                <w:b/>
                <w:color w:val="000000"/>
              </w:rPr>
              <w:t>Security and Issuer</w:t>
            </w:r>
          </w:p>
        </w:tc>
      </w:tr>
    </w:tbl>
    <w:p>
      <w:pPr>
        <w:pStyle w:val="TextBody"/>
        <w:bidi w:val="0"/>
        <w:spacing w:before="0" w:after="0"/>
        <w:jc w:val="left"/>
        <w:rPr/>
      </w:pPr>
      <w:r>
        <w:rPr/>
      </w:r>
    </w:p>
    <w:p>
      <w:pPr>
        <w:pStyle w:val="TextBody"/>
        <w:bidi w:val="0"/>
        <w:spacing w:before="0" w:after="0"/>
        <w:ind w:left="0" w:right="0" w:firstLine="1440"/>
        <w:jc w:val="both"/>
        <w:rPr>
          <w:i/>
          <w:color w:val="000000"/>
        </w:rPr>
      </w:pPr>
      <w:r>
        <w:rPr>
          <w:i/>
          <w:color w:val="000000"/>
        </w:rPr>
        <w:t>Item 1 of the Schedule 13D is hereby amended and supplemented as follows:</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This Amendment No. 4 to Schedule 13D (“Amendment No. 4”) is being filed by the undersigned, pursuant to §240.13d-2(a), to amend and supplement the Schedule 13D filed with the U.S. Securities and Exchange Commission (the “SEC”) on November 9, 2020, (the “Initial Schedule 13D”), as amended on January 28, 2022, on April 11, 2022, and on November 23, 2022 (collectively, the “Schedule 13D”), with respect to the common stock, par value $0.001 per share (the “Shares”), of Biodesix, Inc. (the “Issuer” or the “Company”), whose principal executive offices are located at 2970 Wilderness Place, Suite 100, Boulder, Colorado 80301.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34f5de3bd6f14bee95b7c35caa587dde"/>
      <w:bookmarkStart w:id="13" w:name="z34f5de3bd6f14bee95b7c35caa587dde"/>
      <w:bookmarkEnd w:id="13"/>
    </w:p>
    <w:tbl>
      <w:tblPr>
        <w:tblW w:w="6235" w:type="dxa"/>
        <w:jc w:val="left"/>
        <w:tblInd w:w="0" w:type="dxa"/>
        <w:tblLayout w:type="fixed"/>
        <w:tblCellMar>
          <w:top w:w="0" w:type="dxa"/>
          <w:left w:w="0" w:type="dxa"/>
          <w:bottom w:w="0" w:type="dxa"/>
          <w:right w:w="0" w:type="dxa"/>
        </w:tblCellMar>
      </w:tblPr>
      <w:tblGrid>
        <w:gridCol w:w="740"/>
        <w:gridCol w:w="5495"/>
      </w:tblGrid>
      <w:tr>
        <w:trPr/>
        <w:tc>
          <w:tcPr>
            <w:tcW w:w="740" w:type="dxa"/>
            <w:tcBorders/>
            <w:vAlign w:val="center"/>
          </w:tcPr>
          <w:p>
            <w:pPr>
              <w:pStyle w:val="TableContents"/>
              <w:bidi w:val="0"/>
              <w:spacing w:before="0" w:after="283"/>
              <w:jc w:val="left"/>
              <w:rPr>
                <w:b/>
                <w:color w:val="000000"/>
              </w:rPr>
            </w:pPr>
            <w:r>
              <w:rPr>
                <w:b/>
                <w:color w:val="000000"/>
              </w:rPr>
              <w:t>Item 3.</w:t>
            </w:r>
          </w:p>
        </w:tc>
        <w:tc>
          <w:tcPr>
            <w:tcW w:w="5495" w:type="dxa"/>
            <w:tcBorders/>
            <w:vAlign w:val="center"/>
          </w:tcPr>
          <w:p>
            <w:pPr>
              <w:pStyle w:val="TableContents"/>
              <w:bidi w:val="0"/>
              <w:spacing w:before="0" w:after="0"/>
              <w:jc w:val="left"/>
              <w:rPr>
                <w:b/>
                <w:color w:val="000000"/>
              </w:rPr>
            </w:pPr>
            <w:r>
              <w:rPr>
                <w:b/>
                <w:color w:val="000000"/>
              </w:rPr>
              <w:t>Source and Amount of Funds or Other Consideration</w:t>
            </w:r>
          </w:p>
        </w:tc>
      </w:tr>
    </w:tbl>
    <w:p>
      <w:pPr>
        <w:pStyle w:val="TextBody"/>
        <w:bidi w:val="0"/>
        <w:spacing w:before="0" w:after="0"/>
        <w:jc w:val="left"/>
        <w:rPr/>
      </w:pPr>
      <w:r>
        <w:rPr/>
      </w:r>
    </w:p>
    <w:p>
      <w:pPr>
        <w:pStyle w:val="TextBody"/>
        <w:bidi w:val="0"/>
        <w:spacing w:before="0" w:after="0"/>
        <w:ind w:left="1440" w:right="0" w:hanging="0"/>
        <w:jc w:val="left"/>
        <w:rPr>
          <w:i/>
          <w:color w:val="000000"/>
        </w:rPr>
      </w:pPr>
      <w:r>
        <w:rPr>
          <w:i/>
          <w:color w:val="000000"/>
        </w:rPr>
        <w:t>Item 3 of the Schedule 13D is hereby amended and supplemented as follows:</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On August 3, 2023, the Issuer entered into subscription agreements (the “Subscription Agreements”) with certain shareholders of the Issuer, including the Trust, and management (the “Subscribers”), pursuant to which the Subscribers agreed to subscribe for and purchase, and the Issuer agreed to issue and sell to the Subscribers, an aggregate of 16,975,298 Shares in a private equity offering, at a purchase price of $1.62 per Share, for an aggregate purchase price of approximately $27.5 million (the “PIPE”). Pursuant to the Subscription Agreements, funding will occur in two separate tranches on August 31, 2023 and September 29, 2023. The Subscription Agreements include customary representations, warranties and covenants by the parties to the Subscription Agreements. The Subscription Agreements do not include any registration rights.</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The Trust purchased 9,989,506 Shares in the PIPE, at a purchase price of $1.62 per Share, for an aggregate purchase price of approximately $16,183,000, using Mr. Schuler’s personal funds.</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The foregoing description of the Subscription Agreements does not purport to be complete and is qualified in its entirety by reference to the full text of the Subscription Agreements, the form of which is attached as Exhibit 4 to this Amendment No. 4 and is incorporated herein by reference.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c33f3c660b7b49658c39f092ee991639"/>
      <w:bookmarkStart w:id="15" w:name="zc33f3c660b7b49658c39f092ee991639"/>
      <w:bookmarkEnd w:id="15"/>
    </w:p>
    <w:tbl>
      <w:tblPr>
        <w:tblW w:w="3160" w:type="dxa"/>
        <w:jc w:val="left"/>
        <w:tblInd w:w="0" w:type="dxa"/>
        <w:tblLayout w:type="fixed"/>
        <w:tblCellMar>
          <w:top w:w="0" w:type="dxa"/>
          <w:left w:w="0" w:type="dxa"/>
          <w:bottom w:w="0" w:type="dxa"/>
          <w:right w:w="0" w:type="dxa"/>
        </w:tblCellMar>
      </w:tblPr>
      <w:tblGrid>
        <w:gridCol w:w="740"/>
        <w:gridCol w:w="2420"/>
      </w:tblGrid>
      <w:tr>
        <w:trPr/>
        <w:tc>
          <w:tcPr>
            <w:tcW w:w="740" w:type="dxa"/>
            <w:tcBorders/>
            <w:vAlign w:val="center"/>
          </w:tcPr>
          <w:p>
            <w:pPr>
              <w:pStyle w:val="TableContents"/>
              <w:bidi w:val="0"/>
              <w:spacing w:before="0" w:after="283"/>
              <w:jc w:val="left"/>
              <w:rPr>
                <w:b/>
                <w:color w:val="000000"/>
              </w:rPr>
            </w:pPr>
            <w:r>
              <w:rPr>
                <w:b/>
                <w:color w:val="000000"/>
              </w:rPr>
              <w:t>Item 4.</w:t>
            </w:r>
          </w:p>
        </w:tc>
        <w:tc>
          <w:tcPr>
            <w:tcW w:w="2420" w:type="dxa"/>
            <w:tcBorders/>
            <w:vAlign w:val="center"/>
          </w:tcPr>
          <w:p>
            <w:pPr>
              <w:pStyle w:val="TableContents"/>
              <w:bidi w:val="0"/>
              <w:spacing w:before="0" w:after="0"/>
              <w:jc w:val="left"/>
              <w:rPr>
                <w:b/>
                <w:color w:val="000000"/>
              </w:rPr>
            </w:pPr>
            <w:r>
              <w:rPr>
                <w:b/>
                <w:color w:val="000000"/>
              </w:rPr>
              <w:t>Purpose of Transaction</w:t>
            </w:r>
          </w:p>
        </w:tc>
      </w:tr>
    </w:tbl>
    <w:p>
      <w:pPr>
        <w:pStyle w:val="TextBody"/>
        <w:bidi w:val="0"/>
        <w:spacing w:before="0" w:after="0"/>
        <w:jc w:val="left"/>
        <w:rPr/>
      </w:pPr>
      <w:r>
        <w:rPr/>
      </w:r>
    </w:p>
    <w:p>
      <w:pPr>
        <w:pStyle w:val="TextBody"/>
        <w:bidi w:val="0"/>
        <w:spacing w:before="0" w:after="0"/>
        <w:ind w:left="1440" w:right="0" w:hanging="0"/>
        <w:jc w:val="both"/>
        <w:rPr>
          <w:i/>
          <w:color w:val="000000"/>
        </w:rPr>
      </w:pPr>
      <w:r>
        <w:rPr>
          <w:i/>
          <w:color w:val="000000"/>
        </w:rPr>
        <w:t>Item 4 of the Schedule 13D is hereby amended and supplemented as follows:</w:t>
      </w:r>
    </w:p>
    <w:p>
      <w:pPr>
        <w:pStyle w:val="TextBody"/>
        <w:bidi w:val="0"/>
        <w:spacing w:before="0" w:after="0"/>
        <w:jc w:val="left"/>
        <w:rPr/>
      </w:pPr>
      <w:r>
        <w:rPr/>
      </w:r>
    </w:p>
    <w:p>
      <w:pPr>
        <w:pStyle w:val="TextBody"/>
        <w:bidi w:val="0"/>
        <w:spacing w:before="0" w:after="0"/>
        <w:ind w:left="720" w:right="0" w:firstLine="720"/>
        <w:jc w:val="left"/>
        <w:rPr>
          <w:color w:val="000000"/>
        </w:rPr>
      </w:pPr>
      <w:r>
        <w:rPr>
          <w:color w:val="000000"/>
        </w:rPr>
        <w:t>The response to Item 3 of this Amendment No. 4 is incorporated by reference herein.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310bc181caa44ef38fd2edf225f2f46d"/>
      <w:bookmarkStart w:id="17" w:name="z310bc181caa44ef38fd2edf225f2f46d"/>
      <w:bookmarkEnd w:id="17"/>
    </w:p>
    <w:tbl>
      <w:tblPr>
        <w:tblW w:w="4150" w:type="dxa"/>
        <w:jc w:val="left"/>
        <w:tblInd w:w="0" w:type="dxa"/>
        <w:tblLayout w:type="fixed"/>
        <w:tblCellMar>
          <w:top w:w="0" w:type="dxa"/>
          <w:left w:w="0" w:type="dxa"/>
          <w:bottom w:w="0" w:type="dxa"/>
          <w:right w:w="0" w:type="dxa"/>
        </w:tblCellMar>
      </w:tblPr>
      <w:tblGrid>
        <w:gridCol w:w="740"/>
        <w:gridCol w:w="3410"/>
      </w:tblGrid>
      <w:tr>
        <w:trPr/>
        <w:tc>
          <w:tcPr>
            <w:tcW w:w="740" w:type="dxa"/>
            <w:tcBorders/>
            <w:vAlign w:val="center"/>
          </w:tcPr>
          <w:p>
            <w:pPr>
              <w:pStyle w:val="TableContents"/>
              <w:bidi w:val="0"/>
              <w:spacing w:before="0" w:after="283"/>
              <w:jc w:val="left"/>
              <w:rPr>
                <w:b/>
                <w:color w:val="000000"/>
              </w:rPr>
            </w:pPr>
            <w:r>
              <w:rPr>
                <w:b/>
                <w:color w:val="000000"/>
              </w:rPr>
              <w:t>Item 5.</w:t>
            </w:r>
          </w:p>
        </w:tc>
        <w:tc>
          <w:tcPr>
            <w:tcW w:w="3410" w:type="dxa"/>
            <w:tcBorders/>
            <w:vAlign w:val="center"/>
          </w:tcPr>
          <w:p>
            <w:pPr>
              <w:pStyle w:val="TableContents"/>
              <w:bidi w:val="0"/>
              <w:spacing w:before="0" w:after="0"/>
              <w:jc w:val="left"/>
              <w:rPr>
                <w:b/>
                <w:color w:val="000000"/>
              </w:rPr>
            </w:pPr>
            <w:r>
              <w:rPr>
                <w:b/>
                <w:color w:val="000000"/>
              </w:rPr>
              <w:t>Interest in Securities of the Issuer</w:t>
            </w:r>
          </w:p>
        </w:tc>
      </w:tr>
    </w:tbl>
    <w:p>
      <w:pPr>
        <w:pStyle w:val="TextBody"/>
        <w:bidi w:val="0"/>
        <w:spacing w:before="0" w:after="0"/>
        <w:jc w:val="left"/>
        <w:rPr/>
      </w:pPr>
      <w:r>
        <w:rPr/>
      </w:r>
    </w:p>
    <w:p>
      <w:pPr>
        <w:pStyle w:val="TextBody"/>
        <w:bidi w:val="0"/>
        <w:spacing w:before="0" w:after="0"/>
        <w:ind w:left="0" w:right="0" w:firstLine="1440"/>
        <w:jc w:val="both"/>
        <w:rPr>
          <w:i/>
          <w:color w:val="000000"/>
        </w:rPr>
      </w:pPr>
      <w:r>
        <w:rPr>
          <w:i/>
          <w:color w:val="000000"/>
        </w:rPr>
        <w:t>Item 5(a) - (c) of the Schedule 13D is hereby amended and supplemented as follows:</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(a, b) As of the date hereof, Mr. Schuler may be deemed to beneficially own, in the aggregate, 30,787,721 Shares, which represents approximately 32.1% of the Shares outstanding.</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Mr. Schuler’s beneficial ownership consists of (1) 46,102 Shares that Mr. Schuler has the right to acquire upon exercise of options exercisable within 60 days of the date of this filing, (2) 162,260 Shares that Mr. Schuler has the right to acquire upon vesting of RSUs within 60 days of the date of this filing, and (3) 30,579,359 Shares held by the Trust, representing approximately 32.0% of the Shares outstanding.</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The foregoing beneficial ownership percentages are based on a total of 78,614,114 Shares outstanding as of August 1, 2023, as reported in the Issuer’s quarterly report on Form 10-Q filed on August 7, 2023, plus the aggregate 16,975,298 Shares to be issued in the PIPE, and, for purposes of calculating Mr. Schuler’s beneficial ownership percentage, 208,362 Shares that Mr. Schuler has the right to acquire within 60 days of the date of this filing.</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As sole trustee of the Trust, Mr. Schuler shares with the Trust the power to vote or direct the vote, and the power to dispose or direct the disposition of, the 30,579,359 Shares beneficially owned by the Trust.</w:t>
      </w:r>
    </w:p>
    <w:p>
      <w:pPr>
        <w:pStyle w:val="TextBody"/>
        <w:bidi w:val="0"/>
        <w:spacing w:before="0" w:after="0"/>
        <w:ind w:left="0" w:right="0" w:firstLine="1440"/>
        <w:jc w:val="both"/>
        <w:rPr>
          <w:color w:val="000000"/>
        </w:rPr>
      </w:pPr>
      <w:r>
        <w:rPr>
          <w:color w:val="000000"/>
        </w:rPr>
      </w:r>
    </w:p>
    <w:p>
      <w:pPr>
        <w:pStyle w:val="HorizontalLine"/>
        <w:pBdr>
          <w:bottom w:val="single" w:sz="12" w:space="0" w:color="808080"/>
        </w:pBdr>
        <w:bidi w:val="0"/>
        <w:jc w:val="left"/>
        <w:rPr/>
      </w:pPr>
      <w:r>
        <w:rPr/>
      </w:r>
    </w:p>
    <w:tbl>
      <w:tblPr>
        <w:tblW w:w="5835" w:type="dxa"/>
        <w:jc w:val="left"/>
        <w:tblInd w:w="0" w:type="dxa"/>
        <w:tblLayout w:type="fixed"/>
        <w:tblCellMar>
          <w:top w:w="0" w:type="dxa"/>
          <w:left w:w="0" w:type="dxa"/>
          <w:bottom w:w="0" w:type="dxa"/>
          <w:right w:w="0" w:type="dxa"/>
        </w:tblCellMar>
      </w:tblPr>
      <w:tblGrid>
        <w:gridCol w:w="2330"/>
        <w:gridCol w:w="1790"/>
        <w:gridCol w:w="1715"/>
      </w:tblGrid>
      <w:tr>
        <w:trPr/>
        <w:tc>
          <w:tcPr>
            <w:tcW w:w="2330"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15" w:type="dxa"/>
            <w:tcBorders/>
            <w:vAlign w:val="center"/>
          </w:tcPr>
          <w:p>
            <w:pPr>
              <w:pStyle w:val="TableContents"/>
              <w:bidi w:val="0"/>
              <w:spacing w:before="0" w:after="0"/>
              <w:jc w:val="right"/>
              <w:rPr>
                <w:color w:val="000000"/>
              </w:rPr>
            </w:pPr>
            <w:r>
              <w:rPr>
                <w:color w:val="000000"/>
              </w:rPr>
              <w:t>Page 5 of 6 Pages</w:t>
            </w:r>
          </w:p>
        </w:tc>
      </w:tr>
    </w:tbl>
    <w:p>
      <w:pPr>
        <w:pStyle w:val="TextBody"/>
        <w:bidi w:val="0"/>
        <w:spacing w:before="0" w:after="0"/>
        <w:ind w:left="0" w:right="0" w:firstLine="1440"/>
        <w:jc w:val="both"/>
        <w:rPr>
          <w:color w:val="000000"/>
        </w:rPr>
      </w:pPr>
      <w:r>
        <w:rPr>
          <w:color w:val="000000"/>
        </w:rPr>
        <w:t>(c) The response to Item 3 of this Amendment No. 4 is incorporated by reference herein. Except as set forth in this Amendment No. 4, no transactions in the Shares have been effected by the Reporting Person within the past 60 days.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2c803dbed8a1436abbdbc9925b83c070"/>
      <w:bookmarkStart w:id="19" w:name="z2c803dbed8a1436abbdbc9925b83c070"/>
      <w:bookmarkEnd w:id="19"/>
    </w:p>
    <w:tbl>
      <w:tblPr>
        <w:tblW w:w="10205" w:type="dxa"/>
        <w:jc w:val="left"/>
        <w:tblInd w:w="0" w:type="dxa"/>
        <w:tblLayout w:type="fixed"/>
        <w:tblCellMar>
          <w:top w:w="0" w:type="dxa"/>
          <w:left w:w="0" w:type="dxa"/>
          <w:bottom w:w="0" w:type="dxa"/>
          <w:right w:w="0" w:type="dxa"/>
        </w:tblCellMar>
      </w:tblPr>
      <w:tblGrid>
        <w:gridCol w:w="722"/>
        <w:gridCol w:w="9483"/>
      </w:tblGrid>
      <w:tr>
        <w:trPr/>
        <w:tc>
          <w:tcPr>
            <w:tcW w:w="722" w:type="dxa"/>
            <w:tcBorders/>
            <w:vAlign w:val="center"/>
          </w:tcPr>
          <w:p>
            <w:pPr>
              <w:pStyle w:val="TableContents"/>
              <w:bidi w:val="0"/>
              <w:spacing w:before="0" w:after="283"/>
              <w:jc w:val="left"/>
              <w:rPr>
                <w:b/>
                <w:color w:val="000000"/>
              </w:rPr>
            </w:pPr>
            <w:r>
              <w:rPr>
                <w:b/>
                <w:color w:val="000000"/>
              </w:rPr>
              <w:t>Item 6.</w:t>
            </w:r>
          </w:p>
        </w:tc>
        <w:tc>
          <w:tcPr>
            <w:tcW w:w="9483" w:type="dxa"/>
            <w:tcBorders/>
            <w:vAlign w:val="center"/>
          </w:tcPr>
          <w:p>
            <w:pPr>
              <w:pStyle w:val="TableContents"/>
              <w:bidi w:val="0"/>
              <w:spacing w:before="0" w:after="0"/>
              <w:jc w:val="left"/>
              <w:rPr>
                <w:b/>
                <w:color w:val="000000"/>
              </w:rPr>
            </w:pPr>
            <w:r>
              <w:rPr>
                <w:b/>
                <w:color w:val="000000"/>
              </w:rPr>
              <w:t>Contracts, Arrangements, Understandings or Relationships with Respect to Securities of the Issuer.</w:t>
            </w:r>
          </w:p>
        </w:tc>
      </w:tr>
    </w:tbl>
    <w:p>
      <w:pPr>
        <w:pStyle w:val="TextBody"/>
        <w:bidi w:val="0"/>
        <w:spacing w:before="0" w:after="0"/>
        <w:jc w:val="left"/>
        <w:rPr/>
      </w:pPr>
      <w:r>
        <w:rPr/>
      </w:r>
    </w:p>
    <w:p>
      <w:pPr>
        <w:pStyle w:val="TextBody"/>
        <w:bidi w:val="0"/>
        <w:spacing w:before="0" w:after="0"/>
        <w:ind w:left="1440" w:right="0" w:hanging="0"/>
        <w:jc w:val="left"/>
        <w:rPr>
          <w:i/>
          <w:color w:val="000000"/>
        </w:rPr>
      </w:pPr>
      <w:r>
        <w:rPr>
          <w:i/>
          <w:color w:val="000000"/>
        </w:rPr>
        <w:t>Item 6 of the Schedule 13D is hereby amended and supplemented as follows:</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The response to Item 3 of this Amendment No. 4 is incorporated by reference herein.</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Except as otherwise set forth in this Amendment No. 4, there are no contracts, arrangements, understandings or relationships between the Reporting Persons and any other person with respect to any securities of the Issuer.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6dc5676bb123412fbb802cae3a2c4ee9"/>
      <w:bookmarkStart w:id="21" w:name="z6dc5676bb123412fbb802cae3a2c4ee9"/>
      <w:bookmarkEnd w:id="21"/>
    </w:p>
    <w:tbl>
      <w:tblPr>
        <w:tblW w:w="3940" w:type="dxa"/>
        <w:jc w:val="left"/>
        <w:tblInd w:w="0" w:type="dxa"/>
        <w:tblLayout w:type="fixed"/>
        <w:tblCellMar>
          <w:top w:w="0" w:type="dxa"/>
          <w:left w:w="0" w:type="dxa"/>
          <w:bottom w:w="0" w:type="dxa"/>
          <w:right w:w="0" w:type="dxa"/>
        </w:tblCellMar>
      </w:tblPr>
      <w:tblGrid>
        <w:gridCol w:w="740"/>
        <w:gridCol w:w="3200"/>
      </w:tblGrid>
      <w:tr>
        <w:trPr/>
        <w:tc>
          <w:tcPr>
            <w:tcW w:w="740" w:type="dxa"/>
            <w:tcBorders/>
            <w:vAlign w:val="center"/>
          </w:tcPr>
          <w:p>
            <w:pPr>
              <w:pStyle w:val="TableContents"/>
              <w:bidi w:val="0"/>
              <w:spacing w:before="0" w:after="283"/>
              <w:jc w:val="left"/>
              <w:rPr>
                <w:b/>
                <w:color w:val="000000"/>
              </w:rPr>
            </w:pPr>
            <w:r>
              <w:rPr>
                <w:b/>
                <w:color w:val="000000"/>
              </w:rPr>
              <w:t>Item 7.</w:t>
            </w:r>
          </w:p>
        </w:tc>
        <w:tc>
          <w:tcPr>
            <w:tcW w:w="3200" w:type="dxa"/>
            <w:tcBorders/>
            <w:vAlign w:val="center"/>
          </w:tcPr>
          <w:p>
            <w:pPr>
              <w:pStyle w:val="TableContents"/>
              <w:bidi w:val="0"/>
              <w:spacing w:before="0" w:after="0"/>
              <w:jc w:val="left"/>
              <w:rPr>
                <w:b/>
                <w:color w:val="000000"/>
              </w:rPr>
            </w:pPr>
            <w:r>
              <w:rPr>
                <w:b/>
                <w:color w:val="000000"/>
              </w:rPr>
              <w:t>Material to be Filed as Exhibits</w:t>
            </w:r>
          </w:p>
        </w:tc>
      </w:tr>
    </w:tbl>
    <w:p>
      <w:pPr>
        <w:pStyle w:val="TextBody"/>
        <w:bidi w:val="0"/>
        <w:spacing w:before="0" w:after="0"/>
        <w:jc w:val="left"/>
        <w:rPr/>
      </w:pPr>
      <w:r>
        <w:rPr/>
      </w:r>
    </w:p>
    <w:p>
      <w:pPr>
        <w:pStyle w:val="TextBody"/>
        <w:bidi w:val="0"/>
        <w:spacing w:before="0" w:after="0"/>
        <w:ind w:left="1440" w:right="0" w:hanging="0"/>
        <w:jc w:val="left"/>
        <w:rPr>
          <w:i/>
          <w:color w:val="000000"/>
        </w:rPr>
      </w:pPr>
      <w:r>
        <w:rPr>
          <w:i/>
          <w:color w:val="000000"/>
        </w:rPr>
        <w:t>Item 7 of the Schedule 13D is hereby amended and supplemented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f0835118bc424d3898555c54ab8a491f"/>
      <w:bookmarkStart w:id="23" w:name="zf0835118bc424d3898555c54ab8a491f"/>
      <w:bookmarkEnd w:id="23"/>
    </w:p>
    <w:tbl>
      <w:tblPr>
        <w:tblW w:w="10205" w:type="dxa"/>
        <w:jc w:val="left"/>
        <w:tblInd w:w="0" w:type="dxa"/>
        <w:tblLayout w:type="fixed"/>
        <w:tblCellMar>
          <w:top w:w="0" w:type="dxa"/>
          <w:left w:w="0" w:type="dxa"/>
          <w:bottom w:w="0" w:type="dxa"/>
          <w:right w:w="0" w:type="dxa"/>
        </w:tblCellMar>
      </w:tblPr>
      <w:tblGrid>
        <w:gridCol w:w="829"/>
        <w:gridCol w:w="9376"/>
      </w:tblGrid>
      <w:tr>
        <w:trPr/>
        <w:tc>
          <w:tcPr>
            <w:tcW w:w="829" w:type="dxa"/>
            <w:tcBorders/>
            <w:vAlign w:val="center"/>
          </w:tcPr>
          <w:p>
            <w:pPr>
              <w:pStyle w:val="TableContents"/>
              <w:bidi w:val="0"/>
              <w:spacing w:before="0" w:after="283"/>
              <w:jc w:val="left"/>
              <w:rPr>
                <w:color w:val="000000"/>
              </w:rPr>
            </w:pPr>
            <w:r>
              <w:rPr>
                <w:color w:val="000000"/>
              </w:rPr>
              <w:t>Exhibit 4</w:t>
            </w:r>
          </w:p>
        </w:tc>
        <w:tc>
          <w:tcPr>
            <w:tcW w:w="9376" w:type="dxa"/>
            <w:tcBorders/>
            <w:vAlign w:val="center"/>
          </w:tcPr>
          <w:p>
            <w:pPr>
              <w:pStyle w:val="TableContents"/>
              <w:bidi w:val="0"/>
              <w:spacing w:before="0" w:after="0"/>
              <w:jc w:val="left"/>
              <w:rPr>
                <w:color w:val="000000"/>
              </w:rPr>
            </w:pPr>
            <w:r>
              <w:rPr>
                <w:color w:val="000000"/>
              </w:rPr>
              <w:t>Form of Subscription Agreement (incorporated by reference to Exhibit 10.1 to the Issuer’s quarterly report on Form 10-Q filed with the SEC on August 7, 2023).</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5835" w:type="dxa"/>
        <w:jc w:val="left"/>
        <w:tblInd w:w="0" w:type="dxa"/>
        <w:tblLayout w:type="fixed"/>
        <w:tblCellMar>
          <w:top w:w="0" w:type="dxa"/>
          <w:left w:w="0" w:type="dxa"/>
          <w:bottom w:w="0" w:type="dxa"/>
          <w:right w:w="0" w:type="dxa"/>
        </w:tblCellMar>
      </w:tblPr>
      <w:tblGrid>
        <w:gridCol w:w="2330"/>
        <w:gridCol w:w="1790"/>
        <w:gridCol w:w="1715"/>
      </w:tblGrid>
      <w:tr>
        <w:trPr/>
        <w:tc>
          <w:tcPr>
            <w:tcW w:w="2330"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15" w:type="dxa"/>
            <w:tcBorders/>
            <w:vAlign w:val="center"/>
          </w:tcPr>
          <w:p>
            <w:pPr>
              <w:pStyle w:val="TableContents"/>
              <w:bidi w:val="0"/>
              <w:spacing w:before="0" w:after="0"/>
              <w:jc w:val="right"/>
              <w:rPr>
                <w:color w:val="000000"/>
              </w:rPr>
            </w:pPr>
            <w:r>
              <w:rPr>
                <w:color w:val="000000"/>
              </w:rPr>
              <w:t>Page 6 of 6 Pages</w:t>
            </w:r>
          </w:p>
        </w:tc>
      </w:tr>
    </w:tbl>
    <w:p>
      <w:pPr>
        <w:pStyle w:val="TextBody"/>
        <w:bidi w:val="0"/>
        <w:spacing w:before="0" w:after="0"/>
        <w:jc w:val="center"/>
        <w:rPr>
          <w:b/>
          <w:color w:val="000000"/>
        </w:rPr>
      </w:pPr>
      <w:r>
        <w:rPr>
          <w:b/>
          <w:color w:val="000000"/>
        </w:rPr>
        <w:t>SIGNATURE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After reasonable inquiry and to the best of my knowledge and belief, I certify that the information set forth in this statement is true, complete and correct.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95e4bfd5598146d08eacf9ed5994302f"/>
      <w:bookmarkStart w:id="25" w:name="z95e4bfd5598146d08eacf9ed5994302f"/>
      <w:bookmarkEnd w:id="25"/>
    </w:p>
    <w:tbl>
      <w:tblPr>
        <w:tblW w:w="4660" w:type="dxa"/>
        <w:jc w:val="left"/>
        <w:tblInd w:w="0" w:type="dxa"/>
        <w:tblLayout w:type="fixed"/>
        <w:tblCellMar>
          <w:top w:w="0" w:type="dxa"/>
          <w:left w:w="0" w:type="dxa"/>
          <w:bottom w:w="0" w:type="dxa"/>
          <w:right w:w="0" w:type="dxa"/>
        </w:tblCellMar>
      </w:tblPr>
      <w:tblGrid>
        <w:gridCol w:w="1610"/>
        <w:gridCol w:w="3050"/>
      </w:tblGrid>
      <w:tr>
        <w:trPr/>
        <w:tc>
          <w:tcPr>
            <w:tcW w:w="161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b/>
                <w:color w:val="000000"/>
              </w:rPr>
            </w:pPr>
            <w:r>
              <w:rPr>
                <w:b/>
                <w:color w:val="000000"/>
              </w:rPr>
              <w:t>Jack W. Schuler</w:t>
            </w:r>
          </w:p>
        </w:tc>
      </w:tr>
      <w:tr>
        <w:trPr/>
        <w:tc>
          <w:tcPr>
            <w:tcW w:w="161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color w:val="000000"/>
                <w:u w:val="single"/>
              </w:rPr>
            </w:pPr>
            <w:r>
              <w:rPr>
                <w:color w:val="000000"/>
                <w:u w:val="single"/>
              </w:rPr>
              <w:t>/s/ Jack W. Schuler</w:t>
            </w:r>
          </w:p>
        </w:tc>
      </w:tr>
      <w:tr>
        <w:trPr/>
        <w:tc>
          <w:tcPr>
            <w:tcW w:w="161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b/>
                <w:color w:val="000000"/>
              </w:rPr>
            </w:pPr>
            <w:r>
              <w:rPr>
                <w:b/>
                <w:color w:val="000000"/>
              </w:rPr>
              <w:t>Jack W. Schuler Living Trust</w:t>
            </w:r>
          </w:p>
        </w:tc>
      </w:tr>
      <w:tr>
        <w:trPr/>
        <w:tc>
          <w:tcPr>
            <w:tcW w:w="161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color w:val="000000"/>
                <w:u w:val="single"/>
              </w:rPr>
            </w:pPr>
            <w:r>
              <w:rPr>
                <w:color w:val="000000"/>
                <w:u w:val="single"/>
              </w:rPr>
              <w:t>/s/ Jack W. Schuler</w:t>
            </w:r>
          </w:p>
        </w:tc>
      </w:tr>
      <w:tr>
        <w:trPr/>
        <w:tc>
          <w:tcPr>
            <w:tcW w:w="161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color w:val="000000"/>
              </w:rPr>
            </w:pPr>
            <w:r>
              <w:rPr>
                <w:color w:val="000000"/>
              </w:rPr>
              <w:t>Name: Jack W. Schuler</w:t>
            </w:r>
          </w:p>
        </w:tc>
      </w:tr>
      <w:tr>
        <w:trPr/>
        <w:tc>
          <w:tcPr>
            <w:tcW w:w="161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color w:val="000000"/>
              </w:rPr>
            </w:pPr>
            <w:r>
              <w:rPr>
                <w:color w:val="000000"/>
              </w:rPr>
              <w:t>Title: Trustee</w:t>
            </w:r>
          </w:p>
        </w:tc>
      </w:tr>
      <w:tr>
        <w:trPr/>
        <w:tc>
          <w:tcPr>
            <w:tcW w:w="161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jc w:val="left"/>
              <w:rPr>
                <w:color w:val="000000"/>
              </w:rPr>
            </w:pPr>
            <w:r>
              <w:rPr>
                <w:color w:val="000000"/>
              </w:rPr>
              <w:t>August 11, 2023</w:t>
            </w:r>
          </w:p>
        </w:tc>
        <w:tc>
          <w:tcPr>
            <w:tcW w:w="305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i/>
          <w:color w:val="000000"/>
        </w:rPr>
      </w:pPr>
      <w:r>
        <w:rPr>
          <w:i/>
          <w:color w:val="000000"/>
        </w:rPr>
        <w:t>Attention: Intentional misstatements or omissions of fact constitute federal violations (see 18 U.S.C. 1001).</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1559</Words>
  <Characters>7793</Characters>
  <CharactersWithSpaces>9342</CharactersWithSpaces>
  <Paragraphs>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