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78740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7" w:lineRule="exact"/>
        <w:rPr>
          <w:sz w:val="24"/>
          <w:szCs w:val="24"/>
          <w:color w:val="auto"/>
        </w:rPr>
      </w:pPr>
    </w:p>
    <w:p>
      <w:pPr>
        <w:ind w:left="480" w:right="760" w:hanging="459"/>
        <w:spacing w:after="0"/>
        <w:tabs>
          <w:tab w:leader="none" w:pos="480" w:val="left"/>
        </w:tabs>
        <w:numPr>
          <w:ilvl w:val="0"/>
          <w:numId w:val="2"/>
        </w:numPr>
        <w:rPr>
          <w:rFonts w:ascii="MS PGothic" w:cs="MS PGothic" w:eastAsia="MS PGothic" w:hAnsi="MS PGothic"/>
          <w:sz w:val="29"/>
          <w:szCs w:val="29"/>
          <w:color w:val="auto"/>
          <w:highlight w:val="black"/>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ectPr>
          <w:pgSz w:w="11900" w:h="16838" w:orient="portrait"/>
          <w:cols w:equalWidth="0" w:num="1">
            <w:col w:w="11240"/>
          </w:cols>
          <w:pgMar w:left="320" w:top="1261" w:right="339" w:bottom="1440" w:gutter="0" w:footer="0" w:header="0"/>
        </w:sectPr>
      </w:pPr>
    </w:p>
    <w:p>
      <w:pPr>
        <w:spacing w:after="0" w:line="6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06" w:lineRule="exact"/>
        <w:rPr>
          <w:sz w:val="24"/>
          <w:szCs w:val="24"/>
          <w:color w:val="auto"/>
        </w:rPr>
      </w:pPr>
    </w:p>
    <w:p>
      <w:pPr>
        <w:jc w:val="center"/>
        <w:ind w:left="3620"/>
        <w:spacing w:after="0"/>
        <w:rPr>
          <w:sz w:val="20"/>
          <w:szCs w:val="20"/>
          <w:color w:val="auto"/>
        </w:rPr>
      </w:pPr>
      <w:r>
        <w:rPr>
          <w:rFonts w:ascii="Times New Roman" w:cs="Times New Roman" w:eastAsia="Times New Roman" w:hAnsi="Times New Roman"/>
          <w:sz w:val="40"/>
          <w:szCs w:val="40"/>
          <w:b w:val="1"/>
          <w:bCs w:val="1"/>
          <w:color w:val="auto"/>
        </w:rPr>
        <w:t>Biodesix, Inc.</w:t>
      </w:r>
    </w:p>
    <w:p>
      <w:pPr>
        <w:spacing w:after="0" w:line="4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0"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20-3986492</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640" w:space="300"/>
            <w:col w:w="3300"/>
          </w:cols>
          <w:pgMar w:left="320" w:top="1261" w:right="339" w:bottom="1440" w:gutter="0" w:footer="0" w:header="0"/>
          <w:type w:val="continuous"/>
        </w:sectPr>
      </w:pPr>
    </w:p>
    <w:p>
      <w:pPr>
        <w:spacing w:after="0" w:line="35" w:lineRule="exact"/>
        <w:rPr>
          <w:sz w:val="24"/>
          <w:szCs w:val="24"/>
          <w:color w:val="auto"/>
        </w:rPr>
      </w:pPr>
    </w:p>
    <w:tbl>
      <w:tblPr>
        <w:tblLayout w:type="fixed"/>
        <w:tblInd w:w="1780" w:type="dxa"/>
        <w:tblCellMar>
          <w:top w:w="0" w:type="dxa"/>
          <w:left w:w="0" w:type="dxa"/>
          <w:bottom w:w="0" w:type="dxa"/>
          <w:right w:w="0" w:type="dxa"/>
        </w:tblCellMar>
      </w:tblPr>
      <w:tr>
        <w:trPr>
          <w:trHeight w:val="229"/>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919 West Dillon Rd.,</w:t>
            </w:r>
          </w:p>
        </w:tc>
        <w:tc>
          <w:tcPr>
            <w:tcW w:w="2720" w:type="dxa"/>
            <w:vAlign w:val="bottom"/>
          </w:tcPr>
          <w:p>
            <w:pPr>
              <w:spacing w:after="0"/>
              <w:rPr>
                <w:sz w:val="19"/>
                <w:szCs w:val="19"/>
                <w:color w:val="auto"/>
              </w:rPr>
            </w:pPr>
          </w:p>
        </w:tc>
      </w:tr>
      <w:tr>
        <w:trPr>
          <w:trHeight w:val="252"/>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rPr>
              <w:t>Louisville, CO</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80027</w:t>
            </w:r>
          </w:p>
        </w:tc>
      </w:tr>
      <w:tr>
        <w:trPr>
          <w:trHeight w:val="173"/>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417-0500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79375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6"/>
                <w:szCs w:val="16"/>
                <w:color w:val="auto"/>
              </w:rPr>
            </w:pPr>
          </w:p>
        </w:tc>
        <w:tc>
          <w:tcPr>
            <w:tcW w:w="4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BDSX</w:t>
            </w:r>
          </w:p>
        </w:tc>
        <w:tc>
          <w:tcPr>
            <w:tcW w:w="12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39" w:lineRule="exact"/>
        <w:rPr>
          <w:sz w:val="24"/>
          <w:szCs w:val="24"/>
          <w:color w:val="auto"/>
        </w:rPr>
      </w:pPr>
    </w:p>
    <w:p>
      <w:pPr>
        <w:ind w:right="3560"/>
        <w:spacing w:after="0" w:line="242"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ind w:right="14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4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46"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 w:lineRule="exact"/>
        <w:rPr>
          <w:sz w:val="24"/>
          <w:szCs w:val="24"/>
          <w:color w:val="auto"/>
        </w:rPr>
      </w:pPr>
    </w:p>
    <w:p>
      <w:pPr>
        <w:ind w:right="14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9"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0"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14"/>
          <w:szCs w:val="14"/>
          <w:color w:val="auto"/>
        </w:rPr>
        <w:t>As of June 30, 2023, the aggregate market value of common stock held by non-affiliates of the Registrant was $36.6 million, based on the closing price of the common stock as reported on the NASDAQ Global Market for that date.</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23, 2024 was 96,942,061.</w:t>
      </w:r>
    </w:p>
    <w:p>
      <w:pPr>
        <w:spacing w:after="0" w:line="6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Portions of the Company’s definitive Proxy Statement for its 2024 Annual Meeting of Shareholders are to be incorporated by reference into Part III, as specifically set forth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60" w:type="dxa"/>
            <w:vAlign w:val="bottom"/>
            <w:gridSpan w:val="9"/>
          </w:tcPr>
          <w:p>
            <w:pPr>
              <w:ind w:left="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04"/>
        </w:trPr>
        <w:tc>
          <w:tcPr>
            <w:tcW w:w="11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28"/>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80" w:type="dxa"/>
            <w:vAlign w:val="bottom"/>
            <w:gridSpan w:val="21"/>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7260" w:type="dxa"/>
            <w:vAlign w:val="bottom"/>
            <w:gridSpan w:val="13"/>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8300" w:type="dxa"/>
            <w:vAlign w:val="bottom"/>
            <w:gridSpan w:val="20"/>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0" w:type="dxa"/>
            <w:vAlign w:val="bottom"/>
            <w:tcBorders>
              <w:bottom w:val="single" w:sz="8" w:color="0000EE"/>
            </w:tcBorders>
          </w:tcPr>
          <w:p>
            <w:pPr>
              <w:spacing w:after="0"/>
              <w:rPr>
                <w:sz w:val="18"/>
                <w:szCs w:val="18"/>
                <w:color w:val="auto"/>
              </w:rPr>
            </w:pPr>
          </w:p>
        </w:tc>
        <w:tc>
          <w:tcPr>
            <w:tcW w:w="8560" w:type="dxa"/>
            <w:vAlign w:val="bottom"/>
            <w:gridSpan w:val="25"/>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20" w:type="dxa"/>
            <w:vAlign w:val="bottom"/>
            <w:tcBorders>
              <w:bottom w:val="single" w:sz="8" w:color="0000EE"/>
            </w:tcBorders>
          </w:tcPr>
          <w:p>
            <w:pPr>
              <w:spacing w:after="0"/>
              <w:rPr>
                <w:sz w:val="18"/>
                <w:szCs w:val="18"/>
                <w:color w:val="auto"/>
              </w:rPr>
            </w:pPr>
          </w:p>
        </w:tc>
        <w:tc>
          <w:tcPr>
            <w:tcW w:w="7960" w:type="dxa"/>
            <w:vAlign w:val="bottom"/>
            <w:gridSpan w:val="17"/>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7"/>
          </w:tcPr>
          <w:p>
            <w:pPr>
              <w:spacing w:after="0" w:line="194"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4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8"/>
                <w:szCs w:val="18"/>
                <w:color w:val="auto"/>
              </w:rPr>
            </w:pPr>
          </w:p>
        </w:tc>
        <w:tc>
          <w:tcPr>
            <w:tcW w:w="8500" w:type="dxa"/>
            <w:vAlign w:val="bottom"/>
            <w:gridSpan w:val="23"/>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60" w:type="dxa"/>
            <w:vAlign w:val="bottom"/>
            <w:gridSpan w:val="4"/>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60" w:type="dxa"/>
            <w:vAlign w:val="bottom"/>
            <w:gridSpan w:val="7"/>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bottom w:val="single" w:sz="8" w:color="0000EE"/>
            </w:tcBorders>
          </w:tcPr>
          <w:p>
            <w:pPr>
              <w:spacing w:after="0"/>
              <w:rPr>
                <w:sz w:val="18"/>
                <w:szCs w:val="18"/>
                <w:color w:val="auto"/>
              </w:rPr>
            </w:pPr>
          </w:p>
        </w:tc>
        <w:tc>
          <w:tcPr>
            <w:tcW w:w="5960" w:type="dxa"/>
            <w:vAlign w:val="bottom"/>
            <w:gridSpan w:val="9"/>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84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40" w:type="dxa"/>
            <w:vAlign w:val="bottom"/>
            <w:gridSpan w:val="15"/>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20" w:type="dxa"/>
            <w:vAlign w:val="bottom"/>
            <w:tcBorders>
              <w:bottom w:val="single" w:sz="8" w:color="0000EE"/>
            </w:tcBorders>
          </w:tcPr>
          <w:p>
            <w:pPr>
              <w:spacing w:after="0"/>
              <w:rPr>
                <w:sz w:val="18"/>
                <w:szCs w:val="18"/>
                <w:color w:val="auto"/>
              </w:rPr>
            </w:pPr>
          </w:p>
        </w:tc>
        <w:tc>
          <w:tcPr>
            <w:tcW w:w="7980" w:type="dxa"/>
            <w:vAlign w:val="bottom"/>
            <w:gridSpan w:val="18"/>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20" w:type="dxa"/>
            <w:vAlign w:val="bottom"/>
            <w:gridSpan w:val="8"/>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12"/>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FF"/>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1820" w:type="dxa"/>
            <w:vAlign w:val="bottom"/>
            <w:tcBorders>
              <w:top w:val="single" w:sz="8" w:color="0000FF"/>
            </w:tcBorders>
            <w:gridSpan w:val="3"/>
          </w:tcPr>
          <w:p>
            <w:pPr>
              <w:spacing w:after="0"/>
              <w:rPr>
                <w:sz w:val="18"/>
                <w:szCs w:val="18"/>
                <w:color w:val="auto"/>
              </w:rPr>
            </w:pPr>
          </w:p>
        </w:tc>
        <w:tc>
          <w:tcPr>
            <w:tcW w:w="2040" w:type="dxa"/>
            <w:vAlign w:val="bottom"/>
            <w:gridSpan w:val="2"/>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932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7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FF"/>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FF"/>
                <w:w w:val="99"/>
              </w:rPr>
              <w:t>Exhibit and Financial Statement Schedules</w:t>
            </w:r>
          </w:p>
        </w:tc>
        <w:tc>
          <w:tcPr>
            <w:tcW w:w="6220" w:type="dxa"/>
            <w:vAlign w:val="bottom"/>
            <w:gridSpan w:val="11"/>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7760" w:type="dxa"/>
            <w:vAlign w:val="bottom"/>
            <w:gridSpan w:val="16"/>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Annual Report on Form 10-K, regarding, among other things:</w:t>
      </w:r>
    </w:p>
    <w:p>
      <w:pPr>
        <w:spacing w:after="0" w:line="74"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achieve or sustain profitability;</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among payers, providers, clinics, patients, and biopharmaceutical companies for our diagnostic tests;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managing our growth, which could disrupt our operations;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sales and marketing personnel, and failure to increase our sales and marketing capabilities or develop broad awareness of our diagnostic tests to generate revenue growth;</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current relationships, or enter into new relationships, with biopharmaceutical companies;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 in our operating results, causing our operating results to fall below expectations or any guidance we provide;</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and reliability to maintain and grow our business;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suppliers, including courier services and single source suppliers; making us vulnerable to supply problems and price fluctuations;</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epidemic, or outbreak of an infectious disease in the United States (U.S.) or worldwide, including the COVID-19 pandemic on our business;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and other similar events negatively impacting our business, financial condition, and results of operations;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offer high-quality support for our diagnostic tests, which may adversely affect our relationships with providers and negatively impact our reputation among patients and providers;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innovate and improve our diagnostic tests and services we offer;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or data privacy breaches or other unauthorized or improper access;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in our information technology systems;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substantial liabilities and limiting or halting the marketing and sale of our diagnostic tests due to product liability lawsuits;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compete successfully with competition from many sources, including larger companies;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issues, service interruptions or price increases by our shipping carriers;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cost-containment efforts of our customers, purchasing groups and integrated delivery networks having a material adverse effect on our sales and profitability;</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litigation and other proceedings;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financial market conditions;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debt financing placing restrictions on our operating and financial flexibility;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left="900" w:right="2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fund our existing operations, develop our platform, commercialize new diagnostic tests, or expand our operations;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other businesses, which could require significant management attention;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the insurance coverage and reimbursement status of newly approved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healthcare reform measures that could hinder or prevent the commercial success of our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anti-bribery, anti-money laundering and similar laws;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fraud and abuse laws;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 recalls;</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initiated by third parties alleging that we are infringing, misappropriating, or otherwise violating their intellectual property rights, the outcome of which would be uncertain;</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or judgments relating to our critical accounting policies, which could cause our operating results to fall below the expectations of securities analysts and investors;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including those set forth under Item 1A. "Risk Factors".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risks are not exhaustive. Other sections of this Annual Report on Form 10-K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Annual Report on Form 10-K or to conform these statements to actual results or to changes in our expectations.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mission</w:t>
      </w:r>
      <w:r>
        <w:rPr>
          <w:rFonts w:ascii="Times New Roman" w:cs="Times New Roman" w:eastAsia="Times New Roman" w:hAnsi="Times New Roman"/>
          <w:sz w:val="18"/>
          <w:szCs w:val="18"/>
          <w:color w:val="auto"/>
        </w:rPr>
        <w:t xml:space="preserve"> is to unite biopharma, physicians, and patients to transform the standard of care and improve outcomes with personalized diagnostics.</w:t>
      </w:r>
    </w:p>
    <w:p>
      <w:pPr>
        <w:spacing w:after="0" w:line="117" w:lineRule="exact"/>
        <w:rPr>
          <w:sz w:val="20"/>
          <w:szCs w:val="20"/>
          <w:color w:val="auto"/>
        </w:rPr>
      </w:pPr>
    </w:p>
    <w:p>
      <w:pPr>
        <w:ind w:left="3800" w:right="140" w:hanging="3183"/>
        <w:spacing w:after="0" w:line="28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b w:val="1"/>
          <w:bCs w:val="1"/>
          <w:color w:val="auto"/>
        </w:rPr>
        <w:t>vision</w:t>
      </w:r>
      <w:r>
        <w:rPr>
          <w:rFonts w:ascii="Times New Roman" w:cs="Times New Roman" w:eastAsia="Times New Roman" w:hAnsi="Times New Roman"/>
          <w:sz w:val="18"/>
          <w:szCs w:val="18"/>
          <w:color w:val="auto"/>
        </w:rPr>
        <w:t xml:space="preserve"> is a world where all critical diseases are diagnosed early and treated quickly with the guidance of personalized diagnostic solutions, so humanity can thrive without the burden of disease.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Biodesix, Inc. (“Biodesix”, “we,” “us,” “our” or the “Company”) is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artificial intelligence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single segment and derive our revenue from two sources: (i) providing diagnostic testing services associated with (a) blood-based lung tests and (b) prior to May 11, 2023, Coronavirus Disease 2019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 During fiscal years 2023 and 2022, we derived 92% and 90%, respectively, of our total revenues from our diagnostic testing business.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Since our inception, we have performed over 600,000 tests and continue to generate a large and growing body of clinical evidence. We have participated in 27 clinical studies, three of which are ongoing, and have published over 300 clinical and scientific peer-reviewed publications, presentations, and abstracts. We have curated a biobank encompassing thousands of biological specimens with associated clinical data, including tumor genomic profiles and immune profiles, which are used for both internal and external research and development initiatives.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commercialized five diagnostic tests which are currently on market and we perform more than 30 assays for clinical and research use as part of our laboratory services that have been used by over 65 biopharmaceutical customers and academic partners.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Blood-Based Lung Tests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have five diagnostic blood-based tests across the lung cancer continuum of care, which generated $45.1 million and $29.3 million in revenue for fiscal year 2023 and 2022, respectively, an annual growth rate of 54%.</w:t>
      </w:r>
    </w:p>
    <w:p>
      <w:pPr>
        <w:spacing w:after="0" w:line="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17" w:lineRule="exact"/>
        <w:rPr>
          <w:sz w:val="20"/>
          <w:szCs w:val="20"/>
          <w:color w:val="auto"/>
        </w:rPr>
      </w:pPr>
    </w:p>
    <w:p>
      <w:pPr>
        <w:jc w:val="both"/>
        <w:ind w:left="900" w:hanging="383"/>
        <w:spacing w:after="0" w:line="258"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Nodify CDT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XL2® </w:t>
      </w:r>
      <w:r>
        <w:rPr>
          <w:rFonts w:ascii="Times New Roman" w:cs="Times New Roman" w:eastAsia="Times New Roman" w:hAnsi="Times New Roman"/>
          <w:sz w:val="18"/>
          <w:szCs w:val="18"/>
          <w:color w:val="auto"/>
        </w:rPr>
        <w:t>tests, together marketed as our Nodify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Nodule Risk Assessment testing, assess a suspicious lung nodule's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We believe we are the only company to offer two commercial blood-based tests to help physicians reclassify risk of malignancy in patients with suspicious lung nodules.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17" w:lineRule="exact"/>
        <w:rPr>
          <w:sz w:val="20"/>
          <w:szCs w:val="20"/>
          <w:color w:val="auto"/>
        </w:rPr>
      </w:pPr>
    </w:p>
    <w:p>
      <w:pPr>
        <w:jc w:val="both"/>
        <w:ind w:left="900" w:hanging="383"/>
        <w:spacing w:after="0" w:line="25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GeneStrat® ddPCR, GeneStrat NGS®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VeriStrat® </w:t>
      </w:r>
      <w:r>
        <w:rPr>
          <w:rFonts w:ascii="Times New Roman" w:cs="Times New Roman" w:eastAsia="Times New Roman" w:hAnsi="Times New Roman"/>
          <w:sz w:val="18"/>
          <w:szCs w:val="18"/>
          <w:color w:val="auto"/>
        </w:rPr>
        <w:t>tests, marketed as part of our IQLung™ testing strategy, are used following diagnosis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rapid treatment decisions. The GeneStrat ddPCR test evaluates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both"/>
        <w:ind w:left="900"/>
        <w:spacing w:after="0" w:line="260" w:lineRule="auto"/>
        <w:rPr>
          <w:sz w:val="20"/>
          <w:szCs w:val="20"/>
          <w:color w:val="auto"/>
        </w:rPr>
      </w:pPr>
      <w:r>
        <w:rPr>
          <w:rFonts w:ascii="Times New Roman" w:cs="Times New Roman" w:eastAsia="Times New Roman" w:hAnsi="Times New Roman"/>
          <w:sz w:val="18"/>
          <w:szCs w:val="18"/>
          <w:color w:val="auto"/>
        </w:rPr>
        <w:t>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 testing program. We generated $0.1 million and $5.2 million in revenue from COVID-19 testing during fiscal year 2023 and 2022, respectively. These tests under the Biodesix WorkSafe testing program were utilized by healthcare providers, including hospitals and nursing homes, and were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scientific diagnostic expertise, technologies, and existing commercial infrastructure enabled us to rapidly commercialize two United States Food and Drug Administration (FDA) Emergency Use Authorization (EUA)-authorized tests, a part of our customizable WorkSafe program. Both diagnostic tests are owned and were developed by Bio-Rad and Bio-Rad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The Platelia SARS-CoV-2 Total Ab test was FDA EUA authorized on April 29, 2020. Beginning in second quarter 2021, we began partnering with GenScript Biotech Corporation to commercialize the blood-based cPass SARS-CoV-2 Neutralizing Antibody testing as a service. The test was the first surrogate neutralizing antibody test with FDA EUA and uses ELISA (as defined below) technology to qualitatively detect circulating neutralizing antibodies to the receptor binding domain (RBD) in the spike protein of SARS-CoV-2.</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COVID-19 pandemic disrupted, and in the future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including complying with government directives and guidelines as they are modified and supplemented.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“Risk Factors” for a description of how the COVID-19 pandemic may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Results for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compared to the prior year:</w:t>
      </w:r>
    </w:p>
    <w:p>
      <w:pPr>
        <w:spacing w:after="0" w:line="115" w:lineRule="exact"/>
        <w:rPr>
          <w:sz w:val="20"/>
          <w:szCs w:val="20"/>
          <w:color w:val="auto"/>
        </w:rPr>
      </w:pPr>
    </w:p>
    <w:p>
      <w:pPr>
        <w:ind w:left="760" w:right="5040" w:hanging="243"/>
        <w:spacing w:after="0" w:line="375"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Total Revenue </w:t>
      </w:r>
      <w:r>
        <w:rPr>
          <w:rFonts w:ascii="Times New Roman" w:cs="Times New Roman" w:eastAsia="Times New Roman" w:hAnsi="Times New Roman"/>
          <w:sz w:val="18"/>
          <w:szCs w:val="18"/>
          <w:color w:val="auto"/>
        </w:rPr>
        <w:t>was $49.1 million, an increase of 28% primarily driven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Lung Diagnostic Revenue of $45.1 million, an increase of 54%;</w:t>
      </w:r>
    </w:p>
    <w:p>
      <w:pPr>
        <w:ind w:left="1200" w:hanging="443"/>
        <w:spacing w:after="0"/>
        <w:tabs>
          <w:tab w:leader="none" w:pos="12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Biopharma Services and other revenue of $3.9 million, an increase of 6%;</w:t>
      </w:r>
    </w:p>
    <w:p>
      <w:pPr>
        <w:spacing w:after="0" w:line="116"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COVID-19 Revenue of $0.1 million, a decrease of 99%;</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was $36.1 million, resulting in a 73% overall gross margin percentage as compared to 63% in the prior year;</w:t>
      </w:r>
    </w:p>
    <w:p>
      <w:pPr>
        <w:spacing w:after="0" w:line="116" w:lineRule="exact"/>
        <w:rPr>
          <w:rFonts w:ascii="Times New Roman" w:cs="Times New Roman" w:eastAsia="Times New Roman" w:hAnsi="Times New Roman"/>
          <w:sz w:val="18"/>
          <w:szCs w:val="18"/>
          <w:color w:val="auto"/>
        </w:rPr>
      </w:pPr>
    </w:p>
    <w:p>
      <w:pPr>
        <w:ind w:left="900" w:right="760" w:hanging="383"/>
        <w:spacing w:after="0" w:line="283"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Expenses, excluding Direct costs and expenses, </w:t>
      </w:r>
      <w:r>
        <w:rPr>
          <w:rFonts w:ascii="Times New Roman" w:cs="Times New Roman" w:eastAsia="Times New Roman" w:hAnsi="Times New Roman"/>
          <w:sz w:val="18"/>
          <w:szCs w:val="18"/>
          <w:color w:val="auto"/>
        </w:rPr>
        <w:t>were $77.4 million, an increase of 4% and including non-cash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of $5.4 million as compared to $6.0 million in the prior year;</w:t>
      </w:r>
    </w:p>
    <w:p>
      <w:pPr>
        <w:spacing w:after="0" w:line="51" w:lineRule="exact"/>
        <w:rPr>
          <w:rFonts w:ascii="Times New Roman" w:cs="Times New Roman" w:eastAsia="Times New Roman" w:hAnsi="Times New Roman"/>
          <w:sz w:val="18"/>
          <w:szCs w:val="18"/>
          <w:color w:val="auto"/>
        </w:rPr>
      </w:pPr>
    </w:p>
    <w:p>
      <w:pPr>
        <w:ind w:left="900" w:right="360" w:hanging="383"/>
        <w:spacing w:after="0" w:line="283"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was $52.1 million and decreased 20%, due primarily to an overall decrease in total operating expenses and other expenses of $9.2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and $4.1 million, respectively;</w:t>
      </w:r>
    </w:p>
    <w:p>
      <w:pPr>
        <w:spacing w:after="0" w:line="5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Basic and Diluted Net Loss Per Common Share </w:t>
      </w:r>
      <w:r>
        <w:rPr>
          <w:rFonts w:ascii="Times New Roman" w:cs="Times New Roman" w:eastAsia="Times New Roman" w:hAnsi="Times New Roman"/>
          <w:sz w:val="18"/>
          <w:szCs w:val="18"/>
          <w:color w:val="auto"/>
        </w:rPr>
        <w:t>was $0.64;</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 w:name="page7"/>
    <w:bookmarkEnd w:id="6"/>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Cash Used by Operating Activities </w:t>
      </w:r>
      <w:r>
        <w:rPr>
          <w:rFonts w:ascii="Times New Roman" w:cs="Times New Roman" w:eastAsia="Times New Roman" w:hAnsi="Times New Roman"/>
          <w:sz w:val="18"/>
          <w:szCs w:val="18"/>
          <w:color w:val="auto"/>
        </w:rPr>
        <w:t>was $22.9 million, compared to $45.0 million used in the prior year;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was $26.3 million as of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Diagnostic Testing Market Size and Opportunity</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Despite significant advances over the last decade, lung cancer is still the deadliest type of cancer in both men and women in the United States. While diagnostic testing has become routinely used at certain points in the lung cancer continuum of care (diagnosis, treatment and monitoring), we believe there is substantial need for novel, advanced testing to improve on the current standard of care. We estimate that in the United States, the lung cancer continuum of care represents over 10 million annual testing opportunities and is over a $27 billion market annually for testing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929640</wp:posOffset>
            </wp:positionH>
            <wp:positionV relativeFrom="paragraph">
              <wp:posOffset>127000</wp:posOffset>
            </wp:positionV>
            <wp:extent cx="5257165" cy="1541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57165" cy="1541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Over the last two decades, the use of biomarker testing in clinical trials has increased, with 15% of oncology trials involving the use of biomarker testing in 2000, compared to 55% in 2018. We believe the field of biomarker discovery and companion diagnostic development for biopharmaceutical therapeutics is set to continue growing as biopharmaceutical companies seek to de-risk their research and development pipelines and increase chances of drug development success. We estimate that biopharmaceutical partnering and research opportunities represent over a $2 billion market annually.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Lung Cancer Continuum of Care – Clinical Unmet Needs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Standards of care in lung cancer have evolved rapidly over the past decade, along with our understanding of the disease. With the introduction of numerous treatment options, physicians need an ever-increasing amount of information in order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w:t>
      </w:r>
    </w:p>
    <w:p>
      <w:pPr>
        <w:spacing w:after="0" w:line="70" w:lineRule="exact"/>
        <w:rPr>
          <w:sz w:val="20"/>
          <w:szCs w:val="20"/>
          <w:color w:val="auto"/>
        </w:rPr>
      </w:pPr>
    </w:p>
    <w:p>
      <w:pPr>
        <w:jc w:val="both"/>
        <w:ind w:left="900" w:hanging="383"/>
        <w:spacing w:after="0" w:line="253"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estimate approximately 1.6 million new incidental lung nodules and potentially 4 million lung nodules from the adoption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screening could be identified annually in the United States. Following initial discovery of a nodule, patients are typically evaluated by a pulmonologist for risk of lung cancer before an invasive procedure is carried out to obtain a tissue sample to confirm diagnosis. This risk assessment is based on clinical factors such as the patient’s smoking history and age, and radiological features such as the size and location of the nodule, obtained from a computed tomography (CT) scan. On initial assessment, we estimate that approximately 80% of patients are identified as low to moderate risk (5-65%) where guideline recommendations for their care plan are unclear, often resulting in either </w:t>
      </w:r>
      <w:r>
        <w:rPr>
          <w:rFonts w:ascii="Times New Roman" w:cs="Times New Roman" w:eastAsia="Times New Roman" w:hAnsi="Times New Roman"/>
          <w:sz w:val="18"/>
          <w:szCs w:val="18"/>
          <w:i w:val="1"/>
          <w:iCs w:val="1"/>
          <w:color w:val="auto"/>
        </w:rPr>
        <w:t xml:space="preserve">overtreatment </w:t>
      </w:r>
      <w:r>
        <w:rPr>
          <w:rFonts w:ascii="Times New Roman" w:cs="Times New Roman" w:eastAsia="Times New Roman" w:hAnsi="Times New Roman"/>
          <w:sz w:val="18"/>
          <w:szCs w:val="18"/>
          <w:color w:val="auto"/>
        </w:rPr>
        <w:t>of patients with benign nodules or</w:t>
      </w:r>
      <w:r>
        <w:rPr>
          <w:rFonts w:ascii="Times New Roman" w:cs="Times New Roman" w:eastAsia="Times New Roman" w:hAnsi="Times New Roman"/>
          <w:sz w:val="18"/>
          <w:szCs w:val="18"/>
          <w:i w:val="1"/>
          <w:iCs w:val="1"/>
          <w:color w:val="auto"/>
        </w:rPr>
        <w:t xml:space="preserve"> undertreatment </w:t>
      </w:r>
      <w:r>
        <w:rPr>
          <w:rFonts w:ascii="Times New Roman" w:cs="Times New Roman" w:eastAsia="Times New Roman" w:hAnsi="Times New Roman"/>
          <w:sz w:val="18"/>
          <w:szCs w:val="18"/>
          <w:color w:val="auto"/>
        </w:rPr>
        <w:t>in patients with cancer. An estimated 17% of patients initially scheduled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watchful waiting, or follow-up CT scans in intervals up to a year, are later diagnosed with malignant nodules, potentially delaying their diagnosis. Conversely, we estimate that 62% of biopsies and 35% of surgeries performed on lung nodules find benign disease, representing a significant overtreatment that incurs both risk and cost to the patient and their providers. We therefore believe that there is a clear clinical need for blood-based diagnostic testing to help improve the initial risk assessment of pulmonary nodules, helping direct patients to the relevant treatment pathway, and ultimately improving patient outcomes and saving costs to the system.</w:t>
      </w:r>
    </w:p>
    <w:p>
      <w:pPr>
        <w:spacing w:after="0" w:line="78" w:lineRule="exact"/>
        <w:rPr>
          <w:rFonts w:ascii="Times New Roman" w:cs="Times New Roman" w:eastAsia="Times New Roman" w:hAnsi="Times New Roman"/>
          <w:sz w:val="18"/>
          <w:szCs w:val="18"/>
          <w:color w:val="auto"/>
        </w:rPr>
      </w:pPr>
    </w:p>
    <w:p>
      <w:pPr>
        <w:jc w:val="both"/>
        <w:ind w:left="900" w:hanging="383"/>
        <w:spacing w:after="0" w:line="257"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 – Early Stage</w:t>
      </w:r>
      <w:r>
        <w:rPr>
          <w:rFonts w:ascii="Times New Roman" w:cs="Times New Roman" w:eastAsia="Times New Roman" w:hAnsi="Times New Roman"/>
          <w:sz w:val="18"/>
          <w:szCs w:val="18"/>
          <w:color w:val="auto"/>
        </w:rPr>
        <w:t>: We estimate that there are over 700 thousand testing opportunities annually in the United States in early-stage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7" w:name="page8"/>
    <w:bookmarkEnd w:id="7"/>
    <w:p>
      <w:pPr>
        <w:jc w:val="both"/>
        <w:ind w:left="900"/>
        <w:spacing w:after="0" w:line="258" w:lineRule="auto"/>
        <w:rPr>
          <w:sz w:val="20"/>
          <w:szCs w:val="20"/>
          <w:color w:val="auto"/>
        </w:rPr>
      </w:pPr>
      <w:r>
        <w:rPr>
          <w:rFonts w:ascii="Times New Roman" w:cs="Times New Roman" w:eastAsia="Times New Roman" w:hAnsi="Times New Roman"/>
          <w:sz w:val="18"/>
          <w:szCs w:val="18"/>
          <w:color w:val="auto"/>
        </w:rPr>
        <w:t>benefited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who may benefit from a less intensive treatment protocol. There have also been recent advances in the use of targeted therapies in early-stage lung disease. These therapies typically target specific genomic mutations or alterations found in some tumors. We believe there is therefore an emerging need for testing designed specifically for mutation detection in early-stage disease.</w:t>
      </w:r>
    </w:p>
    <w:p>
      <w:pPr>
        <w:spacing w:after="0" w:line="70" w:lineRule="exact"/>
        <w:rPr>
          <w:sz w:val="20"/>
          <w:szCs w:val="20"/>
          <w:color w:val="auto"/>
        </w:rPr>
      </w:pPr>
    </w:p>
    <w:p>
      <w:pPr>
        <w:jc w:val="both"/>
        <w:ind w:left="900" w:hanging="383"/>
        <w:spacing w:after="0" w:line="254"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Treatment Guidance – Advanced Stage: </w:t>
      </w:r>
      <w:r>
        <w:rPr>
          <w:rFonts w:ascii="Times New Roman" w:cs="Times New Roman" w:eastAsia="Times New Roman" w:hAnsi="Times New Roman"/>
          <w:sz w:val="18"/>
          <w:szCs w:val="18"/>
          <w:color w:val="auto"/>
        </w:rPr>
        <w:t>We estimate that there are over 3 million diagnostic testing opportunities annually 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to guide advanced stage lung cancer treatment decisions. With nearly 60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Physicians are often left with a dilemma to either make treatment decisions prior to receiving critical diagnostic test results, or delay treatment initiation while waiting for the test results. Therefore, we believe there is an imminent need for a blood-based testing solution that measures tumor mutations and the patient’s immune profile, to provide physicians with more comprehensive and timely information to initiate personalized treatment as quickly as possible.</w:t>
      </w:r>
    </w:p>
    <w:p>
      <w:pPr>
        <w:spacing w:after="0" w:line="74" w:lineRule="exact"/>
        <w:rPr>
          <w:rFonts w:ascii="Times New Roman" w:cs="Times New Roman" w:eastAsia="Times New Roman" w:hAnsi="Times New Roman"/>
          <w:sz w:val="18"/>
          <w:szCs w:val="18"/>
          <w:color w:val="auto"/>
        </w:rPr>
      </w:pPr>
    </w:p>
    <w:p>
      <w:pPr>
        <w:jc w:val="both"/>
        <w:ind w:left="900" w:hanging="383"/>
        <w:spacing w:after="0" w:line="257"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estimate that there are over 800 thousand testing opportunities in the United States for blood-based tumor genomic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Limitations in Biomarker Discovery and Companion Diagnostics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that the biopharmaceutical biomarker testing and companion diagnostic market opportunity represents a $2 billion market annually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Over the last two decades, the use of biomarker testing in clinical trials has increased, with 15% of oncology trials involving the use of biomarker testing in 2000 compared to 55% in 2018. From 2005 to 2015, a study identified that incorporating biomarkers into clinical development programs increased their probability of therapeutic success rate from phase 1 to FDA-approval by 570%, representing an increase from 1.6% without biomarkers to 10.7% with biomarkers. We believe the field of biomarker discovery and companion diagnostic development for biopharmaceutical therapeutics is set to continue growing as biopharmaceutical companies seek to de-risk their product development efforts and increase chances of drug development success. However, we believe as the market continues to advance, inherent limitations of both biomarker discovery and companion diagnostic development have become more apparent.</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Biomarker Discovery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many limitations with biomarker discovery in biopharmaceutical drug development, including:</w:t>
      </w:r>
    </w:p>
    <w:p>
      <w:pPr>
        <w:spacing w:after="0" w:line="121"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Biomarkers with clinical utility are difficult to discover and validate in independent datasets;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Classical statistical approaches to biomarker discovery are limited. Single-omic tests fail to see the whole biological picture;</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biopsies are limited by the amount of a sample that can be collected: longitudinal testing is difficult and the information gathered is only from the tumor being sampled, this does not account for tumor heterogeneity or the host's immune response;</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are expensive and take years to complete. It is often difficult to meet clinical trial enrollment goals with long diagnostic testing turnaround times.</w:t>
      </w:r>
    </w:p>
    <w:p>
      <w:pPr>
        <w:spacing w:after="0" w:line="51" w:lineRule="exact"/>
        <w:rPr>
          <w:sz w:val="20"/>
          <w:szCs w:val="20"/>
          <w:color w:val="auto"/>
        </w:rPr>
      </w:pPr>
    </w:p>
    <w:p>
      <w:pPr>
        <w:jc w:val="both"/>
        <w:ind w:left="5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Companion Diagnostics (CDx): </w:t>
      </w:r>
      <w:r>
        <w:rPr>
          <w:rFonts w:ascii="Times New Roman" w:cs="Times New Roman" w:eastAsia="Times New Roman" w:hAnsi="Times New Roman"/>
          <w:sz w:val="18"/>
          <w:szCs w:val="18"/>
          <w:color w:val="auto"/>
        </w:rPr>
        <w:t>While developing CDx is critical to precision medicine, the promise of CDx has not been fully realized and there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multiple limitations that still need resolution. The path to co-develop a successful CDx with a corresponding drug has several challenges, including:</w:t>
      </w:r>
    </w:p>
    <w:p>
      <w:pPr>
        <w:spacing w:after="0" w:line="66" w:lineRule="exact"/>
        <w:rPr>
          <w:sz w:val="20"/>
          <w:szCs w:val="20"/>
          <w:color w:val="auto"/>
        </w:rPr>
      </w:pPr>
    </w:p>
    <w:p>
      <w:pPr>
        <w:ind w:left="900" w:hanging="383"/>
        <w:spacing w:after="0" w:line="28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CDx agreements may fail to realize the full value of a testing opportunity, leading to difficulty in funding appropriate commercialization;</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is a lengthy, complex and costly process. There can be a financial impact to a pharmaceutical company to have a drug selected by a test;</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diagnostic reimbursement policies may not always support the coverage and payment of new CDx;</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continue to work on defining the co-development process, but the environment is continually changing.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Diagnostic Test Discovery and Development at Biodesix</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and radiomics to discover innovative diagnostic tests for potential clinical use. We focus on the use of technologies that are capable of single and multi-omic tests in our research and development. We continuously evolve and improve our test discovery and development process. All of the technologies that we employ have been chosen and developed to provide high-quality data to enable our clinical test discovery and development. We feel that this level of data integrity is crucial for the development of diagnostic tests.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our customers, key opinion leaders, and scientific experts to stay ahead of the rapidly evolving diagnostic and therapeutic landscape and learn about biological discoveries that are clinically meaningful. Additionally, we incorporate clinical and molecular profiling data aggregated through our commercial clinical testing, research studies, clinical trials, and biopharmaceutical customers or other collaborative partnerships, into our platform. Our curated biobank encompasses thousands of biological specimens with associated clinical data, including tumor genomic profiles and immune profiles, which are used for both internal and external research and development initiatives. With our multi-omic approach we are able to discover diagnostic tests that answer critical clinical questions faced by physicians, researchers, and biopharmaceutical companies.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achieve our discovery and development objectives, we utilize different technologies, including ddPCR, NGS, LC-MS, ELISA, single cell analyses, and our proprietary DeepMALDI® mass spectrometry platform for the blood-based molecular analysis of the tumor, immune system, and host-status of each patient and/or clinical dataset. We continuously revisit our technology strategy and roadmap to integrate new technologies into our evolving platform, which ultimately support the addition of new service and product revenue offerings. Most diagnostic companies focus their strategy on using a single technology to discover biomarkers for a broad range of clinical questions. We believe that no single technology can interrogate the complexity of the human disease state to help solve all clinical questions. For that reason, we employ a multi-omic approach to solving diagnostic challenges. Because of this approach, we believe we are unique in the diagnostics market, allowing for a broader and more holistic understanding of each patient’s disease state.</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experts in many technologies, but we are a true market leader with over 15 years of experience in the field of clinical proteomics. For over 15 years, we have been discovering and developing proteomic-based diagnostic tests and have a deep understanding of how to incorporate technologies that can be applied to blood samples in order to extract important protein-based biological information in the form of diagnostic tests, which can aid clinicians and scientists in understanding the dynamic biology of their system of interest, such as a patient with cancer.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suite of technologies that assist us in discovery, development and commercialization of novel diagnostic tests includes: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DeepMALDI Mass Spectrometry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developed DeepMALDI, a proprietary high-density matrix-assisted laser desorption/ionization time-of-flight (MALDI-ToF) mass spectrometry (MS) technology, to discover potential tests for disease diagnosis, and monitoring for disease progression or recurrence in lung and other disease states. DeepMALDI technology overcomes the limitations of conventional MALDI and other mass spectrometry methods to produce highly sensitive, stable, and reproducible data. This method yields substantially higher quality data content and is thereby well suited for the discovery of biomarkers with clinical utility. We intend to maintain our leadership role in the discovery of proteomics-based diagnostic tests. We utilize our DeepMALDI and MALDI-ToF technologies in our discovery and development efforts and as part of our collaborations with our biopharmaceutical customers and other collaborative partners.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 Chromatography (LC) Mass Spectrometry (MS)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Multiple Reaction Monitoring (MRM) MS with triple quadrupole mass spectrometers and up-front liquid chromatography (LC) sample injection in the Nodify XL2 test and as part of our collaborations with our biopharmaceutical customers and other collaborative partners. This mass spectrometry method offers highly sensitive, specific, and cost-effective analysis for simultaneous quantitation of hundreds to several thousands of targeted peptides in a single experiment. We have since included the MRM technologies as part of our services for discovery and development with our biopharmaceutical customers and academic partners.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Enzyme-Linked Immunosorbent Assay (ELISA)</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ELISA is the most widely used ligand binding assay platform within and outside the pharmaceutical industry. Formats include direct, indirect and sandwich assays and are typically run in manually or semi-automated modes. We use a semi-automated implementation of ELISA in clinical testing for the Nodify CDT test, and as part of our collaborations with our biopharmaceutical customers and other collaborative partners. The acquisition of Oncimmune USA in 2019 expanded our ability to conduct very high throughput and cost-effective ELISAs in our clinical testing laboratory. We have now included the ELISA technologies for research and development both internally and externally with our biopharmaceutical customers and academic partners.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Droplet Digital Polymerase Chain Reaction Technology (ddPCR)</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the ddPCR technology for multiplexed, semi-automated nucleic acid detection. This allows high sensitivity, fast turn-around times, flexibility in our laboratory workflows, rapid scaling from low to moderate anolyte complexity, and high-volume scalability. ddPCR is an absolute quantitation method based on the partitioning of circulating nucleic acids into up to 20,000 droplets per reaction and is used for the GeneStrat ddPCR test. Our strategy with ddPCR relies on a menu of off-the-shelf and custom research use assays, including early access and beta evaluation, which we develop and make available as a part of our commercial pipeline, biopharmaceutical and collaborative test services. We have included the ddPCR technologies for research and development both internally and externally with our biopharmaceutical customers and other collaborative partners.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Sequencing Technology (NGS)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NGS technology for broad genomic sequencing of clinical specimens. Our strategy with NGS relies on a menu of off-the-shelf and custom research use assays, including early access and beta evaluation, which we develop and make available as a part of our commercial pipeline, biopharmaceutical and collaborative test services. The NGS technology integrates automated systems to yield high sensitivity results with a rapid turnaround time. Since adoption of this technology, we have included the NGS technologies for research and product development both internally and externally with our biopharmaceutical customers and other collaborative partners.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Products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 help address the current limitations with standard of care in lung cancer diagnosis, treatment, and monitoring, we use combinations of tumor, immune and host profiling, radiological imaging, patient clinical profiling, and our proprietary AI platform to provide a holistic view of each patient’s dynamic disease state.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five blood-based diagnostic tests across the lung cancer continuum of care to help address clinical unmet needs by physicians.</w:t>
      </w:r>
    </w:p>
    <w:p>
      <w:pPr>
        <w:spacing w:after="0" w:line="113" w:lineRule="exact"/>
        <w:rPr>
          <w:sz w:val="20"/>
          <w:szCs w:val="20"/>
          <w:color w:val="auto"/>
        </w:rPr>
      </w:pPr>
    </w:p>
    <w:p>
      <w:pPr>
        <w:jc w:val="both"/>
        <w:ind w:left="900" w:hanging="383"/>
        <w:spacing w:after="0" w:line="257"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Diagnosis</w:t>
      </w:r>
      <w:r>
        <w:rPr>
          <w:rFonts w:ascii="Times New Roman" w:cs="Times New Roman" w:eastAsia="Times New Roman" w:hAnsi="Times New Roman"/>
          <w:sz w:val="18"/>
          <w:szCs w:val="18"/>
          <w:color w:val="auto"/>
        </w:rPr>
        <w:t>: We believe there is a clinical need to help physicians reclassify risk of malignancy in patients presenting with suspicious lung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nodules. We offer blood-based Nodify Lung Nodule Risk Assessment testing to aid physicians in stratifying patients into distinct nodule management treatment pathways: diagnostic procedure or imaging surveillance. Nodify Lung consists of two blood-based proteomic tests: the Nodify CDT test helps identify patients with lung nodules that are likely malignant and the Nodify XL2 test conversely helps identify those that are likely benign. The Nodify CDT and XL2 tests have established average turnaround times of one business day and five business days from receipt of the blood sample, respectively, providing physicians with timely results to guide diagnostic planning</w:t>
      </w:r>
    </w:p>
    <w:p>
      <w:pPr>
        <w:spacing w:after="0" w:line="72" w:lineRule="exact"/>
        <w:rPr>
          <w:rFonts w:ascii="Times New Roman" w:cs="Times New Roman" w:eastAsia="Times New Roman" w:hAnsi="Times New Roman"/>
          <w:sz w:val="18"/>
          <w:szCs w:val="18"/>
          <w:color w:val="auto"/>
        </w:rPr>
      </w:pPr>
    </w:p>
    <w:p>
      <w:pPr>
        <w:jc w:val="both"/>
        <w:ind w:left="900" w:hanging="383"/>
        <w:spacing w:after="0" w:line="259"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Treatment Guidance</w:t>
      </w:r>
      <w:r>
        <w:rPr>
          <w:rFonts w:ascii="Times New Roman" w:cs="Times New Roman" w:eastAsia="Times New Roman" w:hAnsi="Times New Roman"/>
          <w:sz w:val="18"/>
          <w:szCs w:val="18"/>
          <w:color w:val="auto"/>
        </w:rPr>
        <w:t>: We believe there is an ongoing need for a blood-based testing solution that measures tumor-specific mutations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immune profile to provide physicians with more comprehensive information to personalize treatment plans. We offer the blood-based IQLung testing strategy, which consists of the GeneStrat ddPCR and GeneStrat NGS tumor profiling tests and the VeriStrat immune profiling test for patients diagnosed with NSCLC. With an established average turnaround time of three business days, we are able to quickly provide critical diagnostic information to physicians to facilitate personalized treatment decisions for their patients.</w:t>
      </w:r>
    </w:p>
    <w:p>
      <w:pPr>
        <w:spacing w:after="0" w:line="69" w:lineRule="exact"/>
        <w:rPr>
          <w:rFonts w:ascii="Times New Roman" w:cs="Times New Roman" w:eastAsia="Times New Roman" w:hAnsi="Times New Roman"/>
          <w:sz w:val="18"/>
          <w:szCs w:val="18"/>
          <w:color w:val="auto"/>
        </w:rPr>
      </w:pPr>
    </w:p>
    <w:p>
      <w:pPr>
        <w:jc w:val="both"/>
        <w:ind w:left="900" w:hanging="383"/>
        <w:spacing w:after="0" w:line="268"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Monitoring</w:t>
      </w:r>
      <w:r>
        <w:rPr>
          <w:rFonts w:ascii="Times New Roman" w:cs="Times New Roman" w:eastAsia="Times New Roman" w:hAnsi="Times New Roman"/>
          <w:sz w:val="18"/>
          <w:szCs w:val="18"/>
          <w:color w:val="auto"/>
        </w:rPr>
        <w:t>: We believe longitudinally monitoring advanced NSCLC patients for the dynamic evolution of their tumor and immune profile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on treatment can provide an earlier indication of treatment resistance and/or disease progression. We offer the IQLung testing strategy as a blood-based monitoring tool for physicians to track their patients’ disease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1212215</wp:posOffset>
            </wp:positionH>
            <wp:positionV relativeFrom="paragraph">
              <wp:posOffset>156210</wp:posOffset>
            </wp:positionV>
            <wp:extent cx="4692015" cy="1617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92015" cy="161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Diagnosis – Nodule Management</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believe we are the only company to offer two commercial blood-based tests to help physicians reclassify risk of malignancy in patients with suspicious lung nodules. Our blood-based nodule management offering, Nodify Lung Nodule Risk Assessment, assists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0" w:name="page11"/>
    <w:bookmarkEnd w:id="10"/>
    <w:p>
      <w:pPr>
        <w:jc w:val="both"/>
        <w:spacing w:after="0" w:line="265" w:lineRule="auto"/>
        <w:rPr>
          <w:sz w:val="20"/>
          <w:szCs w:val="20"/>
          <w:color w:val="auto"/>
        </w:rPr>
      </w:pPr>
      <w:r>
        <w:rPr>
          <w:rFonts w:ascii="Times New Roman" w:cs="Times New Roman" w:eastAsia="Times New Roman" w:hAnsi="Times New Roman"/>
          <w:sz w:val="18"/>
          <w:szCs w:val="18"/>
          <w:color w:val="auto"/>
        </w:rPr>
        <w:t>physicians in reclassifying a patient’s risk of lung cancer by incorporating their protein biomarker results with radiographic imaging and clinical characteristics. Nodify Lung testing consists of the Nodify CDT and Nodify XL2 proteomic tests, which can be ordered separately or together from a single blood draw to help reclassify risk of cancer to aid physicians in stratifying patients into distinct nodule management pathways: intervention or surveillance.</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Nodify CDT test is used to help identify lung nodules that are likely malignant and the Nodify XL2 test helps identify lung nodules that are likely benign. Nodify Lung testing is available for patients 40 years or older, with nodules between 8 and 30mm, and less than 65% pre-test risk of lung cancer. The testing strategy starts with the Nodify CDT test to determine if a nodule is likely malignant or at a higher risk of lung cancer. The Nodify CDT test helps physicians identify cancer more quickly by prioritizing patients with a higher risk of malignancy for a diagnostic procedure, such as biopsy or surgery. If the nodule is not identified as having a high risk of malignancy by the Nodify CDT test, then the Nodify XL2 test is performed to help determine if the patient’s nodule is likely benign or has a reduced risk of lung cancer and may be a candidate for CT imaging surveillance. Nodify Lung Risk Assessment testing is represented graphically in the image below starting with the patient’s pre-test risk of malignancy and ending with the guideline-recommended diagnostic procedure for each risk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46355</wp:posOffset>
            </wp:positionV>
            <wp:extent cx="4966335" cy="20034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66335" cy="2003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launched the Nodify Lung combined offering of the Nodify CDT and Nodify XL2 tests in March 2020. However, the Nodify XL2 test has been available to all physicians since September 2019 and has been available to a select group of physicians since October 2018. We acquired the Nodify XL2 test from Integrated Diagnostics (Indi) in July 2018 and acquired the Nodify CDT test from Oncimmune USA in October 2019.</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Nodify CDT Test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Nodify CDT test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goal of diagnosing cancer earlier. The Nodify CDT test enhances lung nodule risk assessment to facilitate compliance with clinical treatment guidelines such as those of the American College of Chest Physicians (ACCP). The Nodify CDT test is validated for use in patients who are 40 years or older, have no history of cancer except non-melanomatous skin cancer, have nodules between 8 and 30mm, and pre-test risk of lung cancer of less than 65%.</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test measures the levels of seven circulating autoantibodies (P53, NY-ESO-1, CAGE, GBU4-5, SOX2, HuD, and MAGE A4) associated with lung cancer, combined with an algorithm to report out three potential results: High Level, Moderate Level, or No Significant Levels of Antibodies Detected (NSLAD). The seven autoantibodies have shown to be elevated for all types of lung cancer, and from the earliest stage of the disease.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test result of High Level, Moderate Level, or NSLAD, each test report includes the patient’s pre-test risk of malignancy as calculated by the Solitary Pulmonary Nodule (SPN) Risk Assessment calculator, and their post-test risk of cancer incorporating the result of the test. The SPN Risk Assessment calculator was developed by Stephen Swensen, M.D., of the Mayo Clinic and is designed to provide a risk of malignancy for a patient with a newly discovered incidental nodule. The model incorporates six clinical and radiologic factors into the equation: age, nodule size, smoking status, nodule location, spiculation (nodule edge characteristic), and previous history of lung cancer. Incorporating the autoantibody levels with the risk model provides physicians with a more accurate assessment of risk. The Nodify CDT test has an established average turnaround time of one business day from receipt of the blood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1" w:name="page12"/>
    <w:bookmarkEnd w:id="11"/>
    <w:p>
      <w:pPr>
        <w:jc w:val="both"/>
        <w:spacing w:after="0" w:line="281" w:lineRule="auto"/>
        <w:rPr>
          <w:sz w:val="20"/>
          <w:szCs w:val="20"/>
          <w:color w:val="auto"/>
        </w:rPr>
      </w:pPr>
      <w:r>
        <w:rPr>
          <w:rFonts w:ascii="Times New Roman" w:cs="Times New Roman" w:eastAsia="Times New Roman" w:hAnsi="Times New Roman"/>
          <w:sz w:val="18"/>
          <w:szCs w:val="18"/>
          <w:color w:val="auto"/>
        </w:rPr>
        <w:t>sample, providing physicians with timely results to guide diagnostic planning. The Nodify CDT test has been studied in 17 peer-reviewed published studies and presentations.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Nodify XL2 Test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Nodify XL2 test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The Nodify XL2 test is used for patients who are 40 years or older, have no history of lung cancer or other recent cancer diagnoses, have nodules between 8 and 30mm, and have a pre-test risk of lung cancer of less than or equal to 50%.</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Nodify XL2 test integrates peptides measured by LC-MS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 which the peptides are derived have been associated with an inflammatory response to lung cancer. The clinical factors are patient age and smoking status, and radiological factors are nodule size, location, and edge characteristics.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test result of Likely Benign, Reduced Risk, or Indeterminate, each test report includes the patient’s pre-test risk of lung cancer as calculated by the SPN Risk Assessment calculator, and their post-Nodify XL2 risk of malignancy incorporating the result of the test. Incorporating the peptide levels with the risk model provides physicians with a revised assessment of risk incorporating the patient’s biology. The Nodify XL2 test has an established average turnaround time of five business days from receipt of the blood sample, providing physicians with timely results to guide diagnostic planning.</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Nodify Lung Risk Assessment Testing</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summary, the inclusion of Nodify Lung Risk Assessment testing into clinical practice helps physicians reclassify risk of malignancy of low to moderate risk lung nodules by incorporating the patient’s own biology into the assessment. The Nodify CDT test helps physicians identify patients with a high-risk lung nodule who may benefit from timely intervention, which can ultimately help identify lung cancer earlier. The Nodify XL2 test helps physicians identify patients with a very low risk lung nodule who may benefit from CT surveillance and could avoid unnecessary invasive procedures.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Blood samples for the Nodify XL2 and Nodify CDT tests can be collected in the physician’s office, laboratory, or at home through use of mobile phlebotomy. Mobile phlebotomy options facilitate testing for patients even if they are not seen in person by the physician and instead are seen through telehealth visits. This benefits the patient as scheduling can be conveniently fit to their needs and can keep them away from a physician’s office or hospital for safety concerns. Additionally, mobile phlebotomy benefits the physician as the logistics around a blood draw or tissue sampling are out of their hands. We have a national network of contracted nurses and phlebotomists to support at-home or mobile blood collection.</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on November 14, 2023, the Company announced the validation and launch of a new method of collecting blood specimens for Nodify Lung Nodule Risk Assessment testing. The method uses the FDA-cleared Tasso+™ device, a single-use blood lancing device intended for obtaining capillary whole blood samples from a patient’s upper arm. Capillary blood draws using the Tasso+ device enable blood specimen collection for healthcare providers who do not have convenient access to phlebotomy services or a licensed phlebotomist on staff in the clinic or office. The Tasso+ device was validated by Biodesix to be administered in minutes by any healthcare provider at the time of lung nodule evaluation, creating efficiencies in the Nodify Lung workflow. Biodesix received approval from the New York State Clinical Laboratory Evaluation Program (NYS-CLEP) to use the Tasso+ device as a specimen collection method in support of Nodify Lung testing after entering into a supply agreement with Tasso, Inc. The device is now available for clinical use to collect specimens for Nodify Lung testing.</w:t>
      </w:r>
    </w:p>
    <w:p>
      <w:pPr>
        <w:spacing w:after="0" w:line="8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Both tests require a single blood sample shipped at ambient temperature to our certified, high-complexity clinical laboratory in De Soto, Kansas. Nodify CDT testing requires whole blood and Nodify XL2 testing requires a whole blood K2EDTA tube. Results for the Nodify CDT test alone are typically available within one day. If both tests are ordered for the patient and Nodify CDT returns a result of NSLAD, then both test results are typically available within four to five business days. All results are available through secure communication methods, including a portal, fax, hard copy, or mobile device.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Guidance and Monitoring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Profiling the tumor through blood-based genomic testing can help identify mutations in genes that may be driving growth of the tumor and may be targets for therapeutics. However, tumors also have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IQLung testing strategy consists of the GeneStrat ddPCR and GeneStrat NGS tumor profiling tests and the VeriStrat immune profiling test, which can be ordered together or separately for patients with NSCLC. Together, the tests have an established average turnaround time of three business days, providing physicians with timely results to facilitate treatment decisions.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1270000</wp:posOffset>
            </wp:positionH>
            <wp:positionV relativeFrom="page">
              <wp:posOffset>774065</wp:posOffset>
            </wp:positionV>
            <wp:extent cx="4974590" cy="2209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4974590" cy="220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GeneStrat ddPCR Test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GeneStrat test is a blood-based tumor profiling test that detects the guideline recommended, actionable mutations in lung cancer: </w:t>
      </w:r>
      <w:r>
        <w:rPr>
          <w:rFonts w:ascii="Times New Roman" w:cs="Times New Roman" w:eastAsia="Times New Roman" w:hAnsi="Times New Roman"/>
          <w:sz w:val="18"/>
          <w:szCs w:val="18"/>
          <w:i w:val="1"/>
          <w:iCs w:val="1"/>
          <w:color w:val="auto"/>
        </w:rPr>
        <w:t>EGFR, KRAS, BRAF,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EML4-ALK, ROS-1,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RET. </w:t>
      </w:r>
      <w:r>
        <w:rPr>
          <w:rFonts w:ascii="Times New Roman" w:cs="Times New Roman" w:eastAsia="Times New Roman" w:hAnsi="Times New Roman"/>
          <w:sz w:val="18"/>
          <w:szCs w:val="18"/>
          <w:color w:val="auto"/>
        </w:rPr>
        <w:t>Physicians can order one or any combination of the gene tests, whichever they deem medically necessary for the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 The presence of a mutation in one of the genes could indicate the patient is a candidate for the associated guideline-recommended targeted therapy. The GeneStrat test performance and potential clinical utility have been published in multiple peer reviewed studies.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GeneStrat test results have an established average turnaround time of two business days from the start of processing the sample in our Louisville, Colorado clinical laboratory. In a study at Eastern Carolina University, it was observed that blood-based testing was up to three weeks faster than tissue-based testing, with tissue-based testing taking a median of 26 days from sample collection. With GeneStrat testing, results are typically available in time for the patients first oncology visit, allowing the patient to start front-line treatment as quickly as possible. In the same study, it was observed that only 4% of patients had tissue-based molecular test results prior to start of front-line treatment. Meanwhile, after integrating Biodesix testing at the institution, 72% of patients had molecular test results available. Testing with the GeneStrat test can help physicians identify driver mutations quickly to help speed up time to treatment.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GeneStrat NGS Test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GeneStrat NGS test is a blood-based 52-gene tumor profiling test panel that detects the guideline recommended, actionable mutations in lung cancer including five gene classes (SNV, INDELS, CNA, fusions, and exon-skipping). Specific variants of relevance to NSCLC include EGFR, KRAS, BRAF, EML4-ALK, ROS-1, RET, MET, NTRK. The GeneStrat NGS test is used for late-stage, metastatic NSCLC and physicians can order one or any combination of the IQLung tests, whichever they deem medically necessary for the individual patient. The presence of a mutation in one of the genes could indicate the patient is a candidate for the associated guideline-recommended targeted therapy. The GeneStrat NGS test performance and potential clinical utility have been published in multiple published studies.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GeneStrat NGS test results have an established average turnaround time of three business days from the start of processing the sample in our Louisville, Colorado clinical laboratory.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46355</wp:posOffset>
            </wp:positionV>
            <wp:extent cx="5274310" cy="1592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74310" cy="159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believe that rapid, blood-based tumor profiling with the GeneStrat ddPCR and GeneStrat NGS tests can be complementary to both targeted tissue-based testing (including PD-L1) and tissue-based broad genomic sequencing. Testing with GeneStrat ddPCR and</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both"/>
        <w:spacing w:after="0" w:line="281" w:lineRule="auto"/>
        <w:rPr>
          <w:sz w:val="20"/>
          <w:szCs w:val="20"/>
          <w:color w:val="auto"/>
        </w:rPr>
      </w:pPr>
      <w:r>
        <w:rPr>
          <w:rFonts w:ascii="Times New Roman" w:cs="Times New Roman" w:eastAsia="Times New Roman" w:hAnsi="Times New Roman"/>
          <w:sz w:val="18"/>
          <w:szCs w:val="18"/>
          <w:color w:val="auto"/>
        </w:rPr>
        <w:t>GeneStrat NGS tests at diagnosis can help quickly identify patients who are eligible for targeted therapies. Additionally, blood-based testing upfront can help save valuable tissue for diagnostic evaluation, PD-L1 testing and broad genomic profiling for rare mutations to enroll in clinical trials.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VeriStrat Test</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VeriStrat test is a blood-based proteomic test that provides a personalized view of each patient’s immune response to their lung cancer. Results help inform physicians whether their patient has a more aggressive cancer and can help with treatment planning. The VeriStrat test profiles the patient’s immune system by measuring eight protein features measured by mass spectrometry and interpreted by a proprietary machine learning-based algorithm to produce either a VeriStrat Good or VeriStrat Poor test result.</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 patients that test as VeriStrat Poor. By using the VeriStrat test for immune profiling, physicians can help identify the patient's immune response to lung cancer to help guide treatment decisions.</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GeneStrat ddPCR testing is performed using digital PCR technology, GeneStrat NGS testing is performed using NGS technology, and the protein features in VeriStrat are measured using MALDI-ToF mass spectrometry. Results have an established average turnaround time of three business days through secure communication methods, including a portal, fax, hard copy, or mobile device.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GeneStrat ddPCR and GeneStrat NGS tests require cell-free (cf) whole blood specimen collection tubes, and VeriStrat requires a whole blood sample spotted onto our proprietary BCD. Both sample types are shipped at ambient temperature and testing is performed in our certified, high-complexity clinical laboratory in Louisville, Colorado.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Diagnostic Discovery, Development and Testing Services Business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our leadership in clinical proteomics and our multi-omic approach to probe the cancer disease state provides our customers with a clear and distinct advantage over other diagnostic service providers who solely focus on either genomics or proteomics. We recognize each clinical development program is complex, which is why we offer end-to-end diagnostic solutions, including: initial biomarker discovery, assay design and validation, testing of clinical trial samples, and commercialization of Companion Diagnostics.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our core, we hold the belief that no single technology can address all diagnostic research questions. We have embraced a multi-omic approach, harnessing the combined power of genomics and proteomics and with our broad technology and service offerings, we are able to provide the depth and breadth of biomarker tools and diagnostic services required by our biopharmaceutical partners. Our capabilities and expertise allow us to unlock the potential detection of critical disease drivers and resistance mutations, early disease detection, monitoring of treatment responses and resistance, deeper insights into the underlying biology of disease, and the tracking of protein changes and degradation for a comprehensive view of treatment response. We specialize in developing state-of-the-art diagnostics solutions that play a crucial role in personalizing treatment decisions. Our team of scientists are dedicated to creating innovative and reliable diagnostic tools that can contribute to the success of drug development and patient care. Key aspects of our expertise include:</w:t>
      </w:r>
    </w:p>
    <w:p>
      <w:pPr>
        <w:spacing w:after="0" w:line="185" w:lineRule="exact"/>
        <w:rPr>
          <w:sz w:val="20"/>
          <w:szCs w:val="20"/>
          <w:color w:val="auto"/>
        </w:rPr>
      </w:pPr>
    </w:p>
    <w:p>
      <w:pPr>
        <w:ind w:left="1020" w:hanging="504"/>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Customized CDx Development:</w:t>
      </w:r>
      <w:r>
        <w:rPr>
          <w:rFonts w:ascii="Times New Roman" w:cs="Times New Roman" w:eastAsia="Times New Roman" w:hAnsi="Times New Roman"/>
          <w:sz w:val="18"/>
          <w:szCs w:val="18"/>
          <w:color w:val="auto"/>
        </w:rPr>
        <w:t> We have a proven track record of developing custom-made diagnostic assays to support the specific needs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given drug development program.</w:t>
      </w:r>
    </w:p>
    <w:p>
      <w:pPr>
        <w:spacing w:after="0" w:line="46" w:lineRule="exact"/>
        <w:rPr>
          <w:rFonts w:ascii="Times New Roman" w:cs="Times New Roman" w:eastAsia="Times New Roman" w:hAnsi="Times New Roman"/>
          <w:sz w:val="18"/>
          <w:szCs w:val="18"/>
          <w:color w:val="auto"/>
        </w:rPr>
      </w:pPr>
    </w:p>
    <w:p>
      <w:pPr>
        <w:jc w:val="both"/>
        <w:ind w:left="1020" w:hanging="504"/>
        <w:spacing w:after="0" w:line="268"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Cutting-Edge Technology:</w:t>
      </w:r>
      <w:r>
        <w:rPr>
          <w:rFonts w:ascii="Times New Roman" w:cs="Times New Roman" w:eastAsia="Times New Roman" w:hAnsi="Times New Roman"/>
          <w:sz w:val="18"/>
          <w:szCs w:val="18"/>
          <w:color w:val="auto"/>
        </w:rPr>
        <w:t> We have expertise in genomics (ddPCR and NGS) and proteomics (LC-MS/MS and ELISA). Our diagnostics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latest advancements in technology, ensuring accuracy, sensitivity, and reproducibility. We have expertise in liquid biopsy and tissue-based assays.</w:t>
      </w:r>
    </w:p>
    <w:p>
      <w:pPr>
        <w:spacing w:after="0" w:line="61" w:lineRule="exact"/>
        <w:rPr>
          <w:rFonts w:ascii="Times New Roman" w:cs="Times New Roman" w:eastAsia="Times New Roman" w:hAnsi="Times New Roman"/>
          <w:sz w:val="18"/>
          <w:szCs w:val="18"/>
          <w:color w:val="auto"/>
        </w:rPr>
      </w:pPr>
    </w:p>
    <w:p>
      <w:pPr>
        <w:jc w:val="both"/>
        <w:ind w:left="1020" w:hanging="504"/>
        <w:spacing w:after="0" w:line="25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Compliance: </w:t>
      </w:r>
      <w:r>
        <w:rPr>
          <w:rFonts w:ascii="Times New Roman" w:cs="Times New Roman" w:eastAsia="Times New Roman" w:hAnsi="Times New Roman"/>
          <w:sz w:val="18"/>
          <w:szCs w:val="18"/>
          <w:color w:val="auto"/>
        </w:rPr>
        <w:t>We have a deep understanding of the regulatory landscape and work closely with regulatory authorities to ensure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our diagnostics meet all necessary compliance standards. Additionally, we have a phase gated product development process pursuant to the FDA and IVDR design control elements. Our quality management system (QMS) infrastructure is highly certified in local, US governmental and international standards and regulations and scalable to support global expansion as evidenced by multiple CE marked products under the IVDR and international registrations and commercial markets. The Biodesix QMS is currently under the purview of CLIA, CAP, NYS-CLEP, and ISO13485.</w:t>
      </w:r>
    </w:p>
    <w:p>
      <w:pPr>
        <w:spacing w:after="0" w:line="72" w:lineRule="exact"/>
        <w:rPr>
          <w:rFonts w:ascii="Times New Roman" w:cs="Times New Roman" w:eastAsia="Times New Roman" w:hAnsi="Times New Roman"/>
          <w:sz w:val="18"/>
          <w:szCs w:val="18"/>
          <w:color w:val="auto"/>
        </w:rPr>
      </w:pPr>
    </w:p>
    <w:p>
      <w:pPr>
        <w:ind w:left="1020" w:hanging="504"/>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Collaborative Approach: </w:t>
      </w:r>
      <w:r>
        <w:rPr>
          <w:rFonts w:ascii="Times New Roman" w:cs="Times New Roman" w:eastAsia="Times New Roman" w:hAnsi="Times New Roman"/>
          <w:sz w:val="18"/>
          <w:szCs w:val="18"/>
          <w:color w:val="auto"/>
        </w:rPr>
        <w:t>We believe in fostering a collaborative and transparent relationship with our partners, working hand-in-hand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 shared objectives and milestones.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1252855</wp:posOffset>
            </wp:positionH>
            <wp:positionV relativeFrom="page">
              <wp:posOffset>774065</wp:posOffset>
            </wp:positionV>
            <wp:extent cx="5017770" cy="2157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017770" cy="215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provide benefit to our biopharmaceutical customers as they integrate strategies for increasing the probability of success for pivotal clinical trials. Specifically, our diagnostic testing services may help enable quicker enrollment rates for patients in prospective clinical trials, ranging from phase 1 to phase 3, and could help identify patient populations who may experience the greatest benefit from new therapeutics. Ultimately, our goal is to help biopharmaceutical customers realize greater efficiency in their clinical development programs. We have the ability to access and leverage our sample and data biobank for our partners’ data mining needs, including new test discovery. Additionally, we can leverage our FDA approved, GMP manufacturing facility to design, build and supply clinical trial sites with sample collection kits.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biopharmaceutical discovery, diagnostic development and testing revenue continues to grow, it is important to note that we benefit greatly from these partnerships in many ways that expand beyond revenue. We are continuously expanding our knowledge and biological understanding of multiple diseases and the rapidly evolving treatment landscape, while our Diagnostic Cortex® platform continues to be powered through these biomarker analyses. Additionally, our anonymized sample and data biobank continue to grow and can be further leveraged for internal test development and external partnering. Importantly, we look to supplement our product development efforts with companion diagnostics as they are developed.</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 date, we have over 65 biopharmaceutical customers and academic partners who have utilized our diagnostic tests and services. The following are a few case studies of early-stage biomarker discovery and development with our biopharmaceutical customers.</w:t>
      </w:r>
    </w:p>
    <w:p>
      <w:pPr>
        <w:spacing w:after="0" w:line="51" w:lineRule="exact"/>
        <w:rPr>
          <w:sz w:val="20"/>
          <w:szCs w:val="20"/>
          <w:color w:val="auto"/>
        </w:rPr>
      </w:pPr>
    </w:p>
    <w:p>
      <w:pPr>
        <w:jc w:val="both"/>
        <w:ind w:left="900" w:hanging="383"/>
        <w:spacing w:after="0" w:line="257"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AstraZeneca: </w:t>
      </w:r>
      <w:r>
        <w:rPr>
          <w:rFonts w:ascii="Times New Roman" w:cs="Times New Roman" w:eastAsia="Times New Roman" w:hAnsi="Times New Roman"/>
          <w:sz w:val="18"/>
          <w:szCs w:val="18"/>
          <w:color w:val="auto"/>
        </w:rPr>
        <w:t>We provided services to AstraZeneca to retrospectively analyze samples from the FLAURA clinical trial (NCT02296125).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goal of this analysis was to interpret and establish the clinical utility of blood-based longitudinal monitoring of EGFR sensitizing and resistance mutations by ddPCR in advanced NSCLC patients treated with osimertinib. The data demonstrated that these circulating DNA mutations could be tracked in blood to interpret the patient’s prognosis, and could help AstraZeneca to identify disease progression three months (median) in advance of standard imaging. We have used our ddPCR assay to monitor EGFR sensitizing and resistance mutations in clinical trial samples from seven different clinical trials for Tagrisso.</w:t>
      </w:r>
    </w:p>
    <w:p>
      <w:pPr>
        <w:spacing w:after="0" w:line="72" w:lineRule="exact"/>
        <w:rPr>
          <w:rFonts w:ascii="Times New Roman" w:cs="Times New Roman" w:eastAsia="Times New Roman" w:hAnsi="Times New Roman"/>
          <w:sz w:val="18"/>
          <w:szCs w:val="18"/>
          <w:color w:val="auto"/>
        </w:rPr>
      </w:pPr>
    </w:p>
    <w:p>
      <w:pPr>
        <w:jc w:val="both"/>
        <w:ind w:left="900" w:hanging="383"/>
        <w:spacing w:after="0" w:line="255"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Genentech: </w:t>
      </w:r>
      <w:r>
        <w:rPr>
          <w:rFonts w:ascii="Times New Roman" w:cs="Times New Roman" w:eastAsia="Times New Roman" w:hAnsi="Times New Roman"/>
          <w:sz w:val="18"/>
          <w:szCs w:val="18"/>
          <w:color w:val="auto"/>
        </w:rPr>
        <w:t>We partnered with Genentech to discover a novel proteomic classifier for advanced NSCLC patients treated with atezolizumab.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test was discovered on a small clinical cohort (n=77) and was independently validated on blinded samples (n=270) from the POPLAR clinical trial (NCT01903993). The validation revealed that the proteomic test was predictive of progression free survival and overall survival for atezolizumab versus the control arm docetaxel. Additionally, an analysis compared the correlation between our proteomic classifier with standard of care biomarkers (PD-L1 expression status and tumor mutation burden), which revealed there was no significant correlation. We published additional work on the Genentech classifier with three posters presented at the society of immunotherapy conference (SITC). This data reinforces that our classifier provides unique and valuable information in the treatment of patients with advanced NSCLC. It is our belief that Genentech could use this strategy to identify patients that could derive a longer progression free survival from atezolizumab.</w:t>
      </w:r>
    </w:p>
    <w:p>
      <w:pPr>
        <w:spacing w:after="0" w:line="74" w:lineRule="exact"/>
        <w:rPr>
          <w:rFonts w:ascii="Times New Roman" w:cs="Times New Roman" w:eastAsia="Times New Roman" w:hAnsi="Times New Roman"/>
          <w:sz w:val="18"/>
          <w:szCs w:val="18"/>
          <w:color w:val="auto"/>
        </w:rPr>
      </w:pPr>
    </w:p>
    <w:p>
      <w:pPr>
        <w:ind w:left="900" w:hanging="383"/>
        <w:spacing w:after="0" w:line="28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HiberCell: </w:t>
      </w:r>
      <w:r>
        <w:rPr>
          <w:rFonts w:ascii="Times New Roman" w:cs="Times New Roman" w:eastAsia="Times New Roman" w:hAnsi="Times New Roman"/>
          <w:sz w:val="18"/>
          <w:szCs w:val="18"/>
          <w:color w:val="auto"/>
        </w:rPr>
        <w:t>In January 2021, we announced a broad collaboration with HiberCell for CDx discovery, development and commercialization.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initially focuses on the further development of an ELISA as a CDx in future registrational trials for Imprime PGG programs.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are our key competitive advantages:</w:t>
      </w:r>
    </w:p>
    <w:p>
      <w:pPr>
        <w:spacing w:after="0" w:line="113" w:lineRule="exact"/>
        <w:rPr>
          <w:sz w:val="20"/>
          <w:szCs w:val="20"/>
          <w:color w:val="auto"/>
        </w:rPr>
      </w:pPr>
    </w:p>
    <w:p>
      <w:pPr>
        <w:jc w:val="both"/>
        <w:ind w:left="900" w:hanging="383"/>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proprietary extensively validated deep learning platform, which is tailored to discover diagnostic tests that address clinical unmet needs. </w:t>
      </w:r>
      <w:r>
        <w:rPr>
          <w:rFonts w:ascii="Times New Roman" w:cs="Times New Roman" w:eastAsia="Times New Roman" w:hAnsi="Times New Roman"/>
          <w:sz w:val="18"/>
          <w:szCs w:val="18"/>
          <w:color w:val="auto"/>
        </w:rPr>
        <w:t>Our platform is an extensively validated deep learning platform optimized for discovery of diagnostic tests. By combining our multi-omic approach with deep learning techniques, we believe we have overcome many standard machine learning challenges. This has enabled us to develop commercial tests for clinical unmet needs and collaborate with our biopharmaceutical customers and academic partners.</w:t>
      </w:r>
    </w:p>
    <w:p>
      <w:pPr>
        <w:spacing w:after="0" w:line="67" w:lineRule="exact"/>
        <w:rPr>
          <w:rFonts w:ascii="Times New Roman" w:cs="Times New Roman" w:eastAsia="Times New Roman" w:hAnsi="Times New Roman"/>
          <w:sz w:val="18"/>
          <w:szCs w:val="18"/>
          <w:color w:val="auto"/>
        </w:rPr>
      </w:pPr>
    </w:p>
    <w:p>
      <w:pPr>
        <w:jc w:val="both"/>
        <w:ind w:left="900" w:hanging="383"/>
        <w:spacing w:after="0" w:line="257"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driven approach to precision medicine combined with our diverse technology platforms, partnership and biobank enable us to accelerate development of new tests. </w:t>
      </w:r>
      <w:r>
        <w:rPr>
          <w:rFonts w:ascii="Times New Roman" w:cs="Times New Roman" w:eastAsia="Times New Roman" w:hAnsi="Times New Roman"/>
          <w:sz w:val="18"/>
          <w:szCs w:val="18"/>
          <w:color w:val="auto"/>
        </w:rPr>
        <w:t>We have a variety of samples with associated data in our biobank, including tumor profiles and 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profiles, which are used for both internal and external research and development initiatives. Our biobank, clinical trials, commercial testing and other partnerships provide an ongoing source of new data that can further enhance our test discovery platform. We are continuously identifying and incorporating new market insights and input from our customers, key opinion leaders, and scientific experts to leverage this data in developing our diagnostic tests.</w:t>
      </w:r>
    </w:p>
    <w:p>
      <w:pPr>
        <w:spacing w:after="0" w:line="72" w:lineRule="exact"/>
        <w:rPr>
          <w:rFonts w:ascii="Times New Roman" w:cs="Times New Roman" w:eastAsia="Times New Roman" w:hAnsi="Times New Roman"/>
          <w:sz w:val="18"/>
          <w:szCs w:val="18"/>
          <w:color w:val="auto"/>
        </w:rPr>
      </w:pPr>
    </w:p>
    <w:p>
      <w:pPr>
        <w:jc w:val="both"/>
        <w:ind w:left="900" w:hanging="383"/>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leadership in clinical proteomics, demonstrated research, development, and scientific expertise, combined with our intellectual property portfolio. </w:t>
      </w:r>
      <w:r>
        <w:rPr>
          <w:rFonts w:ascii="Times New Roman" w:cs="Times New Roman" w:eastAsia="Times New Roman" w:hAnsi="Times New Roman"/>
          <w:sz w:val="18"/>
          <w:szCs w:val="18"/>
          <w:color w:val="auto"/>
        </w:rPr>
        <w:t>Our leadership in clinical proteomics and our multi-omic approach, we believe provides us with a distinct advantage 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competitors, who focus on any single technology, such as genomics or proteomics. Our certified, high-complexity laboratories offer significant advantages in development of commercial tests.</w:t>
      </w:r>
    </w:p>
    <w:p>
      <w:pPr>
        <w:spacing w:after="0" w:line="67" w:lineRule="exact"/>
        <w:rPr>
          <w:rFonts w:ascii="Times New Roman" w:cs="Times New Roman" w:eastAsia="Times New Roman" w:hAnsi="Times New Roman"/>
          <w:sz w:val="18"/>
          <w:szCs w:val="18"/>
          <w:color w:val="auto"/>
        </w:rPr>
      </w:pPr>
    </w:p>
    <w:p>
      <w:pPr>
        <w:jc w:val="both"/>
        <w:ind w:left="900" w:hanging="383"/>
        <w:spacing w:after="0" w:line="26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proprietary technologies and processes are protected by a portfolio of approximately 116 issued patents in the United States and internationally, and 18 uniquely registered United States trademarks. </w:t>
      </w:r>
      <w:r>
        <w:rPr>
          <w:rFonts w:ascii="Times New Roman" w:cs="Times New Roman" w:eastAsia="Times New Roman" w:hAnsi="Times New Roman"/>
          <w:sz w:val="18"/>
          <w:szCs w:val="18"/>
          <w:color w:val="auto"/>
        </w:rPr>
        <w:t>We take efforts to protect our proprietary position using a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methods, such as a pursuit of United States and foreign patent applications related to our proprietary technology, use of trade secrets, trademarks, know-how, continuing technological innovation and potential in-licensing and acquisition opportunities.</w:t>
      </w:r>
    </w:p>
    <w:p>
      <w:pPr>
        <w:spacing w:after="0" w:line="67" w:lineRule="exact"/>
        <w:rPr>
          <w:rFonts w:ascii="Times New Roman" w:cs="Times New Roman" w:eastAsia="Times New Roman" w:hAnsi="Times New Roman"/>
          <w:sz w:val="18"/>
          <w:szCs w:val="18"/>
          <w:color w:val="auto"/>
        </w:rPr>
      </w:pPr>
    </w:p>
    <w:p>
      <w:pPr>
        <w:jc w:val="both"/>
        <w:ind w:left="900" w:hanging="383"/>
        <w:spacing w:after="0" w:line="25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demonstrated success commercializing diagnostic tests in lung disease as well as unprecedented turnaround times. </w:t>
      </w:r>
      <w:r>
        <w:rPr>
          <w:rFonts w:ascii="Times New Roman" w:cs="Times New Roman" w:eastAsia="Times New Roman" w:hAnsi="Times New Roman"/>
          <w:sz w:val="18"/>
          <w:szCs w:val="18"/>
          <w:color w:val="auto"/>
        </w:rPr>
        <w:t>With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diagnostic tests launched and multiple improvements and several tests currently in development, our commercial portfolio of blood-based solutions currently addresses clinical unmet needs within diagnosis, treatment and monitoring of lung cancer. Our diagnostic tests provide rapid, actionable, and holistic diagnostic information to help inform physicians on the next steps in a patient’s care plan. For example, the blood-based IQLung strategy for lung cancer patients integrates the GeneStrat ddPCR test, the GeneStrat NGS test and the VeriStrat test to support treatment decisions across all stages of lung cancer with results in an unprecedented two to three business days, expediting time to treatment.</w:t>
      </w:r>
    </w:p>
    <w:p>
      <w:pPr>
        <w:spacing w:after="0" w:line="72" w:lineRule="exact"/>
        <w:rPr>
          <w:rFonts w:ascii="Times New Roman" w:cs="Times New Roman" w:eastAsia="Times New Roman" w:hAnsi="Times New Roman"/>
          <w:sz w:val="18"/>
          <w:szCs w:val="18"/>
          <w:color w:val="auto"/>
        </w:rPr>
      </w:pPr>
    </w:p>
    <w:p>
      <w:pPr>
        <w:jc w:val="both"/>
        <w:ind w:left="900" w:hanging="383"/>
        <w:spacing w:after="0" w:line="259"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depth and breadth of point of care access to physicians allows us to drive adoption of our diagnostic tests while incorporating real-life feedback to inform new product development. </w:t>
      </w:r>
      <w:r>
        <w:rPr>
          <w:rFonts w:ascii="Times New Roman" w:cs="Times New Roman" w:eastAsia="Times New Roman" w:hAnsi="Times New Roman"/>
          <w:sz w:val="18"/>
          <w:szCs w:val="18"/>
          <w:color w:val="auto"/>
        </w:rPr>
        <w:t>Our commercial team’s primary focus is to articulate the scientific and clinical evidence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behind our tests, how they impact clinical care and can ultimately help to improve patient outcomes. Our demonstrated scientific expertise, leadership in clinical proteomics and breadth of data, including peer-reviewed publications, presentations and clinical studies, forms the basis of our relationships with major hospitals and physician networks across the United States.</w:t>
      </w:r>
    </w:p>
    <w:p>
      <w:pPr>
        <w:spacing w:after="0" w:line="69" w:lineRule="exact"/>
        <w:rPr>
          <w:rFonts w:ascii="Times New Roman" w:cs="Times New Roman" w:eastAsia="Times New Roman" w:hAnsi="Times New Roman"/>
          <w:sz w:val="18"/>
          <w:szCs w:val="18"/>
          <w:color w:val="auto"/>
        </w:rPr>
      </w:pPr>
    </w:p>
    <w:p>
      <w:pPr>
        <w:jc w:val="both"/>
        <w:ind w:left="900" w:hanging="383"/>
        <w:spacing w:after="0" w:line="259"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commercial infrastructure, which includes our extensive knowledge and experience in sales, marketing, reimbursement and operations, provides us with the ability to launch, scale and drive revenue. </w:t>
      </w:r>
      <w:r>
        <w:rPr>
          <w:rFonts w:ascii="Times New Roman" w:cs="Times New Roman" w:eastAsia="Times New Roman" w:hAnsi="Times New Roman"/>
          <w:sz w:val="18"/>
          <w:szCs w:val="18"/>
          <w:color w:val="auto"/>
        </w:rPr>
        <w:t>We believe our commitment to commercial excellence helps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leverage insights, operational excellence and proven approaches to deliver revenue growth and enhance the brand of our company and products. We are able to deploy rapid clinical testing turnaround times and develop commercial tests at scale. Scaling of our test capacity to meet volumes is then achieved by adding instrumentation and qualified personnel to our quality systems.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strive to provide swift, comprehensive and actionable insights to improve patient outcomes across lung disease and to help answer critical clinical questions faced by physicians, researchers, and biopharmaceutical companies. To achieve this, we intend to:</w:t>
      </w:r>
    </w:p>
    <w:p>
      <w:pPr>
        <w:spacing w:after="0" w:line="51"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Drive increased awareness, adoption, and reimbursement coverage of our diagnostic tests by:</w:t>
      </w:r>
    </w:p>
    <w:p>
      <w:pPr>
        <w:spacing w:after="0" w:line="121" w:lineRule="exact"/>
        <w:rPr>
          <w:sz w:val="20"/>
          <w:szCs w:val="20"/>
          <w:color w:val="auto"/>
        </w:rPr>
      </w:pPr>
    </w:p>
    <w:p>
      <w:pPr>
        <w:ind w:left="1200" w:hanging="443"/>
        <w:spacing w:after="0" w:line="281" w:lineRule="auto"/>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educating physicians, key opinion leaders, hospital systems, advocacy groups, patients, payers, academic research organizations, and technology assessment and guideline organizations on the clinical data and benefits of our tests;</w:t>
      </w:r>
    </w:p>
    <w:p>
      <w:pPr>
        <w:spacing w:after="0" w:line="54" w:lineRule="exact"/>
        <w:rPr>
          <w:rFonts w:ascii="Times New Roman" w:cs="Times New Roman" w:eastAsia="Times New Roman" w:hAnsi="Times New Roman"/>
          <w:sz w:val="18"/>
          <w:szCs w:val="18"/>
          <w:color w:val="auto"/>
        </w:rPr>
      </w:pPr>
    </w:p>
    <w:p>
      <w:pPr>
        <w:ind w:left="1200" w:hanging="443"/>
        <w:spacing w:after="0" w:line="281" w:lineRule="auto"/>
        <w:tabs>
          <w:tab w:leader="none" w:pos="1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our pulmonology focused sales force and commercial reach with targeted awareness campaigns to employ highly targeted sales and marketing tactics in pulmonology clinics specializing in the management of lung nodules and the diagnosis of lung cancer;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6" w:name="page17"/>
    <w:bookmarkEnd w:id="16"/>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the expansion of our sales force and commercial support team;</w:t>
      </w:r>
    </w:p>
    <w:p>
      <w:pPr>
        <w:spacing w:after="0" w:line="116" w:lineRule="exact"/>
        <w:rPr>
          <w:rFonts w:ascii="Times New Roman" w:cs="Times New Roman" w:eastAsia="Times New Roman" w:hAnsi="Times New Roman"/>
          <w:sz w:val="18"/>
          <w:szCs w:val="18"/>
          <w:color w:val="auto"/>
        </w:rPr>
      </w:pPr>
    </w:p>
    <w:p>
      <w:pPr>
        <w:ind w:left="1200" w:hanging="443"/>
        <w:spacing w:after="0" w:line="281" w:lineRule="auto"/>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incorporating our testing services into diagnostic pathways and protocols via a top-down strategy that introduces our diagnostic tests to the largest United States health systems; and</w:t>
      </w:r>
    </w:p>
    <w:p>
      <w:pPr>
        <w:spacing w:after="0" w:line="54"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clinical data to gain broad coverage from public and private payers for our tests.</w:t>
      </w:r>
    </w:p>
    <w:p>
      <w:pPr>
        <w:spacing w:after="0" w:line="11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Deepen our relationships with current biopharmaceutical customers and establish new customer opportunities by:</w:t>
      </w:r>
    </w:p>
    <w:p>
      <w:pPr>
        <w:spacing w:after="0" w:line="120"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our complete offering of tests and services to biopharmaceutical companies in the United States and internationally;</w:t>
      </w:r>
    </w:p>
    <w:p>
      <w:pPr>
        <w:spacing w:after="0" w:line="116"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existing projects and relationships to expand sales with our current biopharmaceutical customers; and</w:t>
      </w:r>
    </w:p>
    <w:p>
      <w:pPr>
        <w:spacing w:after="0" w:line="116" w:lineRule="exact"/>
        <w:rPr>
          <w:rFonts w:ascii="Times New Roman" w:cs="Times New Roman" w:eastAsia="Times New Roman" w:hAnsi="Times New Roman"/>
          <w:sz w:val="18"/>
          <w:szCs w:val="18"/>
          <w:color w:val="auto"/>
        </w:rPr>
      </w:pPr>
    </w:p>
    <w:p>
      <w:pPr>
        <w:ind w:left="1200" w:hanging="443"/>
        <w:spacing w:after="0" w:line="281" w:lineRule="auto"/>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companies developing novel CDx strategies and drug development projects best suited to our platform for new test discovery, development and commercialization.</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demonstrate the clinical utility and health economic benefits of our diagnostic tests by:</w:t>
      </w:r>
    </w:p>
    <w:p>
      <w:pPr>
        <w:spacing w:after="0" w:line="120"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commercial clinical testing, research studies and clinical trials to further demonstrate the clinical utility of our tests;</w:t>
      </w:r>
    </w:p>
    <w:p>
      <w:pPr>
        <w:spacing w:after="0" w:line="116"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rapid, actionable, and holistic diagnostic information to help inform physicians on the next steps in a patient’s care plan; and</w:t>
      </w:r>
    </w:p>
    <w:p>
      <w:pPr>
        <w:spacing w:after="0" w:line="116"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timely and actionable clinical information to help improve overall patient outcomes and lower the overall healthcare cost.</w:t>
      </w:r>
    </w:p>
    <w:p>
      <w:pPr>
        <w:spacing w:after="0" w:line="11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Introduce new diagnostic tests in lung disease by:</w:t>
      </w:r>
    </w:p>
    <w:p>
      <w:pPr>
        <w:spacing w:after="0" w:line="120" w:lineRule="exact"/>
        <w:rPr>
          <w:rFonts w:ascii="Times New Roman" w:cs="Times New Roman" w:eastAsia="Times New Roman" w:hAnsi="Times New Roman"/>
          <w:sz w:val="18"/>
          <w:szCs w:val="18"/>
          <w:color w:val="auto"/>
        </w:rPr>
      </w:pPr>
    </w:p>
    <w:p>
      <w:pPr>
        <w:ind w:left="1200" w:hanging="443"/>
        <w:spacing w:after="0" w:line="281" w:lineRule="auto"/>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our customers, key opinion leaders, leading academic centers, and scientific experts to stay ahead of the rapidly evolving diagnostic and therapeutic landscape and to identify additional clinical unmet needs;</w:t>
      </w:r>
    </w:p>
    <w:p>
      <w:pPr>
        <w:spacing w:after="0" w:line="54" w:lineRule="exact"/>
        <w:rPr>
          <w:rFonts w:ascii="Times New Roman" w:cs="Times New Roman" w:eastAsia="Times New Roman" w:hAnsi="Times New Roman"/>
          <w:sz w:val="18"/>
          <w:szCs w:val="18"/>
          <w:color w:val="auto"/>
        </w:rPr>
      </w:pPr>
    </w:p>
    <w:p>
      <w:pPr>
        <w:ind w:left="1200" w:hanging="443"/>
        <w:spacing w:after="0" w:line="281" w:lineRule="auto"/>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with biopharmaceutical companies, academic research organizations, technology providers, and other diagnostic companies; and</w:t>
      </w:r>
    </w:p>
    <w:p>
      <w:pPr>
        <w:spacing w:after="0" w:line="54"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CDx tests to support the therapeutics’ regulatory approval and adoption process for our biopharmaceutical customers.</w:t>
      </w:r>
    </w:p>
    <w:p>
      <w:pPr>
        <w:spacing w:after="0" w:line="11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Enhance our proprietary AI platform and expand our technology portfolio by:</w:t>
      </w:r>
    </w:p>
    <w:p>
      <w:pPr>
        <w:spacing w:after="0" w:line="120"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invest in research and development capabilities to foster innovation in test discovery and development;</w:t>
      </w:r>
    </w:p>
    <w:p>
      <w:pPr>
        <w:spacing w:after="0" w:line="116"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acquiring technologies, and integrating new data types into our proprietary AI platform;</w:t>
      </w:r>
    </w:p>
    <w:p>
      <w:pPr>
        <w:spacing w:after="0" w:line="116" w:lineRule="exact"/>
        <w:rPr>
          <w:rFonts w:ascii="Times New Roman" w:cs="Times New Roman" w:eastAsia="Times New Roman" w:hAnsi="Times New Roman"/>
          <w:sz w:val="18"/>
          <w:szCs w:val="18"/>
          <w:color w:val="auto"/>
        </w:rPr>
      </w:pPr>
    </w:p>
    <w:p>
      <w:pPr>
        <w:ind w:left="1200" w:hanging="443"/>
        <w:spacing w:after="0" w:line="281" w:lineRule="auto"/>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strategic partnerships across our commercial product portfolio and product development efforts in order to further our development capabilities, accelerate launch of commercial products, or expand our service offering; and</w:t>
      </w:r>
    </w:p>
    <w:p>
      <w:pPr>
        <w:spacing w:after="0" w:line="54" w:lineRule="exact"/>
        <w:rPr>
          <w:rFonts w:ascii="Times New Roman" w:cs="Times New Roman" w:eastAsia="Times New Roman" w:hAnsi="Times New Roman"/>
          <w:sz w:val="18"/>
          <w:szCs w:val="18"/>
          <w:color w:val="auto"/>
        </w:rPr>
      </w:pPr>
    </w:p>
    <w:p>
      <w:pPr>
        <w:ind w:left="1200" w:hanging="443"/>
        <w:spacing w:after="0" w:line="281" w:lineRule="auto"/>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“Explainable AI” by developing and incorporating computational tools that determine how the Diagnostic Cortex platform makes decisions for patient classification and outcome prediction.</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Continue to expand and leverage our biobank by:</w:t>
      </w:r>
    </w:p>
    <w:p>
      <w:pPr>
        <w:spacing w:after="0" w:line="120"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the robustness of our samples and the data set, including through our collaborations and partnerships;</w:t>
      </w:r>
    </w:p>
    <w:p>
      <w:pPr>
        <w:spacing w:after="0" w:line="116" w:lineRule="exact"/>
        <w:rPr>
          <w:rFonts w:ascii="Times New Roman" w:cs="Times New Roman" w:eastAsia="Times New Roman" w:hAnsi="Times New Roman"/>
          <w:sz w:val="18"/>
          <w:szCs w:val="18"/>
          <w:color w:val="auto"/>
        </w:rPr>
      </w:pPr>
    </w:p>
    <w:p>
      <w:pPr>
        <w:ind w:left="1200" w:right="20" w:hanging="443"/>
        <w:spacing w:after="0" w:line="281" w:lineRule="auto"/>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commercial opportunities with companies and researchers who are interested in utilizing our biobank for their own discovery and development efforts; and</w:t>
      </w:r>
    </w:p>
    <w:p>
      <w:pPr>
        <w:spacing w:after="0" w:line="54" w:lineRule="exact"/>
        <w:rPr>
          <w:rFonts w:ascii="Times New Roman" w:cs="Times New Roman" w:eastAsia="Times New Roman" w:hAnsi="Times New Roman"/>
          <w:sz w:val="18"/>
          <w:szCs w:val="18"/>
          <w:color w:val="auto"/>
        </w:rPr>
      </w:pPr>
    </w:p>
    <w:p>
      <w:pPr>
        <w:ind w:left="1200" w:hanging="443"/>
        <w:spacing w:after="0"/>
        <w:tabs>
          <w:tab w:leader="none" w:pos="1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monetizing these commercial opportunities.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Diagnostic Tests in Development</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With the goal of finding solutions for clinical unmet needs related to diagnosis, treatment and monitoring in lung disease, our diagnostic tests in development include the following: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Early-Stage NSCLC—Risk of Recurrence (ROR)</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Currently, surgical resection of the tumor without systemic or radiation therapy is the standard of care for stage I NSCLC patients. However, 20 to 40% of surgically treated patients will suffer a recurrence within five years after surgery. From market research with</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pulmonologists, thoracic surgeons, and medical oncologists, we identified a significant clinical unmet need for a blood-based test to help identify stage I NSCLC patients who are at a higher risk of recurrence and may benefit from a more aggressive surgical procedure, or from neoadjuvant or adjuvant systemic treatment. Based on this unmet diagnostic need, we discovered the Risk of Recurrence (ROR) test, which is a pre-surgery blood-based proteomic test, designed with the Diagnostic Cortex platform to predict whether a stage I NSCLC patient has a higher risk of recurrence post-surgical resection. Knowing this information early and before surgery may change the surgical plan and/or support treatment decisions such as neoadjuvant or adjuvant therapy, which have the potential to reduce tumor volume and address micro-metastatic disease as early as possible. Our ROR test validated in an independent sample set, and we are currently working with major academic institutions across the United States to further validate the test.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Late-Stage NSCLC—Immunotherapy Treatment Guidance (PIR)</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2015, the first immunotherapy-based treatment regimen was approved by the FDA for use in lung cancer. Currently, there are 9 immune checkpoint inhibitor (ICI) regimens (single agent or combinations) recommended by the NCCN guidelines for treatment of advanced NSCLC patients. For a portion of patients treated, these drugs can result in significant improvement in overall survival compared with platinum-based chemotherapy options.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combination ICI regimens see some improvement in performance over single agent ICI, but side effect profiles are worse, and costs are higher than for single agent ICI. In addition, recent data have shown that a subset of patients experience more rapid disease progression on ICI compared with chemotherapy. We utilized the Diagnostic Cortex platform to discover our Primary Immune Response (PIR) test. PIR is a blood-based proteomic test designed to profile a patient's potential to mount an immune response to their cancer and predict those patients likely to respond to ICI monotherapy treatment, ICI + chemotherapy combination treatment, or who would be highly resistant to ICI therapy. Our PIR test has been validated in multiple independent sample sets for advanced stage NSCLC patients treated with single agent ICI, and we are currently working with major academic institutions across the United States to further validate the test.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Monitoring – Progression &amp; Resistance</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Blood-based monitoring with our ddPCR technology may offer a feasible method to non-invasively evaluate therapeutic mechanism of action, disease progression, and the emergence of resistance mutations in patients treated with targeted therapies. Our internal validation studies have shown the utility of the GeneStrat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ddPCR test as an example in all three of these indications. The test can identify disease progression up to three months (median) in advance of standard imaging. Using ddPCR for longitudinal blood-based monitoring of EGFR cell-free DNA mutations is a cost-effective testing method while patients are being treated with targeted therapies. Additional utility for ddPCR may exist in early stage MRD (minimal residual disease) given the sensitivity of this technology.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dedicated to continuously publishing and presenting new data on the clinical validation and utility of our diagnostic tests. We have participated in 27 clinical studies, three of which are ongoing, and have published over 300 peer-reviewed publications and presentations. The following are our ongoing clinical studies for our diagnostic testing solutions.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ORACLE Registry Study (NCT03766958)</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ORACLE registry study was designed to develop real-world clinical utility data for the Nodify XL2 test and is titled “An Observational Registry Study to Evaluate the Performance of the Nodify XL2 Test”. The study objectives are to show a reduction in invasive procedures on patients with benign nodules compared to a historical control obtained from chart review. The first patient enrolled on October 16, 2018. Study enrollment was closed on May 12, 2022, with 494 prospective registry patients enrolled and 348 retrospective chart review patients accrued. As of February 1, 2024 all ORACLE participants have completed the study, site closeout visits are being conducted on the last three open sites and the study will be officially closed by the March 31, 2024.</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12, 2023, we announced the prospective, real-world ORACLE study (An Observational Registry Study to Evaluate the Performance of the Nodify XL2 Test) achieved the primary endpoint of a statistically significant change in the proportion of benign lung nodules managed by the Nodify XL2 test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ALTITUDE Clinical Utility Study (NCT04171492)</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ALTITUDE clinical utility study is designed to evaluate the performance of Nodify Lung testing (Nodify XL2 and Nodify CDT tests) in a randomized controlled study (RCT). The study is titled “A Multicenter, Randomized Controlled Trial, Prospectively Evaluating the Clinical Utility of the Nodify XL2 Proteomic Test in Incidentally Discovered Low to Moderate Risk Lung Nodules”. We received central institutional review board (IRB) approval in December 2019 and have an enrollment goal of 2,000 patients.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8" w:name="page19"/>
    <w:bookmarkEnd w:id="18"/>
    <w:p>
      <w:pPr>
        <w:jc w:val="both"/>
        <w:spacing w:after="0" w:line="265" w:lineRule="auto"/>
        <w:rPr>
          <w:sz w:val="20"/>
          <w:szCs w:val="20"/>
          <w:color w:val="auto"/>
        </w:rPr>
      </w:pPr>
      <w:r>
        <w:rPr>
          <w:rFonts w:ascii="Times New Roman" w:cs="Times New Roman" w:eastAsia="Times New Roman" w:hAnsi="Times New Roman"/>
          <w:sz w:val="18"/>
          <w:szCs w:val="18"/>
          <w:color w:val="auto"/>
        </w:rPr>
        <w:t>blinded standard of care arm and 2:1 randomization for open-label results for the Nodify XL2 test. The study launched in December of 2020. Phase 1 of the study with only the Nodify XL2 test is expected to enroll 500 patients. Phase 2 of the adaptive study design will include an open-label arm for the Nodify CDT test, which is aligned with our commercial testing algorithm.</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 Observational Study (NCT03289780)</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INSIGHT observational study is designed to evaluate the real-world clinical utility and performance of the IQLung (GeneStrat ddPCR, GeneStrat NGS and VeriStrat tests) testing strategy. The title is “Observational Study Assessing the Clinical Effectiveness of VeriStrat and Validating Immunotherapy Tests in Subjects with Non-Small Cell Lung Cancer (INSIGHT)” and the first patient enrolled on May 11, 2016. On June 27, 2023, we completed enrollment of 5,000 patients with non-small cell lung cancer. Final analysis with 3-year follow-up is estimated to be completed by 2026. Results of an interim analysis were presented most recently at the World Conference on Lung Cancer 2023. Additionally, data on the first 2,000 patients with 1-year follow-up data was published in the Journal for ImmunoTherapy of Cancer in September 2021. The study rationale is to guide the adoption of the VeriStrat test and inform medical decision making, including treatment choice, and enable the validation of additional mass spectrometry-based proteomic tests. The primary study objective is to describe the impact of the VeriStrat test results on treatment decisions, including but not limited to the percentage change in treatment decision, differences in chosen treatments between patients classified as VeriStrat Good and those classified as VeriStrat Poor, and the percentage of patients receiving systemic therapy or supportive therapies only.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our lung cancer and nodule management tests, commercial efforts are focused on the promotion of our testing strategies to healthcare professionals actively involved in the diagnosis and treatment of lung cancer. Primarily focusing on pulmonology, the commercial team, consisting of specialty sales representatives, medical affairs, marketing and customer care representatives, works to educate and inform the entire patient care group consisting of physicians, nurses, office staff, laboratory personnel, and administration as to the appropriate use and value provided by our testing. The team’s goal is to drive test adoption through articulating the scientific and clinical evidence behind our tests, how they impact the clinical care of a patient, and how the tests can ultimately help to improve patient outcomes.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Patients with pulmonary nodules are concentrated in the pulmonology sub-specialty, where additional resources such as lung cancer screening and nodule management clinics may exist to provide an increased level of care. We are also engaging large hospital systems in a “top-down” approach, with a goal of incorporating our tests into system-wide pathways and protocols.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After a physician orders our tests, blood is collected either in the physician office or laboratory, third-party “store front” patient service centers, or it can be collected in the patient’s home or workplace. We have contracted with a network of patient service centers and mobile phlebotomy services to be enable collection of blood samples outside of the physician office, at home or work for patients across the United States.</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on November 14, 2023, the Company announced the validation and launch of a new method of collecting blood specimens for Nodify Lung Nodule Risk Assessment testing. The method uses the FDA-cleared Tasso+™ device, a single-use blood lancing device intended for obtaining capillary whole blood samples from a patient’s upper arm. Capillary blood draws using the Tasso+ device enable blood specimen collection for healthcare providers who do not have convenient access to phlebotomy services or a licensed phlebotomist on staff in the clinic or office. The Tasso+ device was validated by Biodesix to be administered in minutes by any healthcare provider at the time of lung nodule evaluation, creating efficiencies in the Nodify Lung workflow. Biodesix received approval from the New York State Clinical Laboratory Evaluation Program (NYS-CLEP) to use the Tasso+ device as a specimen collection method in support of Nodify Lung testing after entering into a supply agreement with Tasso, Inc. The device is now available for clinical use to collect specimens for Nodify Lung testing.</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development team is focused on selling our complete offering of tests and services to biopharmaceutical companies in the United States and internationally. Our team consists of customer facing business development associates that work with our biopharmaceutical customers to identify projects, draw up statements of work and negotiate service agreements. Alliance managers help to manage the contractual obligations and scope of the project, whereas our operations team assures the project is managed with adequate resources and delivers on time. We take a two-pronged approach generating business in this segment. Primarily, we leverage existing projects and relationships to expand sales in current accounts. We also actively map ongoing drug development projects in biopharmaceutical companies and target programs best suited to our platform for new test development.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primary source of reimbursement for our tests in the United States is from third-party payers, including government payers, such as Medicare, and commercial payers, such as insurance companies. Reimbursement for laboratory tests in the United States is determined by various payers, including private third-party payers, managed care organizations, and state and federal health care programs, such as Medicare and Medicaid. In Medicare, coverage of an item or service depends on whether it is “reasonable and necessary” under Section 1862(a)(1)(A) of the Social Security Act (SSA). For single-source laboratory tests, this determination is typically made by the Medicare Administrative Contractor (MAC) with jurisdiction over the laboratory where the test is performed. Our Louisville, Colorado laboratory is currently under the jurisdiction of Novitas Solutions, Inc. Our De Soto, Kansas laboratory is under the jurisdiction of Wisconsin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9" w:name="page20"/>
    <w:bookmarkEnd w:id="19"/>
    <w:p>
      <w:pPr>
        <w:jc w:val="both"/>
        <w:spacing w:after="0" w:line="281" w:lineRule="auto"/>
        <w:rPr>
          <w:sz w:val="20"/>
          <w:szCs w:val="20"/>
          <w:color w:val="auto"/>
        </w:rPr>
      </w:pPr>
      <w:r>
        <w:rPr>
          <w:rFonts w:ascii="Times New Roman" w:cs="Times New Roman" w:eastAsia="Times New Roman" w:hAnsi="Times New Roman"/>
          <w:sz w:val="18"/>
          <w:szCs w:val="18"/>
          <w:color w:val="auto"/>
        </w:rPr>
        <w:t>Physicians Service Insurance Corporation (WPS), which participates in the MolDX program (administered by another MAC, Palmetto GBA) to set coverage policy for molecular diagnostic tests.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Medicare pays for clinical diagnostic laboratory tests (CDLTs), on the Clinical Laboratory Fee Schedule (CLFS). Section 216(a) of the Protecting Access to Medicare Act of 2014 (PAMA) added Section 1834A to the SSA, which established the current CLFS rate setting processes and coding provisions for CDLTs, and created a new subcategory of CDLTs called Advanced Diagnostic Laboratory Tests (ADLTs), with separate reporting and payment requirements.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various payers in the United States also determine their own billing rules. In December 2020, Medicare revised its billing rules for clinical laboratory tests to require cancer-related protein-based Multianalyte Assays with Algorithmic Analyses to be billed directly to Medicare by the performing laboratory in most cases when performed on a specimen collected from a hospital outpatient. Molecular pathology tests and most ADLTs are also generally required to be billed directly to Medicare by the laboratory under these circumstances.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6, 2023, the Company announced that the Centers for Medicare &amp; Medicaid Services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are offered and furnished by a single laboratory and provide new clinical diagnostic information that cannot be obtained from any other test or combination of tests. The Nodify XL2 test was previously awarded ADLT status on May 17, 2019.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applicable laws and regulations, as well as internal compliance policies and procedures adds complexity to the billing process. The Centers for Medicare &amp; Medicaid Services (CMS) is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Current Procedural Terminology (CPT) codes, as defined by the American Medical Association. For some of the tests we conduct, there may not be a specific CPT or HCPCS code, in which case the test may be billed under a miscellaneous code for an unlisted molecular pathology procedure or unlisted multiple anolyte test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primarily face competition from lung cancer diagnostic solutions companies in the United States, Europe and Asia seeking to answer clinical questions in the space, all of whom provide cancer-focused diagnostic tests to hospitals, researchers, clinicians, laboratories, and other medical facilities.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Diagnosis—Nodule Management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not aware of any other company that offers two commercial blood-based tests to help physicians reclassify risk of malignancy in patients with suspicious lung nodules. We are aware of efforts by Veracyte, Inc. to develop and validate a test that may be competitive to the Nodify XL2 and/or Nodify CDT tests in the future. Additionally, Veracyte currently markets a test that is used post-bronchoscopy that is not competitive with our pre-bronchoscopy nodule risk assessment tests.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Guidance and Monitoring—NSCLC</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unaware of any other diagnostic test available, commercially or in development, that will compete with our VeriStrat immune profiling test. There is substantial interest and activity in tumor profiling through liquid biopsy. Our genomic test offerings, the GeneStrat ddPCR and GeneStrat NGS tests, face competition from academic hospital laboratories, and companies such as Guardant Health and Foundation Medicine. We believe that there are several companies and academic research institutions in the process of developing tests for monitoring patients or following treatment for recurrence or progression of lung cancer.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Biopharmaceutical Diagnostic Discovery, Development &amp; Testing Services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aware of a number of companies who compete with our diagnostic tests and services, including diagnostic research, clinical trial testing, and the discovery, development, and commercialization of companion diagnostics. From the perspective of tumor profiling, we believe Guardant Health and Foundation Medicine are our most significant competitors. Conversely, in the immune profiling market, we believe Adaptive Biotechnologies and Personalis are our most significant competitors.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Laboratory Operations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Throughout 2023, we performed the VeriStrat, GeneStrat ddPCR, and GeneStrat NGS tests in our Boulder, Colorado high-complexity CLIA certified clinical laboratory. The laboratory was College of American Pathology (CAP) accredited, New York State Department of Health (NYSDOH)—permitted and licensed, ISO 13485:2016 Quality Management Systems—Requirements for Regulatory Purposes for Medical Devices certified, along with all other states that require licensing: California, Maryland, Pennsylvania, and Rhode Island. All aspects of the testing process from receipt of the test requisition form through to delivery of test results were performed in the Boulder, Colorado facility. The proprietary testing methods use semi-automated workflows that facilitate the successful delivery of greater than 90% of our tests within three days, and we believe our existing workflows will continue to successfully deliver our tests within this timeframe.</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January 2024, we relocated our Boulder, Colorado clinical laboratory to Louisville, Colorado. Throughout this transition, we have ensured the maintenance and updating of all relevant certifications and licenses to accurately reflect our new location, guaranteeing our commitment to upholding the highest standards of quality and compliance. As a result, our laboratory operations continued seamlessly without delaying testing.</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Nodify XL2 and Nodify CDT tests are performed in our De Soto, Kansas high-complexity CLIA certified clinical laboratory. This clinical laboratory is also CAP-accredited, NYSDOH—permitted and licensed, ISO 13485:2016 Quality Management Systems—Requirements for Regulatory Purposes for Medical Devices certified and licensed by California, Maryland, Pennsylvania, and Rhode Island. Receipt of requisitions and testing is performed in our De Soto, Kansas clinical laboratory. Delivery of the test results is performed by personnel from our Louisville, Colorado headquarters. The proprietary testing methods use semi-automated workflows that facilitate the successful delivery of greater than 90% of our tests within five days, and we believe our existing workflows will continue to successfully deliver our tests within this timeframe.</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Personnel in both facilities are responsible for quality assurance oversight, licensing, and regulation compliance and maintenance to ensure data integrity and consistent, validated processes.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Oncimmune is also the sole source supplier for our Nodify CDT tests but there are known secondary suppliers for these materials.</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tests until alternatives could be validated.</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All materials for our VeriStrat test and Nodify XL2 test have alternative suppliers readily available, and a disruption in any single supplier would not materially impact our ability to deliver the test.</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initiated the second source qualification process for the majority of these critical components, however, we may not be successful in securing second sourcing for all of them at all or on a timely basis. A disruption to this supply would negatively impact our ability to perform these tests until an alternative supplier could be validated.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We have invested heavily in the protection of our key assets, namely the VeriStrat® and GeneStrat® tests, and we acquired a patent portfolio relating to the Nodify XL2® and Nodify CDT® tests in our acquisitions of Indi in June 2018, and of Oncimmune USA in October 2019 from Oncimmune Limited (Oncimmune). We own patents and patent applications as well as trade secrets relating to our products currently in development, a collection device for whole blood, our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 technology developed by Bio-Rad and which we employ in our GeneStrat test.</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patent strategy has focused on creating and acquiring protection for our VeriStrat and Nodify XL2 proteomic tests, while utilizing trade secret and some methods patent protection for our genomic test (the GeneStrat ddPCR and GeneStrat NGS® tests)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Bio-Rad owns patents relating to ddPCR and to which we have a non-exclusive license to utilize for the performance of ddPCR in cancer detection testing for third parties as set forth in the Bio-Rad License Agreement.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Diagnostic Cortex platform and our approaches to using MALDI-ToF technology (DeepMALDI® techniques). Additionally, our first device patent was issued in 2019 for our internally designed blood collection device.</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December 31, 2023, our patent portfolio includes 52 issued United States patents, 64 issued foreign patents, and 33 pending applications (including 19 foreign patent applications). With regard to our product development efforts, new applications have been filed around developments relating to COVID/micro-organisms diagnostics, new analytic methodologies using Shapley values and semi-quantitative spectra analysis in MALDI, and national stage applications are now in active prosecution to protect our pipeline ROR and PIR tests.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patent portfolio can be broken down into five major categories:</w:t>
      </w:r>
    </w:p>
    <w:p>
      <w:pPr>
        <w:spacing w:after="0" w:line="117"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the VeriStrat and Nodify tests and uses of these tests;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methods for developing classifiers, including using the Diagnostic Cortex and DeepMALDI technologies;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currently in development;</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our novel blood collection device;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and patent applications relating to tests developed for our third-party partners.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patents relating to the VeriStrat test are scheduled to expire between 2026 and 2032. The patents relating to the Nodify XL2 test are scheduled to expire beginning in 2031 (excluding any patent term extension granted by the United States Patent and Trademark Office (USPTO)), and the patents relating to the Nodify CDT test are scheduled to expire in 2027.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have three pending Patent Cooperation Treaty (PCT) applications. PCT patent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foreign stage and United States non-provisional patent applications, if such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branding is as much a part of any intellectual property strategy as patent or trade secret protection we have a number of registered and pending trademarks relating to our company and products. We have received or filed for trademark protection in the United States for our trade name (Biodesix), the names of five of our commercial tests (namely the VeriStrat, GeneStrat ddPCR, GeneStrat NGS, Nodify XL2 and Nodify CDT tests), and a suite of research tests (ImmunoStrat® test), as well as having trademark protection for our core development and methodological platforms, such as our Diagnostic Cortex and DeepMALDI technologies. In all, as of December 31, 2023, we have 18 uniquely registered United States trademarks, 8 of which (including Biodesix, VeriStrat, and GeneStrat) have received foreign issuances as well, with four trademarks pending approval from the USPTO. We will continue to pursue protection in the United States and abroad for our branded assets and will continue to use branding to protect products currently in development, key Biodesix developments and non-trade secret methodologies.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rely on trade secrets, including know-how, confidential information, unpatented technologies and other proprietary information, to strengthen or enhance our competitive position, protect and maintain aspects of our business that are not amenable to, or that we do not presently consider appropriate for, patent protection, and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Clinical laboratory tests like our diagnostic tests are regulated under CLIA and state law. The FDA regulates medical devices pursuant to the FDCA, including many diagnostic test kits, such as in vitro diagnostic tests (IVDs). However, most Laboratory Developed Tests (LDTs) are not currently subject to the FDA’s regulation (although reagents, instruments, software or components provided by third parties and used to perform LDTs may be subject to such regulation) because the FDA has historically exercised enforcement discretion over LDTs. LDTs are a subset of IVDs that are intended for clinical use and developed, validated, and offered within a single laboratory for use only in that laboratory.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FDA’s authority to regulate LDTs has been contested for many years, and there have been several legislative and administrative proposals regarding LDT regulation seeking to end or limit enforcement discretion and to bring LDTs under new or existing FDA regulatory frameworks.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predict the likelihood that Congress will pass legislation or the extent to which such legislation may affect the FDA’s plans to regulate certain LDTs as medical devices or pursuant to a new framework. It is also unclear at this time whether the FDA will finalize its plans to end enforcement discretion in the absence of legislation, via notice and comment rulemaking or otherwise. Until legislation is passed reforming the federal government’s regulation of LDTs or until the FDA finalizes its proposed rulemaking to end enforcement discretion, it is unknown how the FDA may regulate our tests in the future and what testing and data may be required to support any required clearance or approval. Even if a new framework is not established via legislative or administrative action, the FDA may attempt to regulate and enforce against certain LDTs on a case-by-case basis at any time.</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29, 2023, FDA announced a proposed rule to amend its regulations to explicitly regulate LDTs as IVD tests in accordance with the agency’s regulatory authority over medical devices and to phase out its enforcement discretion policy for LDTs. If this rule is finalized, our tests that are currently offered as LDTs would become subject to statutory and regulatory provisions that are applicable to medical devices, including but not limited to, medical device reporting and correction and removal reporting requirements, quality systems regulations, registration and listing requirements, and premarket review requirements.</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FDA finalizes its proposed rule and pre-market review is required, our business could be negatively impacted as a result of commercial delay that may be caused by the new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costly and could result in our currently-marketed tests being withdrawn from the market. Continued compliance with the FDA’s regulations would increase the cost of conducting our business, and subject us to heightened regulation by the FDA including penalties for failure to comply with these requirements. Failure to comply with applicable regulatory requirements could result in an enforcement action by the FDA, such as fines, product suspensions, warning letters, recalls, injunctions and other civil and criminal sanctions. There are other regulatory and legislative proposals that would increase general FDA oversight of clinical laboratories and LDTs. Until the FDA finalizes its regulatory position regarding LDTs, or the VALID Act or other legislation is passed reforming the federal government’s regulation of LDTs, it is unknown how the FDA may regulate our tests in the future and what testing and data may be required to support any required clearance or approval. The outcome and ultimate impact of such proposals on the business is difficult to predict at this time and we are monitoring developments and anticipate that our products will be able to comply with requirements that may be imposed by the FDA. In the meantime, we maintain our CLIA accreditation, which permits the use of LDTs for diagnostics purposes.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Laboratory Licensing Requirements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Biodesix Boulder, Colorado clinical laboratory was a CAP-accredited clinical laboratory regulated by CMS pursuant to CLIA. CMS has granted CAP deeming authority under CLIA, which allows CAP to inspect laboratories in lieu of CMS. In addition to holding a CLIA Certificate and CAP laboratory accreditation, Biodesix’s Quality Management System (QMS) holds an ISO 13485:2016 certificate (successfully passed surveillance audit in March 2023). The Biodesix Boulder, Colorado clinical laboratory received approval from the NYSDOH, NYS CLEP in Soluble Tumor Markers, and Molecular and Cellular Tumor Markers and Virology as well as held state permits and licenses in California, Maryland, New York, Pennsylvania, and Rhode Island.</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CLIA regulations establish standards for proficiency testing; facility administration; general laboratory systems; pre-analytic, analytic systems, post-analytic systems; personnel qualifications and responsibilities; quality control, quality assessment; and specific provisions for laboratories performing moderate to high complexity tests. Our Boulder, Colorado clinical laboratory was inspected biennially as part of its ongoing certification under CLIA certificate of accreditation by CAP. The Boulder, Colorado clinical laboratory most recently passed its CAP inspection in February April 2023. In January 2024, we relocated our Boulder, Colorado clinical laboratory to Louisville, Colorado. All certifications and licenses have been successfully updated to accurately reflect our new location. All laboratory operations continued seamlessly without delaying testing.</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4" w:name="page25"/>
    <w:bookmarkEnd w:id="24"/>
    <w:p>
      <w:pPr>
        <w:jc w:val="both"/>
        <w:spacing w:after="0" w:line="281" w:lineRule="auto"/>
        <w:rPr>
          <w:sz w:val="20"/>
          <w:szCs w:val="20"/>
          <w:color w:val="auto"/>
        </w:rPr>
      </w:pPr>
      <w:r>
        <w:rPr>
          <w:rFonts w:ascii="Times New Roman" w:cs="Times New Roman" w:eastAsia="Times New Roman" w:hAnsi="Times New Roman"/>
          <w:sz w:val="18"/>
          <w:szCs w:val="18"/>
          <w:color w:val="auto"/>
        </w:rPr>
        <w:t>standards covering operations, personnel, facilities administration, quality systems and proficiency testing, which are intended to ensure, among other things, that clinical laboratory testing services are accurate, reliable and timely.</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Biodesix De Soto, Kansas clinical laboratory is a CAP-accredited clinical laboratory regulated by CMS pursuant to CLIA. CMS has granted CAP deeming authority under CLIA, which allows CAP to inspect laboratories in lieu of CMS. In addition to holding a CLIA Certificate and CAP laboratory accreditation, the De Soto, Kansas clinical laboratory passed its CAP inspection in May 2023. Biodesix’s QMS holds an ISO 13485:2016 certificate (recently passed surveillance audit in January 2024). The De Soto, Kansas clinical laboratory has received approval from the NYSDOH, NYS CLEP in Soluble Tumor Markers and Diagnostic Immunology as well as holding state permits and licenses in California, Maryland, New York, Pennsylvania, and Rhode Island.</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International Organization for Standardization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On January 31, 2024, the FDA issued a final rule to harmonize and modernize its Quality System Regulation (QSR), which would supplant the existing requirements with ISO 13485:2016. The rule amends the current good manufacturing practice requirements of the QSR in 21 CFR 820. The QMSR rule emphasizes risk management activities and risk-based decision making and aims to reduce regulatory burdens on device manufacturers and importers by harmonizing domestic and international requirements. Device manufacturers and importers will have two years to modify their quality systems to meet the requirements of the QMSR rule by February 2, 2026.</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our Louisville,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Louisville, Colorado and De Soto, Kansas laboratories with the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Louisville, Colorado and De Soto, Kansas laboratories are certified and adhere to the NYS CLEP, based on New York State Public Health Law, Article 5 Title 5. NYS CLEP is exempt from CLIA and establishes their own method of laboratory certification and test validation approval. To process New York State patient specimens a laboratory must submit a robust analytical and clinical validation package to demonstrate clinical utility of the test and receive approval prior to offering the test in the state of New York. All of our tests have obtained NYS CLEP approval including GeneStrat ddPCR, GeneStrat NGS, VeriStrat, Nodify XL2 and Nodify CDT tests. NYS CLEP requires semi-annual inspections to ensure the laboratory meets all general and specialty standards. Due to the pandemic, NYSDOH CLEP routine re-inspections were delayed by multiple years. Most recently the Boulder, Colorado laboratory successfully passed the NYS CLEP audit in October 2023. The De Soto, Kansas laboratory passed NYS CLEP inspection in May 2019 and still pending new audit assignment.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Regulatory framework for medical devices in the United States and Internationally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pre-market clearance or approval, adverse event reporting, marketing, promotion, sales, distribution and import and export of medical devices. It is possible that one of our current, or future, tests will be subject to FDA authority and oversight as either an IVD or a CDx pursuant to the FDA’s authority to regulate medical devices under the FDCA.</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Medical devices are subject to extensive regulation in the United States and elsewhere, including by the FDA and its foreign counterparts. Government regulations specific to medical devices are wide ranging and govern, among other things:</w:t>
      </w:r>
    </w:p>
    <w:p>
      <w:pPr>
        <w:spacing w:after="0" w:line="55" w:lineRule="exact"/>
        <w:rPr>
          <w:sz w:val="20"/>
          <w:szCs w:val="20"/>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release;</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Foreign Corrupt Practices Act of 1997 (FCPA).</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Securities and Exchange Commission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marketing our diagnostic tests outside of the United States, we may be subject to foreign regulatory requirements governing human clinical testing, prohibitions on the import of tissue necessary for us to perform our diagnostic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Market access, sales and marketing of medical devices in non-U.S. countries are subject to foreign regulatory requirements that vary widely from country to country. For example, in the European Economic Area (EEA), a medical device must meet the Medical Devices Directive’s (MDD)/In Vitro Medical Devices Directive’s (IVDD) Essential Requirements or, applicable on May 26, 2021, the Medical Devices Regulation’s (MDR) / applicable on May 26, 2022, In Vitro Medical Devices Regulation’s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6" w:name="page27"/>
    <w:bookmarkEnd w:id="26"/>
    <w:p>
      <w:pPr>
        <w:jc w:val="both"/>
        <w:spacing w:after="0" w:line="260" w:lineRule="auto"/>
        <w:rPr>
          <w:sz w:val="20"/>
          <w:szCs w:val="20"/>
          <w:color w:val="auto"/>
        </w:rPr>
      </w:pPr>
      <w:r>
        <w:rPr>
          <w:rFonts w:ascii="Times New Roman" w:cs="Times New Roman" w:eastAsia="Times New Roman" w:hAnsi="Times New Roman"/>
          <w:sz w:val="18"/>
          <w:szCs w:val="18"/>
          <w:color w:val="auto"/>
        </w:rPr>
        <w:t>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Manufacturers of medical devices must document in a clinical evaluation report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Similar requirements apply in the UK. For access to the UK market, manufacturers must obtain a UKCA Certificate and affix a UKCA mark to their medical devices. Initially, the government stated the CE mark will be accepted in the UK until July 1, 2023. However, on July 1, 2023, the government updated their guidance for regulating medical devices stating their intention to extend recognition and acceptance of the CE marking for placing most goods on the market in Great Britain, indefinitely, if the device was placed on the EU market before January 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Device classification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31, 2024, the FDA’s Center for Devices and Radiological Health (CDRH) announced that the Center intends to initiate the reclassification process for most IVD tests that are currently Class III (high risk) into Class II (moderate risk). The majority of these tests are infectious disease and companion diagnostic IVDs. Reclassification would allow manufacturers of certain types of tests to seek marketing clearance through the less burdensome premarket notification (510(k)) pathway rather than the premarket approval pathway, the most stringent type of FDA medical device review.</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7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Class II devices are subject to the General Controls as well as any special controls deemed necessary by the FDA to ensure the safety and effectiveness of the device. These special controls can include performance standards, patient registries, FDA guidance documents and post-market surveillance. Most Class</w:t>
      </w:r>
    </w:p>
    <w:p>
      <w:pPr>
        <w:ind w:firstLine="8"/>
        <w:spacing w:after="0" w:line="260"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devices are subject to premarket review and clearance by the FDA. Premarket review and clearance by the FDA for Class II devices is accomplished through the 510(k) premarket notification process, although some Class II devices are exempt from the 510(k) requirements.</w:t>
      </w:r>
    </w:p>
    <w:p>
      <w:pPr>
        <w:spacing w:after="0" w:line="7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Premarket submission process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Premarket Approval (PMA); or (3) de novo classification and authorization. These processes can be resource intensive, expensive, and lengthy, and require payment of significant user fees.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510(k)-clearance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therefore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7" w:name="page28"/>
    <w:bookmarkEnd w:id="27"/>
    <w:p>
      <w:pPr>
        <w:jc w:val="both"/>
        <w:spacing w:after="0" w:line="260" w:lineRule="auto"/>
        <w:rPr>
          <w:sz w:val="20"/>
          <w:szCs w:val="20"/>
          <w:color w:val="auto"/>
        </w:rPr>
      </w:pPr>
      <w:r>
        <w:rPr>
          <w:rFonts w:ascii="Times New Roman" w:cs="Times New Roman" w:eastAsia="Times New Roman" w:hAnsi="Times New Roman"/>
          <w:sz w:val="18"/>
          <w:szCs w:val="18"/>
          <w:color w:val="auto"/>
        </w:rPr>
        <w:t>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a new clearance, authorization or approval may be required.</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 predicate device is not available, the FDA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A De Novo request includes a description of the device, a discussion of the general controls and any specific controls recommended to provide reasonable assurance of the safety and effectiveness of the device, a description of the probable benefits of the device when compared to the probable risks when the device is used as intended, non-clinical data including bench performance and animal testing, technical information about the device, and clinical data (if applicable). FDA’s goal is to review a De Novo request within 150 review days after receiving the petition. As with a 510(k) submission or PMA, the length of the review can be prolonged if the FDA requests additional information from the applicant.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Prior to approval of a PMA, the FDA may conduct inspections of any clinical trial data and clinical trial sites, as well as inspections of any manufacturing facility and processes.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w:t>
      </w:r>
    </w:p>
    <w:p>
      <w:pPr>
        <w:spacing w:after="0" w:line="1" w:lineRule="exact"/>
        <w:rPr>
          <w:sz w:val="20"/>
          <w:szCs w:val="20"/>
          <w:color w:val="auto"/>
        </w:rPr>
      </w:pPr>
    </w:p>
    <w:p>
      <w:pPr>
        <w:ind w:firstLine="8"/>
        <w:spacing w:after="0" w:line="260" w:lineRule="auto"/>
        <w:tabs>
          <w:tab w:leader="none" w:pos="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may not meet applicable requirements; and (4) changes in FDA approval policies or adoption of new regulations may require additional data.</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condition of PMA application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510(k), De Novo or PMA processes can be expensive, lengthy and unpredictable.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the performance of one or more clinical trials. Despite the time, effort and cost, a device may not be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8" w:name="page29"/>
    <w:bookmarkEnd w:id="28"/>
    <w:p>
      <w:pPr>
        <w:jc w:val="both"/>
        <w:spacing w:after="0" w:line="265" w:lineRule="auto"/>
        <w:rPr>
          <w:sz w:val="20"/>
          <w:szCs w:val="20"/>
          <w:color w:val="auto"/>
        </w:rPr>
      </w:pPr>
      <w:r>
        <w:rPr>
          <w:rFonts w:ascii="Times New Roman" w:cs="Times New Roman" w:eastAsia="Times New Roman" w:hAnsi="Times New Roman"/>
          <w:sz w:val="18"/>
          <w:szCs w:val="18"/>
          <w:color w:val="auto"/>
        </w:rPr>
        <w:t>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Companion Diagnostics and the Premarket Process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one of our future product candidates may include a companion diagnostic or complementary diagnostic (collectively CDx).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The use of the CDx will be stipulated in the labeling of both the CDx and the therapeutic product. The FDA may require an application for the CDx to be separate from the drug approval process, and this could potentially delay the approval of any new drug application or the CDx, or complicate the review process. CDx’s are generally regulated as Class III medical devices by the FDA and are therefore most often subject to the PMA approval process.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issued guidance in July 2016 for the co-development of CDx tests with a therapeutic product and issued another draft guidance in December 2018 specific to oncology CDx tests. The FDA finalized this draft guidance in April 2020 in “Developing and Labeling In vitro Companion Diagnostic Devices for a Specific Group of Oncology Therapeutic Products.” The guidance is meant to guide the development of CDx products, which are defined as IVDs that provide information that is essential for the safe and effective use of the therapeutic product. A CDx is often developed and approved or cleared contemporaneously with the therapeutic, and the use of the CDx is stipulated in the labeling of both the CDx and the corresponding therapeutic product. While it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Some oncology CDx tests can be developed in a way that results in labeling for a specific group of oncology therapeutic products, rather than a single therapeutic product.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Post-Market FDA Regulation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 event that a supplier fails to maintain compliance with the FDA’s or our quality requirements, we may have to qualify a new supplier and could experience manufacturing delays as a result.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Fraud and Abuse Laws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subject to federal fraud and abuse laws such as the federal Anti-Kickback Statute (AKS), the federal prohibition against physician self-referral (Stark Law), the Eliminating Kickbacks in Recovery Act (EKRA), and the federal False Claims Act (FCA). We are also subject to similar state and foreign fraud and abuse laws.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AKS (Social Security Act § 1128B(b))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EKRA (18 USC § 220)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third-party payers. EKRA includes a number of statutory exceptions that provide protection from EKRA liability if the applicable requirements are met.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The Stark Law (Social Security Act § 1877) generally prohibits, among other things, clinical laboratories and other so-called “designated health services” entities from billing Medicare for any designated health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FCA (31 USC § 3729) imposes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of $13,508 to $27,018 per false claim or statement for penalties assessed after January 30, 2023, with respect to violations occurring after November 2, 2015.</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the Health Insurance Portability and Accountability Act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government-funded healthcare programs.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Anti-Corruption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FCPA and similar international bribery laws make it unlawful for persons 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 We successfully passed our latest FCPA compliance review in 2023 with no findings.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Privacy and Data Protection Laws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Numerous federal and state laws and regulations, including HIPAA, as amended by the Health Information Technology for Economic and Clinical Health (HITECH) Act, govern the collection, dissemination, security, use and confidentiality of protected health information (PHI) and personal information. In the course of performing our business we obtain personal information, including PHI. Laws and regulations relating to privacy, data protection, and consumer protection are evolving and, in some cases, particularly with regard to newer laws, may be subject to potentially differing interpretations. Under HIPAA and HITECH, the HHS issues regulations that establish uniform standards governing the conduct of certain electronic healthcare transactions and requirements for protecting the privacy and security of PHI, used or disclosed by CEs and their authorized business associates (BAs). Because we are a health care provider that electronically transmits health care information, and we also provide certain services to CEs and receive PHI from them, we are at times either a CE or a BA, as defined by HIPAA. Our subcontractors that create, receive, maintain, transmit or otherwise process PHI on our behalf are HIPAA BAs and must also comply with HIPAA, as applicable.</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HIPAA and HITECH include the privacy and security rules, breach notification requirements and electronic transaction standards. The privacy rule governs the use and disclosure of PHI, generally prohibits the use or disclosure of PHI except as permitted under the rule, and mandates certain safeguards to protect the privacy of PHI. The privacy rule also sets forth individual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HIPAA’s breach notification rule, a CE must notify individuals, the Secretary of HHS, and in some circumstances, the media of certain breaches of unsecured PHI or ePHI, and similar breach notification provisions apply to certain BAs under the HITECH Act.</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Penalties for failure to comply with a requirement of HIPAA and HITECH vary depending on the number and nature of the violations and any history of prior violations, but can be significant and include civil monetary or criminal penalties. HIPAA is enforced by the Department of Health and Human Services, Office for Civil Rights,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improper use, access to or disclosure of PHI. In addition, HIPAA mandates that the Secretary of HHS conduct periodic compliance audits of HIPAA CEs, such as us, and their BAs for compliance with the HIPAA privacy and security standards and breach notification rules. It also tasks HHS with establishing a methodology whereby harmed individuals who were the victims of breaches of unsecured PHI may receive a percentage of the civil monetary penalty paid by the violator.</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all California health care providers must abide. Colorado has enacted the Colorado Privacy Act, and Virginia has enacted the Consumer Data Protection Act, both of which also have standards that must be complied with that supplement Federal data protection requirements. State laws may be more stringent, broader in scope or offer greater individual rights with respect to PHI than HIPAA, and state laws may differ from each other in regards to personal information treatment, which may complicate compliance efforts. For instance, the California Consumer Privacy Act (CCPA) became effective on January 1, 2020 and was amended by the passage of the California Privacy Rights Act (CPRA) in November of 2020, which amendments came into force on January 1, 2023. The CCPA, among other things,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The CCPA has been amended from time to time, and it remains unclear what, if any, further modifications will be made to this legislation or how it will be interpreted. Although there are certain exemptions for PHI and clinical trial data, the CCPA’s implementation standards and enforcement practices are likely to remain uncertain for the foreseeable future and the CCPA may increase our compliance costs and potential liability. Additionally, the CPRA imposes additional data protection obligations on companies doing business in California, including additional consumer rights processes and opt outs for certain uses of sensitive data. It also creates a new California data protection agency – the California Privacy Protection Agency –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could continue to make compliance challenging and costly.</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1" w:name="page32"/>
    <w:bookmarkEnd w:id="31"/>
    <w:p>
      <w:pPr>
        <w:jc w:val="both"/>
        <w:spacing w:after="0" w:line="251" w:lineRule="auto"/>
        <w:rPr>
          <w:sz w:val="20"/>
          <w:szCs w:val="20"/>
          <w:color w:val="auto"/>
        </w:rPr>
      </w:pPr>
      <w:r>
        <w:rPr>
          <w:rFonts w:ascii="Times New Roman" w:cs="Times New Roman" w:eastAsia="Times New Roman" w:hAnsi="Times New Roman"/>
          <w:sz w:val="18"/>
          <w:szCs w:val="18"/>
          <w:color w:val="auto"/>
        </w:rPr>
        <w:t>We may also be subject to laws and regulations in foreign countries covering data privacy and other protection of health and employee information that may add additional compliance burden and complexity. For example, in the EEA, the collection and use of personal data is governed by the European Union's General Data Protection Regulation (GDPR). In the United Kingdom, the GDPR has been adopted in substantially the same form, however the UK may potentially make revisions in the coming years.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and United Kingdom data protection authorities may interpret the GDPR and national laws differently and impose additional requirements, which adds to the complexity of processing personal data in or from the EEA or United Kingdom. Guidance on implementation and compliance practices is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The GDPR also has requirements around international transfers of personal data. Requirements around transfers to the United States and other jurisdictions have increased since a July 2020 decision by the Court of Justice of the European Union invalidated the Privacy Shield as a basis to transfer personal data from Europe to the United States, and added requirements for reliance on Standard Contractual Clauses. Regulatory guidance on requirements for international transfers, and other GDPR compliance matters, continues to evolve; for example, in July 2023, the European Commission completed adoption of a new adequacy decision for data flows to the United States. However, it is widely expected that the new adequacy decision will itself face scrutiny from the Court of Justice, underscoring that GDPR compliance is an ongoing endeavor.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sensitive trade secrets, or other proprietary information. Any wrongful use or disclosure of PHI, other personal information, trade secrets or other proprietary information by us or our third-party service providers could subject us to regulatory fines or penalties, third-party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Moreover, data security incidents or data breaches, as well as attacks on our IT systems, could result in operational disruptions or data loss or corruption that could adversely impact our business and operations, resulting in substantial investment of resources to investigate, recover and remediate and subject us to heightened regulatory scrutiny. See Item 1C. "Cybersecurity" for additional information on our cybersecurity practices.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(ACA) was enacted in the United States. The ACA made a number of substantial changes to the way healthcare is financed both by governmental and private insurers. For example, the ACA requires each medical device manufacturer to pay a sales tax equal to 2.3% of the price for which such manufacturer sells its medical devices. The medical device tax was permanently repealed at the end of 2019. The ACA also contains a number of other provisions, including provisions governing enrollment in federal and state healthcare programs, reimbursement matters, and fraud and abuse, which we expect will impact our industry and our operations in ways that we cannot currently predict.</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2017, the Trump administration sought to modify, repeal, or otherwise invalidate all, or certain provisions of, the ACA. The Trump administration issued three executive orders and other directives designed to delay the implementation of certain provisions of the ACA or otherwise circumvent some of the requirements for health insurance mandated by the ACA. For example, on December 20, 2019, President Trump signed appropriations legislation for fiscal year 2020 that repealed certain ACA-mandated fees, including the so-called “Cadillac” tax on certain high-cost employer-sponsored insurance plans, for tax years beginning after December 31, 2019; the annual fee imposed on certain health insurance providers based on market share, for calendar years beginning December 31, 2020; and the medical device excise tax on non-exempt medical devices, for sales after December 31, 2019. While Congress did not pass comprehensive legislation that would repeal all or part of the ACA, two bills affecting the implementation of certain taxes under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2" w:name="page33"/>
    <w:bookmarkEnd w:id="32"/>
    <w:p>
      <w:pPr>
        <w:jc w:val="both"/>
        <w:spacing w:after="0" w:line="260" w:lineRule="auto"/>
        <w:rPr>
          <w:sz w:val="20"/>
          <w:szCs w:val="20"/>
          <w:color w:val="auto"/>
        </w:rPr>
      </w:pPr>
      <w:r>
        <w:rPr>
          <w:rFonts w:ascii="Times New Roman" w:cs="Times New Roman" w:eastAsia="Times New Roman" w:hAnsi="Times New Roman"/>
          <w:sz w:val="18"/>
          <w:szCs w:val="18"/>
          <w:color w:val="auto"/>
        </w:rPr>
        <w:t>ACA have been signed into law. Specifically, the Tax Cuts and Jobs Act of 2017 (TCJA), among other things, included a provision repealing, effective January 1, 2019, the tax-based shared responsibility payment, or penalty, imposed by the ACA on certain individuals who fail to maintain qualifying health coverage for all or part of a year that is commonly referred to as the “individual mandate.” Beginning in 2021, the Biden administration has signaled its intent to pursue policies strengthening the ACA.</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to reduce healthcare expenditures. These changes include the Budget Control Act of 2011, which, among other things, led to aggregate reductions of Medicare payments to providers of up to 2% per fiscal year that started in 2013 and, due to subsequent statutory amendments, will remain in effect through 2030 unless additional Congressional action is taken. In 2020, the CARES Act temporarily suspended the 2% cut in Medicare payments from May 1, 2020 through December 31, 2020, and it extended the sequestration reductions through fiscal year 2030 to offset the cost of such temporary suspension. The Consolidated Appropriations Act of 2021 further extended the temporary suspension through March 31, 2021. On April 14, 2021, Congress enacted legislation that further extended the suspension through December 31, 2021. On December 10, 2021, further legislation was enacted to extend the suspension through March 31, 2022, after which a 1.0% sequestration applied for Medicare payments made between April 1, 2022 and June 30, 2022.</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American Taxpayer Relief Act of 2012 made other changes, including reduced Medicare payments to several types of providers and increased the statute of limitations period for the government to recover overpayments to providers from three to five years. If federal spending is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R&amp;D, manufacturing, and marketing activities, which may delay our ability to develop, market and sell any products we may develop. Additionally, the Biden administration has already indicated a shift in direction from Trump administration policies by issuing orders and other documents rolling back regulations and Executive Orders from the Trump administration, and as noted, indicating that it will pursue policies strengthening the ACA.</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2020, in its enactment of the Consolidated Appropriations Act, Congress enacted the No Surprises Act. This law, which took effect January 1, 2022, bars out-of-network providers from billing patients in excess of the in-network cost sharing for services furnished with respect to a visit at certain in-network health 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HHS to apply this exception to certain advanced tests. Regulations and subregulatory guidance were issued by HHS, the Department of Labor, and the Department of the Treasury in 2021 and 2022, with the first set of regulations was issued as an Interim Final Rule on July 1, 2021, a second set issued as an Interim Final Rule on September 30, 2021, and a third set issued as a Final Rule on August 19, 2022. These regulations and subregulatory guidance have provided additional information on the applicability of the No Surprises Act, the rules governing the independent dispute resolution process, and specific provider requirements (including the obligation to furnish a “good faith estimates” of “expected charges” to uninsured or self-pay patients), as well as areas of temporary enforcement discretion.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 Regulations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potential bloodborne pathogens, hazardous materials and associated wastes. Our operations involve the generation, use, storage and disposal of hazardous materials as well as regulated medical waste, and the risk of injury, contamination or non-compliance with environmental, health and safety laws and regulations or permitting or licensing requirements cannot be eliminated. Compliance with environmental laws and regulations has not had a material effect on our capital expenditures, earning or competitive position. The Boulder, Colorado clinical laboratory passed an on-site inspection from the CDC in June 2021 due to COVID testing, which the Company no longer provides commercially. To date, there has not been a for cause OSHA or EPA inspection.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were incorporated in Delaware in 2005 as Elston Technologies, Inc. Throughout 2023, our principal executive offices were located at 2970 Wilderness Place, Suite 100, Boulder, Colorado 80301. Effective December 11, 2023, we relocated our principal executive offices to 919 West Dillon Rd, Louisville, CO 80027, and our telephone number is (303) 417-0500. On June 20, 2006, we changed our name to Biodesix,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to Section 404 of the Sarbanes-Oxley Act of 2002,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last day of the fiscal year ending after the fifth anniversary of the completion of our initial public offering (IPO)).</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certain risks related to our status as an emerging growth company, see “Risk Factors—General Risk Factors—We are an “emerging growth company” and a “smaller reporting company,” and the reduced disclosure requirements applicable to emerging growth companies and smaller reporting companies may make our common stock less attractive to investors.”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culture is underpinned by our cultural beliefs including an unwavering commitment to inclusion and diversity. We are committed to fostering a diverse and inclusive workplace that attracts and retains exceptional talent offering opportunities for our team members to grow and develop in their careers, supported by a competitive suite of benefits and health and wellness programs. We regularly engage our team members in monthly all-hands meetings to align and focus on the current state of affairs of our business, our partnerships, new products, clinical trials, and other pertinent information about our business. We engage our team members in programs such as peer recognition and recruitment that focuses on recognizing outstanding individual contributions to company performance, cultural fit of new team members and acknowledging the diversity of our team to ensure our team members feel valued and can do their best work. We have a national annual community service initiative, “Biodesix Gives Back” that allows each team member to invest ten hours of paid community service to organizations of their choosing.</w:t>
      </w:r>
    </w:p>
    <w:p>
      <w:pPr>
        <w:spacing w:after="0" w:line="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of December 31, 2023, we had approximately 217 full-time and part-time employees, all of whom are located in the United States. The majority of our team member base is located in proximity to our corporate office and testing facilities located in Louisville, Colorado and our laboratory in De Soto, Kansas.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Equity and Inclusion</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believe that a diverse employee population, including cultural background, gender, ethnicity, sexual orientation and lived experiences, is critical to our success. Our employees are encouraged to leverage their personal strengths and experiences to continually innovate and contribute to the development of new ideas and process improvements that drive better experiences for our partners.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company culture emphasizes the satisfaction and well-being of our team members and a diverse, engaged workforce. We solicit the opinion and views of our team members through surveys and peer focus groups. We have an established and valued Peer Recognition Culture. Teammates recognize other teammates publicly for their support and contributions fostering collaboration, engagement and retention. We regularly review feedback we receive on our current cultural beliefs to determine if any modifications are needed. During 2021, we updated our cultural beliefs to align with our core values that reflect our current focus on Teamwork, Innovation, Making an Impact and Excel. Additionally, the Company annually celebrates our top sales performers through our President’s Club and other top company performers as nominated by fellow team members through our four (4) Performance Excellence Awards that recognize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4" w:name="page35"/>
    <w:bookmarkEnd w:id="34"/>
    <w:p>
      <w:pPr>
        <w:jc w:val="both"/>
        <w:spacing w:after="0" w:line="281" w:lineRule="auto"/>
        <w:rPr>
          <w:sz w:val="20"/>
          <w:szCs w:val="20"/>
          <w:color w:val="auto"/>
        </w:rPr>
      </w:pPr>
      <w:r>
        <w:rPr>
          <w:rFonts w:ascii="Times New Roman" w:cs="Times New Roman" w:eastAsia="Times New Roman" w:hAnsi="Times New Roman"/>
          <w:sz w:val="18"/>
          <w:szCs w:val="18"/>
          <w:color w:val="auto"/>
        </w:rPr>
        <w:t>creativity and innovation, an entrepreneurial spirit, a strategic impact on the success of the Company and lastly, embodying the Biodesix cultural beliefs and goes “above and beyond” daily.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Training and Development</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invest in our team members' career growth and provide team members with a wide range of development opportunities, including face-to-face, virtual, and self-directed learning, mentoring, coaching, and external development.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Safety and Wellness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physical health, financial stability, life balance and mental health of each of our team members is vital to our success. We sponsor several cancer awareness activities in our local communities to bring engagement and awareness of health, safety and wellness to positively impact lives. We provide an Employee Assistance Program to enhance physical, financial, and mental well-being for all our team members.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 Equity</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main objective of our compensation program is to provide a compensation package that will attract, retain, motivate, and reward superior team members who operate in a highly competitive and technologically challenging environment. We emphasize overall Company performance and provide equity incentives for all team members to align their financial interests with the interests of shareholders. In addition, we offer an employee stock purchase plan to all employees in which participants are eligible to purchase shares at a discount to market. We think like customers and act like owners.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Biodesix seeks fairness in total compensation. We benchmark with external comparisons, internal comparisons and look at the relationship between team member roles within the organization. We also review our compensation practices, both in terms of our overall workforce and individual team members, to ensure our pay is fair and equitable. We currently have no pay disparities based on gender, race, or ethnicity.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file with, or furnish to, the SEC reports including our Annual Report on Form 10-K, Quarterly Reports on Form 10-Q, Current Reports on Form 8-K, and amendments to those reports pursuant to Section 13(a) or 15(d) of the Securities Exchange Act of 1934, as amended. These reports are available free of charge on our corporate website (www.biodesix.com) as soon as reasonably practicable after they are electronically filed with or furnished to the SEC. Copies of any materials we file with the SEC can be obtained at www.sec.gov. The information provided on our website (or any other website referred to in this report) is not part of this report and is not incorporated by reference as part of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and financial results. This summary does not address all of the risk that we face and should be read in conjunction with the entire Risk Factors section below beginning at “Risks Related to Our Business and Industry” within this Item 1A. "Risk Factors."</w:t>
      </w:r>
    </w:p>
    <w:p>
      <w:pPr>
        <w:spacing w:after="0" w:line="69" w:lineRule="exact"/>
        <w:rPr>
          <w:sz w:val="20"/>
          <w:szCs w:val="20"/>
          <w:color w:val="auto"/>
        </w:rPr>
      </w:pPr>
    </w:p>
    <w:p>
      <w:pPr>
        <w:ind w:left="900" w:hanging="383"/>
        <w:spacing w:after="0" w:line="28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we expect to continue to incur losses for the foreseeable future. If we achieve profitability, we may not be able to sustain it;</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audited financial statements include a statement that there is a substantial doubt about our ability to continue as a going concern and a continuation of negative financial trends could result in our inability to continue as a going concern;</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maintain our current relationships, or enter into new relationships, with biopharmaceutical companies, our revenue prospects could be reduced;</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and revenue growth are highly dependent on the demand for, and increased adoption of, our diagnostic tests, which are subject to a number of risks and uncertainty;</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ensure strong product performance and reliability to maintain and grow our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5" w:name="page36"/>
    <w:bookmarkEnd w:id="35"/>
    <w:p>
      <w:pPr>
        <w:ind w:left="383" w:hanging="383"/>
        <w:spacing w:after="0"/>
        <w:tabs>
          <w:tab w:leader="none" w:pos="3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third-party suppliers, including single source suppliers, making us vulnerable to supply problems and price fluctuations;</w:t>
      </w:r>
    </w:p>
    <w:p>
      <w:pPr>
        <w:spacing w:after="0" w:line="116" w:lineRule="exact"/>
        <w:rPr>
          <w:rFonts w:ascii="Times New Roman" w:cs="Times New Roman" w:eastAsia="Times New Roman" w:hAnsi="Times New Roman"/>
          <w:sz w:val="18"/>
          <w:szCs w:val="18"/>
          <w:color w:val="auto"/>
        </w:rPr>
      </w:pPr>
    </w:p>
    <w:p>
      <w:pPr>
        <w:ind w:left="383" w:right="20" w:hanging="383"/>
        <w:spacing w:after="0" w:line="281" w:lineRule="auto"/>
        <w:tabs>
          <w:tab w:leader="none" w:pos="3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or man-made disasters or other similar events may significantly disrupt our business, and negatively impact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383" w:hanging="383"/>
        <w:spacing w:after="0" w:line="281" w:lineRule="auto"/>
        <w:tabs>
          <w:tab w:leader="none" w:pos="3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54" w:lineRule="exact"/>
        <w:rPr>
          <w:rFonts w:ascii="Times New Roman" w:cs="Times New Roman" w:eastAsia="Times New Roman" w:hAnsi="Times New Roman"/>
          <w:sz w:val="18"/>
          <w:szCs w:val="18"/>
          <w:color w:val="auto"/>
        </w:rPr>
      </w:pPr>
    </w:p>
    <w:p>
      <w:pPr>
        <w:jc w:val="both"/>
        <w:ind w:left="383" w:hanging="383"/>
        <w:spacing w:after="0" w:line="265" w:lineRule="auto"/>
        <w:tabs>
          <w:tab w:leader="none" w:pos="3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69" w:lineRule="exact"/>
        <w:rPr>
          <w:rFonts w:ascii="Times New Roman" w:cs="Times New Roman" w:eastAsia="Times New Roman" w:hAnsi="Times New Roman"/>
          <w:sz w:val="18"/>
          <w:szCs w:val="18"/>
          <w:color w:val="auto"/>
        </w:rPr>
      </w:pPr>
    </w:p>
    <w:p>
      <w:pPr>
        <w:ind w:left="383" w:hanging="383"/>
        <w:spacing w:after="0" w:line="281" w:lineRule="auto"/>
        <w:tabs>
          <w:tab w:leader="none" w:pos="3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163"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483870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that could adversely affect our business, financial condition, results of operations and cash flows. All of the risks described below should be carefully considered together with the other information contained and incorporated by reference in this report.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expect to continue to incur losses for the foreseeable future. If we achieve profitability, we may not be able to sustain it.</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incurred losses since our inception and expect to continue to incur losses for the foreseeable future. We reported net losses of $52.1 million and $65.4 million the years ended December 31, 2023 and 2022, respectively. As a result of these losses, as of December 31, 2023, we had an accumulated deficit of approximately $419.6 million.</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our general and administrative expenses to increase due to the additional costs associated with scaling our business operations and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as such, we have incurred significant losses since inception and have yet to generate positive cash flows from operations. Our ability to meet our obligations as they come due may be impacted by our ability to remain compliant with financial covenants in our Perceptive Term Loan Facility and may result in our inability to continue as a going concern. Any such impacts could have a material and adverse effect on the price of our common stock.</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financial statements as of and for the period ended December 31, 2023 were prepared on the assumption that we would continue as a going concern. These financial statements did not include any adjustments that might result from the outcome of this uncertainty. As of December 31, 2023, we maintained cash and cash equivalents of $26.3 million and we have $40.0 million in principal balance outstanding on our Perceptive Term Loan (as defined below). We have incurred significant losses since inception and, as a result, we have funded our operations to date primarily through the sale of common stock in both underwritten public offerings and private placements, the issuance of notes payable, and from our two primary revenue sources: (i) diagnostic testing, which includes lung diagnostic testing and, prior to May 11, 2023, COVID-19 testing, and (ii) providing biopharmaceutical companies with development and testing services and licensing our technology. Our ability to meet our obligations as they come due may be impacted by our ability to remain compliant with financial covenants in the Perceptive Term Loan Facility or to obtain waivers or amendments that impact the related covenants.</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our current operating plan, unless we continue to raise additional capital (debt or equity), we expect that we will be unable to maintain our financial covenants under our existing loan agreement during the next twelve months, which could result in an Event of Default (as defined in the Perceptive Term Loan Facility), causing an acceleration and repayment of the outstanding balances. As a result, our management has determined that there is a substantial doubt about our ability to continue as a going concern over the next twelve months from the date these financial statements were issued. Although we have taken steps to improve our liquidity, including through raising debt and equity capital, and have also undertaken several proactive measures including, among other things, the reduction of planned capital expenditures and certain operating expenses, we do not expect that these actions alone will be sufficient to maintain our financial covenants. In addition, if we are not able to improve our operating results, we may need to limit our operations substantially. We will need to raise additional capital in the form of debt or equity to increase our liquidity but there is no assurance that we will be able to secure any such funding in a sufficient amount or on terms that are acceptable to us. If we raise additional capital through debt financing, we may be subject to covenants limiting or restricting our ability to take specific actions, such as incurring additional debt, making capital expenditures or declaring dividends.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Furthermore, the reaction of investors to the inclusion of a going concern statement in this report, and our potential inability to continue as a going concern, could materially adversely affect the price of our common stock.</w:t>
      </w:r>
    </w:p>
    <w:p>
      <w:pPr>
        <w:spacing w:after="0" w:line="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current and future diagnostic tests and services and our revenue growth depends upon attaining significant market acceptance among payers, providers, clinics, patients, and biopharmaceutical companies.</w:t>
      </w:r>
    </w:p>
    <w:p>
      <w:pPr>
        <w:spacing w:after="0" w:line="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commercial success depends, in part, on the acceptance of our diagnostic tests and services as being safe and relatively simple for medical personnel to learn and use, clinically flexible, operationally versatile and, with respect to providers and payers, cost effective.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7" w:name="page38"/>
    <w:bookmarkEnd w:id="37"/>
    <w:p>
      <w:pPr>
        <w:spacing w:after="0" w:line="281" w:lineRule="auto"/>
        <w:rPr>
          <w:sz w:val="20"/>
          <w:szCs w:val="20"/>
          <w:color w:val="auto"/>
        </w:rPr>
      </w:pPr>
      <w:r>
        <w:rPr>
          <w:rFonts w:ascii="Times New Roman" w:cs="Times New Roman" w:eastAsia="Times New Roman" w:hAnsi="Times New Roman"/>
          <w:sz w:val="18"/>
          <w:szCs w:val="18"/>
          <w:color w:val="auto"/>
        </w:rPr>
        <w:t>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degree of market acceptance of our current and future diagnostic tests and services depends on a number of factors, including:</w:t>
      </w:r>
    </w:p>
    <w:p>
      <w:pPr>
        <w:spacing w:after="0" w:line="117" w:lineRule="exact"/>
        <w:rPr>
          <w:sz w:val="20"/>
          <w:szCs w:val="20"/>
          <w:color w:val="auto"/>
        </w:rPr>
      </w:pPr>
    </w:p>
    <w:p>
      <w:pPr>
        <w:ind w:left="900" w:hanging="383"/>
        <w:spacing w:after="0" w:line="281"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adequate utilization of our tests by clinicians, biopharmaceutical companies and other target groups based on the potential and perceived advantages of our diagnostic tests over those of our competitors;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use of our diagnostic tests relative to those currently on the market;</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incremental data that show the clinical benefits and cost effectiveness, and operational benefits, of our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coverage and reimbursement acceptance of our products and services;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including from group purchasing organizations (GPOs), seeking to obtain discounts on our diagnostic tests based on the collective bargaining power of the GPO members;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or our competitors’ diagnostic tests resulting from defects or errors;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tests relative to those of our competitors;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by the FDA or other regulatory authorities or conformity assessment bodies; and</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or other regulatory authorities or conformity assessment bodies.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we had approximately 217 full and part-time employees. Over the next several years, we expect to continue to significantly increase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business, financial condition, and results of operations.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inception, we have experienced multiple cycles of growth and anticipate further growth in our business operations. This future growth could put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not be able to maintain the quality or expected turnaround times of our diagnostic tests and services,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 Additionally, if we are required to reduce expenses substantially to sustain our operations, we may not have the human resources to maintain growth in our business operations.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8" w:name="page39"/>
    <w:bookmarkEnd w:id="3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current relationships, or enter into new relationships, with biopharmaceutical companies, our revenue prospects could be reduced.</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collaborate with biopharmaceutical companies to analyze patient samples for multiple applications primarily to support clinical trials, including patient identification, companion or complementary diagnostics and retrospective testing.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5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9" w:name="page40"/>
    <w:bookmarkEnd w:id="39"/>
    <w:p>
      <w:pPr>
        <w:spacing w:after="0" w:line="281" w:lineRule="auto"/>
        <w:rPr>
          <w:sz w:val="20"/>
          <w:szCs w:val="20"/>
          <w:color w:val="auto"/>
        </w:rPr>
      </w:pPr>
      <w:r>
        <w:rPr>
          <w:rFonts w:ascii="Times New Roman" w:cs="Times New Roman" w:eastAsia="Times New Roman" w:hAnsi="Times New Roman"/>
          <w:sz w:val="18"/>
          <w:szCs w:val="18"/>
          <w:color w:val="auto"/>
        </w:rPr>
        <w:t>our control and, as a result, may not fully reflect the underlying performance of our business. These fluctuations may occur due to a variety of factors, including, but not limited to:</w:t>
      </w:r>
    </w:p>
    <w:p>
      <w:pPr>
        <w:spacing w:after="0" w:line="55"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diagnostic tests, which may vary significantly;</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manufacturing our diagnostic tests, which may vary depending on the quantity of production and the terms of our agreements with third-party suppliers and manufacturers;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tests and technologies;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pricing pressures;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spacing w:after="0" w:line="54"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lung cancer treatment equipment, and potential future diagnostic tests that compete with our diagnostic tests;</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diagnostic tests or any enhancements to such tests we develop or competing diagnostic tests;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coverage, or public perception, of our diagnostic tests or those of our competitors or broader industry trends;</w:t>
      </w:r>
    </w:p>
    <w:p>
      <w:pPr>
        <w:spacing w:after="0" w:line="116" w:lineRule="exact"/>
        <w:rPr>
          <w:rFonts w:ascii="Times New Roman" w:cs="Times New Roman" w:eastAsia="Times New Roman" w:hAnsi="Times New Roman"/>
          <w:sz w:val="18"/>
          <w:szCs w:val="18"/>
          <w:color w:val="auto"/>
        </w:rPr>
      </w:pPr>
    </w:p>
    <w:p>
      <w:pPr>
        <w:jc w:val="both"/>
        <w:ind w:left="900" w:hanging="383"/>
        <w:spacing w:after="0" w:line="265"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w:t>
      </w:r>
    </w:p>
    <w:p>
      <w:pPr>
        <w:spacing w:after="0" w:line="69"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obtaining regulatory approvals, conformity certifications or clearances for planned or future improvements or enhancements to our diagnostic tests;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in the status of regulatory approvals or applications or conformity certifications;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discounts, and incentives for our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cumulative effects of these factors has resulted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r>
        <w:rPr>
          <w:rFonts w:ascii="Times New Roman" w:cs="Times New Roman" w:eastAsia="Times New Roman" w:hAnsi="Times New Roman"/>
          <w:sz w:val="18"/>
          <w:szCs w:val="18"/>
          <w:i w:val="1"/>
          <w:iCs w:val="1"/>
          <w:color w:val="auto"/>
        </w:rPr>
        <w: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our diagnostic tests, including the Nodify XL2 and Nodify CDT tests, and the GeneStrat and VeriStrat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upon third-party suppliers, including single source suppliers, making us vulnerable to supply problems and price fluctuations.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rely on third-party suppliers to provide certain components of our diagnostic tests, including a select few (located in the United States, Europe and China), as critical single source providers of components. Bio-Rad, as described below, is the sole source supplier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0" w:name="page41"/>
    <w:bookmarkEnd w:id="40"/>
    <w:p>
      <w:pPr>
        <w:jc w:val="both"/>
        <w:spacing w:after="0" w:line="265" w:lineRule="auto"/>
        <w:rPr>
          <w:sz w:val="20"/>
          <w:szCs w:val="20"/>
          <w:color w:val="auto"/>
        </w:rPr>
      </w:pPr>
      <w:r>
        <w:rPr>
          <w:rFonts w:ascii="Times New Roman" w:cs="Times New Roman" w:eastAsia="Times New Roman" w:hAnsi="Times New Roman"/>
          <w:sz w:val="18"/>
          <w:szCs w:val="18"/>
          <w:color w:val="auto"/>
        </w:rPr>
        <w:t>for our GeneStrat test. Oncimmune is also the sole source supplier for our Nodify CDT tests but there are known secondary suppliers for these materials. While we have initiated the second source qualification process for the majority of these critical components, we may not be successful in securing second sourcing for all of them at all or on a timely basis.</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of our suppliers are not obligated to perform services or supply diagnostic testing materials for any specific period, in any specific quantity or at any specific price, except as may be provided in a particular purchase order. We depend on our suppliers and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These suppliers may cease producing the components we purchase from them or otherwise decide to cease doing business with us. Further, we maintain limited volumes of inventory from most of our suppliers. If we inaccurately forecast demand for finished goods, we may be unable to meet customer demand which could harm our competitive position and reputation. In addition, if we fail to effectively manage our relationships, we may be required to change suppliers.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For more information regarding this license and supply agreement and the permission granted to us by Bio-Rad with respect to such tests, please see “Business—Material Agreements—Agreements with Bio-Rad” previously filed with our Form S-1 on October 23, 2020 and “First Amendment to the Non-Exclusive License Agreement between Bio-Rad Laboratories, Inc., and Biodesix, Inc., dated May 24, 2021” previously filed with our Form 10-Q on August 10, 2021.</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sufficiently reduce costs in the performance, manufacturing and production of our diagnostic tests to achieve sustainable gross margins.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partner with suppliers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third-party suppliers.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or worldwide, including a future outbreak of the novel strain of coronavirus disease, COVID-19, and its variants could adversely affect our business.</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pandemic, epidemic or outbreak of an infectious disease occurs in the United States or worldwide, our business may be adversely affected. For much of 2020 and 2021, COVID-19 spread throughout the United States and to most countries globally, creating significant uncertainty and economic disruption. Numerous U.S. state and local jurisdictions chose to impose “shelter-in-place” orders, quarantines, executive orders and similar government orders and restrictions for their residents to control the spread of COVID-19. In March 2020, the Governor of Colorado, where our headquarters are located, issued “stay at home” orders limiting non-essential activities, travel and business operations. Disruptions or potential disruptions due to the orders and restrictions have included, and in the future may continue to include, the inability of our suppliers to manufacture components and parts and to deliver these to us on a timely basis, or at all; disruptions in our production schedule and ability to assemble diagnostic tests; inventory shortages or obsolescence; delays in 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of regulatory bodies;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COVID-19 pandemic also negatively affected our non-COVID-19 testing-related revenue and our clinical studies. For example, cancer patients had more limited access to hospitals, healthcare providers and medical resources as they took steps to control the spread of COVID-19. Our biopharmaceutical customers have faced challenges in recruiting patients and in conducting clinical trials to advance their pipelines, for which our tests could be utilized. Further, our clinical studies, such as our ongoing INSIGHT study and our recently launched ALTITUDE study, as well as our arrangements with our biopharmaceutical customers, are expected to take longer to complete than what we expected before the outbreak of the COVID-19 pandemic.</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extent to which the a future pandemic or epidemic, including a future outbreak of the COVID-19 virus, impacts our business will depend on future developments, which are highly uncertain and cannot be predicted, including new information which may emerge concerning the resurgence of COVID-19 or any other virus and the actions to contain or treat its impact, among others.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and a reduction in our ability to access capital, which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a pandemic adversely affects our business and financial results, it may also have the effect of heightening many of the other risks described in this “Risk Factors” section.</w:t>
      </w:r>
    </w:p>
    <w:p>
      <w:pPr>
        <w:spacing w:after="0" w:line="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may significantly disrupt our business, and negatively impact our business, financial condition and results of operations.</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Louisville, Colorado and we operate a laboratory facility in De Soto, Kansas. Any of our facilities may be harmed or rendered inoperable by natural or man-made disasters, including earthquakes, wildfires, floods, nuclear disasters, riots, acts of terrorism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diagnostic tests and services and any future diagnostic tests and services may be smaller than we estimate and may decline.</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a result, our estimates of the annual total addressable market for our diagnostic tests and services in different market segments may prove to be incorrect. If the actual number of patients who would benefit from our diagnostic tests, the price at which we can sell them</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2" w:name="page43"/>
    <w:bookmarkEnd w:id="42"/>
    <w:p>
      <w:pPr>
        <w:jc w:val="both"/>
        <w:spacing w:after="0" w:line="281" w:lineRule="auto"/>
        <w:rPr>
          <w:sz w:val="20"/>
          <w:szCs w:val="20"/>
          <w:color w:val="auto"/>
        </w:rPr>
      </w:pPr>
      <w:r>
        <w:rPr>
          <w:rFonts w:ascii="Times New Roman" w:cs="Times New Roman" w:eastAsia="Times New Roman" w:hAnsi="Times New Roman"/>
          <w:sz w:val="18"/>
          <w:szCs w:val="18"/>
          <w:color w:val="auto"/>
        </w:rPr>
        <w:t>or the annual total addressable market for them is smaller than we have estimated, it may impair our sales growth and negatively affect our business, financial condition and results of operations.</w:t>
      </w:r>
    </w:p>
    <w:p>
      <w:pPr>
        <w:spacing w:after="0" w:line="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CCPA) federal (e.g., HIPAA), and the HITECH Act and laws in other jurisdictions (e.g., the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third-party providers will be successful in preventing cyber-attacks or successfully mitigating their effects. Recent cyber-attacks purportedly originated by Russian controlled entities have exacerbated in the wake of Russia’s invasion of Ukraine and our systems may be infiltrated by foreign actors. If we are unable to prevent or mitigate the impact of such security breaches, our ability to attract and retain new customers, patients and other partners could be harmed as they may be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3" w:name="page44"/>
    <w:bookmarkEnd w:id="43"/>
    <w:p>
      <w:pPr>
        <w:jc w:val="both"/>
        <w:spacing w:after="0" w:line="281" w:lineRule="auto"/>
        <w:rPr>
          <w:sz w:val="20"/>
          <w:szCs w:val="20"/>
          <w:color w:val="auto"/>
        </w:rPr>
      </w:pPr>
      <w:r>
        <w:rPr>
          <w:rFonts w:ascii="Times New Roman" w:cs="Times New Roman" w:eastAsia="Times New Roman" w:hAnsi="Times New Roman"/>
          <w:sz w:val="18"/>
          <w:szCs w:val="18"/>
          <w:color w:val="auto"/>
        </w:rPr>
        <w:t>reluctant to entrust their data to us, and we could be exposed to litigation and governmental investigations, which could lead to a potential disruption to our business or other adverse consequences.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payer concentration, with a limited number of customers accounting for a substantial portion of our revenues.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Medicare reimbursed 43% of our diagnostic test revenue to us and one customer accounted for 10% of our total revenue. For the year ended December 31, 2022, Medicare reimbursed 37% of our diagnostic test revenue to us and one customer accounted for 10% of our total revenue.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customer demand for, and utilization of, our diagnostic tests and manage our inventory.</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our diagnostic tests, our supply chain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may be adversely affected.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66"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marketing and sale of our diagnostic tests and services. For example, we may be sued if our diagnostic tests or services cause or are perceived to cause injury or are found to be otherwise unsuitable during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4" w:name="page45"/>
    <w:bookmarkEnd w:id="44"/>
    <w:p>
      <w:pPr>
        <w:jc w:val="both"/>
        <w:spacing w:after="0" w:line="256" w:lineRule="auto"/>
        <w:rPr>
          <w:sz w:val="20"/>
          <w:szCs w:val="20"/>
          <w:color w:val="auto"/>
        </w:rPr>
      </w:pPr>
      <w:r>
        <w:rPr>
          <w:rFonts w:ascii="Times New Roman" w:cs="Times New Roman" w:eastAsia="Times New Roman" w:hAnsi="Times New Roman"/>
          <w:sz w:val="18"/>
          <w:szCs w:val="18"/>
          <w:color w:val="auto"/>
        </w:rPr>
        <w:t>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diagnostic tests and services;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reputation;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the market price of our common stock;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we have adequate product liability insurance, but it may not prove to be adequate to cover all liabilities that we may incur. Insurance coverage is increasingly expensive and costs may continue to rise.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many sources, including larger companies, and we may be unable to compete successfully.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74" w:lineRule="exact"/>
        <w:rPr>
          <w:sz w:val="20"/>
          <w:szCs w:val="20"/>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name recognition;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deeper, or longer-term relations with healthcare professionals, customers, and third-party payers;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distribution networks;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lines of diagnostic tests and the ability to offer rebates or bundle them to offer greater discounts or other incentives to gain a competitive advantage;</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conducting research and development, manufacturing, clinical trials, marketing and obtaining regulatory clearance or approval or certification for diagnostic tests;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human resources for product development, sales and marketing and patent litigation.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Our continued success depends on our ability to:</w:t>
      </w:r>
    </w:p>
    <w:p>
      <w:pPr>
        <w:spacing w:after="0" w:line="117"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penetrate the lung disease diagnostic solutions market and increase utilization of our diagnostic tests;</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widen our technology lead over competitors by continuing to innovate and deliver new product enhancements on a continuous basis;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our diagnostic tests and their component parts as well as drive down the cost of service.</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civil unrest and disturbances or other service interruptions affecting delivery or warehousing services we use would adversely affect our ability to process orders for our diagnostic tests on a timely basis.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Louisville,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Cost-containment efforts of our customers, purchasing groups and governmental purchasing organizations could have a material adverse effect on our sales and profitability.</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 effort to reduce costs, many hospitals in the United States have become members of GPOs and Integrated Delivery Networks (IDNs). GPOs and IDNs negotiate pricing arrangements with medical device companies and distributors on behalf of their members, which may include hospitals and other providers.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Pricing and reimbursement of medical devices is not harmonized at the European level, but is the exclusive competence of the EU Member States. In Europe, pricing and reimbursement decisions are generally made by regional or centralized bodies based on an assessment of the efficacy and clinical effectiveness of the devices or broad device types or procedures. There is a general trend for EU Member States to adopt cost containment measures to control public spend on medical devices. Due to the competitive nature of product offers and prices, we may not be able to obtain new, or maintain existing, contract positions with the EU Member States.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proceedings may adversely affect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and financial market conditions may exacerbate our business risks.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such as inflationary pressures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events in the United States or foreign markets, such as the United Kingdom’s exit from the European Union, the worldwide effects from the spread of COVID-19, Russia's invasion of Ukraine and political and social unrest in various countries around the world, can impact the global economy and capital markets. Additionally, if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or costs of our Co-Development and Collaboration Agreement with AVEO Oncology.</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exercised our right to opt-out of co-development, we would equally share in any income received from licensing rights to ficlatuzumab to any third parties. In September 2020, we exercised our opt-out right for the payment of half of the development and regulatory costs for ficlatuzumab. This opt-out was effective as of December 2, 2020 with remaining obligations estimated to be $0.1 million. Following the effective date, we will be entitled to a 10% royalty of net sales of ficlatuzumab and 25% of license income generated from the licensing of ficlatuzumab. Ficlatuzumab is currently being evaluated in squamous cell carcinoma of the head and neck (SCCHN), metastatic pancreatic ductal cancer (PDAC), and acute myeloid leukemia (AML).</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AVEO, could delay our sales and marketing efforts, which would harm our business prospects,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7" w:name="page48"/>
    <w:bookmarkEnd w:id="4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future payments and other obligations associated with our acquisitions of Integrated Diagnostics and Oncimmune, U.S.A., and may not realize the advantages we expect from these acquisitions.</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2018, we purchased select assets and liabilities from Integrated Diagnostics, Inc. and IND Funding, LLC (collectively, the Seller or Indi) which included the CLIA lab in Seattle, Washington, and all rights to the Nodify XL2 test and intellectual property rights related to that test. The purchase was made for total consideration of $27.6 million, consisting of $8.0 million (10,649,604 shares) of our Series G Preferred Stock and contingent consideration with an initial fair market value of $19.6 million.</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acquisition of Indi included a contingent consideration arrangement that requires additional consideration to be paid by us to the Seller based on the milestone of the attainment of a three consecutive month gross margin target of $2 million within a seven-year period. Under the terms of the original agreement, when the gross margin target was achieved, the Company was required to issue 2,520,108 shares of common stock. For the six months following the achievement of the milestone, Indi had the option to require the Company to redeem the common shares for $37.0 million in cash over eight equal installments. If Indi elected not to exercise this option, we had 12 months to repurchase the common stock in two equal quarterly cash installments totaling $37 million.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original agreement in which all parties agreed to forgo the issuance of common stock and agreed that the Company would instead make six quarterly installments of approximately $4.6 million each, which began in January 2022, and final payment of approximately $9.3 million in July 2023 for a total of $37.0 million (together, the Milestone Payments). The aggregate amount of payments owed by the Company under this amendment is the same as if Indi had exercised the put right or the Company had exercised the call right provided for in the original agreement.</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will make one installment of $5.0 million in April 2024, and will make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on October 31, 2019 we completed an acquisition of Freenome's United States operations (formerly "Oncimmune USA" or "Oncimmune") including its CLIA lab in De Soto, Kansas and its incidental pulmonary nodule (IPN) malignancy test, then marketed in the United States as the EarlyCDT Lung® test. We renamed and relaunched the test on February 28, 2020 as the Nodify CDT test and the De Soto, Kansas lab is the sole United States provider of the Nodify CDT test.</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w:t>
      </w:r>
    </w:p>
    <w:p>
      <w:pPr>
        <w:spacing w:after="0" w:line="7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agreed to a revenue share payment of 8% of recognized revenue for non-screening tests up to an annual minimum volume and 5% thereafter, with an escalating minimum through the first four years of sales. Royalty expenses were $1.0 million and $0.9 million for the years ended December 31, 2023 and 2022, respectively.</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acquisitions may require us to incur non-recurring and other charges, increase our near and long-term expenditures, or disrupt our management and business. We cannot be certain that, following the realization of these acquisitions, we will achieve the revenue or specific net income that justifies our entry into them. This could delay our sales and marketing efforts, which would harm our business prospects, financial condition and results of operations.</w:t>
      </w:r>
    </w:p>
    <w:p>
      <w:pPr>
        <w:spacing w:after="0" w:line="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programs and laboratory operations depend on our ability to attract and retain highly skilled scientists and technicians.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not be able to attract or retain qualified scientists and technicians in the future due to the competition for qualified personnel among life science businesses, particularly near our headquarters in Louisville,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could lead to disparities of wealth among our employees, which could adversely impact relations among employees and our culture in general. Our anticipated headcount growth may result in a change to our corporate culture, which could harm our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research and development credit may be limited.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We believe that our NOLs are currently not subject to limitation under these rules. However, if we undergo an ownership change now or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the Perceptive Term Loan Facility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November 16, 2022 (Closing Date), we entered into a credit agreement and guaranty (the Credit Agreement) with Perceptive Credit Holdings IV, LP as the lender and administrative agent (the Lender) that provides for a senior secured delayed draw term loan facility with Perceptive Advisors LLC (Perceptive), in an aggregate principal amount of up to $50.0 million (the Perceptive Term Loan Facility) to refinance long-term debt. The Perceptive Term Loan Facility provides for an “interest-only” period during the term of the loan with principal due at the maturity date, which will be November 21, 2027.</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Perceptive Term Loan Facility may be prepaid at any time, subject to a prepayment premium equal to 2% to 10% of the aggregate outstanding principal amount being prepaid, depending on the date of prepayment. The Perceptive Term Loan Facility contains customary affirmative and negative covenants for a loan, requires us to comply with a minimum cash requirement covenant, and has a trailing twelve month net revenue requirement. Failure to comply with the covenants and loan requirements may result in an event of default.</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9" w:name="page50"/>
    <w:bookmarkEnd w:id="49"/>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March 31, 2024. As consideration for the First Amendment, the Company agreed to issue to Perceptive a warrant to purchase up to 500,000 shares of the Company’s common stock which are equity classified at a per share exercise price equal to $1.6254.</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4, 2023,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with the fiscal quarter ending June 30, 2024 through and including the fiscal quarter ending December 31, 2025.</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Perceptive Term Loan Facility contains certain covenants limiting our ability to, among other things, engage in certain corporate changes, make certain restricted payments, repay other certain indebtedness or enter into, amend or terminate any other agreements that have the impact of restricting our ability to make loan repayments.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the occurrence of which could result in the declaration that all outstanding principal and interest under the Perceptive Term Loan Facility is immediately due and payable in whole or in part, which could have a material adverse effect on our business, financial condition, and results of operations.</w:t>
      </w:r>
    </w:p>
    <w:p>
      <w:pPr>
        <w:spacing w:after="0" w:line="6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fund our existing operations, develop our platform, commercialize new diagnostic tests or expand our operations.</w:t>
      </w:r>
    </w:p>
    <w:p>
      <w:pPr>
        <w:spacing w:after="0" w:line="5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to pursue strategic investments, to take advantage of financing opportunities or for other reasons, including to:</w:t>
      </w:r>
    </w:p>
    <w:p>
      <w:pPr>
        <w:spacing w:after="0" w:line="55" w:lineRule="exact"/>
        <w:rPr>
          <w:sz w:val="20"/>
          <w:szCs w:val="20"/>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and address competitive developments;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diagnostic tests or any other future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technologies into other types of cancer management and lung disease detection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17" w:lineRule="exact"/>
        <w:rPr>
          <w:sz w:val="20"/>
          <w:szCs w:val="20"/>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third-party payers and government payers;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offerings, including our sales and marketing efforts;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the sales and marketing activities associated with, establishing adoption of and reimbursement for our diagnostic tests;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 of research and development activities associated with, diagnostic tests in research and early development;</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international expansion;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 of and delays in product development as a result of any regulatory oversight applicable to our diagnostic tests.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Risks Related to our Governmental Regulation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CMS, an agency within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authorities or bodies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In Europe, pricing and reimbursement of medical devices is the exclusive competence of the European Union (EU) Member States. However, the European Commission is facilitating a voluntary corporation between the EU Member States on health technology assessments (HTA) which consists of a network of the EU Member States’ national authorities and bodies responsible for HTA and a joint action to support cooperation at scientific and technical level between the HTA bodies.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control the healthcare budget by focusing cost-cutting efforts on medicinal products, and to a lesser extent, medical devices, provided under their state-run healthcare systems. These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payers, in the United States and abroad, to cap or reduce healthcare costs may cause such organizations to limit both coverage and level of reimbursement for newly cleared, authorized, certified or approved devices and medicines and, as a result, they may not cover or provide adequate payment for our clinical diagnostics to be sold by us or our collaborators. For example, in May 2018 the United States government released a “blueprint,” or plan, to reduce the cost of drugs. This blueprint contains certain measures that HHS has been working to implement, although it is possible that HHS’s regulatory priorities may change under the Biden administration. At the state level, legislatures are increasingly passing legislation and implementing regulations designed to control pharmaceutical and biological pricing, including price or patient reimbursement constraints, discounts, restrictions on certain product access and marketing cost disclosure and transparency measures, which are, in some cases, designed to encourage importation from other countries and bulk purchasing.</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diagnostic tests.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Measures to reduce healthcare costs may hurt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customers are healthcare providers who depend upon reimbursement by government and commercial insurance payers for lung cancer diagnostic solutions services. With a majority of United States patients with lung cancer covered by Medicare, the Medicare reimbursement rate is an important factor in a customer’s decision to use our diagnostic tests and limits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diagnostic tests.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judicial challenges to certain aspects of the ACA, as well as efforts by the Trump administration and Congress to repeal, replace or alter the implementation of certain aspects of the ACA. For example, as part of the TCJA,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2022, and a reduction of the cut to 1% from April 1, 2022 through June 30, 2022.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Biden administration and Congress may continue to pursue significant changes to the current healthcare laws, and the Biden administration has indicated its intent to strengthen the ACA and focus on reducing the cost of healthcare. 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harm:</w:t>
      </w:r>
    </w:p>
    <w:p>
      <w:pPr>
        <w:spacing w:after="0" w:line="55" w:lineRule="exact"/>
        <w:rPr>
          <w:sz w:val="20"/>
          <w:szCs w:val="20"/>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anti-corruption, anti-bribery, anti-money laundering and similar laws.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subject to the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2" w:name="page53"/>
    <w:bookmarkEnd w:id="52"/>
    <w:p>
      <w:pPr>
        <w:jc w:val="both"/>
        <w:spacing w:after="0" w:line="260" w:lineRule="auto"/>
        <w:rPr>
          <w:sz w:val="20"/>
          <w:szCs w:val="20"/>
          <w:color w:val="auto"/>
        </w:rPr>
      </w:pPr>
      <w:r>
        <w:rPr>
          <w:rFonts w:ascii="Times New Roman" w:cs="Times New Roman" w:eastAsia="Times New Roman" w:hAnsi="Times New Roman"/>
          <w:sz w:val="18"/>
          <w:szCs w:val="18"/>
          <w:color w:val="auto"/>
        </w:rPr>
        <w:t>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healthcare fraud and abuse laws.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under applicable United States federal and state healthcare laws and regulations include the following:</w:t>
      </w:r>
    </w:p>
    <w:p>
      <w:pPr>
        <w:spacing w:after="0" w:line="117" w:lineRule="exact"/>
        <w:rPr>
          <w:sz w:val="20"/>
          <w:szCs w:val="20"/>
          <w:color w:val="auto"/>
        </w:rPr>
      </w:pPr>
    </w:p>
    <w:p>
      <w:pPr>
        <w:jc w:val="both"/>
        <w:ind w:left="900" w:hanging="383"/>
        <w:spacing w:after="0" w:line="260"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73" w:lineRule="exact"/>
        <w:rPr>
          <w:rFonts w:ascii="Times New Roman" w:cs="Times New Roman" w:eastAsia="Times New Roman" w:hAnsi="Times New Roman"/>
          <w:sz w:val="18"/>
          <w:szCs w:val="18"/>
          <w:color w:val="auto"/>
        </w:rPr>
      </w:pPr>
    </w:p>
    <w:p>
      <w:pPr>
        <w:jc w:val="both"/>
        <w:ind w:left="900" w:hanging="383"/>
        <w:spacing w:after="0" w:line="265"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69"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52" w:lineRule="exact"/>
        <w:rPr>
          <w:rFonts w:ascii="Times New Roman" w:cs="Times New Roman" w:eastAsia="Times New Roman" w:hAnsi="Times New Roman"/>
          <w:sz w:val="18"/>
          <w:szCs w:val="18"/>
          <w:color w:val="auto"/>
        </w:rPr>
      </w:pPr>
    </w:p>
    <w:p>
      <w:pPr>
        <w:jc w:val="both"/>
        <w:ind w:left="900" w:hanging="383"/>
        <w:spacing w:after="0" w:line="258"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76" w:lineRule="exact"/>
        <w:rPr>
          <w:rFonts w:ascii="Times New Roman" w:cs="Times New Roman" w:eastAsia="Times New Roman" w:hAnsi="Times New Roman"/>
          <w:sz w:val="18"/>
          <w:szCs w:val="18"/>
          <w:color w:val="auto"/>
        </w:rPr>
      </w:pPr>
    </w:p>
    <w:p>
      <w:pPr>
        <w:jc w:val="both"/>
        <w:ind w:left="900" w:hanging="383"/>
        <w:spacing w:after="0" w:line="260"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3" w:name="page54"/>
    <w:bookmarkEnd w:id="53"/>
    <w:p>
      <w:pPr>
        <w:jc w:val="both"/>
        <w:ind w:left="900" w:hanging="383"/>
        <w:spacing w:after="0" w:line="281"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Manufacturers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 of our industry generally or our tests specifically could be disruptive to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has recently increased its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 FDA were to determine that our tests are not within the current enforcement discretion policy for LDTs for any reason, or if FDA finalizes its proposed rule to end enforcement discretion or issues new rules, policies, or guidance, due to new legislation or on its own accord, our tests may become subject to FDA requirements, including pre-market review. If this were to happen, it may impact our marketing practices relating to the relevant tests, which in turn may have an adverse impact on our business, financial condition and results of operations.</w:t>
      </w:r>
    </w:p>
    <w:p>
      <w:pPr>
        <w:spacing w:after="0" w:line="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diagnostic testing industry is subject to extensive laws and regulations, many of which have not been interpreted by the courts. Tests without FDA clearance, approval, or authorization would not be considered covered countermeasures under the Public Readiness and Emergency Preparedness Act (PREP Act), which authorizes HHS to provide limited liability immunity protection to certain individuals and entities against a claim of loss under federal and state law “caused by, arising out of, relating to, or resulting from” the manufacture, distribution, administration, or use of a covered medical countermeasure, except for claims involving willful misconduct. Consequently, any violations of applicable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4" w:name="page55"/>
    <w:bookmarkEnd w:id="54"/>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 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Louisville, Colorado and De Soto, Kansas laboratories are both CAP-accredited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LDTs and are not currently subject to FDA regulation, although certain components provided by third parties and used to create and/or administer the test may be. LDTs are a subset of IVDs that are intended for clinical use and developed, validated, and offered within a single laboratory for use only in that laboratory. Failure to adhere to any new FDA regulation would result in fines, product suspensions, warning letters, recalls, injunctions and other civil and criminal penalties.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line of diagnostic tests is covered under CLIA and CMS, but the FDA may end its general policy of enforcement discretion and regulate laboratory developed tests as medical devices. Changes in the way that the FDA regulates tests performed by laboratories like ours could result in delay or additional expense in offering our tests and tests that we may develop in the future.</w:t>
      </w:r>
    </w:p>
    <w:p>
      <w:pPr>
        <w:spacing w:after="0" w:line="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Although the FDA has asserted that it has authority to regulate the development and use of LDTs, such as our and many other laboratories’ tests, as medical devices, it has generally exercised enforcement discretion and is currently not otherwise regulating most tests developed and performed within a single high complexity CLIA-certified laboratory. Pursuant to this enforcement discretion policy, FDA does not require laboratories that furnish LDTs to comply with the agency’s requirements for medical devices (e.g., establishment registration, device listing, quality systems regulations, premarket clearance or premarket approval, and post-market controls).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 Although we believe that our tests and test components are either exempt from FDA medical device regulations or are subject to an enforcement discretion policy, it is possible that the FDA would not agree with our determinations or that the FDA will change its regulations and policies such that our products become regulated as medical devices.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recent years, the FDA has publicly announced its intention to regulate certain LDTs and has set forth various proposals for a phased-in risk-based regulatory framework that would apply varying levels of FDA oversight to LDTs. Until recently, the FDA has articulated such policies through guidance documents, compliance manuals, website statements, and other informal issuances, but not through notice-and-comment rulemaking. On September 29, 2023, the FDA announced a proposed rule to amend its regulations to explicitly regulate LDTs as IVD tests in accordance with the agency’s regulatory authority over medical devices. If this rule is finalized, our tests that are currently offered as LDTs would become subject to statutory and regulatory provisions that are applicable to medical devices, including but not limited to, medical device reporting and correction and removal reporting requirements, quality systems regulations, registration and listing requirements, and premarket review requirements.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 if the proposed rule is not finalized, Congress could take action to amend the law to change the current regulatory framework for in vitro diagnostics and LDTs to require premarket review of LDTs and other regulatory requirements. New requirements, whether imposed through legislation or administratively, could result in delay or additional expense in offering our tests and tests that we may develop in the future. Moreover, failure to comply with applicable requirements under the relevant timeframes could cause us to lose the ability to perform our tests, experience disruptions to our business, or become subject to administrative or judicial enforcement actions, which in turn may have an adverse impact on our business, financial condition, and results of operations.</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operations, therefore, are or may become subject to extensive regulation by the FDA in the United States. Government regulations specific to medical devices are wide ranging and govern, among other things:</w:t>
      </w:r>
    </w:p>
    <w:p>
      <w:pPr>
        <w:spacing w:after="0" w:line="55" w:lineRule="exact"/>
        <w:rPr>
          <w:sz w:val="20"/>
          <w:szCs w:val="20"/>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design, development, manufacture, and release;</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and clinical testing, labeling, packaging, storage, and distribution;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efficacy;</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or approval;</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operations;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and advertising, sales, and distribution;</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and recalls and correction and removals;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1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premarket submission process for medical devices can be expensive, lengthy and unpredictable. The FDA can delay, limit, or deny clearance or approval of a device for many reasons, including:</w:t>
      </w:r>
    </w:p>
    <w:p>
      <w:pPr>
        <w:spacing w:after="0" w:line="55" w:lineRule="exact"/>
        <w:rPr>
          <w:sz w:val="20"/>
          <w:szCs w:val="20"/>
          <w:color w:val="auto"/>
        </w:rPr>
      </w:pPr>
    </w:p>
    <w:p>
      <w:pPr>
        <w:ind w:left="900" w:right="20" w:hanging="383"/>
        <w:spacing w:after="0" w:line="28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conformity assessment body that the diagnostic tests are safe or effective for their proposed intended uses;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or implementation of our clinical trials or the interpretation of data from clinical trials;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clinical trials may be insufficient to support clearance or approval, where required;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6" w:name="page57"/>
    <w:bookmarkEnd w:id="56"/>
    <w:p>
      <w:pPr>
        <w:spacing w:after="0" w:line="281"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any such agency, which may include any of the following sanctions:</w:t>
      </w:r>
    </w:p>
    <w:p>
      <w:pPr>
        <w:spacing w:after="0" w:line="55" w:lineRule="exact"/>
        <w:rPr>
          <w:sz w:val="20"/>
          <w:szCs w:val="20"/>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it has come to our attention letters, fines, injunctions, consent decrees and civil penalties;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of our requests for regulatory clearance or premarket approval of new diagnostic tests or services, new intended uses, or modifications to existing diagnostic tests or services;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clearance or premarket approvals that have already been granted; or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discussed above, we believe that our current line of diagnostic tests and their components are LDTs, which are subject to state licensing requirements and federal regulation by CMS under CLIA, although our COVID-19 testing program and select partnerships we may enter may cause us to be subject to additional FDA regulations discussed above.</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believe that we are currently in material compliance with applicable laws and regulations, it is possible that the FDA, or other regulatory agencies, would not agree with our determinations. If our products became become subject to premarket submission and other FDA requirements, we would need to comply with the applicable regulations or face significant civil and criminal penalties. In addition, IVDs and CDx tests are widely considered to be Class III devices, and it is possible that in the future, we may develop tests that fall into this category. CDx tests in particular may require further administrative procedures in the PMA process. Exposure to these additional regulatory requirements would also affect our business, financial condition and results of operations.</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develop, receive regulatory clearance or approval or certification for, and introduce new diagnostic tests or enhancements to existing diagnostic tests that will be accepted by the market in a timely manner. There is no guarantee that the FDA will grant 510(k) clearance, De Novo authorization, or PMA approval of our future diagnostic tests and failure to obtain necessary clearances or approvals for our future diagnostic tests would adversely affect our ability to grow our business.</w:t>
      </w:r>
    </w:p>
    <w:p>
      <w:pPr>
        <w:spacing w:after="0" w:line="7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or certification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success of any new diagnostic test or enhancement to an existing diagnostic test will depend on a number of factors, including our ability to, among others:</w:t>
      </w:r>
    </w:p>
    <w:p>
      <w:pPr>
        <w:spacing w:after="0" w:line="55"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anticipate physician and patient needs properly;</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diagnostic tests or enhancements to our existing diagnostic tests in a timely manner;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infringing upon, misappropriating, or violating the intellectual property rights of third parties;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if required, the safety and efficacy of new diagnostic tests with data from clinical studies;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regulatory clearances or approvals or certifications for new diagnostic tests or enhancements to existing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fully with FDA and foreign regulations on marketing of new diagnostic tests or modified diagnostic tests;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training to potential users of our diagnostic tests.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De Novo authorization, or premarket approval of new diagnostic tests. Failure to receive clearance or approval for our new diagnostic tests would have an adverse effect on our ability to expand our business.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7" w:name="page58"/>
    <w:bookmarkEnd w:id="5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marketed tests may require new 510(k) clearances, De Novo authorizations, or PMA approvals, or may require us to cease marketing or recall the modified tests until clearances or approvals are obtained.</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Modifications to our diagnostic tests may require new regulatory approvals or clearances, including 510(k) clearances, De Novo authorizations,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submission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Where we determine that modifications to our diagnostic tests require a new premarket submission, we may not be able to obtain the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diagnostic tests in a timely manner, which in turn would harm our future growth.</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ongoing FDA or other domestic and foreign regulatory authority or conformity assessment body requirements, or if we experience unanticipated problems with our diagnostic tests, they could be subject to restrictions or withdrawal from the market.</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medical device that we manufacture, including those for which we obtain regulatory clearance or approval or certification, and the manufacturing processes, reporting requirements, post-approval clinical data and promotional activities for such diagnostic test, will be subject to continued regulatory review, oversight, and periodic inspections by the FDA and other domestic and foreign regulatory bodies or conformity assessment bodies. In particular, we and our suppliers may be required to comply with FDA’s QSR (QSR codified at 21 C.F.R. § 820) for medical devices and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and conformity assessment bodies enforce the QSR and other regulations through periodic inspections and audits. The failure by us or one of our suppliers to comply with applicable statutes and regulations administered by the FDA and other regulatory bodies or conformity assessment bodies, or the failure to timely and adequately respond to any adverse inspectional observations or product safety issues, could result in, among other things, one or more of the following enforcement actions:</w:t>
      </w:r>
    </w:p>
    <w:p>
      <w:pPr>
        <w:spacing w:after="0" w:line="83"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or refunds;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diagnostic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16"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De Novo authorization, or premarket approval of new diagnostic tests or modified versions of current diagnostic tests;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De Novo authorization, or PMA approvals that have already been granted;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revocation of EUAs that have been authorized previously;</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diagnostic tests;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8" w:name="page59"/>
    <w:bookmarkEnd w:id="58"/>
    <w:p>
      <w:pPr>
        <w:jc w:val="both"/>
        <w:spacing w:after="0" w:line="260" w:lineRule="auto"/>
        <w:rPr>
          <w:sz w:val="20"/>
          <w:szCs w:val="20"/>
          <w:color w:val="auto"/>
        </w:rPr>
      </w:pPr>
      <w:r>
        <w:rPr>
          <w:rFonts w:ascii="Times New Roman" w:cs="Times New Roman" w:eastAsia="Times New Roman" w:hAnsi="Times New Roman"/>
          <w:sz w:val="18"/>
          <w:szCs w:val="18"/>
          <w:color w:val="auto"/>
        </w:rPr>
        <w:t>unanticipated severity or frequency, manufacturing problems, or failure to comply with regulatory requirements such as QSR,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diagnostic tests and services may in the future be subject to product recalls that could harm our reputation, business and financial results.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Other jurisdictions have similar recall requirements.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recently introduced in Congress would codify into law the term “in vitro clinical test” in order to create a new medical product category separate from medical devices that would include products currently regulated as in vitro diagnostics as well as LDTs.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diagnostic tests. For example, FDA announced a proposed rule in September 2023 to phase out its enforcement discretion over LDTs and regulate such diagnostic tests as medical devices. 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any future PMA applications, De Novo requests,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59" w:name="page60"/>
    <w:bookmarkEnd w:id="59"/>
    <w:p>
      <w:pPr>
        <w:jc w:val="both"/>
        <w:spacing w:after="0" w:line="265" w:lineRule="auto"/>
        <w:rPr>
          <w:sz w:val="20"/>
          <w:szCs w:val="20"/>
          <w:color w:val="auto"/>
        </w:rPr>
      </w:pPr>
      <w:r>
        <w:rPr>
          <w:rFonts w:ascii="Times New Roman" w:cs="Times New Roman" w:eastAsia="Times New Roman" w:hAnsi="Times New Roman"/>
          <w:sz w:val="18"/>
          <w:szCs w:val="18"/>
          <w:color w:val="auto"/>
        </w:rPr>
        <w:t>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and to assist us with pre-clinical development do not perform as contractually required or expected, we may not be able to obtain regulatory clearance or approval or certification for or commercialize our diagnostic tests and services.</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notification obligations or enforcement actions against us, which could result in fines, imprisonment of company officials and public censure, claims for damages by affected individuals,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 and elsewhere, are often uncertain, contradictory and in flux. As a result, implementation standards and enforcement practices are likely to remain uncertain for the foreseeable future.</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Domestic laws in this area are complex and developing rapidly. Many state legislatures have adopted legislation relating to privacy, data security and data breaches. Laws in all 50 states require businesses to provide notice to customers whose personally identifiable information has been disclosed as a result of a data breach. The laws are not consistent, and compliance in the event of a widespread data breach is costly. States are also frequently amending existing laws, requiring attention to frequently changing regulatory requirements. For example, California recently enacted the CCPA, which became effective on January 1, 2020. The CCPA, among other things, requires new disclosures to California consumers and affords such consumers new abilities to access and delete their personal information, opt-out of certain sales of personal information and receive detailed information about how their personal information is used. The CCPA provides for fines of up to $7,500 per violation, as well as a private right of action for data breaches that is expected to increase the frequency of data breach litigation. While the CCPA has already been amended multiple times, it is unclear how this legislation will be further modified or how it will be interpreted. Interpretations of the CCPA may continue to evolve with regulatory guidance and the CCPA continue to be amended, including through a ballot initiative, adopted by voters in November 2020, known as the California Privacy Rights Act, or CPRA. The CPRA imposes additional data protection obligations on companies doing business in California, including additional consumer rights, including regarding certain uses of sensitive data. It also creates a new California data protection agency - the California Privacy Protection Agency - specifically tasked to enforce the law, which may likely result in increased regulatory scrutiny of California businesses in the areas of data protection and security. The effects of this legislation potentially are far-reaching, however, and may require us to modify our data processing practices and policies and incur substantial compliance-related costs and expenses. The CCPA and other changes in state and federal laws or regulations relating to privacy, data protection and information security, particularly any new or modified laws or regulations that require enhanced protection of certain types of data or new obligations with regard to data retention, transfer or disclosure, could increase the cost of providing our offerings, require significant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0" w:name="page61"/>
    <w:bookmarkEnd w:id="60"/>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changes to our operations or even prevent us from providing certain offerings in jurisdictions in which we currently operate and in which we may operate in the future.</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of the breadth of these data protection laws and the narrowness of their exceptions and safe harbors, it is possible that our business or data protection policies could be subject to challenge under one or more of such laws. The scope and enforcement of each of these laws is uncertain and subject to rapid change in the current environment of heightened regulatory focus on data privacy and security issues. Although we endeavor to comply with our published policies and documentation and ensure their compliance with current laws, rules and regulations, we may at times fail to do so or be alleged to have failed to do so. The publication of our privacy policy and other documentation that provide promises and assurances about privacy and security can subject us to potential state and federal action in the United States if they are found to be deceptive, unfair, or misrepresentative of our actual practices. Any failure by us or other parties with whom we do business to comply with this documentation or with federal, state, local or international regulations could result in proceedings against us by governmental entities, private parties or others. In many jurisdictions, enforcement actions and consequences for noncompliance are rising.</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data protection laws described above or any other laws that apply to us, we may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protected health information (as defined in HIPAA, PHI) by health plans, healthcare clearinghouses and certain healthcare providers, referred to as covered entities (CE), and the business associates (BA) with whom such covered entities contract for services. We are a CE under HIPAA when we are conducting our clinical trials. We are a CE with regard to our observational studies and clinical trials, and also a BA under HIPAA for certain other business activities, and we execute BA agreements with our clients.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HIPAA requires CEs and BAs, such as us, to develop and maintain policies with respect to the protection of, use and disclosure of electronic PHI, including the adoption of administrative, physical and technical safeguards to protect such information, and certain notification requirements in the event of a data breach.</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HIPAA imposes mandatory penalties for certain violations. Penalties for violations of HIPAA and its implementing regulations start at $119 per violation and are subject to a cap of $1,785,651 for violations of the same standard in a single calendar year. However, a single breach incident can result in violations of multiple standards.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HIPAA mandates that the Secretary of HHS conduct periodic compliance audits of HIPAA CEs and BAs. With regard to BAs, those audits assess the business associate’s compliance with the HIPAA Privacy and Security Standards. Such audits are conducted randomly and after an entity experiences a breach affecting more than 500 individuals’ data. Undergoing an audit can be costly, can result in fines or onerous obligations, and can damage a BAs reputation.</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HIPAA, numerous other federal, state, and foreign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changing or differing interpretations, and we expect new laws, rules and regulations regarding privacy, data protection, and information security to be proposed and enacted in the future. HHS is also proposing amendments to the HIPAA Privacy Rule to modernize certain data sharing provisions and enhance patient access to their information. This complex, dynamic legal landscape regarding privacy, data protection,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but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1" w:name="page62"/>
    <w:bookmarkEnd w:id="61"/>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Complying with these various laws and regulations could cause us to incur substantial costs or require us to change our business practices, systems and compliance procedures in a manner adverse to our business.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eventually operate in a number of countries outside of the United States whose laws, including data privacy laws, may in some cases be more stringent than the requirements in the United States. For example, EU and UK data privacy laws have specific requirements relating to cross-border transfers of personal data to certain jurisdictions, including to the United States, have strict requirements relating to personal data collection, use or sharing, and have more stringent requirements relating to organizations’ privacy programs and provide stronger individual rights. Moreover, we may also be subject to evolving international privacy and data security regulations which could result in greater compliance costs and in turn lead to penalties, where such compliance programs are not implemented correctly.</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of our processing activities are subject to the EU General Data Protection Regulation and the UK General Data Protection Regulation (collectively, the “GDPR”) – including, those involving pseudonymised / key-coded data - as the GDPR applies extra-territorially. The GDPR imposes strict requirements on controllers and processors processing personal data, including, for example, requirements to: (i) identify a legal basis for the processing of personal data, (ii) provide robust disclosures to individuals, (iii) respond to requests from individuals to exercise their data subject rights, (iv) provide personal data breach notifications within 72 hours after discovering the breach, (v) limit the collection and retention of personal data, (vi) impose specific contractual obligations on processors engaged to process personal data on the instructions of the controller, and (vii) apply enhanced protections to health data and other special categories of personal data.</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EU GDPR also provides that EU Member States may make their own further laws and regulations limiting the processing of personal data, including genetic, biometric or health data, which could limit our ability to use and share such personal data and cause our costs to increase and harm our financial condition.</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Failure to comply with the requirements of the GDPR may result in fines of up to €20 million (£17.5 million in the case of the UK GDPR) or up to 4% of the total worldwide annual turnover of our preceding fiscal year, whichever is higher, and other administrative penalties. GDPR compliance may require us to put in place additional mechanisms, which may result in compliance costs and other substantial expenditures. This may be onerous and adversely affect our business, financial condition, results of operations and the profitability of our platform of diagnostic tests. Failure to comply with the GDPR and other countries’ privacy or data security-related laws, rules or regulations could result in material penalties imposed by regulators, affect our compliance with contracts entered into with our collaborators and other third-party payers, and have an adverse effect on our business and financial condition. Currently, the GDPR is only applicable to us as a processor, but as we continue to expand into the European market, the GDPR will have direct applicability to us as a controller.</w:t>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GDPR also prohibits the transfer of personal data from the EEA/UK to a country outside of the EEA/UK (e.g., the United States) unless made to a country deemed to have adequate data privacy laws by the European Commission (or UK Government in case of the UK GDPR) or a data transfer mechanism has been put in place. Until recently, one such data transfer mechanism was the EU-US Privacy Shield. However, in July 2020 the Court of Justice of the European Union (CJEU) declared the Privacy Shield to be invalid. Following an executive order on trans-Atlantic data flows issued by President Biden in October 2022, the European Commission in December 2022 announced that it had initiated the process of drafting a new adequacy decision based on a modified data transfer framework that would replace the Privacy Shield, which it completed in July 2023. Though adoption of a new adequacy decision may have the effect of making data transfers to the United States easier, it is widely expected that the updated transfer framework and the adequacy decision will also be reviewed by the CJEU. The CJEU also upheld the validity of standard contractual clauses (SCCs) as a legal mechanism to transfer personal data but companies relying on SCCs will need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In turn, the findings of the CJEU will have significant implications for cross-border data flows and may lead to increased transaction, compliance, and technological costs to support international data transfers.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Organizations operating in Canada and covered by the Personal Information Protection and Electronic Documents Act (PIPEDA), or equivalent Canadian provincial laws, must obtain an individual’s consent when they collect, use or disclose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including any third-party vendors that collect, process and store personal data on our behalf, fail to comply with laws requiring the protection of personal information, or fail to safeguard and defend personal information or other critical data assets or IT systems, we may be subject to regulatory enforcement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2" w:name="page63"/>
    <w:bookmarkEnd w:id="62"/>
    <w:p>
      <w:pPr>
        <w:jc w:val="both"/>
        <w:spacing w:after="0" w:line="281" w:lineRule="auto"/>
        <w:rPr>
          <w:sz w:val="20"/>
          <w:szCs w:val="20"/>
          <w:color w:val="auto"/>
        </w:rPr>
      </w:pPr>
      <w:r>
        <w:rPr>
          <w:rFonts w:ascii="Times New Roman" w:cs="Times New Roman" w:eastAsia="Times New Roman" w:hAnsi="Times New Roman"/>
          <w:sz w:val="18"/>
          <w:szCs w:val="18"/>
          <w:color w:val="auto"/>
        </w:rPr>
        <w:t>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69"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regulations, including those laws requiring the reporting of true, complete, and accurate information to the FDA authorities;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or new indications.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Many of the factors that may cause or lead to a delay in the commencement or completion of clinical trials may also ultimately lead to delay or denial of regulatory clearance or approval or certification.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8"/>
          <w:szCs w:val="18"/>
          <w:color w:val="auto"/>
        </w:rPr>
        <w:t>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or conformity assessment bodies may require us to perform additional clinical trials before clearing or approving our marketing applications. A failure to comply with these regulations may require us to repeat clinical trials, which would delay the regulatory clearance or approval or certification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or certification for our tests. In addition, we may not be able to establish or maintain relationships with these parties on favorable terms, if at all. Each of these outcomes would harm our ability to market our tests, or to achieve sustained profitability.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cannot be certain that the results of our future clinical trials will support our future product claims or that the FDA or comparable foreign regulatory authorities or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74"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and billing requirements among payers;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the GeneStrat NGS test, the test may be billed under an unlisted molecular pathology procedure code or through the use of a combination of single gene CPT codes, depending on the payer. The Protecting Access to Medicare Act of 2014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4" w:name="page65"/>
    <w:bookmarkEnd w:id="64"/>
    <w:p>
      <w:pPr>
        <w:jc w:val="both"/>
        <w:spacing w:after="0" w:line="281" w:lineRule="auto"/>
        <w:rPr>
          <w:sz w:val="20"/>
          <w:szCs w:val="20"/>
          <w:color w:val="auto"/>
        </w:rPr>
      </w:pPr>
      <w:r>
        <w:rPr>
          <w:rFonts w:ascii="Times New Roman" w:cs="Times New Roman" w:eastAsia="Times New Roman" w:hAnsi="Times New Roman"/>
          <w:sz w:val="18"/>
          <w:szCs w:val="18"/>
          <w:color w:val="auto"/>
        </w:rPr>
        <w:t>Coding System codes to tests that are not already described by a unique CPT code. The VeriStrat, Nodify XL2, and Nodify CDT tests have test specific CPT codes, but the GeneStrat NGS test does not at this time.</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instance where a code used does not describe a specific test, the insurance claim must be examined to determine what test was provided,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manufacturers and suppliers must comply with environmental, health and safety laws and regulations, which can be expensive and restrict how we do, or interrupt our, business.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activities and our third-party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cannot eliminate the risk of contamination or injury resulting from such hazardous materials. We also cannot guarantee that the procedures utilized by our third-party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may be impaired if we are unable to obtain, maintain and protect our intellectual property rights.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74" w:lineRule="exact"/>
        <w:rPr>
          <w:sz w:val="20"/>
          <w:szCs w:val="20"/>
          <w:color w:val="auto"/>
        </w:rPr>
      </w:pPr>
    </w:p>
    <w:p>
      <w:pPr>
        <w:ind w:left="900" w:right="20" w:hanging="383"/>
        <w:spacing w:after="0" w:line="281"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duplicating our diagnostic tests and products, including our Nodify XL2, Nodify CDT, GeneStrat and VeriStrat tests;</w:t>
      </w:r>
    </w:p>
    <w:p>
      <w:pPr>
        <w:spacing w:after="0" w:line="54"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our competitors from gaining access to our proprietary information and technology, including the Diagnostic Cortex platform, tech platforms such as the DeepMALDI analysis and intellectual property covering technologies that allow us to develop “test algorithms”; or</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gain or maintain a competitive advantage.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5" w:name="page66"/>
    <w:bookmarkEnd w:id="65"/>
    <w:p>
      <w:pPr>
        <w:jc w:val="both"/>
        <w:spacing w:after="0" w:line="256"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or maintain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USPTO, the laws and regulations governing patents could change in unpredictable ways that would weaken our and our licensors’ ability to obtain new patents or to enforce our existing owned or in-licensed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rights or narrow the scope of our owned and licensed patents.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6" w:name="page67"/>
    <w:bookmarkEnd w:id="66"/>
    <w:p>
      <w:pPr>
        <w:jc w:val="both"/>
        <w:spacing w:after="0" w:line="265" w:lineRule="auto"/>
        <w:rPr>
          <w:sz w:val="20"/>
          <w:szCs w:val="20"/>
          <w:color w:val="auto"/>
        </w:rPr>
      </w:pPr>
      <w:r>
        <w:rPr>
          <w:rFonts w:ascii="Times New Roman" w:cs="Times New Roman" w:eastAsia="Times New Roman" w:hAnsi="Times New Roman"/>
          <w:sz w:val="18"/>
          <w:szCs w:val="18"/>
          <w:color w:val="auto"/>
        </w:rPr>
        <w:t>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 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An inability to incorporate technologies or features that are important or essential to our diagnostic tests or products could have a material adverse effect on our business, financial condition and results of operations, and may prevent us from selling our rights to either of the Nodify XL2 and Nodify CDT tests, or the VeriStrat and GeneStrat tests.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7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diagnostic tests, products and services.</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8"/>
          <w:szCs w:val="18"/>
          <w:color w:val="auto"/>
        </w:rPr>
        <w:t>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and our business may be adversely affected.</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rights, which could be expensive, time consuming and unsuccessful.</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8" w:name="page69"/>
    <w:bookmarkEnd w:id="68"/>
    <w:p>
      <w:pPr>
        <w:jc w:val="both"/>
        <w:spacing w:after="0" w:line="260" w:lineRule="auto"/>
        <w:rPr>
          <w:sz w:val="20"/>
          <w:szCs w:val="20"/>
          <w:color w:val="auto"/>
        </w:rPr>
      </w:pPr>
      <w:r>
        <w:rPr>
          <w:rFonts w:ascii="Times New Roman" w:cs="Times New Roman" w:eastAsia="Times New Roman" w:hAnsi="Times New Roman"/>
          <w:sz w:val="18"/>
          <w:szCs w:val="18"/>
          <w:color w:val="auto"/>
        </w:rPr>
        <w:t>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some of our owned and in-licensed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Even if resolved in our favor, litigation or other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corresponding foreign patent offices. Numerous United States and foreign 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69" w:name="page70"/>
    <w:bookmarkEnd w:id="69"/>
    <w:p>
      <w:pPr>
        <w:jc w:val="both"/>
        <w:spacing w:after="0" w:line="265" w:lineRule="auto"/>
        <w:rPr>
          <w:sz w:val="20"/>
          <w:szCs w:val="20"/>
          <w:color w:val="auto"/>
        </w:rPr>
      </w:pPr>
      <w:r>
        <w:rPr>
          <w:rFonts w:ascii="Times New Roman" w:cs="Times New Roman" w:eastAsia="Times New Roman" w:hAnsi="Times New Roman"/>
          <w:sz w:val="18"/>
          <w:szCs w:val="18"/>
          <w:color w:val="auto"/>
        </w:rPr>
        <w:t>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 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priority or inventorship of our patents and other intellectual property rights.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0" w:name="page71"/>
    <w:bookmarkEnd w:id="70"/>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loss of patent rights in the relevant jurisdiction. In such an event, our competitors may be able to enter the market without infringing our patents and this circumstance would have a material adverse effect on our business.</w:t>
      </w:r>
    </w:p>
    <w:p>
      <w:pPr>
        <w:spacing w:after="0" w:line="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diagnostic tests and any other or future diagnostic tests, products or services could be found invalid or unenforceable if challenged.</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some of our patents or patent applications, including licensed patents, may be challenged, in courts or patent offices in the United States and abroad,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 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current or future diagnostic tests, products or services.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in relation to certain diagnostic tests, products and services and if we lose these licenses then we may be subjected to future litigation.</w:t>
      </w:r>
    </w:p>
    <w:p>
      <w:pPr>
        <w:spacing w:after="0" w:line="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1" w:name="page72"/>
    <w:bookmarkEnd w:id="71"/>
    <w:p>
      <w:pPr>
        <w:jc w:val="both"/>
        <w:spacing w:after="0" w:line="265" w:lineRule="auto"/>
        <w:rPr>
          <w:sz w:val="20"/>
          <w:szCs w:val="20"/>
          <w:color w:val="auto"/>
        </w:rPr>
      </w:pPr>
      <w:r>
        <w:rPr>
          <w:rFonts w:ascii="Times New Roman" w:cs="Times New Roman" w:eastAsia="Times New Roman" w:hAnsi="Times New Roman"/>
          <w:sz w:val="18"/>
          <w:szCs w:val="18"/>
          <w:color w:val="auto"/>
        </w:rPr>
        <w:t>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rights we license, other companies might be able to offer substantially identical diagnostic tests for sale, which could adversely affect our competitive business position and harm our business prospects.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competitive position, business, financial conditions, results of operations and prospects.</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Moreover, disputes may also arise between us and our current or future licensors regarding intellectual property rights subject to a license agreement, including those relating to:</w:t>
      </w:r>
    </w:p>
    <w:p>
      <w:pPr>
        <w:spacing w:after="0" w:line="55" w:lineRule="exact"/>
        <w:rPr>
          <w:sz w:val="20"/>
          <w:szCs w:val="20"/>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diagnostic tests, products, services, technology, and processes infringe on intellectual property rights of the licensor that is not subject to the licensing agreement;</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licensor or its licensor had the right to grant the license agreement;</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third parties are entitled to compensation or equitable relief, such as an injunction, for our use of the intellectual property rights without their authorization;</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the prosecution of licensed patents and our licensors’ overall patent enforcement strategy;</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royalties, milestones, or other payments due under the license agreement;</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rights by our licensors and us and our collaborators;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do not prevail in such disputes, we may lose any or all of our rights under such license agreements.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2" w:name="page73"/>
    <w:bookmarkEnd w:id="72"/>
    <w:p>
      <w:pPr>
        <w:jc w:val="both"/>
        <w:spacing w:after="0" w:line="252" w:lineRule="auto"/>
        <w:rPr>
          <w:sz w:val="20"/>
          <w:szCs w:val="20"/>
          <w:color w:val="auto"/>
        </w:rPr>
      </w:pPr>
      <w:r>
        <w:rPr>
          <w:rFonts w:ascii="Times New Roman" w:cs="Times New Roman" w:eastAsia="Times New Roman" w:hAnsi="Times New Roman"/>
          <w:sz w:val="18"/>
          <w:szCs w:val="18"/>
          <w:color w:val="auto"/>
        </w:rPr>
        <w:t>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diagnostic tests, products and services for an adequate amount of time.</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3" w:name="page74"/>
    <w:bookmarkEnd w:id="73"/>
    <w:p>
      <w:pPr>
        <w:spacing w:after="0" w:line="281" w:lineRule="auto"/>
        <w:rPr>
          <w:sz w:val="20"/>
          <w:szCs w:val="20"/>
          <w:color w:val="auto"/>
        </w:rPr>
      </w:pPr>
      <w:r>
        <w:rPr>
          <w:rFonts w:ascii="Times New Roman" w:cs="Times New Roman" w:eastAsia="Times New Roman" w:hAnsi="Times New Roman"/>
          <w:sz w:val="18"/>
          <w:szCs w:val="18"/>
          <w:color w:val="auto"/>
        </w:rPr>
        <w:t>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5" w:lineRule="exact"/>
        <w:rPr>
          <w:sz w:val="20"/>
          <w:szCs w:val="20"/>
          <w:color w:val="auto"/>
        </w:rPr>
      </w:pPr>
    </w:p>
    <w:p>
      <w:pPr>
        <w:jc w:val="both"/>
        <w:ind w:left="900" w:right="20" w:hanging="383"/>
        <w:spacing w:after="0" w:line="265"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diagnostic tests or products that are similar to our Nodify XL2, Nodify CDT, GeneStrat or VeriStrat tests or utilize similar technology that is not covered by the claims of our patents or that incorporates certain technology in our Nodify XL2, Nodify CDT, GeneStrat or VeriStrat tests;</w:t>
      </w:r>
    </w:p>
    <w:p>
      <w:pPr>
        <w:spacing w:after="0" w:line="69" w:lineRule="exact"/>
        <w:rPr>
          <w:rFonts w:ascii="Times New Roman" w:cs="Times New Roman" w:eastAsia="Times New Roman" w:hAnsi="Times New Roman"/>
          <w:sz w:val="18"/>
          <w:szCs w:val="18"/>
          <w:color w:val="auto"/>
        </w:rPr>
      </w:pPr>
    </w:p>
    <w:p>
      <w:pPr>
        <w:ind w:left="900" w:right="20" w:hanging="383"/>
        <w:spacing w:after="0" w:line="281"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licensors or collaborators, might not have been the first to file patent applications covering certain of our or their inventions;</w:t>
      </w:r>
    </w:p>
    <w:p>
      <w:pPr>
        <w:spacing w:after="0" w:line="5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current or future pending patent applications will not lead to issued patents;</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 or other third parties;</w:t>
      </w:r>
    </w:p>
    <w:p>
      <w:pPr>
        <w:spacing w:after="0" w:line="54" w:lineRule="exact"/>
        <w:rPr>
          <w:rFonts w:ascii="Times New Roman" w:cs="Times New Roman" w:eastAsia="Times New Roman" w:hAnsi="Times New Roman"/>
          <w:sz w:val="18"/>
          <w:szCs w:val="18"/>
          <w:color w:val="auto"/>
        </w:rPr>
      </w:pPr>
    </w:p>
    <w:p>
      <w:pPr>
        <w:jc w:val="both"/>
        <w:ind w:left="900" w:hanging="383"/>
        <w:spacing w:after="0" w:line="265"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6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116"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 rights.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the price of our common stock will fluctuate substantially and you may not be able to sell your shares at or above the price you paid for them.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fluctuate substantially due to many factors, including:</w:t>
      </w:r>
    </w:p>
    <w:p>
      <w:pPr>
        <w:spacing w:after="0" w:line="90"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and customer mix for our Nodify XL2, Nodify CDT, GeneStrat ddPCR, GeneStrat NGS, and VeriStrat testing;</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diagnostic tests or enhancements to such tests by us or others in our industry;</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with respect to our or others’ intellectual property rights;</w:t>
      </w:r>
    </w:p>
    <w:p>
      <w:pPr>
        <w:spacing w:after="0" w:line="89"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clearance or approval or certification for, and market new and enhanced diagnostic tests on a timely basis;</w:t>
      </w:r>
    </w:p>
    <w:p>
      <w:pPr>
        <w:spacing w:after="0" w:line="1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claims or other litigation;</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results of operations or those of others in our industry;</w:t>
      </w:r>
    </w:p>
    <w:p>
      <w:pPr>
        <w:spacing w:after="0" w:line="8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exposure of our diagnostic tests or of those of others in our industry;</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in the status of our regulatory approvals or applications;</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 and</w:t>
      </w:r>
    </w:p>
    <w:p>
      <w:pPr>
        <w:spacing w:after="0" w:line="89"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including factors unrelated to our operating performance or the operating performance of our competitors.</w:t>
      </w:r>
    </w:p>
    <w:p>
      <w:pPr>
        <w:spacing w:after="0" w:line="1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 recent years, the stock markets generally have experienced extreme price and volume fluctuations that have often been unrelated or disproportionate to the operating performance of those companies. Broad market and industry factors may significantly affect the market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4" w:name="page75"/>
    <w:bookmarkEnd w:id="74"/>
    <w:p>
      <w:pPr>
        <w:jc w:val="both"/>
        <w:spacing w:after="0" w:line="281" w:lineRule="auto"/>
        <w:rPr>
          <w:sz w:val="20"/>
          <w:szCs w:val="20"/>
          <w:color w:val="auto"/>
        </w:rPr>
      </w:pPr>
      <w:r>
        <w:rPr>
          <w:rFonts w:ascii="Times New Roman" w:cs="Times New Roman" w:eastAsia="Times New Roman" w:hAnsi="Times New Roman"/>
          <w:sz w:val="18"/>
          <w:szCs w:val="18"/>
          <w:color w:val="auto"/>
        </w:rPr>
        <w:t>price of our common stock, regardless of our actual operating performance, and you may not realize any return on your investment in us and may lose some or all of your investment.</w:t>
      </w:r>
    </w:p>
    <w:p>
      <w:pPr>
        <w:spacing w:after="0" w:line="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pacing w:after="0" w:line="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develops is influenced to some extent by the research and reports that industry or financial analysts publish about us and our business. We do not control these analysts. As a small reporting company and emerging growth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4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We may take advantage of certain exemptions and relief from various public reporting requirements, including the requirement that our internal control over financial reporting be audited by our independent registered public accounting firm pursuant to Section 404 of the Sarbanes-Oxley Act. We will be exempt from any rules that could be adopted by the Public Company Accounting Oversight Board requiring mandatory audit firm rotations or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spacing w:after="0" w:line="3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Additionally, because we have taken advantage of certain reduced reporting requirements, the information contained herein may be different from the information you receive from other public companies in which you hold stock.</w:t>
      </w:r>
    </w:p>
    <w:p>
      <w:pPr>
        <w:spacing w:after="0" w:line="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IPO).</w:t>
      </w:r>
    </w:p>
    <w:p>
      <w:pPr>
        <w:spacing w:after="0" w:line="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5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5" w:name="page76"/>
    <w:bookmarkEnd w:id="75"/>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stockholders have significant voting power and may take actions that may not be in the best interests of our other stockholders.</w:t>
      </w:r>
    </w:p>
    <w:p>
      <w:pPr>
        <w:spacing w:after="0" w:line="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officers, directors and principal stockholders each holding more than 5% of our common stock collectively control approximately 67.0% of our outstanding common stock as of December 31, 2023.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as a public company requires us to incur substantial costs and requires substantial management attention.</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costs associated with corporate governance requirements that are applicable to us as a public company, including rules and regulations of the SEC, under the Sarbanes-Oxley Act, the Dodd-Frank Wall Street Reform and Consumer Protection Act of 2010, and the Securities Exchange Act of 1934, as amended (the Exchange Act), as well as the rules of NASDAQ. Compliance with these rules and regulations have significantly increased our accounting, legal and financial compliance costs and make some activities more time-consuming. These rules and regulations could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being a publicly traded company may adversely affect our business, financial condition and results of operations.</w:t>
      </w:r>
    </w:p>
    <w:p>
      <w:pPr>
        <w:spacing w:after="0" w:line="3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being a public company, 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4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14"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faulty human judgment and simple errors, omissions, or mistakes;</w:t>
      </w:r>
    </w:p>
    <w:p>
      <w:pPr>
        <w:spacing w:after="0" w:line="7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action of an individual or collusion of two or more people;</w:t>
      </w:r>
    </w:p>
    <w:p>
      <w:pPr>
        <w:spacing w:after="0" w:line="8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inappropriate management override of procedures; and</w:t>
      </w:r>
    </w:p>
    <w:p>
      <w:pPr>
        <w:spacing w:after="0" w:line="7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any enhancements to controls and procedures may still not be adequate to assure timely and accurate financial control.</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When we cease to be an “emerging growth company” under the federal securities laws, our auditors will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76" w:name="page77"/>
    <w:bookmarkEnd w:id="7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amended and restated articles of incorporation provide that we will indemnify our directors and officers to the fullest extent permitted by Section 145 of the Delaware General Corporate Law.</w:t>
      </w:r>
    </w:p>
    <w:p>
      <w:pPr>
        <w:spacing w:after="0" w:line="2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addition, as permitted by the Delaware General Corporate Law, our amended and restated articles of incorporation and our indemnification agreements that we have entered into with our directors and officers provide that:</w:t>
      </w:r>
    </w:p>
    <w:p>
      <w:pPr>
        <w:spacing w:after="0" w:line="14" w:lineRule="exact"/>
        <w:rPr>
          <w:sz w:val="20"/>
          <w:szCs w:val="20"/>
          <w:color w:val="auto"/>
        </w:rPr>
      </w:pPr>
    </w:p>
    <w:p>
      <w:pPr>
        <w:jc w:val="both"/>
        <w:ind w:left="900" w:hanging="383"/>
        <w:spacing w:after="0" w:line="260"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3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89"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14" w:lineRule="exact"/>
        <w:rPr>
          <w:rFonts w:ascii="Times New Roman" w:cs="Times New Roman" w:eastAsia="Times New Roman" w:hAnsi="Times New Roman"/>
          <w:sz w:val="18"/>
          <w:szCs w:val="18"/>
          <w:color w:val="auto"/>
        </w:rPr>
      </w:pPr>
    </w:p>
    <w:p>
      <w:pPr>
        <w:ind w:left="900" w:hanging="383"/>
        <w:spacing w:after="0" w:line="281"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articles of incorporation provisions to reduce our indemnification obligations to directors, officers, employees and agents.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1C.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relies on secure and continuous processing of information and the availability of our IT networks and IT resources, as well as critical IT vendors that support our technology, research and other data processing operations. We have integrated cybersecurity risk management into our broader risk management framework. This integration ensures that cybersecurity considerations are an integral part of our decision-making processes at every level. Our IT department continuously evaluates and addresses cybersecurity risks in alignment with our business objectives and operational needs. The Company maintains comprehensive security policies and procedures. These policies and procedures include but are not limited to security and data privacy training for staff, physical security, and electronic data security. Our electronic data security policies and procedures follow HIPAA, GDPR, SEC guidelines, and examples encompass data access controls, data privacy controls, password controls, data encryption, and incident response including an in-depth process for determining materiality. On top of the policies, our network is protected via firewall implementation and cyber-threat monitoring which includes 24/7 vulnerability scanning and 24/7 monitoring using extended detection and response for advanced intrusion detection.</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also engages with a range of external experts in evaluating and testing our risk management systems. These partnerships allow us to leverage specialized knowledge and insights, ensuring our cybersecurity strategies and processes remain at the forefront of industry best practices. Our collaboration with these third-parties includes audits, threat assessments, and consultation on security enhancements.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is also aware of the risks associated with third-party service providers. To oversee these risks, we conduct thorough security assessments of all third-party providers before engagement and maintain ongoing monitoring to ensure compliance with our cybersecurity standards.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Cybersecurity Risks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on Form 10-K, the Company has not experienced any cybersecurity threats that have materially affected or are reasonably likely to materially affect the Company. In the event of a cybersecurity incident, the Company is equipped with a well-defined incident response plan. This plan includes immediate actions to mitigate the impact and long-term strategies for remediation and prevention of future incidents. See "Risk Factors— 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Board Oversight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management is responsible for day-to-day risk management activities. Our Board of Directors, acting directly and through its committees, is responsible for the oversight of our risk management. The Nominating and Governance Committee monitors our cybersecurity risk profile, receives periodic updates from management on all matters related to cybersecurity and reports to our full Board of Directors on an annual basis or as necessary. The Nominating and Governance Committee is composed of members with diverse expertise that allows them to oversee cybersecurity risks effectively.</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involved in assessing and managing material cybersecurity risks and incidents through dialogue with our Information Security Officer. Our Information Security Officer brings expertise to this role through his in-depth knowledge and experience in technology management and cybersecurity. Our Information Security Officer is continually informed about the latest developments in cybersecurity. This is crucial for the effective prevention, detection, mitigation and remediation of cybersecurity incidents, and allows him to regularly inform our Chief Executive Officer and Chief Financial Officer of any and all aspects of our business related to cybersecurity and information technology.</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Chief Executive Officer, Chief Financial Officer and Information Security Officer regularly report to the Nominating and Governance Committee to ensure effective and efficient oversight of our cybersecurity threats and material risks, and to assist in proper risk management. Significant cybersecurity matters and strategic risk management decisions will be escalated from the Nominating and Governance Committee to the Board of Directors, ensuring that there is comprehensive oversight and the full Board of Directors can provide guidance on critical cybersecurity issues.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Throughout fiscal year 2023 our headquarters were located in Boulder, Colorado, where we leased office and laboratory space, under an operating lease agreement that expired in January 2024. In March 2022, the Company entered into a lease agreement (the CVP Lease) with Centennial Valley Properties I, LLC, a Colorado limited liability company for office and laboratory space in Louisville, Colorado. In August 2022, CVP assigned the lease to CVP I Owner LLC, within the terms allowing for the assignment of the lease. The purpose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8" w:name="page79"/>
    <w:bookmarkEnd w:id="78"/>
    <w:p>
      <w:pPr>
        <w:jc w:val="both"/>
        <w:spacing w:after="0" w:line="260" w:lineRule="auto"/>
        <w:rPr>
          <w:sz w:val="20"/>
          <w:szCs w:val="20"/>
          <w:color w:val="auto"/>
        </w:rPr>
      </w:pPr>
      <w:r>
        <w:rPr>
          <w:rFonts w:ascii="Times New Roman" w:cs="Times New Roman" w:eastAsia="Times New Roman" w:hAnsi="Times New Roman"/>
          <w:sz w:val="18"/>
          <w:szCs w:val="18"/>
          <w:color w:val="auto"/>
        </w:rPr>
        <w:t>of the CVP Lease was to replace the Company’s leased premises in Boulder, Colorado. The Company relocated its corporate headquarters to Louisville, Colorado in December 2023. We also lease office and laboratory space located in De Soto, Kansas, under an operating lease agreement that expires in October 2026. A portion of our employees are located outside of Colorado and Kansas, and others work from home. Our properties are suitable for our current business operations.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6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80" w:type="dxa"/>
            <w:vAlign w:val="bottom"/>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Use</w:t>
            </w:r>
          </w:p>
        </w:tc>
        <w:tc>
          <w:tcPr>
            <w:tcW w:w="140" w:type="dxa"/>
            <w:vAlign w:val="bottom"/>
          </w:tcPr>
          <w:p>
            <w:pPr>
              <w:spacing w:after="0"/>
              <w:rPr>
                <w:sz w:val="21"/>
                <w:szCs w:val="21"/>
                <w:color w:val="auto"/>
              </w:rPr>
            </w:pPr>
          </w:p>
        </w:tc>
        <w:tc>
          <w:tcPr>
            <w:tcW w:w="1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Square Feet</w:t>
            </w:r>
          </w:p>
        </w:tc>
        <w:tc>
          <w:tcPr>
            <w:tcW w:w="16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4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Louisville, Colorado</w:t>
            </w: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Office and laboratory</w:t>
            </w:r>
          </w:p>
        </w:tc>
        <w:tc>
          <w:tcPr>
            <w:tcW w:w="19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79,980</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31, 2035</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 Soto, Kansas</w:t>
            </w:r>
          </w:p>
        </w:tc>
        <w:tc>
          <w:tcPr>
            <w:tcW w:w="180" w:type="dxa"/>
            <w:vAlign w:val="bottom"/>
          </w:tcPr>
          <w:p>
            <w:pPr>
              <w:spacing w:after="0"/>
              <w:rPr>
                <w:sz w:val="20"/>
                <w:szCs w:val="20"/>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Office and laboratory</w:t>
            </w:r>
          </w:p>
        </w:tc>
        <w:tc>
          <w:tcPr>
            <w:tcW w:w="1920" w:type="dxa"/>
            <w:vAlign w:val="bottom"/>
          </w:tcPr>
          <w:p>
            <w:pPr>
              <w:spacing w:after="0"/>
              <w:rPr>
                <w:sz w:val="20"/>
                <w:szCs w:val="20"/>
                <w:color w:val="auto"/>
              </w:rPr>
            </w:pPr>
          </w:p>
        </w:tc>
        <w:tc>
          <w:tcPr>
            <w:tcW w:w="2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9,066</w:t>
            </w:r>
          </w:p>
        </w:tc>
        <w:tc>
          <w:tcPr>
            <w:tcW w:w="1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31, 2026</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79" w:name="page80"/>
    <w:bookmarkEnd w:id="79"/>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Our common stock is traded on The NASDAQ Global Market under the symbol “BDSX”. The high and low closing prices for our common stock on The NASDAQ Global Market from January 1, 2023 to December 31, 2023 were $2.50 and $1.04,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our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23, 2024, there were approximately 239 holders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or paid dividends on our common stock and do not expect to pay dividends on our common stock for the foreseeable future. We anticipate that all of our liquidity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term loan restrict our ability to pay dividends on our common stock, and we may also enter into credit agreements or other borrowing arrangements in the future that will further restrict our ability to declare or pay dividends on our common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and Use of Proceeds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 2023, the Company entered into subscription agreements (the August 2023 Subscription Agreements) with all of the members of our Board of Directors, all Section 16 officers, and additional members of the Biodesix leadership team (together, the Investors) for the issuance and sale by the Company of an aggregate of 16,975,298 shares of the Company’s common stock at a purchase price (determined in accordance with NASDAQ rules relating to the “Minimum Value” of the Company’s common stock) of $1.62 per share for an aggregate purchase price of approximately $27.5 million. The Subscription Agreements did not include any registration rights.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used the proceeds for the commercial expansion of sales, research and development, and for general corporate purposes (see – Item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and Supplementary Data").</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21, 2022, the Company entered into subscription agreements (the November 2022 Subscription Agreements) with certain members of management, including the Company’s Chief Executive Officer and Chief Financial Officer, for the issuance and sale by the Company of an aggregate of 235,056 shares of the Company’s common stock at a purchase price (determined in accordance with NASDAQ rules relating to the “Minimum Value” of the Company’s common stock) of $1.15 per share for an aggregate purchase price of approximately $270,000. The November 2022 Subscription Agreements did not include any registration rights and included lock up restrictions in effect during the period ending 90 days subsequent to November 21, 2022.</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used the proceeds to, among other things and in conjunction with a public offering, fund the repayment of the promissory note with Streeterville Capital, LLC (Streeterville), the Loan and Security Agreement with Silicon Valley Bank (SVB), and for general corporate purposes (see – Item 8. "Financial Statements and Supplementary Data").</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7, 2022, the Company entered into subscription agreements (the April 2022 Subscription Agreements) with a consortium of investors (the April Investors), including three members of our Board of Directors and other existing shareholders of the Company, for the issuance and sale by the Company of an aggregate of 6,508,376 shares of the Company’s common stock at a purchase price (determined in accordance with NASDAQ rules relating to the “Minimum Value” of the Company’s common stock) of $1.79 per share, which is equal to the closing price of the Company’s common stock on April 7, 2022, generating proceeds of $11.7 million. The three members of our Board of Directors acquired an aggregate of 3,631,284 shares pursuant to the form of the April 2022 Subscription Agreements that did not include any registration rights as they are exempt from registration pursuant to Section 4(a)(2) of the Securities Act of 1933, as amended (the Securities Act), and Rule 506 promulgated thereunder. The remaining 2,877,092 shares were acquired by others pursuant to the form of the April 2022 Subscription Agreements whereby we agreed to file, subject to certain exceptions, a shelf registration statement with respect to resales of such shares with the SEC no later than 60 days from April 7, 2022, which the Company filed on June 6, 2022.</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used the proceeds to, among other things, fund the partial repayment of the 2021 Term Loan and for general corporate purposes (see – Item 8. "Financial Statements and Supplementary Data").</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Biodesix, Inc. is referred to throughout this Annual Report on Form 10-K for the period ended December 31, 2023 (Form 10-K) as “we”, “us”, “our” or the “Company.”</w:t>
      </w:r>
    </w:p>
    <w:p>
      <w:pPr>
        <w:spacing w:after="0" w:line="5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together with our audited financial statements and related notes and other financial information included elsewhere in this Annual Report on Form 10-K.</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financial information, this discussion and other parts of this report contain forward-looking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under Part I, Item 1A above. Forward-looking statements are not guarantees of future performance and are subject to risks and uncertainties that could cause actual results and events to differ from those anticipated.</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spacing w:after="0" w:line="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is provided to supplement the audited financial statements and the related notes in Part II - Item 8 of this Annual Report on Form 10-K. We intend for this discussion to provide you with information that will assist you in understanding our financial statements, the changes in key items in those financial statements from year to year and the primary factors that accounted for those changes. Data for the years ended December 31, 2023 and 2022 has been derived from our audited financial statements included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leading diagnostic solutions company with a focus in lung disease. By combining a multi-omic approach with a holistic view of the patient’s disease state, we believe our testing solutions provide physicians with greater insights to help personalize their patient’s care and meaningfully improve disease detection, evaluation, and treatment. Our unique approach to precision medicine provides timely and actionable clinical information, which we believe helps improve overall patient outcomes and lowers the overall healthcare cost by reducing the use of ineffective and unnecessary treatments and procedures. In addition to our diagnostic tests, we provide biopharmaceutical companies with services that include diagnostic research, clinical trial testing, and the discovery, development, and commercialization of companion diagnostics. We also recognize revenue from other services, including amounts derived from licensing our technologies.</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core belief is that no single technology will answer all clinical questions that we encounter. Therefore, we employ multiple technologies, including genomics, transcriptomics, proteomics, radiomics, and AI enabled informatics, to discover innovative diagnostic tests for potential clinical use. Our multi-omic approach is designed to enable us to discover diagnostic tests that answer critical clinical questions faced by physicians, researchers, and biopharmaceutical companies.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continuously incorporate new market insights and patient data to enhance our platform through a data-driven learning loop. We regularly engage with our customers, key opinion leaders, and scientific experts to stay ahead of the rapidly evolving diagnostic treatment landscape to identify additional clinical unmet needs where a diagnostic test could help improve patient care. Additionally, we incorporate clinical and molecular profiling data from our commercial clinical testing, research studies, clinical trials, and biopharmaceutical customers or other collaborative partnerships, to continue to advance our platform. We have a variety of samples with associated data in our biobank, including tumor profiles and immune profiles, which are used for both internal and external research and development initiatives.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commercialized five diagnostic tests for our lung diagnostic business, each of which have Medicare coverage, which are currently available for use by physicians. Our Nodify XL2 and Nodify CDT tests, marketed as Nodify Lung Nodule Risk Assessment testing, assess the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Lung Risk Assessment testing has resulted in a change in the calculated risk of malignancy in 80-85% of the cases. We believe we are the only company to offer two commercial blood-based tests to help physicians reclassify risk of malignancy in patients with suspicious lung nodules. Our GeneStrat ddPCR, GeneStrat NGS, and VeriStrat tests, marketed as part of our IQLung testing strategy, are used following diagnosis of lung cancer to detect the presence of mutations in the tumor and the state of the patient’s immune system to help guide treatment decisions. The GeneStrat targeted tumor genomic profiling test and the VeriStrat immune profiling test have an established average turnaround time of two business days. The GeneStrat NGS test is our blood-based NGS test and has an established average turnaround time of three business days. The 52-gene panel includes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1" w:name="page82"/>
    <w:bookmarkEnd w:id="81"/>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guideline recommended mutations to help physicians treating advanced-stage lung cancer patients identify all four major mutation classes and genes, such as EGFR, ALK, KRAS, MET, NTRK, ERBB2, and others, and delivers them in an expedited timeframe so patient treatment can begin sooner.</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the five diagnostic tests currently on the market, we perform more than 30 assays for research use as part of our laboratory services that have been used by over 65 biopharmaceutical companies and academic partners. All of our diagnostic and services testing is performed at one of our two accredited, high-complexity clinical laboratories in Louisville, Colorado and De Soto, Kansas.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inception, we have performed over 600,000 clinical diagnostic tests, and continue to generate a large and growing body of clinical evidence consisting of over 300 clinical and scientific peer-reviewed publications, presentations, and abstracts. Through ongoing study of each of our tests, we continue to grow our depth of understanding of disease biology and the broad utility of each of our tests. We believe we are poised for rapid growth by leveraging our scientific development and laboratory operations expertise along with our commercial infrastructure which includes sales, marketing, reimbursement, and regulatory affairs.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United States, we market our tests to clinical customers through our targeted sales organization, which includes sales representatives that are engaged in sales efforts and promotional activities primarily to pulmonologists, oncologists, cancer centers and nodule clinics. We market our tests and services to biopharmaceutical companies globally through our targeted business development team, which promotes the broad utility of our tests and testing capabilities throughout drug development and commercialization which is of value to pharmaceutical companies and their drug-development process.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response to the COVID-19 pandemic, through our partnership with Bio-Rad, we commercialized the Biodesix WorkSafe testing program, which included three commercialized tests. These tests under the Biodesix WorkSafe testing program were utilized by healthcare providers, including hospitals and nursing homes, and were also offered to businesses and educational systems. We announced multiple partnerships for COVID-19 testing and maintained an agreement with the State of Colorado to be one of the diagnostic companies to support widespread COVID-19 testing for the State, which expired on August 31, 2022. Our scientific diagnostic expertise, technologies, and existing commercial infrastructure enabled us to rapidly commercialize two FDA EUA authorized tests, a part of our customizable program. Both diagnostic tests are owned and were developed by Bio-Rad and Bio-Rad has granted us permission to utilize both tests for commercial diagnostic services. The Bio-Rad SARS-CoV-2 ddPCR test was FDA EUA authorized on May 1, 2020, authorizing performance of the test in laboratories certified under CLIA to perform high complexity tests. The second test is the Platelia SARS-CoV-2 Total Ab test, which is an antibody test intended for detecting a B-cell immune response to SARS-CoV-2, indicating recent or prior infection. The Platelia SARS-CoV-2 Total Ab test was FDA EUA authorized on April 29, 2020. Beginning in second quarter 2021, we began partnering with GenScript Biotech Corporation to commercialize the blood-based cPass SARS-CoV-2 Neutralizing Antibody testing as a service. The test was the first surrogate neutralizing antibody test with FDA EUA and uses ELISA technology to qualitatively detect circulating neutralizing antibodies to the RBD in the spike protein of SARS-CoV-2 that are produced in response to a previous SARS-CoV-2 infection.</w:t>
      </w:r>
    </w:p>
    <w:p>
      <w:pPr>
        <w:spacing w:after="0" w:line="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Medical products that are granted an EUA are only permitted to commercialize their products under the terms and conditions provided in the authorization. The FDA may revoke an EUA where it is determined that the underlying health emergency no longer exists or warrants such authorization, if the conditions for the issuance of the EUA are no longer met, or if other circumstances make revocation appropriate to protect the public health or safety.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our operating performance and results of operations, including:</w:t>
      </w:r>
    </w:p>
    <w:p>
      <w:pPr>
        <w:spacing w:after="0" w:line="113" w:lineRule="exact"/>
        <w:rPr>
          <w:sz w:val="20"/>
          <w:szCs w:val="20"/>
          <w:color w:val="auto"/>
        </w:rPr>
      </w:pPr>
    </w:p>
    <w:p>
      <w:pPr>
        <w:jc w:val="both"/>
        <w:ind w:left="900" w:hanging="383"/>
        <w:spacing w:after="0" w:line="254"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Testing volume and customer mix. </w:t>
      </w:r>
      <w:r>
        <w:rPr>
          <w:rFonts w:ascii="Times New Roman" w:cs="Times New Roman" w:eastAsia="Times New Roman" w:hAnsi="Times New Roman"/>
          <w:sz w:val="18"/>
          <w:szCs w:val="18"/>
          <w:color w:val="auto"/>
        </w:rPr>
        <w:t>Our revenues and costs are affected by the volume of testing and mix of customers from period to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evaluate both the volume of our commercial tests, or the number of tests that we perform for patients on behalf of clinicians, as well as tests for biopharmaceutical companies. Our performance depends on our ability to retain and increase adoption with existing customers, as well as attract new customers. We believe that the test volume we receive from clinicians and biopharmaceutical companies are indicators of growth in each of these customer verticals. Customer mix for our tests has the potential to significantly impact our results of operations, as the average selling price for biopharmaceutical sample testing is currently significantly greater than our average selling price for clinical tests since we are not a contracted provider for, or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78" w:lineRule="exact"/>
        <w:rPr>
          <w:rFonts w:ascii="Times New Roman" w:cs="Times New Roman" w:eastAsia="Times New Roman" w:hAnsi="Times New Roman"/>
          <w:sz w:val="18"/>
          <w:szCs w:val="18"/>
          <w:color w:val="auto"/>
        </w:rPr>
      </w:pPr>
    </w:p>
    <w:p>
      <w:pPr>
        <w:jc w:val="both"/>
        <w:ind w:left="900" w:hanging="383"/>
        <w:spacing w:after="0" w:line="26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Reimbursement for clinical diagnostic testing. </w:t>
      </w:r>
      <w:r>
        <w:rPr>
          <w:rFonts w:ascii="Times New Roman" w:cs="Times New Roman" w:eastAsia="Times New Roman" w:hAnsi="Times New Roman"/>
          <w:sz w:val="18"/>
          <w:szCs w:val="18"/>
          <w:color w:val="auto"/>
        </w:rPr>
        <w:t>Our revenue depends on achieving broad coverage and reimbursement for our tests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third-party payers, including both commercial and government payers. On June 7, 2022, we announced that WPS Government Health Administrators, the Medicare administrative contractor with jurisdiction for Biodesix’s De Soto, Kansas laboratory, has provided coverage for the Nodify CDT lung nodule test. All five Biodesix blood-based lung diagnostic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2" w:name="page83"/>
    <w:bookmarkEnd w:id="82"/>
    <w:p>
      <w:pPr>
        <w:jc w:val="both"/>
        <w:ind w:left="383"/>
        <w:spacing w:after="0" w:line="260" w:lineRule="auto"/>
        <w:rPr>
          <w:sz w:val="20"/>
          <w:szCs w:val="20"/>
          <w:color w:val="auto"/>
        </w:rPr>
      </w:pPr>
      <w:r>
        <w:rPr>
          <w:rFonts w:ascii="Times New Roman" w:cs="Times New Roman" w:eastAsia="Times New Roman" w:hAnsi="Times New Roman"/>
          <w:sz w:val="18"/>
          <w:szCs w:val="18"/>
          <w:color w:val="auto"/>
        </w:rPr>
        <w:t>tests within the Nodify Lung Nodule Risk Assessment testing strategy and IQLung strategy for lung cancer patients are now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74" w:lineRule="exact"/>
        <w:rPr>
          <w:sz w:val="20"/>
          <w:szCs w:val="20"/>
          <w:color w:val="auto"/>
        </w:rPr>
      </w:pPr>
    </w:p>
    <w:p>
      <w:pPr>
        <w:jc w:val="both"/>
        <w:ind w:left="383"/>
        <w:spacing w:after="0" w:line="271" w:lineRule="auto"/>
        <w:rPr>
          <w:sz w:val="20"/>
          <w:szCs w:val="20"/>
          <w:color w:val="auto"/>
        </w:rPr>
      </w:pPr>
      <w:r>
        <w:rPr>
          <w:rFonts w:ascii="Times New Roman" w:cs="Times New Roman" w:eastAsia="Times New Roman" w:hAnsi="Times New Roman"/>
          <w:sz w:val="17"/>
          <w:szCs w:val="17"/>
          <w:color w:val="auto"/>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68" w:lineRule="exact"/>
        <w:rPr>
          <w:sz w:val="20"/>
          <w:szCs w:val="20"/>
          <w:color w:val="auto"/>
        </w:rPr>
      </w:pPr>
    </w:p>
    <w:p>
      <w:pPr>
        <w:jc w:val="both"/>
        <w:ind w:left="383"/>
        <w:spacing w:after="0" w:line="256" w:lineRule="auto"/>
        <w:rPr>
          <w:sz w:val="20"/>
          <w:szCs w:val="20"/>
          <w:color w:val="auto"/>
        </w:rPr>
      </w:pPr>
      <w:r>
        <w:rPr>
          <w:rFonts w:ascii="Times New Roman" w:cs="Times New Roman" w:eastAsia="Times New Roman" w:hAnsi="Times New Roman"/>
          <w:sz w:val="18"/>
          <w:szCs w:val="18"/>
          <w:color w:val="auto"/>
        </w:rPr>
        <w:t>On October, 17, 2022, the Company announced that the U.S. Department of Veterans Affairs (the VA), the largest integrated health care system in the United States, awarded a Federal Supply Schedule Contract for the Company’s entire portfolio of lung cancer diagnostic tests. The VA provides care at 1,298 health care facilities, including 171 VA Medical Centers and 1,113 outpatient sites of care of varying complexity to over 9 million veterans enrolled in the VA health care program. All of our existing lung diagnostic tests will be payable when performed and partnering with the VA represents a large opportunity for Biodesix to help improve care for our Veterans by integrating our five diagnostic products and testing strategies into our country’s largest health system.</w:t>
      </w:r>
    </w:p>
    <w:p>
      <w:pPr>
        <w:spacing w:after="0" w:line="78" w:lineRule="exact"/>
        <w:rPr>
          <w:sz w:val="20"/>
          <w:szCs w:val="20"/>
          <w:color w:val="auto"/>
        </w:rPr>
      </w:pPr>
    </w:p>
    <w:p>
      <w:pPr>
        <w:jc w:val="both"/>
        <w:ind w:left="383"/>
        <w:spacing w:after="0" w:line="260" w:lineRule="auto"/>
        <w:rPr>
          <w:sz w:val="20"/>
          <w:szCs w:val="20"/>
          <w:color w:val="auto"/>
        </w:rPr>
      </w:pPr>
      <w:r>
        <w:rPr>
          <w:rFonts w:ascii="Times New Roman" w:cs="Times New Roman" w:eastAsia="Times New Roman" w:hAnsi="Times New Roman"/>
          <w:sz w:val="18"/>
          <w:szCs w:val="18"/>
          <w:color w:val="auto"/>
        </w:rPr>
        <w:t>On December 19, 2022, the Company announced the signing of our first four private payer commercial policies covering our Nodify XL2 test. These contracts included three Blue Cross Blue Shield plans in North Carolina, South Carolina, and Kansas City, and a contract with Capital District Physician’s Health Plan in New York. In total these new private pay contracts add approximately 4.5 million covered lives, and are in geographic regions of the country where the incidence of lung cancer is high.</w:t>
      </w:r>
    </w:p>
    <w:p>
      <w:pPr>
        <w:spacing w:after="0" w:line="74" w:lineRule="exact"/>
        <w:rPr>
          <w:sz w:val="20"/>
          <w:szCs w:val="20"/>
          <w:color w:val="auto"/>
        </w:rPr>
      </w:pPr>
    </w:p>
    <w:p>
      <w:pPr>
        <w:jc w:val="both"/>
        <w:ind w:left="383"/>
        <w:spacing w:after="0" w:line="260" w:lineRule="auto"/>
        <w:rPr>
          <w:sz w:val="20"/>
          <w:szCs w:val="20"/>
          <w:color w:val="auto"/>
        </w:rPr>
      </w:pPr>
      <w:r>
        <w:rPr>
          <w:rFonts w:ascii="Times New Roman" w:cs="Times New Roman" w:eastAsia="Times New Roman" w:hAnsi="Times New Roman"/>
          <w:sz w:val="18"/>
          <w:szCs w:val="18"/>
          <w:color w:val="auto"/>
        </w:rPr>
        <w:t>On July 6, 2023, the Company announced that the Centers for Medicare &amp; Medicaid Services (CMS) has designated the Nodify CDT Test as an Advanced Diagnostic Laboratory Test (ADLT) effective June 30, 2023. Obtaining ADLT status is a recognition that the Nodify CDT test meets the stringent criteria established under the Protecting Access to Medicare Act of 2014. ADLT status is reserved for innovative tests with Medicare coverage that provide new clinical diagnostic information that cannot be obtained from any other test or combination of tests.</w:t>
      </w:r>
    </w:p>
    <w:p>
      <w:pPr>
        <w:spacing w:after="0" w:line="70" w:lineRule="exact"/>
        <w:rPr>
          <w:sz w:val="20"/>
          <w:szCs w:val="20"/>
          <w:color w:val="auto"/>
        </w:rPr>
      </w:pPr>
    </w:p>
    <w:p>
      <w:pPr>
        <w:jc w:val="both"/>
        <w:ind w:left="383" w:hanging="383"/>
        <w:spacing w:after="0" w:line="253" w:lineRule="auto"/>
        <w:tabs>
          <w:tab w:leader="none" w:pos="3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Investment in clinical studies and product innovation to support growth. </w:t>
      </w:r>
      <w:r>
        <w:rPr>
          <w:rFonts w:ascii="Times New Roman" w:cs="Times New Roman" w:eastAsia="Times New Roman" w:hAnsi="Times New Roman"/>
          <w:sz w:val="18"/>
          <w:szCs w:val="18"/>
          <w:color w:val="auto"/>
        </w:rPr>
        <w:t>A significant aspect of our business is our investment in research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development, including the development of new products and our investments in clinical utility studies. We have invested heavily in clinical studies for our on market and pipeline products. Our studies focus primarily on the clinical utility of our tests including the ongoing INSIGHT study to continue our clinical understanding of the predictive and prognostic value of the VeriStrat test. On June 27, 2023, we completed and closed enrollment of 5,000 patients in the INSIGHT study with non-small cell lung cancer. The ALTITUDE study, launched during the fourth quarter 2020, seeks to further demonstrate the efficacy of the Nodify XL2 and Nodify CDT tests. A secondary focus of our studies is understanding the economic impact of our tests in assisting with decisions related to patient management and the potential impact of our tests in reducing overall healthcare costs. On July 12, 2023, we announced the prospective, real-world ORACLE study (An Observational Registry Study to Evaluate the Performance of the Nodify XL2 Test) achieved the primary endpoint of a statistically significant change in the proportion of benign lung nodules managed by Nodify XL2 experiencing invasive procedures. The ORACLE study showed patients with benign nodules managed with the Nodify XL2 test were 74% less likely to undergo an unnecessary invasive procedure compared to the control group. Additionally, the proportion of patients sent to CT surveillance with malignant nodules did not differ between the Nodify XL2 group and the control group.</w:t>
      </w:r>
    </w:p>
    <w:p>
      <w:pPr>
        <w:spacing w:after="0" w:line="80" w:lineRule="exact"/>
        <w:rPr>
          <w:rFonts w:ascii="Times New Roman" w:cs="Times New Roman" w:eastAsia="Times New Roman" w:hAnsi="Times New Roman"/>
          <w:sz w:val="18"/>
          <w:szCs w:val="18"/>
          <w:color w:val="auto"/>
        </w:rPr>
      </w:pPr>
    </w:p>
    <w:p>
      <w:pPr>
        <w:jc w:val="both"/>
        <w:ind w:left="383"/>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research has resulted in approximately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We believe these studies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74" w:lineRule="exact"/>
        <w:rPr>
          <w:rFonts w:ascii="Times New Roman" w:cs="Times New Roman" w:eastAsia="Times New Roman" w:hAnsi="Times New Roman"/>
          <w:sz w:val="18"/>
          <w:szCs w:val="18"/>
          <w:color w:val="auto"/>
        </w:rPr>
      </w:pPr>
    </w:p>
    <w:p>
      <w:pPr>
        <w:ind w:left="383" w:right="20" w:hanging="383"/>
        <w:spacing w:after="0" w:line="286" w:lineRule="auto"/>
        <w:tabs>
          <w:tab w:leader="none" w:pos="3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Ability to attract new biopharmaceutical customers and maintain and expand relationships with existing customers. </w:t>
      </w:r>
      <w:r>
        <w:rPr>
          <w:rFonts w:ascii="Times New Roman" w:cs="Times New Roman" w:eastAsia="Times New Roman" w:hAnsi="Times New Roman"/>
          <w:sz w:val="18"/>
          <w:szCs w:val="18"/>
          <w:color w:val="auto"/>
        </w:rPr>
        <w:t>Our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team promotes the broad utility of our products for biopharmaceutical companies in the United</w:t>
      </w:r>
    </w:p>
    <w:p>
      <w:pPr>
        <w:spacing w:after="0" w:line="158"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2" w:right="339" w:bottom="1440" w:gutter="0" w:footer="0" w:header="0"/>
        </w:sectPr>
      </w:pPr>
    </w:p>
    <w:bookmarkStart w:id="83" w:name="page84"/>
    <w:bookmarkEnd w:id="83"/>
    <w:p>
      <w:pPr>
        <w:jc w:val="both"/>
        <w:ind w:left="900"/>
        <w:spacing w:after="0" w:line="255" w:lineRule="auto"/>
        <w:rPr>
          <w:sz w:val="20"/>
          <w:szCs w:val="20"/>
          <w:color w:val="auto"/>
        </w:rPr>
      </w:pPr>
      <w:r>
        <w:rPr>
          <w:rFonts w:ascii="Times New Roman" w:cs="Times New Roman" w:eastAsia="Times New Roman" w:hAnsi="Times New Roman"/>
          <w:sz w:val="18"/>
          <w:szCs w:val="18"/>
          <w:color w:val="auto"/>
        </w:rPr>
        <w:t>States and internationally. Our revenue, business opportunities and growth depend in part on our ability to attract new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79" w:lineRule="exact"/>
        <w:rPr>
          <w:sz w:val="20"/>
          <w:szCs w:val="20"/>
          <w:color w:val="auto"/>
        </w:rPr>
      </w:pPr>
    </w:p>
    <w:p>
      <w:pPr>
        <w:jc w:val="both"/>
        <w:ind w:left="900"/>
        <w:spacing w:after="0" w:line="256" w:lineRule="auto"/>
        <w:rPr>
          <w:sz w:val="20"/>
          <w:szCs w:val="20"/>
          <w:color w:val="auto"/>
        </w:rPr>
      </w:pPr>
      <w:r>
        <w:rPr>
          <w:rFonts w:ascii="Times New Roman" w:cs="Times New Roman" w:eastAsia="Times New Roman" w:hAnsi="Times New Roman"/>
          <w:sz w:val="18"/>
          <w:szCs w:val="18"/>
          <w:color w:val="auto"/>
        </w:rPr>
        <w:t>On June 30, 2022, the Company announced an arrangement with Royal Philips, a global leader in health care technology, in which our Nodify Lung blood-based lung nodule risk assessment testing will be incorporated into Philips Lung Cancer Orchestrator lung cancer patient management system. The incorporation of proteomics data – along with the radiologic and patient history data currently used to determine treatment decisions – can help create diagnostic efficiency for cancer care centers in the management of a growing number of lung nodule cases, via the contextual launch of Biodesix Nodify Lung application within Lung Cancer Orchestrator. Philips Lung Cancer Orchestrator solution is designed to enable health systems to operationalize lung cancer screening and lung nodule management programs at scale.</w:t>
      </w:r>
    </w:p>
    <w:p>
      <w:pPr>
        <w:spacing w:after="0" w:line="74" w:lineRule="exact"/>
        <w:rPr>
          <w:sz w:val="20"/>
          <w:szCs w:val="20"/>
          <w:color w:val="auto"/>
        </w:rPr>
      </w:pPr>
    </w:p>
    <w:p>
      <w:pPr>
        <w:jc w:val="both"/>
        <w:ind w:left="900" w:hanging="383"/>
        <w:spacing w:after="0" w:line="259"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Motivating and expanding our field sales force and customer support team. </w:t>
      </w:r>
      <w:r>
        <w:rPr>
          <w:rFonts w:ascii="Times New Roman" w:cs="Times New Roman" w:eastAsia="Times New Roman" w:hAnsi="Times New Roman"/>
          <w:sz w:val="18"/>
          <w:szCs w:val="18"/>
          <w:color w:val="auto"/>
        </w:rPr>
        <w:t>Our field sales force is the primary point of contact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setting. These representatives of the Company must cover expansive geographic regions which limits their time for interaction and education of our products in the clinical setting. We plan to continue investing in the field 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each of these areas present significant opportunities for us, they also pose significant risks and challenges that we must address. See Part I, Item 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 for more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COVID-19 pandemic disrupted, and may continue to disrupt, our lung diagnostic testing operations. To protect the health and well-being of our workforce, partners, vendors and customers, we provide voluntary COVID-19 testing for employees working on-site, implemented social distance and building entry policies at work, restricted travel and facility visits, and followed the States of Colorado and Kansas’ public health orders and the guidance from the Centers for Disease Control and Prevention (CDC). Employees who can perform their duties remotely have the option to work from home. Our sales, marketing and business development efforts may be constrained by our operational response to future COVID-19 variant outbreaks. We will continue to adjust our operational norms, as needed, including complying with government directives and guidelines as they are modified and supplemented.</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COVID-19 pandemic and the surge associated with multiple variants have negatively affected our lung diagnostic testing-related revenue and our clinical studies. Beginning in the third quarter 2020, the Company’s COVID-19 testing services began to experience rapid growth with a peak in the first quarter 2021; however, subsequent to this peak, we experienced a rapid decline in COVID-19 testing revenue primarily as a result of a few significant contracts that expired as well as the ongoing increase in COVID-19 vaccination rates across the U.S. and the adoption and availability of at-home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See Part I, Item 1A. “Risk Factors” for a description of how the COVID-19 pandemic may adversely affect our business, financial condition and results of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2023 Financial and Operational Highlights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were significant developments affecting our business, capital structure and liquidity during the year ended December 31, 2023 as compared to the same period in 2022 unless otherwise noted:</w:t>
      </w:r>
    </w:p>
    <w:p>
      <w:pPr>
        <w:spacing w:after="0" w:line="55" w:lineRule="exact"/>
        <w:rPr>
          <w:sz w:val="20"/>
          <w:szCs w:val="20"/>
          <w:color w:val="auto"/>
        </w:rPr>
      </w:pPr>
    </w:p>
    <w:p>
      <w:pPr>
        <w:jc w:val="both"/>
        <w:ind w:left="620" w:hanging="343"/>
        <w:spacing w:after="0" w:line="265" w:lineRule="auto"/>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$14.7 million and $49.1 million for the fourth quarter and fiscal 2023, respectively, an increase of 52% and 49% over the respective prior year comparable periods excluding COVID testing revenues, and an increase of 53% and 28% over the respective prior year comparable periods including COVID testing revenues;</w:t>
      </w:r>
    </w:p>
    <w:p>
      <w:pPr>
        <w:spacing w:after="0" w:line="67" w:lineRule="exact"/>
        <w:rPr>
          <w:sz w:val="20"/>
          <w:szCs w:val="20"/>
          <w:color w:val="auto"/>
        </w:rPr>
      </w:pPr>
    </w:p>
    <w:p>
      <w:pPr>
        <w:jc w:val="both"/>
        <w:ind w:left="1540" w:hanging="514"/>
        <w:spacing w:after="0" w:line="267"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Lung Diagnostic revenue of $12.8 million and $45.1 million for the fourth quarter and fiscal 2023, respectively, an increase of 55% and 54% over the respective prior year comparable periods, primarily driven by the continued adoption of Nodify Lung® Nodule Risk Assessment tests;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4" w:name="page85"/>
    <w:bookmarkEnd w:id="84"/>
    <w:p>
      <w:pPr>
        <w:jc w:val="both"/>
        <w:ind w:left="1540" w:hanging="514"/>
        <w:spacing w:after="0" w:line="267"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Biopharma Services and other revenue of $1.9 million and $3.9 million for the fourth quarter and fiscal 2023, respectively, an increase of 38% and 6% over the respective prior year comparable periods, a result of both delivering against our expanding book of business and securing new agreements;</w:t>
      </w:r>
    </w:p>
    <w:p>
      <w:pPr>
        <w:spacing w:after="0" w:line="66" w:lineRule="exact"/>
        <w:rPr>
          <w:rFonts w:ascii="Times New Roman" w:cs="Times New Roman" w:eastAsia="Times New Roman" w:hAnsi="Times New Roman"/>
          <w:sz w:val="18"/>
          <w:szCs w:val="18"/>
          <w:color w:val="auto"/>
        </w:rPr>
      </w:pPr>
    </w:p>
    <w:p>
      <w:pPr>
        <w:jc w:val="both"/>
        <w:ind w:left="620" w:hanging="343"/>
        <w:spacing w:after="0" w:line="260" w:lineRule="auto"/>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$11.3 million or 77% and $36.1 million or 73% for the fourth quarter and fiscal 2023, respectively, as a percentage of revenue compared to 66% and 63% in the prior year comparable periods, primarily driven by growth in Lung Diagnostic testing and optimization of testing workflows that resulted in improvements in costs per test, the ongoing recovery of our Biopharma Services business, and the commercial discontinuation of lower-margin COVID-19 testing;</w:t>
      </w:r>
    </w:p>
    <w:p>
      <w:pPr>
        <w:spacing w:after="0" w:line="73" w:lineRule="exact"/>
        <w:rPr>
          <w:rFonts w:ascii="Times New Roman" w:cs="Times New Roman" w:eastAsia="Times New Roman" w:hAnsi="Times New Roman"/>
          <w:sz w:val="18"/>
          <w:szCs w:val="18"/>
          <w:color w:val="auto"/>
        </w:rPr>
      </w:pPr>
    </w:p>
    <w:p>
      <w:pPr>
        <w:ind w:left="620" w:hanging="343"/>
        <w:spacing w:after="0" w:line="281" w:lineRule="auto"/>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(excluding direct costs and expenses) of $18.2 million and $77.4 million for the fourth quarter and fiscal 2023, a decrease of 10% and increase of 4% over the respective prior year comparable periods;</w:t>
      </w:r>
    </w:p>
    <w:p>
      <w:pPr>
        <w:spacing w:after="0" w:line="52" w:lineRule="exact"/>
        <w:rPr>
          <w:rFonts w:ascii="Times New Roman" w:cs="Times New Roman" w:eastAsia="Times New Roman" w:hAnsi="Times New Roman"/>
          <w:sz w:val="18"/>
          <w:szCs w:val="18"/>
          <w:color w:val="auto"/>
        </w:rPr>
      </w:pPr>
    </w:p>
    <w:p>
      <w:pPr>
        <w:jc w:val="both"/>
        <w:ind w:left="1540" w:hanging="514"/>
        <w:spacing w:after="0" w:line="261"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Decrease in fourth quarter 2023 is primarily attributable to a decrease in research and development costs, partially offset by increased sales and marketing costs to support Lung Diagnostic sales growth, enhance product awareness and drive adoption, while the full year increase in operating expenses was driven by an increase in sales and marketing costs, partially offset by a reduction in research and development costs;</w:t>
      </w:r>
    </w:p>
    <w:p>
      <w:pPr>
        <w:spacing w:after="0" w:line="70" w:lineRule="exact"/>
        <w:rPr>
          <w:rFonts w:ascii="Times New Roman" w:cs="Times New Roman" w:eastAsia="Times New Roman" w:hAnsi="Times New Roman"/>
          <w:sz w:val="18"/>
          <w:szCs w:val="18"/>
          <w:color w:val="auto"/>
        </w:rPr>
      </w:pPr>
    </w:p>
    <w:p>
      <w:pPr>
        <w:ind w:left="1540" w:hanging="514"/>
        <w:spacing w:after="0" w:line="283"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Includes non-cash stock compensation expense of $1.1 million and $5.4 million during fourth quarter and fiscal 2023, respectively, a decrease of 48% and 10% over the respective prior year comparable periods;</w:t>
      </w:r>
    </w:p>
    <w:p>
      <w:pPr>
        <w:spacing w:after="0" w:line="53" w:lineRule="exact"/>
        <w:rPr>
          <w:rFonts w:ascii="Times New Roman" w:cs="Times New Roman" w:eastAsia="Times New Roman" w:hAnsi="Times New Roman"/>
          <w:sz w:val="18"/>
          <w:szCs w:val="18"/>
          <w:color w:val="auto"/>
        </w:rPr>
      </w:pPr>
    </w:p>
    <w:p>
      <w:pPr>
        <w:ind w:left="620" w:right="20" w:hanging="343"/>
        <w:spacing w:after="0" w:line="281" w:lineRule="auto"/>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$9.1 million and $52.1 million for the fourth quarter and fiscal 2023, respectively, an improvement of 55% and 20% over the respective prior year comparable periods;</w:t>
      </w:r>
    </w:p>
    <w:p>
      <w:pPr>
        <w:spacing w:after="0" w:line="52" w:lineRule="exact"/>
        <w:rPr>
          <w:rFonts w:ascii="Times New Roman" w:cs="Times New Roman" w:eastAsia="Times New Roman" w:hAnsi="Times New Roman"/>
          <w:sz w:val="18"/>
          <w:szCs w:val="18"/>
          <w:color w:val="auto"/>
        </w:rPr>
      </w:pPr>
    </w:p>
    <w:p>
      <w:pPr>
        <w:ind w:left="1540" w:hanging="514"/>
        <w:spacing w:after="0" w:line="283"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and fiscal 2023 included a gain of $0.1 million and loss of $1.3 million, respectively, from the change in fair value of warrant liabilities associated with our term loan facility with Perceptive Advisors (Perceptive);</w:t>
      </w:r>
    </w:p>
    <w:p>
      <w:pPr>
        <w:spacing w:after="0" w:line="5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and fiscal 2022 included loss on debt extinguishment and modification of $4.0 million and $7.0 million, respectively;</w:t>
      </w:r>
    </w:p>
    <w:p>
      <w:pPr>
        <w:spacing w:after="0" w:line="118" w:lineRule="exact"/>
        <w:rPr>
          <w:rFonts w:ascii="Times New Roman" w:cs="Times New Roman" w:eastAsia="Times New Roman" w:hAnsi="Times New Roman"/>
          <w:sz w:val="18"/>
          <w:szCs w:val="18"/>
          <w:color w:val="auto"/>
        </w:rPr>
      </w:pPr>
    </w:p>
    <w:p>
      <w:pPr>
        <w:ind w:left="620" w:hanging="343"/>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of $26.3 million as of December 31, 2023;</w:t>
      </w:r>
    </w:p>
    <w:p>
      <w:pPr>
        <w:spacing w:after="0" w:line="114" w:lineRule="exact"/>
        <w:rPr>
          <w:rFonts w:ascii="Times New Roman" w:cs="Times New Roman" w:eastAsia="Times New Roman" w:hAnsi="Times New Roman"/>
          <w:sz w:val="18"/>
          <w:szCs w:val="18"/>
          <w:color w:val="auto"/>
        </w:rPr>
      </w:pPr>
    </w:p>
    <w:p>
      <w:pPr>
        <w:ind w:left="1540" w:hanging="514"/>
        <w:spacing w:after="0" w:line="283" w:lineRule="auto"/>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Company successfully drew down the second tranche of $10 million from its $50 million term loan facility with Perceptive in the fourth quarter of 2023;</w:t>
      </w:r>
    </w:p>
    <w:p>
      <w:pPr>
        <w:spacing w:after="0" w:line="5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 balance includes the remaining $12.2 million of the $27.5 million private placement announced in August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Diagnostic Tests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Diagnostic test revenue is generated from delivery of results from our diagnostic tests. In the United States, we performed tests as both an in-network and out-of-network service provider depending on the test performed and the contracted status of the insurer. We provide diagnostic tests in two primary categories: (i) lung diagnostic testing and (ii) COVID-19 testing.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consider diagnostic testing to be completed upon the delivery of test results to our customer, either the prescribing physician or third-party to which we contracted for services to be performed, which is considered the performance obligation. The fees for such services are billed either to a third party such as Medicare, medical facilities, commercial insurance payers, or to the patient. We determine the transaction price related to our contracts by considering the nature of the payer, test type, the historical amount of time until payment by a payer, and historical price concessions granted to groups of customers.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Biopharma Services and other</w:t>
      </w:r>
    </w:p>
    <w:p>
      <w:pPr>
        <w:spacing w:after="0" w:line="1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Services revenue is generated from the delivery of our on-market tests, pipeline tests, custom diagnostic testing, and other scientific services for a purpose as defined by any individual customer. At times we collaborate with large biopharmaceutical companies in an attempt to discover biomarkers that would be helpful in their drug development or marketing. The performance obligations and related revenue for these sales is defined by a written agreement between us and our customer. These services are generally completed upon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85" w:name="page86"/>
    <w:bookmarkEnd w:id="85"/>
    <w:p>
      <w:pPr>
        <w:jc w:val="both"/>
        <w:spacing w:after="0" w:line="260" w:lineRule="auto"/>
        <w:rPr>
          <w:sz w:val="20"/>
          <w:szCs w:val="20"/>
          <w:color w:val="auto"/>
        </w:rPr>
      </w:pPr>
      <w:r>
        <w:rPr>
          <w:rFonts w:ascii="Times New Roman" w:cs="Times New Roman" w:eastAsia="Times New Roman" w:hAnsi="Times New Roman"/>
          <w:sz w:val="18"/>
          <w:szCs w:val="18"/>
          <w:color w:val="auto"/>
        </w:rPr>
        <w:t>the delivery of testing results, or other contractually defined milestone(s), to the customer, which is considered the performance obligation. Customers for these services are typically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to develop technology and include salaries, share-based compensation and benefits, reagents and supplies used in research and development laboratory work, infrastructure expenses, including allocated facility occupancy and information technology costs, contract services, clinical studies,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innovate and develop additional products and expand our data management resources. As our services revenue grows, an increasing portion of research and development dollars are 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Our sales and marketing expenses are expensed as incurred and include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These expenses, though expected to increase in dollars, are expected to decrease as a percentage of revenue in the long term, though they may fluctuate as a percentage of our revenues from period to period due to the timing and extent of these expenses.</w:t>
      </w:r>
    </w:p>
    <w:p>
      <w:pPr>
        <w:spacing w:after="0" w:line="79"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11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interest expense consists of cash and non-cash interest from the Perceptive Term Loan Facility and changes in the value of our contingent consideration associated with the passage of time subsequent to the achievement of the gross margin target in the second quarter 2021. For the year ended December 31, 2022, interest expense primarily consists of cash and non-cash interest from the secured promissory note with Streeterville, the 2021 Term Loan, the Perceptive Term Loan, and changes in the value of our contingent consideration. Interest income, which is included in ‘Other income, net’ in the statements of operations consists of income earned on our cash and cash equivalents.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 (in thousands, except percentages):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00" w:type="dxa"/>
            <w:vAlign w:val="bottom"/>
          </w:tcPr>
          <w:p>
            <w:pPr>
              <w:spacing w:after="0"/>
              <w:rPr>
                <w:sz w:val="21"/>
                <w:szCs w:val="21"/>
                <w:color w:val="auto"/>
              </w:rPr>
            </w:pPr>
          </w:p>
        </w:tc>
        <w:tc>
          <w:tcPr>
            <w:tcW w:w="1380" w:type="dxa"/>
            <w:vAlign w:val="bottom"/>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38,212</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(1,144 )</w:t>
            </w:r>
          </w:p>
        </w:tc>
        <w:tc>
          <w:tcPr>
            <w:tcW w:w="38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(3,114 )</w:t>
            </w:r>
          </w:p>
        </w:tc>
        <w:tc>
          <w:tcPr>
            <w:tcW w:w="38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38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7"/>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90,429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(41,342 )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(50,587 )</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(9,536 )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(8,072 )</w:t>
            </w: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(1,464 )</w:t>
            </w:r>
          </w:p>
        </w:tc>
        <w:tc>
          <w:tcPr>
            <w:tcW w:w="3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extinguishment of liabilities, net</w:t>
            </w:r>
          </w:p>
        </w:tc>
        <w:tc>
          <w:tcPr>
            <w:tcW w:w="2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(6,981 )</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20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(1,274 )</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(1,358 )</w:t>
            </w:r>
          </w:p>
        </w:tc>
        <w:tc>
          <w:tcPr>
            <w:tcW w:w="38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(1,617 )%</w:t>
            </w:r>
          </w:p>
        </w:tc>
        <w:tc>
          <w:tcPr>
            <w:tcW w:w="0" w:type="dxa"/>
            <w:vAlign w:val="bottom"/>
          </w:tcPr>
          <w:p>
            <w:pPr>
              <w:spacing w:after="0"/>
              <w:rPr>
                <w:sz w:val="1"/>
                <w:szCs w:val="1"/>
                <w:color w:val="auto"/>
              </w:rPr>
            </w:pPr>
          </w:p>
        </w:tc>
      </w:tr>
      <w:tr>
        <w:trPr>
          <w:trHeight w:val="243"/>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(103 )</w:t>
            </w:r>
          </w:p>
        </w:tc>
        <w:tc>
          <w:tcPr>
            <w:tcW w:w="38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7"/>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(10,804 )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(14,860 )</w:t>
            </w: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(4,056 )</w:t>
            </w:r>
          </w:p>
        </w:tc>
        <w:tc>
          <w:tcPr>
            <w:tcW w:w="3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2"/>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84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(52,146 )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(65,447 )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84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6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(588 )</w:t>
            </w:r>
          </w:p>
        </w:tc>
        <w:tc>
          <w:tcPr>
            <w:tcW w:w="3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-2705100</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-2397125</wp:posOffset>
            </wp:positionV>
            <wp:extent cx="71323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-2088515</wp:posOffset>
            </wp:positionV>
            <wp:extent cx="71323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-1137920</wp:posOffset>
            </wp:positionV>
            <wp:extent cx="71323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-1771650</wp:posOffset>
            </wp:positionV>
            <wp:extent cx="713232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-829945</wp:posOffset>
            </wp:positionV>
            <wp:extent cx="713232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340" w:hanging="332"/>
        <w:spacing w:after="0"/>
        <w:tabs>
          <w:tab w:leader="none" w:pos="340" w:val="left"/>
        </w:tabs>
        <w:numPr>
          <w:ilvl w:val="0"/>
          <w:numId w:val="5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Amounts represent share-based compensation expense reported in the Company’s results of operations above.</w:t>
      </w:r>
    </w:p>
    <w:p>
      <w:pPr>
        <w:spacing w:after="0" w:line="203" w:lineRule="exact"/>
        <w:rPr>
          <w:rFonts w:ascii="Times New Roman" w:cs="Times New Roman" w:eastAsia="Times New Roman" w:hAnsi="Times New Roman"/>
          <w:sz w:val="24"/>
          <w:szCs w:val="24"/>
          <w:color w:val="auto"/>
          <w:vertAlign w:val="superscript"/>
        </w:rPr>
      </w:pPr>
    </w:p>
    <w:p>
      <w:pPr>
        <w:ind w:left="554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0"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jc w:val="both"/>
        <w:ind w:right="120"/>
        <w:spacing w:after="0" w:line="281" w:lineRule="auto"/>
        <w:rPr>
          <w:sz w:val="20"/>
          <w:szCs w:val="20"/>
          <w:color w:val="auto"/>
        </w:rPr>
      </w:pPr>
      <w:r>
        <w:rPr>
          <w:rFonts w:ascii="Times New Roman" w:cs="Times New Roman" w:eastAsia="Times New Roman" w:hAnsi="Times New Roman"/>
          <w:sz w:val="18"/>
          <w:szCs w:val="18"/>
          <w:color w:val="auto"/>
        </w:rPr>
        <w:t>We generate revenue by providing laboratory testing of our diagnostic tests and services. Our revenues for the periods indicated were as follows (in thousands, except percentages):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Lung Diagnostic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45,135</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r>
      <w:tr>
        <w:trPr>
          <w:trHeight w:val="247"/>
        </w:trPr>
        <w:tc>
          <w:tcPr>
            <w:tcW w:w="59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COVID-19</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40" w:type="dxa"/>
            <w:vAlign w:val="bottom"/>
            <w:shd w:val="clear" w:color="auto" w:fill="CFF0FC"/>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(5,183 )</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2"/>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Diagnostic Testing revenue</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r>
      <w:tr>
        <w:trPr>
          <w:trHeight w:val="247"/>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Biopharma Services and other revenue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578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38,212</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5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-504825</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-504825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6195695</wp:posOffset>
            </wp:positionH>
            <wp:positionV relativeFrom="paragraph">
              <wp:posOffset>-658495</wp:posOffset>
            </wp:positionV>
            <wp:extent cx="941705"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1705" cy="162560"/>
                    </a:xfrm>
                    <a:prstGeom prst="rect">
                      <a:avLst/>
                    </a:prstGeom>
                    <a:noFill/>
                  </pic:spPr>
                </pic:pic>
              </a:graphicData>
            </a:graphic>
          </wp:anchor>
        </w:drawing>
        <w:drawing>
          <wp:anchor simplePos="0" relativeHeight="251657728" behindDoc="1" locked="0" layoutInCell="0" allowOverlap="1">
            <wp:simplePos x="0" y="0"/>
            <wp:positionH relativeFrom="column">
              <wp:posOffset>3669665</wp:posOffset>
            </wp:positionH>
            <wp:positionV relativeFrom="paragraph">
              <wp:posOffset>-341630</wp:posOffset>
            </wp:positionV>
            <wp:extent cx="3467735" cy="1625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67735" cy="16256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increased $10.9 million or 28% for the year ended December 31, 2023 compared to the year ended December 31, 2022.</w:t>
      </w:r>
    </w:p>
    <w:p>
      <w:pPr>
        <w:spacing w:after="0" w:line="117"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18"/>
          <w:szCs w:val="18"/>
          <w:color w:val="auto"/>
        </w:rPr>
        <w:t>Diagnostic test revenue increased $10.7 million or 31% for the year ended December 31, 2023 compared to the same period in 2022. The increase for the year ended December 31, 2023 compared to the same period in 2022 is due to an increase in our lung diagnostic testing revenue of $15.8 million, driven by an increase in our Nodify XL2 and CDT diagnostic tests delivered. The Company’s lung diagnostic sales efforts continued to gain momentum during the year ended December 31, 2023 as the number of tests delivered reached the highest in Company history for four consecutive quarters. Partially offsetting this increase was a $5.2 million reduction in COVID-19 testing revenue for the year ended December 31, 2023, resulting from the expiration of significant COVID-19 testing contracts and the recession of the COVID-19 pandemic. Additionally,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COVID-19 diagnostic testing services commercially.</w:t>
      </w:r>
    </w:p>
    <w:p>
      <w:pPr>
        <w:spacing w:after="0" w:line="78"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Biopharma Services and other revenue increased $0.2 million or 6% for the year ended December 31, 2023 compared to the same period in 2022. The increase in revenue for the year ended December 31, 2023 was primarily due to recovery in testing volumes from clinical studies and services.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costs and expenses</w:t>
      </w:r>
    </w:p>
    <w:p>
      <w:pPr>
        <w:spacing w:after="0" w:line="11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Direct costs and expenses related to revenue decreased $1.1 million or 8% for the year ended December 31, 2023 compared to the year ended December 31, 2022. The decrease in costs for the year ended December 31, 2023 was driven primarily by the overall decline in COVID-19 testing volume and reductions in inventory obsolescence as the Company began exiting our commercial COVID-19 testing services in the latter half of 2022. This was partially offset by an increase in direct costs and expenses associated with increased lung diagnostic and services testing volume.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Research and development expenses decreased $3.1 million or 24% for the year ended December 31, 2023 compared to the year ended December 31, 2022. The decrease in cost was due primarily to a decrease in internal expenses associated with compensation and benefit costs as well as clinical trial and other external costs associated with contracted services and laboratory costs.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costs for the years ended December 31, 2023 and 2022 (in thousands, except percentages):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expenses:</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Clinical trials and associated costs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(888 )</w:t>
            </w:r>
          </w:p>
        </w:tc>
        <w:tc>
          <w:tcPr>
            <w:tcW w:w="3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external costs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(803 )</w:t>
            </w:r>
          </w:p>
        </w:tc>
        <w:tc>
          <w:tcPr>
            <w:tcW w:w="3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7"/>
        </w:trPr>
        <w:tc>
          <w:tcPr>
            <w:tcW w:w="58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Total external costs</w:t>
            </w: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(1,691 )</w:t>
            </w:r>
          </w:p>
        </w:tc>
        <w:tc>
          <w:tcPr>
            <w:tcW w:w="3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expenses</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(1,423 )</w:t>
            </w:r>
          </w:p>
        </w:tc>
        <w:tc>
          <w:tcPr>
            <w:tcW w:w="3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84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(3,114 )</w:t>
            </w:r>
          </w:p>
        </w:tc>
        <w:tc>
          <w:tcPr>
            <w:tcW w:w="38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-658495</wp:posOffset>
            </wp:positionV>
            <wp:extent cx="7132320"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marketing, general and administrative</w:t>
      </w:r>
    </w:p>
    <w:p>
      <w:pPr>
        <w:spacing w:after="0" w:line="119"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Sales, marketing, general and administrative expenses increased $5.9 million or 10% for the year ended December 31, 2023 compared to the year ended December 31, 2022. This increase was driven primarily by increases in employee compensation and benefits associated with an increase in sales team headcount and variable compensation as well as increases in non-employee costs associated with increased spending on various sales meetings, training, and campaigns during 2023 as compared to 2022. During the year ended December 31,</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8" w:right="239" w:bottom="1440" w:gutter="0" w:footer="0" w:header="0"/>
        </w:sectPr>
      </w:pPr>
    </w:p>
    <w:bookmarkStart w:id="88" w:name="page89"/>
    <w:bookmarkEnd w:id="88"/>
    <w:p>
      <w:pPr>
        <w:jc w:val="both"/>
        <w:spacing w:after="0" w:line="281" w:lineRule="auto"/>
        <w:rPr>
          <w:sz w:val="20"/>
          <w:szCs w:val="20"/>
          <w:color w:val="auto"/>
        </w:rPr>
      </w:pPr>
      <w:r>
        <w:rPr>
          <w:rFonts w:ascii="Times New Roman" w:cs="Times New Roman" w:eastAsia="Times New Roman" w:hAnsi="Times New Roman"/>
          <w:sz w:val="18"/>
          <w:szCs w:val="18"/>
          <w:color w:val="auto"/>
        </w:rPr>
        <w:t>2022, the Company’s sales efforts continued to be impacted by the COVID-19 pandemic due to surges associated with multiple variants, restricting and delaying the Company's ability to execute our lung diagnostic sales strategy, resulting in lower sales and marketing costs in the first half of 2022.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increased $1.5 million or 18% for the year ended December 31, 2023 compared to the year ended December 31, 2022. The interest expense for the year ended December 31, 2023 is primarily related to interest associated with the Perceptive Term Loan Facility of $5.5 million and interest associated with the contingent consideration of $3.9 million. The interest expense for the year ended December 31, 2022 is primarily related to interest associated with the contingent consideration of $3.3 million, Perceptive Term Loan Facility of $0.5 million, the 2021 Term Loan with Silicon Valley Bank of $2.4 million, and securities purchase agreement with Streeterville Capital, LLC of $1.8 million in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liabilities, net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recorded a loss on extinguishment of liabilities of zero and $7.0 million for the years ended December 31, 2023 and 2022, respectively. On April 7, 2022, the Company entered into Amendment No. 3 to the Indi APA in which all parties agreed to restructure the milestone payments. During the three months ended June 30, 2022, the Company evaluated Amendment No. 3 to the Indi APA in accordance with applicable accounting standards under U.S. GAAP which resulted in the extinguishment of the original instrument due to the substantially different terms. As a result, during the three months ended June 30, 2022, we recorded a loss on the extinguishment of $2.9 million. Additionally, as a result of the extinguishment of Promissory Note One and the 2021 Term Loan, the Company recorded a loss on debt extinguishment of $3.6 million and $0.5 million, respectively, associated with the prepayment premium and the write-off of unamortized original issue discount (OID) and debt issuance costs.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21, 2022, as consideration for the Perceptive Term Loan, the Company issued the Perceptive Warrant, with warrants exercisable into 3,000,000 shares of the Company’s common stock issued on the funding date of the Tranche A Loan which are equity classified (the Initial Warrants). In addition to the Initial Warrants and to the extent the Company has the ability to exercise its right to borrow the remaining availability under the Perceptive Term Loan, additional warrants will become exercisable into 1,000,000 shares of common stock concurrently with the borrowing of the Tranche B Loan (the Tranche B Warrants), and additional warrants will become exercisable into 1,000,000 shares of common stock concurrently with the borrowing of the Tranche C Loan (the Tranche C Warrants). The Company initially accounted for the Tranche B and C Warrants as liabilities as the Tranche B and C Warrants did not meet the criteria for equity classification. During the year ended December 31, 2023, the Company recorded a $1.3 million net loss as a change in fair value through the statement of operations due to changes in unobservable inputs. This is a result of changes in the probability of our ability to draw on Tranche B and C loans. On December 15, 2023 (the Tranche B Borrowing Date), the Company exercised its ability to draw the Tranche B loan. In connection with the Tranche B draw, the Company remeasured the Tranche B Warrants through the Tranche B Borrowing Date and recorded the change in fair value through the statement of operations and, subsequently, reclassified the fair value to additional paid-in capital. As of December 31, 2023, the Tranche C Warrants remain classified as a liability.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are an emerging growth company and, as such, have yet to generate positive cash flows from operations. We have funded our operations to date principally from net proceeds from the sale of our common stock, the sale of convertible preferred stock, revenue from diagnostic testing and services, and the incurrence of indebtedness as described below.</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7, 2022 (the LPC Effective Date), we entered into a purchase agreement with Lincoln Park Capital Fund, LLC (the Purchase Agreement), pursuant to which Lincoln Park has committed to purchase up to $50.0 million of our common stock (the LPC Facility). Under the terms and subject to the conditions of the Purchase Agreement, we have the right, but not the obligation, to sell to Lincoln Park, and Lincoln Park is obligated to purchase up to $50.0 million of our common stock. Such sales of common stock by us, if any, will be subject to certain limitations, and may occur from time to time, at our sole discretion, over the 36-month period commencing on the LPC Effective Date. As consideration for Lincoln Park's irrevocable commitment to purchase our common stock upon the terms of and subject to satisfaction of the conditions set forth in the Purchase Agreement, on the LPC Effective Date, we issued 184,275 shares of common stock to Lincoln Park as a commitment fee valued at $600,000 for which no consideration was received.</w:t>
      </w:r>
    </w:p>
    <w:p>
      <w:pPr>
        <w:spacing w:after="0" w:line="7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April 7, 2022, we entered into subscription agreements with a consortium of investors, including three members of our Board of Directors and other existing shareholders of the Company, for the issuance and sale by the Company of an aggregate of 6,508,376 shares of our common stock in an offering for an aggregate purchase price of approximately $11.7 million.</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amended the Indi APA agreement in April 2022 in which all parties agreed to restructure the Milestone Payments whereby the Company will make five quarterly installments of $2.0 million each beginning in April 2022, three quarterly installments of $3.0 million beginning in July 2023, one installment of $5.0 million in April 2024, and one installment of approximately $8.4 million in July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89" w:name="page90"/>
    <w:bookmarkEnd w:id="89"/>
    <w:p>
      <w:pPr>
        <w:jc w:val="both"/>
        <w:spacing w:after="0" w:line="260" w:lineRule="auto"/>
        <w:rPr>
          <w:sz w:val="20"/>
          <w:szCs w:val="20"/>
          <w:color w:val="auto"/>
        </w:rPr>
      </w:pPr>
      <w:r>
        <w:rPr>
          <w:rFonts w:ascii="Times New Roman" w:cs="Times New Roman" w:eastAsia="Times New Roman" w:hAnsi="Times New Roman"/>
          <w:sz w:val="18"/>
          <w:szCs w:val="18"/>
          <w:color w:val="auto"/>
        </w:rPr>
        <w:t>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and commencing January 1, 2024, consent from Perceptive.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9, 2022, the Company entered into a securities purchase agreement with Streeterville, pursuant to which, among other things, Streeterville: (i) purchased Promissory Note One in the aggregate principal amount totaling $16.0 million in exchange for $15.0 million less certain expenses. Promissory Note One could, at the Company's option, be settled in cash or shares of common stock of the Company, upon the terms and subject to the limitations and conditions. On May 9, 2022, the Company closed on Promissory Note One for gross proceeds of $15.0 million (approximately $12.8 million, net, after deducting debt issuance costs and OID).</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21, 2022, the Company funded and/or closed various financing transactions, including: (i) a term loan facility with Perceptive Advisors, LLC (Perceptive) for up to $50.0 million, with funding of $30.0 million on November 21, 2022, and two additional contingently issuable tranches of $10.0 million each subject to certain terms and conditions, including revenue milestones, (ii) a follow-on equity offering of common stock for $40.4 million in gross proceeds and (iii) a subscription agreement for the issuance of common stock to certain members of the Company’s management team for $0.3 million. Collectively, the Company raised gross proceeds of approximately $70.7 million ($65.7 million after deducting commissions, fees and expenses payable). Approximately $23.9 million of the net proceeds were used to retire Promissory Note One with Streeterville and the 2021 Term Loan with Silicon Valley Bank. The remaining proceeds of approximately $42.0 million were used for commercial expansion of sales, supporting the Company’s product pipeline, research and development and for general corporate purposes.</w:t>
      </w:r>
    </w:p>
    <w:p>
      <w:pPr>
        <w:spacing w:after="0" w:line="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Perceptive Term Loan Facility contains certain representations and warranties, affirmative covenants, negative covenants, financial covenants, and conditions that are customarily required for similar financings. The Company must (i) at all times prior to the Maturity Date maintain a minimum cash balance of $2.5 million; and (ii) as of the last day of each fiscal quarter commencing with the fiscal quarter ending March 31, 2023, recognize revenue in amounts agreed to between the Company and Perceptive.</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April 7, 2023, the Company entered into a limited waiver under which Perceptive agreed to waive the minimum revenue requirement for the three months ended March 31, 2023 (Limited Waiver). In addition, on May 10, 2023, the Company entered into the First Amendment to the Perceptive Term Loan Facility (the First Amendment) with Perceptive, whereby subject to the terms and conditions of the First Amendment, the minimum net revenue covenant was modified to reduce the threshold through the twelve month period ended March 31, 2024.</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3, 2023, the Company entered into subscription agreements with all of the members of our Board of Directors, all Section 16 officers, and additional members of the Biodesix leadership team for the issuance and sale by the Company of an aggregate of 16,975,298 of the Company’s common stock for an aggregate purchase price of approximately $27.5 million. During the three months ended September 30, 2023, the Company received $15.3 million in proceeds and issued 9,454,927 shares of common stock. On September 27, 2023, the Company entered into an amendment to delay final closing on one subscription agreement. The remaining $12.2 million in proceeds was received and 7,520,371 shares of common stock were issued during the three months ended December 31, 2023.</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4, 2023, the Company entered into the Second Amendment to the Perceptive Term Loan Facility (the Second Amendment) with Perceptive, whereby subject to the terms and conditions of the Second Amendment, the minimum net revenue covenant was amended to reduce the relevant threshold as of the last day of each fiscal quarter commencing on the fiscal quarter ending June 30, 2024 through and including the fiscal quarter ending December 31, 2025.</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original terms of the agreement with Perceptive, the Perceptive Term Loan Facility includes an additional Tranche B Loan, in an aggregate amount of up to $10.0 million, which was accessible by the Company so long as the Company satisfied certain customary conditions precedent, including revenue milestones. Under the terms of the Second Amendment, the conditions precedent for drawing on the Tranche B Loan were amended to (i) reduce the trailing-twelve month revenue milestone and (ii) add the receipt of aggregate cash proceeds of at least $27.5 million from an equity offering of the Company's common stock. During the three months ended December 31, 2023, the Company met the conditions precedent associated with the Tranche B Loan and, on December 15, 2023, the Company exercised its ability to draw the Tranche B loan for $10.0 million (the Tranche B Loan).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raised approximately $0.6 million ($0.6 million after deducting underwriting discounts and commissions and offering expenses payable), in gross proceeds from the sale of 376,456 common shares at a weighted average price per share of $1.66 under the ATM facility. As of December 31, 2023, the Company had remaining available capacity for share issuances of approximately $28.9 million under the ATM facility and up to $46.9 million under the LPC Facility, each subject to the restrictions and limitations of the underlying facilities, as well as volume limitations under applicable SEC rules and regulations that limit their availability as sources of funding.</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December 31, 2023, we maintained cash and cash equivalents of $26.3 million and we have $40.0 million in outstanding aggregate principal amount on our Perceptive Term Loan. We have incurred significant losses since inception and, as a result, we have funded our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0" w:name="page91"/>
    <w:bookmarkEnd w:id="90"/>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operations to date primarily through the sale of common stock, the sale of convertible preferred stock, the issuance of notes payable, and from our two primary revenue sources: (i) diagnostic testing, which includes lung diagnostic testing and, prior to May 11, 2023, COVID-19 testing, and (ii) providing biopharmaceutical companies with development and testing services and licensing our technologies. In accordance with Accounting Standards Update 2014-15 (ASC Topic 205-40), </w:t>
      </w:r>
      <w:r>
        <w:rPr>
          <w:rFonts w:ascii="Times New Roman" w:cs="Times New Roman" w:eastAsia="Times New Roman" w:hAnsi="Times New Roman"/>
          <w:sz w:val="18"/>
          <w:szCs w:val="18"/>
          <w:i w:val="1"/>
          <w:iCs w:val="1"/>
          <w:color w:val="auto"/>
        </w:rPr>
        <w:t>Presentation of Financial Statements - Going Concern: Disclosure of Uncertainties about an Entity’s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is required to evaluate whether there is substantial doubt about its ability to continue as a going concern each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10-K in considering whether it has the ability to meet its obligations.</w:t>
      </w:r>
    </w:p>
    <w:p>
      <w:pPr>
        <w:spacing w:after="0" w:line="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meet our obligations as they come due may be impacted by our ability to remain compliant with financial covenants in our loan agreement or to obtain waivers or amendments that impact the related covenants. As of December 31, 2023, the Company was in compliance with all restrictive covenants associated with its borrowing and entered into a limited waiver on February 14, 2024 to the Perceptive Term Loan Facility (the Limited Waiver). Subject to the terms and conditions of the Limited Waiver, Perceptive agreed to (i) waive compliance with the December 31, 2023 Minimum Net Revenue covenant and (ii) waive the requirement that the Annual Report on Form 10-K for the year-ended December 31, 2023 and auditor's opinion on the financial statements herein shall not be subject to any going concern or like qualification or exception audit.</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our current operating plan, unless we continue to raise additional capital (debt or equity), we expect that we will be unable to maintain our financial covenants under our existing loan agreement during the next twelve months, which could result in an Event of Default, as defined in the Perceptive Term Loan Facility, causing an acceleration of the outstanding balances. We have taken steps to improve our liquidity through raising debt and equity capital and have also undertaken several proactive measures including, among other things, the reduction of planned capital expenditures and certain operating expenses but we do not expect that these actions alone will be sufficient to maintain our financial covenants.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29, 2024, the Company entered into a third amendment to the Perceptive Term Loan Facility (the Third Amendment),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maintain an adequate amount of available liquidity and execute our current operating plan, we will need to continue to raise additional funds from external sources, such as through the issuance of equity or debt securities and any such financing activities are subject to market conditions.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from when the December 31, 2023 financial statements are issued. Our audited financial statements have been prepared assuming we will continue as a going concern and do not include any adjustments that might be necessary should we be unable to continue as a going concern.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5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(used in) provided by:</w:t>
            </w:r>
          </w:p>
        </w:tc>
        <w:tc>
          <w:tcPr>
            <w:tcW w:w="2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338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(22,870 )</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(44,972 )</w:t>
            </w:r>
          </w:p>
        </w:tc>
      </w:tr>
      <w:tr>
        <w:trPr>
          <w:trHeight w:val="247"/>
        </w:trPr>
        <w:tc>
          <w:tcPr>
            <w:tcW w:w="5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2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(23,062 )</w:t>
            </w: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(3,534 )</w:t>
            </w:r>
          </w:p>
        </w:tc>
      </w:tr>
      <w:tr>
        <w:trPr>
          <w:trHeight w:val="238"/>
        </w:trPr>
        <w:tc>
          <w:tcPr>
            <w:tcW w:w="5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24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2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58,882</w:t>
            </w:r>
          </w:p>
        </w:tc>
        <w:tc>
          <w:tcPr>
            <w:tcW w:w="100" w:type="dxa"/>
            <w:vAlign w:val="bottom"/>
          </w:tcPr>
          <w:p>
            <w:pPr>
              <w:spacing w:after="0"/>
              <w:rPr>
                <w:sz w:val="20"/>
                <w:szCs w:val="20"/>
                <w:color w:val="auto"/>
              </w:rPr>
            </w:pPr>
          </w:p>
        </w:tc>
      </w:tr>
      <w:tr>
        <w:trPr>
          <w:trHeight w:val="276"/>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38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(16,803 )</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10,376</w:t>
            </w:r>
          </w:p>
        </w:tc>
        <w:tc>
          <w:tcPr>
            <w:tcW w:w="100" w:type="dxa"/>
            <w:vAlign w:val="bottom"/>
            <w:shd w:val="clear" w:color="auto" w:fill="CCEEFF"/>
          </w:tcPr>
          <w:p>
            <w:pPr>
              <w:spacing w:after="0"/>
              <w:rPr>
                <w:sz w:val="24"/>
                <w:szCs w:val="24"/>
                <w:color w:val="auto"/>
              </w:rPr>
            </w:pPr>
          </w:p>
        </w:tc>
      </w:tr>
      <w:tr>
        <w:trPr>
          <w:trHeight w:val="632"/>
        </w:trPr>
        <w:tc>
          <w:tcPr>
            <w:tcW w:w="5340" w:type="dxa"/>
            <w:vAlign w:val="bottom"/>
            <w:tcBorders>
              <w:top w:val="single" w:sz="8" w:color="CCEEFF"/>
            </w:tcBorders>
          </w:tcPr>
          <w:p>
            <w:pPr>
              <w:spacing w:after="0"/>
              <w:rPr>
                <w:sz w:val="24"/>
                <w:szCs w:val="24"/>
                <w:color w:val="auto"/>
              </w:rPr>
            </w:pPr>
          </w:p>
        </w:tc>
        <w:tc>
          <w:tcPr>
            <w:tcW w:w="2400" w:type="dxa"/>
            <w:vAlign w:val="bottom"/>
            <w:tcBorders>
              <w:top w:val="single" w:sz="8" w:color="CCEEFF"/>
            </w:tcBorders>
          </w:tcPr>
          <w:p>
            <w:pPr>
              <w:jc w:val="right"/>
              <w:ind w:right="1930"/>
              <w:spacing w:after="0"/>
              <w:rPr>
                <w:sz w:val="20"/>
                <w:szCs w:val="20"/>
                <w:color w:val="auto"/>
              </w:rPr>
            </w:pPr>
            <w:r>
              <w:rPr>
                <w:rFonts w:ascii="Times New Roman" w:cs="Times New Roman" w:eastAsia="Times New Roman" w:hAnsi="Times New Roman"/>
                <w:sz w:val="18"/>
                <w:szCs w:val="18"/>
                <w:color w:val="auto"/>
              </w:rPr>
              <w:t>89</w:t>
            </w: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762"/>
        </w:trPr>
        <w:tc>
          <w:tcPr>
            <w:tcW w:w="5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-932815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-915670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1" w:name="page92"/>
    <w:bookmarkEnd w:id="91"/>
    <w:p>
      <w:pPr>
        <w:jc w:val="both"/>
        <w:spacing w:after="0" w:line="253" w:lineRule="auto"/>
        <w:rPr>
          <w:sz w:val="20"/>
          <w:szCs w:val="20"/>
          <w:color w:val="auto"/>
        </w:rPr>
      </w:pPr>
      <w:r>
        <w:rPr>
          <w:rFonts w:ascii="Times New Roman" w:cs="Times New Roman" w:eastAsia="Times New Roman" w:hAnsi="Times New Roman"/>
          <w:sz w:val="18"/>
          <w:szCs w:val="18"/>
          <w:color w:val="auto"/>
        </w:rPr>
        <w:t>Our cash flows resulted in a net decrease in cash and cash equivalents and restricted cash of $16.8 million during the year ended December 31, 2023 as compared to the net increase in cash of $10.4 million for the year ended December 31, 2022. For the year ended December 31, 2023, net cash used in operating activities decreased by approximately $22.1 million primarily due to the $18.3 million in tenant improvement allowances received for capital expenditures and leasehold improvements related to the CVP Lease which have been reimbursed from the CVP landlord (see cash used in investing activities below). Partially offsetting the CVP tenant improvement allowances is $2.5 million of the contingent consideration payment made during the three months ended December 31, 2023 which is now classified as a cash outflow from operating activities due to the applicable US GAAP requirements. Additionally, the Company had favorable changes in working capital that contributed to the changes in net cash used in operating activities compared to the same period in 2022. During the year ended December 31, 2022, our $5.0 million cash collateralized letter of credit under the operating lease agreement with CVP was released and the funds were subsequently transferred to the landlord as a refundable deposit to secure the performance of the Company’s obligations.</w:t>
      </w:r>
    </w:p>
    <w:p>
      <w:pPr>
        <w:spacing w:after="0" w:line="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2023 totaled $23.1 million, an increase of $19.5 million compared to the same period in 2022. The increase in net cash used in investing activities was primarily due to increases in purchases of property and equipment and capital expenditures for leasehold improvements related to the CVP Lease. These leasehold improvements are tenant improvements and have been reimbursed from the Landlord, as described above in net cash used in operating activities.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2023 totaled $29.1 million, a decrease of $29.8 million compared to the same period in 2022. The net cash provided by financing activities for the year ended December 31, 2023 primarily resulted from $28.0 million net proceeds from the issuance of common stock, $10.0 million net proceeds from the issuance of Tranche B under the Perceptive Term Loan Facility, and $0.7 million in proceeds from the issuance of common stock under the ESPP and exercise of stock options. These proceeds were partially offset by milestone payments to Indi of $8.6 million. The net cash provided by financing activities for the year ended December 31, 2022 primarily resulted from $56.3 million net proceeds from the issuance of common stock, $41.4 million net proceeds from the issuance of Promissory Note One and the Perceptive Term Loan, and $0.6 million in proceeds from the issuance of common stock under the ESPP and exercise of stock options. These proceeds were partially offset by the repayment of Promissory Note One and the 2021 Term Loan of $28.6 million, and milestone payments to Indi of $10.8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non-cancelable contractual obligations and commitments as of December 31, 2023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Payments due by period </w:t>
            </w:r>
            <w:r>
              <w:rPr>
                <w:rFonts w:ascii="Times New Roman" w:cs="Times New Roman" w:eastAsia="Times New Roman" w:hAnsi="Times New Roman"/>
                <w:sz w:val="24"/>
                <w:szCs w:val="24"/>
                <w:b w:val="1"/>
                <w:bCs w:val="1"/>
                <w:color w:val="auto"/>
                <w:vertAlign w:val="superscript"/>
              </w:rPr>
              <w:t>(1)</w:t>
            </w:r>
          </w:p>
        </w:tc>
        <w:tc>
          <w:tcPr>
            <w:tcW w:w="8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00"/>
        </w:trPr>
        <w:tc>
          <w:tcPr>
            <w:tcW w:w="5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50"/>
              <w:spacing w:after="0" w:line="201"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0"/>
              <w:spacing w:after="0" w:line="201" w:lineRule="exact"/>
              <w:rPr>
                <w:sz w:val="20"/>
                <w:szCs w:val="20"/>
                <w:color w:val="auto"/>
              </w:rPr>
            </w:pPr>
            <w:r>
              <w:rPr>
                <w:rFonts w:ascii="Times New Roman" w:cs="Times New Roman" w:eastAsia="Times New Roman" w:hAnsi="Times New Roman"/>
                <w:sz w:val="18"/>
                <w:szCs w:val="18"/>
                <w:b w:val="1"/>
                <w:bCs w:val="1"/>
                <w:color w:val="auto"/>
              </w:rPr>
              <w:t>1 to 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right"/>
              <w:ind w:right="310"/>
              <w:spacing w:after="0" w:line="201" w:lineRule="exact"/>
              <w:rPr>
                <w:sz w:val="20"/>
                <w:szCs w:val="20"/>
                <w:color w:val="auto"/>
              </w:rPr>
            </w:pPr>
            <w:r>
              <w:rPr>
                <w:rFonts w:ascii="Times New Roman" w:cs="Times New Roman" w:eastAsia="Times New Roman" w:hAnsi="Times New Roman"/>
                <w:sz w:val="18"/>
                <w:szCs w:val="18"/>
                <w:b w:val="1"/>
                <w:bCs w:val="1"/>
                <w:color w:val="auto"/>
                <w:w w:val="95"/>
              </w:rPr>
              <w:t>4 to 5</w:t>
            </w:r>
          </w:p>
        </w:tc>
        <w:tc>
          <w:tcPr>
            <w:tcW w:w="120" w:type="dxa"/>
            <w:vAlign w:val="bottom"/>
          </w:tcPr>
          <w:p>
            <w:pPr>
              <w:spacing w:after="0"/>
              <w:rPr>
                <w:sz w:val="17"/>
                <w:szCs w:val="17"/>
                <w:color w:val="auto"/>
              </w:rPr>
            </w:pPr>
          </w:p>
        </w:tc>
        <w:tc>
          <w:tcPr>
            <w:tcW w:w="1100" w:type="dxa"/>
            <w:vAlign w:val="bottom"/>
            <w:gridSpan w:val="2"/>
          </w:tcPr>
          <w:p>
            <w:pPr>
              <w:jc w:val="right"/>
              <w:ind w:right="110"/>
              <w:spacing w:after="0" w:line="201" w:lineRule="exact"/>
              <w:rPr>
                <w:sz w:val="20"/>
                <w:szCs w:val="20"/>
                <w:color w:val="auto"/>
              </w:rPr>
            </w:pPr>
            <w:r>
              <w:rPr>
                <w:rFonts w:ascii="Times New Roman" w:cs="Times New Roman" w:eastAsia="Times New Roman" w:hAnsi="Times New Roman"/>
                <w:sz w:val="18"/>
                <w:szCs w:val="18"/>
                <w:b w:val="1"/>
                <w:bCs w:val="1"/>
                <w:color w:val="auto"/>
              </w:rPr>
              <w:t>More than</w:t>
            </w:r>
          </w:p>
        </w:tc>
      </w:tr>
      <w:tr>
        <w:trPr>
          <w:trHeight w:val="245"/>
        </w:trPr>
        <w:tc>
          <w:tcPr>
            <w:tcW w:w="5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43"/>
        </w:trPr>
        <w:tc>
          <w:tcPr>
            <w:tcW w:w="522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Borrowings and interest </w:t>
            </w:r>
            <w:r>
              <w:rPr>
                <w:rFonts w:ascii="Times New Roman" w:cs="Times New Roman" w:eastAsia="Times New Roman" w:hAnsi="Times New Roman"/>
                <w:sz w:val="24"/>
                <w:szCs w:val="24"/>
                <w:color w:val="auto"/>
                <w:vertAlign w:val="superscript"/>
              </w:rPr>
              <w:t>(2)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62,903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11,677</w:t>
            </w:r>
          </w:p>
        </w:tc>
        <w:tc>
          <w:tcPr>
            <w:tcW w:w="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45,329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0" w:type="dxa"/>
            <w:vAlign w:val="bottom"/>
          </w:tcPr>
          <w:p>
            <w:pPr>
              <w:spacing w:after="0"/>
              <w:rPr>
                <w:sz w:val="20"/>
                <w:szCs w:val="20"/>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23,403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46,909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28,113</w:t>
            </w:r>
          </w:p>
        </w:tc>
      </w:tr>
      <w:tr>
        <w:trPr>
          <w:trHeight w:val="23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133,984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53,543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-24765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4037965</wp:posOffset>
            </wp:positionH>
            <wp:positionV relativeFrom="paragraph">
              <wp:posOffset>-7620</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4825365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 w:lineRule="exact"/>
        <w:rPr>
          <w:sz w:val="20"/>
          <w:szCs w:val="20"/>
          <w:color w:val="auto"/>
        </w:rPr>
      </w:pPr>
    </w:p>
    <w:p>
      <w:pPr>
        <w:ind w:left="380" w:hanging="372"/>
        <w:spacing w:after="0"/>
        <w:tabs>
          <w:tab w:leader="none" w:pos="380"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Royalty payments that we may owe are not included as the amount and timing of such payments is uncertain.</w:t>
      </w:r>
    </w:p>
    <w:p>
      <w:pPr>
        <w:spacing w:after="0" w:line="64" w:lineRule="exact"/>
        <w:rPr>
          <w:rFonts w:ascii="Times New Roman" w:cs="Times New Roman" w:eastAsia="Times New Roman" w:hAnsi="Times New Roman"/>
          <w:sz w:val="24"/>
          <w:szCs w:val="24"/>
          <w:color w:val="auto"/>
          <w:vertAlign w:val="superscript"/>
        </w:rPr>
      </w:pPr>
    </w:p>
    <w:p>
      <w:pPr>
        <w:ind w:left="380" w:right="20" w:hanging="372"/>
        <w:spacing w:after="0" w:line="205" w:lineRule="auto"/>
        <w:tabs>
          <w:tab w:leader="none" w:pos="380" w:val="left"/>
        </w:tabs>
        <w:numPr>
          <w:ilvl w:val="0"/>
          <w:numId w:val="5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the Perceptive Term Loan payments of principal and interest. Interest amounts associated with the Perceptive Term Loan are variable and estimated based on the interest rate in effect at December 31, 2023.</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we have not entered into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Our critical accounting policies are described in greater detail below and in Note 2 to our financial statements in Item 8 of this Annual Report on Form 10-K.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revenues from (i) diagnostic tests and (ii) assay development, testing services, and licensing our technologies (Biopharma Services and other revenue).</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Smaller Reporting Company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(JOBS Act). As an emerging growth company, we may take advantage of certain exemptions from various public company reporting requirements, including the requirement that our internal control over financial reporting be audited by our independent registered public accounting firm pursuant to Section 404 of the Sarbanes-Oxley Act of 2002 (the Sarbanes-Oxley Act), certain requirements related to the disclosure of executive compensation in our periodic reports and proxy statements, the requirement that we hold a nonbinding advisory vote on executive compensation and any golden parachute payments. We may take advantage of these exemptions until we are no longer an emerging growth company.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$1.24 billion in annual revenue; (ii) the date we qualify as a “large accelerated filer,” with at least $700 million of equity securities held by non-affiliates; (iii) the date on which we have issued, in any three-year period, more than $1.0 billion in non-convertible debt securities; and (iv) until December 31, 2025 (the year ended December 31st following the fifth anniversary of our initial public offering).</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and cash equivalents, marketable securities and our indebtedness, including our outstanding Perceptive Term Loan. As of December 31, 2023, we had $40.0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3" w:name="page94"/>
    <w:bookmarkEnd w:id="93"/>
    <w:p>
      <w:pPr>
        <w:jc w:val="both"/>
        <w:spacing w:after="0" w:line="260" w:lineRule="auto"/>
        <w:rPr>
          <w:sz w:val="20"/>
          <w:szCs w:val="20"/>
          <w:color w:val="auto"/>
        </w:rPr>
      </w:pPr>
      <w:r>
        <w:rPr>
          <w:rFonts w:ascii="Times New Roman" w:cs="Times New Roman" w:eastAsia="Times New Roman" w:hAnsi="Times New Roman"/>
          <w:sz w:val="18"/>
          <w:szCs w:val="18"/>
          <w:color w:val="auto"/>
        </w:rPr>
        <w:t>Periodically throughout the year, we have maintained balances in various operating accounts in excess of federally insured limits. Our cash and cash equivalents are funds held in checking and bank savings accounts, primarily at one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December 31, 2023, a hypothetical 100 basis point increase in interest rates would have an estimated $0.4 million impact per year on our financial position and results of operations, based on the current Perceptive Term Loan principal remaining outstanding through maturity.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and supplementary data are as set forth in the index to the financial statements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as such term is defined in Exchange Act Rule 13a-15(f). Under the supervision and with the participation of our Chief Executive Officer and Chief Financial Officer, we conducted an evaluation of the effectiveness of our internal control over financial reporting as of December 31, 2023 based on the criteria established in "Internal Control – Integrated Framework" issued by the Committee of Sponsoring Organizations of the Treadway Commission (COSO), using the 2013 framework. Based on our assessment, our Chief Executive Officer and Chief Financial Officer concluded that, as of December 31, 2023, the Company's internal control over financial reporting was effective based on the criteria set forth by COSO.</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due to a transition period established by rules of the Securities and Exchange Commission for newly public companies.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quarter ended December 31, 2023, there were no changes that materially affected, or are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during the quarter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94" w:name="page95"/>
    <w:bookmarkEnd w:id="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with respect to directors is incorporated by reference from the information under the captions "Board and Corporate Governance Matters—Proposal One: Election of Directors" and "—Director Independence" contained in our Proxy Statement to be filed with the Securities and Exchange Commission within 120 days of the fiscal year ended December 31, 2023 in connection with the solicitation of proxies for our 2024 Annual Meeting of Stockholders (the Proxy Statement). Certain information required by this item concerning executive officers is set forth in the Proxy Statement under the caption "Executive Compensation—Compensation of Named Executive Officers" and is incorporated herein by reference.</w:t>
      </w:r>
    </w:p>
    <w:p>
      <w:pPr>
        <w:spacing w:after="0" w:line="7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Item 405 of Regulation S-K calls for disclosure of any known late filing or failure by an insider to file a report required by Section 16(a) of the Exchange Act. This disclosure is contained in the section entitled "Stock Ownership—Delinquent Section 16(a) Reports" in the Proxy Statement and is incorporated herein by reference.</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and employees, including our President and Chief Executive Officer, our Chief Financial Officer and other employees who perform financial or accounting functions. The Code of Business Conduct and Ethics sets forth the basic principles that guide the business conduct of our employees. Stockholders may request a free copy of our Code of Business Conduct and Ethics by contacting Biodesix, Inc., Attention: Chief Financial Officer, 919 West Dillon Rd, Louisville, Colorado 80027.</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To date, there have been no waivers under our Code of Business Conduct and Ethics. We intend to disclose future amendments to certain provisions of our Code of Business Conduct and Ethics or waivers of such Codes granted to executive officers and directors on our website at http://www.biodesix.com within four business days following the date of such amendment or waiver.</w:t>
      </w:r>
    </w:p>
    <w:p>
      <w:pPr>
        <w:spacing w:after="0" w:line="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Board of Directors has appointed an Audit Committee, comprised of Ms. Jean Franchi, as Chairwoman, Messrs. Hany Massarany, Lawrence T. Kennedy, Jr., and Dr. Matthew Strobeck. The Board of Directors has determined that Ms. Franchi qualifies as an Audit Committee Financial Expert under the definition outlined by the Securities and Exchange Commission. In addition, each of the members of the Audit Committee qualifies as an "independent director" under the current rules of The NASDAQ Stock Market and Securities and Exchange Commission rules and regulations.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"Executive Compensation" contained in the Proxy Statement and is incorporated herein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captions "Stock Ownership—Security Ownership of Certain Beneficial Owners and Management", "Executive Compensation", and "Equity Compensation Plan Information" contained in the Proxy Statement and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 "Board and Corporate Governance Matters— Policies and Procedures for Related Party Transactions" and "—Director Independence" contained in the Proxy Statement and is incorporated herein by reference.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under the caption "Audit Matters—Principal Accountant Fees and Services" contained in the Proxy Statement and is incorporated herein by reference.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5" w:name="page96"/>
    <w:bookmarkEnd w:id="9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21" w:lineRule="exact"/>
        <w:rPr>
          <w:sz w:val="20"/>
          <w:szCs w:val="20"/>
          <w:color w:val="auto"/>
        </w:rPr>
      </w:pPr>
    </w:p>
    <w:p>
      <w:pPr>
        <w:ind w:left="760" w:hanging="752"/>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a part of the report.</w:t>
      </w:r>
    </w:p>
    <w:p>
      <w:pPr>
        <w:spacing w:after="0" w:line="117" w:lineRule="exact"/>
        <w:rPr>
          <w:sz w:val="20"/>
          <w:szCs w:val="20"/>
          <w:color w:val="auto"/>
        </w:rPr>
      </w:pPr>
    </w:p>
    <w:p>
      <w:pPr>
        <w:ind w:left="1140" w:hanging="383"/>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00" w:lineRule="exact"/>
        <w:rPr>
          <w:sz w:val="20"/>
          <w:szCs w:val="20"/>
          <w:color w:val="auto"/>
        </w:rPr>
      </w:pPr>
    </w:p>
    <w:p>
      <w:pPr>
        <w:spacing w:after="0" w:line="240" w:lineRule="exact"/>
        <w:rPr>
          <w:sz w:val="20"/>
          <w:szCs w:val="20"/>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sz w:val="20"/>
          <w:szCs w:val="20"/>
          <w:color w:val="auto"/>
        </w:rPr>
      </w:pPr>
    </w:p>
    <w:p>
      <w:pPr>
        <w:ind w:left="760"/>
        <w:spacing w:after="0" w:line="281"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or the required information is included in the financial statements or notes thereto.</w:t>
      </w:r>
    </w:p>
    <w:p>
      <w:pPr>
        <w:spacing w:after="0" w:line="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3.   See Item 15(b) below. Each management contract or compensating plan or arrangement required to be filed has been identified.</w:t>
      </w:r>
    </w:p>
    <w:p>
      <w:pPr>
        <w:spacing w:after="0" w:line="116" w:lineRule="exact"/>
        <w:rPr>
          <w:sz w:val="20"/>
          <w:szCs w:val="20"/>
          <w:color w:val="auto"/>
        </w:rPr>
      </w:pPr>
    </w:p>
    <w:p>
      <w:pPr>
        <w:ind w:left="760" w:hanging="752"/>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0" w:right="4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60" w:type="dxa"/>
            <w:vAlign w:val="bottom"/>
            <w:gridSpan w:val="16"/>
          </w:tcPr>
          <w:p>
            <w:pPr>
              <w:jc w:val="center"/>
              <w:ind w:right="4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9"/>
        </w:trPr>
        <w:tc>
          <w:tcPr>
            <w:tcW w:w="8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6260" w:type="dxa"/>
            <w:vAlign w:val="bottom"/>
            <w:tcBorders>
              <w:bottom w:val="single" w:sz="8" w:color="auto"/>
            </w:tcBorders>
            <w:gridSpan w:val="16"/>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2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Amended and Restated Certificate of Incorporation of Biodesix, Inc., dated October 30, 2020 (incorporated by reference to</w:t>
              </w:r>
            </w:hyperlink>
          </w:p>
        </w:tc>
        <w:tc>
          <w:tcPr>
            <w:tcW w:w="8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80" w:type="dxa"/>
            <w:vAlign w:val="bottom"/>
            <w:gridSpan w:val="23"/>
          </w:tcPr>
          <w:p>
            <w:pPr>
              <w:spacing w:after="0" w:line="195"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Exhibit 3.1 to the Company’s Quarterly Report on Form 10-Q filed with the SEC on December 10,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80" w:type="dxa"/>
            <w:vAlign w:val="bottom"/>
            <w:gridSpan w:val="2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Amended and Restated Bylaws of Biodesix, Inc. (incorporated by reference to Exhibit 3.2 to the Company’s Quarterly Report</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40" w:type="dxa"/>
            <w:vAlign w:val="bottom"/>
            <w:tcBorders>
              <w:top w:val="single" w:sz="8" w:color="0000FF"/>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on Form 10-Q filed with the SEC on October 12, 2020).</w:t>
              </w:r>
            </w:hyperlink>
          </w:p>
        </w:tc>
        <w:tc>
          <w:tcPr>
            <w:tcW w:w="20" w:type="dxa"/>
            <w:vAlign w:val="bottom"/>
            <w:tcBorders>
              <w:top w:val="single" w:sz="8" w:color="0000FF"/>
              <w:bottom w:val="single" w:sz="8" w:color="0000EE"/>
            </w:tcBorders>
          </w:tcPr>
          <w:p>
            <w:pPr>
              <w:spacing w:after="0"/>
              <w:rPr>
                <w:sz w:val="17"/>
                <w:szCs w:val="17"/>
                <w:color w:val="auto"/>
              </w:rPr>
            </w:pPr>
          </w:p>
        </w:tc>
        <w:tc>
          <w:tcPr>
            <w:tcW w:w="5120" w:type="dxa"/>
            <w:vAlign w:val="bottom"/>
            <w:tcBorders>
              <w:top w:val="single" w:sz="8" w:color="0000FF"/>
            </w:tcBorders>
            <w:gridSpan w:val="13"/>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80" w:type="dxa"/>
            <w:vAlign w:val="bottom"/>
            <w:gridSpan w:val="2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Specimen stock certificate evidencing shares of Common Stock (incorporated by reference to Exhibit 4.1 to the Company’s</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tcBorders>
              <w:top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Registration Statement on Form S-1/A filed with the SEC on October 21, 2020).</w:t>
              </w:r>
            </w:hyperlink>
          </w:p>
        </w:tc>
        <w:tc>
          <w:tcPr>
            <w:tcW w:w="1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Eleventh Amended and Restated Investor Rights Agreement, by and among Biodesix, Inc. and the investors listed on Exhibit A</w:t>
              </w:r>
            </w:hyperlink>
          </w:p>
        </w:tc>
        <w:tc>
          <w:tcPr>
            <w:tcW w:w="20" w:type="dxa"/>
            <w:vAlign w:val="bottom"/>
            <w:tcBorders>
              <w:bottom w:val="single" w:sz="8" w:color="0000EE"/>
            </w:tcBorders>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thereto, dated October 10, 2018 (incorporated by reference to Exhibit 4.2 to the Company’s Registration Statement on Form S-</w:t>
              </w:r>
            </w:hyperlink>
          </w:p>
        </w:tc>
        <w:tc>
          <w:tcPr>
            <w:tcW w:w="1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2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1 filed with the SEC on October 2, 2020).</w:t>
              </w:r>
            </w:hyperlink>
          </w:p>
        </w:tc>
        <w:tc>
          <w:tcPr>
            <w:tcW w:w="6260" w:type="dxa"/>
            <w:vAlign w:val="bottom"/>
            <w:gridSpan w:val="16"/>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Warrant held by Innovatus Life Sciences Lending Fund I, LP, to Purchase Series G Preferred Stock, dated February 23, 3018</w:t>
              </w:r>
            </w:hyperlink>
          </w:p>
        </w:tc>
        <w:tc>
          <w:tcPr>
            <w:tcW w:w="8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4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(incorporated by reference to Exhibit 4.3 to the Company’s Registration Statement on Form S-1 filed with the SEC on October</w:t>
              </w:r>
            </w:hyperlink>
          </w:p>
        </w:tc>
        <w:tc>
          <w:tcPr>
            <w:tcW w:w="40" w:type="dxa"/>
            <w:vAlign w:val="bottom"/>
            <w:gridSpan w:val="2"/>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64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6"/>
              </w:rPr>
            </w:pPr>
            <w:hyperlink r:id="rId150">
              <w:r>
                <w:rPr>
                  <w:rFonts w:ascii="Times New Roman" w:cs="Times New Roman" w:eastAsia="Times New Roman" w:hAnsi="Times New Roman"/>
                  <w:sz w:val="18"/>
                  <w:szCs w:val="18"/>
                  <w:color w:val="0000FF"/>
                  <w:w w:val="96"/>
                </w:rPr>
                <w:t>2, 2020).</w:t>
              </w:r>
            </w:hyperlink>
          </w:p>
        </w:tc>
        <w:tc>
          <w:tcPr>
            <w:tcW w:w="20" w:type="dxa"/>
            <w:vAlign w:val="bottom"/>
            <w:tcBorders>
              <w:bottom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37"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Description of Securities Registered under Section 12 of the Securities Exchange Act of 1934 (incorporated by reference to</w:t>
              </w:r>
            </w:hyperlink>
          </w:p>
        </w:tc>
        <w:tc>
          <w:tcPr>
            <w:tcW w:w="100" w:type="dxa"/>
            <w:vAlign w:val="bottom"/>
            <w:gridSpan w:val="5"/>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80" w:type="dxa"/>
            <w:vAlign w:val="bottom"/>
            <w:gridSpan w:val="23"/>
          </w:tcPr>
          <w:p>
            <w:pPr>
              <w:spacing w:after="0" w:line="195"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Exhibit 4.5 to the Company's Form 10-K filed with the SEC on March 16, 2021).</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Note, dated November 21, 2022, issued by the Company to Perceptive Credit Holdings IV, LP. (incorporated by</w:t>
              </w:r>
            </w:hyperlink>
          </w:p>
        </w:tc>
        <w:tc>
          <w:tcPr>
            <w:tcW w:w="20" w:type="dxa"/>
            <w:vAlign w:val="bottom"/>
            <w:tcBorders>
              <w:bottom w:val="single" w:sz="8" w:color="0000EE"/>
            </w:tcBorders>
          </w:tcPr>
          <w:p>
            <w:pPr>
              <w:spacing w:after="0"/>
              <w:rPr>
                <w:sz w:val="24"/>
                <w:szCs w:val="24"/>
                <w:color w:val="auto"/>
              </w:rPr>
            </w:pPr>
          </w:p>
        </w:tc>
        <w:tc>
          <w:tcPr>
            <w:tcW w:w="8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reference to Exhibit 4.1 and Exhibit 10.1 in the Company's current report on Form 8-K filed with the SEC on November 21,</w:t>
              </w:r>
            </w:hyperlink>
          </w:p>
        </w:tc>
        <w:tc>
          <w:tcPr>
            <w:tcW w:w="1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46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4"/>
              </w:rPr>
            </w:pPr>
            <w:hyperlink r:id="rId152">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37"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Warrant to Purchase Stock, dated November 21, 2022, issued by the Company to Perceptive Credit Holdings IV, LP.</w:t>
              </w:r>
            </w:hyperlink>
          </w:p>
        </w:tc>
        <w:tc>
          <w:tcPr>
            <w:tcW w:w="20" w:type="dxa"/>
            <w:vAlign w:val="bottom"/>
            <w:tcBorders>
              <w:bottom w:val="single" w:sz="8" w:color="0000EE"/>
            </w:tcBorders>
          </w:tcPr>
          <w:p>
            <w:pPr>
              <w:spacing w:after="0"/>
              <w:rPr>
                <w:sz w:val="24"/>
                <w:szCs w:val="24"/>
                <w:color w:val="auto"/>
              </w:rPr>
            </w:pPr>
          </w:p>
        </w:tc>
        <w:tc>
          <w:tcPr>
            <w:tcW w:w="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18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(incorporated by reference to Exhibit 4.2 in the Company's current report on Form 8-K filed with the SEC on November 21,</w:t>
              </w:r>
            </w:hyperlink>
          </w:p>
        </w:tc>
        <w:tc>
          <w:tcPr>
            <w:tcW w:w="1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46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4"/>
              </w:rPr>
            </w:pPr>
            <w:hyperlink r:id="rId153">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37"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1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Warrant to Purchase Stock, dated May 10, 2023, issued by the Company to Perceptive Credit Holdings IV, LP (incorporated by</w:t>
              </w:r>
            </w:hyperlink>
          </w:p>
        </w:tc>
        <w:tc>
          <w:tcPr>
            <w:tcW w:w="1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80" w:type="dxa"/>
            <w:vAlign w:val="bottom"/>
            <w:gridSpan w:val="23"/>
          </w:tcPr>
          <w:p>
            <w:pPr>
              <w:spacing w:after="0" w:line="195"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reference to Exhibit 4.1 to the Company's Quarterly Report on Form 10-Q filed with the SEC on May 11, 2023).</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154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Biodesix, Inc. Amended and Restated 2006 Employee, Director and Consultant Stock Plan, as amended to date (incorporated</w:t>
              </w:r>
            </w:hyperlink>
          </w:p>
        </w:tc>
        <w:tc>
          <w:tcPr>
            <w:tcW w:w="6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80" w:type="dxa"/>
            <w:vAlign w:val="bottom"/>
            <w:gridSpan w:val="23"/>
          </w:tcPr>
          <w:p>
            <w:pPr>
              <w:spacing w:after="0" w:line="195"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by reference to Exhibit 10.1 to the Company’s Registration Statement on Form S-1/A filed with the SEC on October 9, 2020).</w:t>
              </w:r>
            </w:hyperlink>
          </w:p>
        </w:tc>
      </w:tr>
      <w:tr>
        <w:trPr>
          <w:trHeight w:val="20"/>
        </w:trPr>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5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Stock Option Grant Notice under the Amended and Restated 2006 Employee, Director and Consultant Stock Plan</w:t>
              </w:r>
            </w:hyperlink>
          </w:p>
        </w:tc>
        <w:tc>
          <w:tcPr>
            <w:tcW w:w="20" w:type="dxa"/>
            <w:vAlign w:val="bottom"/>
            <w:tcBorders>
              <w:bottom w:val="single" w:sz="8" w:color="0000EE"/>
            </w:tcBorders>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80" w:type="dxa"/>
            <w:vAlign w:val="bottom"/>
            <w:gridSpan w:val="23"/>
          </w:tcPr>
          <w:p>
            <w:pPr>
              <w:spacing w:after="0" w:line="195"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(incorporated by reference to Exhibit 10.2.1 to the Company’s Registration Statement on Form S-1/A filed with the SEC on</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October 9, 2020).</w:t>
              </w:r>
            </w:hyperlink>
          </w:p>
        </w:tc>
        <w:tc>
          <w:tcPr>
            <w:tcW w:w="7900" w:type="dxa"/>
            <w:vAlign w:val="bottom"/>
            <w:tcBorders>
              <w:top w:val="single" w:sz="8" w:color="0000FF"/>
            </w:tcBorders>
            <w:gridSpan w:val="17"/>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of Option Agreement under the Amended and Restated 2006 Employee, Director and Consultant Stock Plan</w:t>
              </w:r>
            </w:hyperlink>
          </w:p>
        </w:tc>
        <w:tc>
          <w:tcPr>
            <w:tcW w:w="4294967237" w:type="dxa"/>
            <w:vAlign w:val="bottom"/>
            <w:tcBorders>
              <w:bottom w:val="single" w:sz="8" w:color="0000EE"/>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80" w:type="dxa"/>
            <w:vAlign w:val="bottom"/>
            <w:gridSpan w:val="23"/>
          </w:tcPr>
          <w:p>
            <w:pPr>
              <w:spacing w:after="0" w:line="195"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(incorporated by reference to Exhibit 10.2.2 to the Company’s Registration Statement on Form S-1/A filed with the SEC on</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October 9, 2020).</w:t>
              </w:r>
            </w:hyperlink>
          </w:p>
        </w:tc>
        <w:tc>
          <w:tcPr>
            <w:tcW w:w="7900" w:type="dxa"/>
            <w:vAlign w:val="bottom"/>
            <w:tcBorders>
              <w:top w:val="single" w:sz="8" w:color="0000FF"/>
            </w:tcBorders>
            <w:gridSpan w:val="17"/>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Form of Notice of Exercise under the Amended and Restated 2006 Employee, Director and Consultant Stock Plan</w:t>
              </w:r>
            </w:hyperlink>
          </w:p>
        </w:tc>
        <w:tc>
          <w:tcPr>
            <w:tcW w:w="20" w:type="dxa"/>
            <w:vAlign w:val="bottom"/>
            <w:tcBorders>
              <w:bottom w:val="single" w:sz="8" w:color="0000EE"/>
            </w:tcBorders>
          </w:tcPr>
          <w:p>
            <w:pPr>
              <w:spacing w:after="0"/>
              <w:rPr>
                <w:sz w:val="24"/>
                <w:szCs w:val="24"/>
                <w:color w:val="auto"/>
              </w:rPr>
            </w:pPr>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80" w:type="dxa"/>
            <w:vAlign w:val="bottom"/>
            <w:gridSpan w:val="23"/>
          </w:tcPr>
          <w:p>
            <w:pPr>
              <w:spacing w:after="0" w:line="195"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(incorporated by reference to Exhibit 10.2.3 to the Company’s Registration Statement on Form S-1/A filed with the SEC on</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80" w:type="dxa"/>
            <w:vAlign w:val="bottom"/>
            <w:tcBorders>
              <w:top w:val="single" w:sz="8" w:color="0000FF"/>
              <w:bottom w:val="single" w:sz="8" w:color="0000FF"/>
            </w:tcBorders>
            <w:gridSpan w:val="5"/>
          </w:tcPr>
          <w:p>
            <w:pPr>
              <w:spacing w:after="0" w:line="195"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October 9, 2020).</w:t>
              </w:r>
            </w:hyperlink>
          </w:p>
        </w:tc>
        <w:tc>
          <w:tcPr>
            <w:tcW w:w="20" w:type="dxa"/>
            <w:vAlign w:val="bottom"/>
            <w:tcBorders>
              <w:top w:val="single" w:sz="8" w:color="0000FF"/>
              <w:bottom w:val="single" w:sz="8" w:color="0000EE"/>
            </w:tcBorders>
          </w:tcPr>
          <w:p>
            <w:pPr>
              <w:spacing w:after="0"/>
              <w:rPr>
                <w:sz w:val="17"/>
                <w:szCs w:val="17"/>
                <w:color w:val="auto"/>
              </w:rPr>
            </w:pPr>
          </w:p>
        </w:tc>
        <w:tc>
          <w:tcPr>
            <w:tcW w:w="7880" w:type="dxa"/>
            <w:vAlign w:val="bottom"/>
            <w:tcBorders>
              <w:top w:val="single" w:sz="8" w:color="0000FF"/>
            </w:tcBorders>
            <w:gridSpan w:val="16"/>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80" w:type="dxa"/>
            <w:vAlign w:val="bottom"/>
            <w:gridSpan w:val="2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Biodesix, Inc. 2016 Equity Incentive Plan, as amended to date (incorporated by reference to Exhibit 10.3 to the Company’s</w:t>
              </w:r>
            </w:hyperlink>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520" w:type="dxa"/>
            <w:vAlign w:val="bottom"/>
            <w:tcBorders>
              <w:top w:val="single" w:sz="8" w:color="0000FF"/>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Registration Statement on Form S-1 filed with the SEC on October 2, 2020).</w:t>
              </w:r>
            </w:hyperlink>
          </w:p>
        </w:tc>
        <w:tc>
          <w:tcPr>
            <w:tcW w:w="20" w:type="dxa"/>
            <w:vAlign w:val="bottom"/>
            <w:tcBorders>
              <w:top w:val="single" w:sz="8" w:color="0000FF"/>
              <w:bottom w:val="single" w:sz="8" w:color="0000EE"/>
            </w:tcBorders>
          </w:tcPr>
          <w:p>
            <w:pPr>
              <w:spacing w:after="0"/>
              <w:rPr>
                <w:sz w:val="17"/>
                <w:szCs w:val="17"/>
                <w:color w:val="auto"/>
              </w:rPr>
            </w:pPr>
          </w:p>
        </w:tc>
        <w:tc>
          <w:tcPr>
            <w:tcW w:w="3640" w:type="dxa"/>
            <w:vAlign w:val="bottom"/>
            <w:tcBorders>
              <w:top w:val="single" w:sz="8" w:color="0000FF"/>
            </w:tcBorders>
            <w:gridSpan w:val="11"/>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Stock Option Grant Notice under the 2016 Equity Incentive Plan (incorporated by reference to Exhibit 10.4.1 to the</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56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Company’s Registration Statement on Form S-1/A filed with the SEC on October 9, 2020).</w:t>
              </w:r>
            </w:hyperlink>
          </w:p>
        </w:tc>
        <w:tc>
          <w:tcPr>
            <w:tcW w:w="2720" w:type="dxa"/>
            <w:vAlign w:val="bottom"/>
            <w:gridSpan w:val="9"/>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10.4.2+**</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Option Agreement under the 2016 Equity Incentive Plan (incorporated by reference to Exhibit 10.4.2 to the</w:t>
              </w:r>
            </w:hyperlink>
          </w:p>
        </w:tc>
        <w:tc>
          <w:tcPr>
            <w:tcW w:w="40" w:type="dxa"/>
            <w:vAlign w:val="bottom"/>
            <w:gridSpan w:val="2"/>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56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Company’s Registration Statement on Form S-1/A filed with the SEC on October 9, 2020).</w:t>
              </w:r>
            </w:hyperlink>
          </w:p>
        </w:tc>
        <w:tc>
          <w:tcPr>
            <w:tcW w:w="2720" w:type="dxa"/>
            <w:vAlign w:val="bottom"/>
            <w:gridSpan w:val="9"/>
          </w:tcPr>
          <w:p>
            <w:pPr>
              <w:spacing w:after="0"/>
              <w:rPr>
                <w:sz w:val="17"/>
                <w:szCs w:val="17"/>
                <w:color w:val="auto"/>
              </w:rPr>
            </w:pPr>
          </w:p>
        </w:tc>
      </w:tr>
      <w:tr>
        <w:trPr>
          <w:trHeight w:val="331"/>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Notice of Exercise under the 2016 Equity Incentive Plan (incorporated by reference to Exhibit 10.4.3 to the</w:t>
              </w:r>
            </w:hyperlink>
          </w:p>
        </w:tc>
        <w:tc>
          <w:tcPr>
            <w:tcW w:w="8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560" w:type="dxa"/>
            <w:vAlign w:val="bottom"/>
            <w:tcBorders>
              <w:bottom w:val="single" w:sz="8" w:color="0000FF"/>
            </w:tcBorders>
            <w:gridSpan w:val="14"/>
          </w:tcPr>
          <w:p>
            <w:pPr>
              <w:spacing w:after="0" w:line="195"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Company’s Registration Statement on Form S-1/A filed with the SEC on October 9, 2020).</w:t>
              </w:r>
            </w:hyperlink>
          </w:p>
        </w:tc>
        <w:tc>
          <w:tcPr>
            <w:tcW w:w="2720" w:type="dxa"/>
            <w:vAlign w:val="bottom"/>
            <w:gridSpan w:val="9"/>
          </w:tcPr>
          <w:p>
            <w:pPr>
              <w:spacing w:after="0"/>
              <w:rPr>
                <w:sz w:val="17"/>
                <w:szCs w:val="17"/>
                <w:color w:val="auto"/>
              </w:rPr>
            </w:pPr>
          </w:p>
        </w:tc>
      </w:tr>
      <w:tr>
        <w:trPr>
          <w:trHeight w:val="573"/>
        </w:trPr>
        <w:tc>
          <w:tcPr>
            <w:tcW w:w="880" w:type="dxa"/>
            <w:vAlign w:val="bottom"/>
          </w:tcPr>
          <w:p>
            <w:pPr>
              <w:spacing w:after="0"/>
              <w:rPr>
                <w:sz w:val="24"/>
                <w:szCs w:val="24"/>
                <w:color w:val="auto"/>
              </w:rPr>
            </w:pPr>
          </w:p>
        </w:tc>
        <w:tc>
          <w:tcPr>
            <w:tcW w:w="5120" w:type="dxa"/>
            <w:vAlign w:val="bottom"/>
            <w:gridSpan w:val="10"/>
          </w:tcPr>
          <w:p>
            <w:pPr>
              <w:jc w:val="right"/>
              <w:ind w:right="19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37"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Biodesix, Inc. 2020 Equity Incentive Plan (incorporated by reference to Exhibit 10.5 to the Company’s Registration Statement</w:t>
              </w:r>
            </w:hyperlink>
          </w:p>
        </w:tc>
        <w:tc>
          <w:tcPr>
            <w:tcW w:w="8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4100" w:type="dxa"/>
            <w:vAlign w:val="bottom"/>
            <w:tcBorders>
              <w:bottom w:val="single" w:sz="8" w:color="0000FF"/>
            </w:tcBorders>
            <w:gridSpan w:val="4"/>
          </w:tcPr>
          <w:p>
            <w:pPr>
              <w:spacing w:after="0" w:line="195"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on Form S-1/A filed with the SEC on October 26, 2020).</w:t>
              </w:r>
            </w:hyperlink>
          </w:p>
        </w:tc>
        <w:tc>
          <w:tcPr>
            <w:tcW w:w="20" w:type="dxa"/>
            <w:vAlign w:val="bottom"/>
            <w:tcBorders>
              <w:bottom w:val="single" w:sz="8" w:color="0000EE"/>
            </w:tcBorders>
          </w:tcPr>
          <w:p>
            <w:pPr>
              <w:spacing w:after="0"/>
              <w:rPr>
                <w:sz w:val="17"/>
                <w:szCs w:val="17"/>
                <w:color w:val="auto"/>
              </w:rPr>
            </w:pPr>
          </w:p>
        </w:tc>
        <w:tc>
          <w:tcPr>
            <w:tcW w:w="5160" w:type="dxa"/>
            <w:vAlign w:val="bottom"/>
            <w:gridSpan w:val="21"/>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10.5.1+**</w:t>
            </w:r>
          </w:p>
        </w:tc>
        <w:tc>
          <w:tcPr>
            <w:tcW w:w="9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Forms of Stock Option Grant Notice, Option Agreement and Notice of Exercise under the 2020 Equity Incentive Plan</w:t>
              </w:r>
            </w:hyperlink>
          </w:p>
        </w:tc>
        <w:tc>
          <w:tcPr>
            <w:tcW w:w="60" w:type="dxa"/>
            <w:vAlign w:val="bottom"/>
            <w:gridSpan w:val="2"/>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6"/>
          </w:tcPr>
          <w:p>
            <w:pPr>
              <w:spacing w:after="0" w:line="195"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(incorporated by reference to Exhibit 10.5.1 to the Company's Form 10-K filed with the SEC on March 16, 2021).</w:t>
              </w:r>
            </w:hyperlink>
          </w:p>
        </w:tc>
      </w:tr>
      <w:tr>
        <w:trPr>
          <w:trHeight w:val="20"/>
        </w:trPr>
        <w:tc>
          <w:tcPr>
            <w:tcW w:w="19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10.5.2+**</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Forms of Restricted Stock Unit Award Grant Notice and Award Agreement under the 2020 Equity Incentive Plan (incorporated</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6"/>
          </w:tcPr>
          <w:p>
            <w:pPr>
              <w:spacing w:after="0" w:line="195"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by reference to Exhibit 10.5.2 to the Company's Form 10-Q filed with the SEC on August 10, 2021).</w:t>
              </w:r>
            </w:hyperlink>
          </w:p>
        </w:tc>
      </w:tr>
      <w:tr>
        <w:trPr>
          <w:trHeight w:val="20"/>
        </w:trPr>
        <w:tc>
          <w:tcPr>
            <w:tcW w:w="19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Biodesix, Inc. 2020 Employee Stock Purchase Plan (incorporated by reference to Exhibit 10.6 to the Company’s Registration</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6"/>
          </w:tcPr>
          <w:p>
            <w:pPr>
              <w:spacing w:after="0" w:line="195"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Statement on Form S-1/A filed with the SEC on October 26, 2020).</w:t>
              </w:r>
            </w:hyperlink>
          </w:p>
        </w:tc>
      </w:tr>
      <w:tr>
        <w:trPr>
          <w:trHeight w:val="20"/>
        </w:trPr>
        <w:tc>
          <w:tcPr>
            <w:tcW w:w="196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10.7.1+**</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Biodesix, Inc., First Amended Bonus-to-Options Program, adopted by the Board of Directors on October 15, 2010</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0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(incorporated by reference to Exhibit 10.5.1 to the Company’s Registration Statement on Form S-1 filed with the SEC on</w:t>
              </w:r>
            </w:hyperlink>
          </w:p>
        </w:tc>
        <w:tc>
          <w:tcPr>
            <w:tcW w:w="8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28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October 2, 2020).</w:t>
              </w:r>
            </w:hyperlink>
          </w:p>
        </w:tc>
        <w:tc>
          <w:tcPr>
            <w:tcW w:w="20" w:type="dxa"/>
            <w:vAlign w:val="bottom"/>
            <w:tcBorders>
              <w:bottom w:val="single" w:sz="8" w:color="0000EE"/>
            </w:tcBorders>
          </w:tcPr>
          <w:p>
            <w:pPr>
              <w:spacing w:after="0"/>
              <w:rPr>
                <w:sz w:val="17"/>
                <w:szCs w:val="17"/>
                <w:color w:val="auto"/>
              </w:rPr>
            </w:pPr>
          </w:p>
        </w:tc>
        <w:tc>
          <w:tcPr>
            <w:tcW w:w="7980" w:type="dxa"/>
            <w:vAlign w:val="bottom"/>
            <w:gridSpan w:val="24"/>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10.7.2+**</w:t>
            </w:r>
          </w:p>
        </w:tc>
        <w:tc>
          <w:tcPr>
            <w:tcW w:w="91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Biodesix, Inc., Second Amended Bonus-to-Options Program, adopted by the Board of Directors on June 21, 2011</w:t>
              </w:r>
            </w:hyperlink>
          </w:p>
        </w:tc>
        <w:tc>
          <w:tcPr>
            <w:tcW w:w="20" w:type="dxa"/>
            <w:vAlign w:val="bottom"/>
            <w:tcBorders>
              <w:bottom w:val="single" w:sz="8" w:color="0000EE"/>
            </w:tcBorders>
          </w:tcPr>
          <w:p>
            <w:pPr>
              <w:spacing w:after="0"/>
              <w:rPr>
                <w:sz w:val="24"/>
                <w:szCs w:val="24"/>
                <w:color w:val="auto"/>
              </w:rPr>
            </w:pPr>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0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(incorporated by reference to Exhibit 10.5.2 to the Company’s Registration Statement on Form S-1 filed with the SEC on</w:t>
              </w:r>
            </w:hyperlink>
          </w:p>
        </w:tc>
        <w:tc>
          <w:tcPr>
            <w:tcW w:w="8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28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October 2, 2020).</w:t>
              </w:r>
            </w:hyperlink>
          </w:p>
        </w:tc>
        <w:tc>
          <w:tcPr>
            <w:tcW w:w="20" w:type="dxa"/>
            <w:vAlign w:val="bottom"/>
            <w:tcBorders>
              <w:bottom w:val="single" w:sz="8" w:color="0000EE"/>
            </w:tcBorders>
          </w:tcPr>
          <w:p>
            <w:pPr>
              <w:spacing w:after="0"/>
              <w:rPr>
                <w:sz w:val="17"/>
                <w:szCs w:val="17"/>
                <w:color w:val="auto"/>
              </w:rPr>
            </w:pPr>
          </w:p>
        </w:tc>
        <w:tc>
          <w:tcPr>
            <w:tcW w:w="7980" w:type="dxa"/>
            <w:vAlign w:val="bottom"/>
            <w:gridSpan w:val="24"/>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10.7.3+**</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Biodesix, Inc., Third Amended Bonus-to-Options Program, adopted by the Board of Directors on December 31, 2015</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00" w:type="dxa"/>
            <w:vAlign w:val="bottom"/>
            <w:tcBorders>
              <w:bottom w:val="single" w:sz="8" w:color="0000FF"/>
            </w:tcBorders>
            <w:gridSpan w:val="23"/>
          </w:tcPr>
          <w:p>
            <w:pPr>
              <w:spacing w:after="0" w:line="195"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(incorporated by reference to Exhibit 10.5.3 to the Company’s Registration Statement on Form S-1 filed with the SEC on</w:t>
              </w:r>
            </w:hyperlink>
          </w:p>
        </w:tc>
        <w:tc>
          <w:tcPr>
            <w:tcW w:w="80" w:type="dxa"/>
            <w:vAlign w:val="bottom"/>
            <w:gridSpan w:val="3"/>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28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October 2, 2020).</w:t>
              </w:r>
            </w:hyperlink>
          </w:p>
        </w:tc>
        <w:tc>
          <w:tcPr>
            <w:tcW w:w="20" w:type="dxa"/>
            <w:vAlign w:val="bottom"/>
            <w:tcBorders>
              <w:bottom w:val="single" w:sz="8" w:color="0000EE"/>
            </w:tcBorders>
          </w:tcPr>
          <w:p>
            <w:pPr>
              <w:spacing w:after="0"/>
              <w:rPr>
                <w:sz w:val="17"/>
                <w:szCs w:val="17"/>
                <w:color w:val="auto"/>
              </w:rPr>
            </w:pPr>
          </w:p>
        </w:tc>
        <w:tc>
          <w:tcPr>
            <w:tcW w:w="7980" w:type="dxa"/>
            <w:vAlign w:val="bottom"/>
            <w:gridSpan w:val="24"/>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10.8.1+**</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Biodesix, Inc. 2021 Senior Management Bonus to Equity Plan (incorporated by reference to Exhibit 10.1 to the Company’s</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516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Quarterly Report on Form 10-Q filed with the SEC on August 4, 2022).</w:t>
              </w:r>
            </w:hyperlink>
          </w:p>
        </w:tc>
        <w:tc>
          <w:tcPr>
            <w:tcW w:w="20" w:type="dxa"/>
            <w:vAlign w:val="bottom"/>
            <w:tcBorders>
              <w:bottom w:val="single" w:sz="8" w:color="0000EE"/>
            </w:tcBorders>
          </w:tcPr>
          <w:p>
            <w:pPr>
              <w:spacing w:after="0"/>
              <w:rPr>
                <w:sz w:val="17"/>
                <w:szCs w:val="17"/>
                <w:color w:val="auto"/>
              </w:rPr>
            </w:pPr>
          </w:p>
        </w:tc>
        <w:tc>
          <w:tcPr>
            <w:tcW w:w="4100" w:type="dxa"/>
            <w:vAlign w:val="bottom"/>
            <w:gridSpan w:val="18"/>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10.8.2+**</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Amendment No. 1 to the Biodesix, Inc. 2021 Senior Management Bonus to Equity Plan (incorporated by reference to Exhibit</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6840" w:type="dxa"/>
            <w:vAlign w:val="bottom"/>
            <w:tcBorders>
              <w:bottom w:val="single" w:sz="8" w:color="0000FF"/>
            </w:tcBorders>
            <w:gridSpan w:val="12"/>
          </w:tcPr>
          <w:p>
            <w:pPr>
              <w:spacing w:after="0" w:line="195"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Company’s Quarterly Report on Form 10-Q filed with the SEC on August 4, 2022).</w:t>
              </w:r>
            </w:hyperlink>
          </w:p>
        </w:tc>
        <w:tc>
          <w:tcPr>
            <w:tcW w:w="20" w:type="dxa"/>
            <w:vAlign w:val="bottom"/>
            <w:tcBorders>
              <w:bottom w:val="single" w:sz="8" w:color="0000EE"/>
            </w:tcBorders>
          </w:tcPr>
          <w:p>
            <w:pPr>
              <w:spacing w:after="0"/>
              <w:rPr>
                <w:sz w:val="17"/>
                <w:szCs w:val="17"/>
                <w:color w:val="auto"/>
              </w:rPr>
            </w:pPr>
          </w:p>
        </w:tc>
        <w:tc>
          <w:tcPr>
            <w:tcW w:w="2420" w:type="dxa"/>
            <w:vAlign w:val="bottom"/>
            <w:gridSpan w:val="13"/>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10.8.3+**</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Amendment No. 2 to the Biodesix, Inc. 2021 Senior Management Bonus to Equity Plan (incorporated by reference to Exhibit</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6760" w:type="dxa"/>
            <w:vAlign w:val="bottom"/>
            <w:tcBorders>
              <w:bottom w:val="single" w:sz="8" w:color="0000FF"/>
            </w:tcBorders>
            <w:gridSpan w:val="10"/>
          </w:tcPr>
          <w:p>
            <w:pPr>
              <w:spacing w:after="0" w:line="195"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8.3</w:t>
              </w:r>
              <w:r>
                <w:rPr>
                  <w:rFonts w:ascii="Times New Roman" w:cs="Times New Roman" w:eastAsia="Times New Roman" w:hAnsi="Times New Roman"/>
                  <w:sz w:val="18"/>
                  <w:szCs w:val="18"/>
                  <w:color w:val="0000FF"/>
                  <w:w w:val="99"/>
                </w:rPr>
                <w:t xml:space="preserve"> to the Company’s Annual Report on Form 10-K filed with the SEC on March 6, 2023).</w:t>
              </w:r>
            </w:hyperlink>
          </w:p>
        </w:tc>
        <w:tc>
          <w:tcPr>
            <w:tcW w:w="20" w:type="dxa"/>
            <w:vAlign w:val="bottom"/>
            <w:tcBorders>
              <w:bottom w:val="single" w:sz="8" w:color="0000EE"/>
            </w:tcBorders>
          </w:tcPr>
          <w:p>
            <w:pPr>
              <w:spacing w:after="0"/>
              <w:rPr>
                <w:sz w:val="17"/>
                <w:szCs w:val="17"/>
                <w:color w:val="auto"/>
              </w:rPr>
            </w:pPr>
          </w:p>
        </w:tc>
        <w:tc>
          <w:tcPr>
            <w:tcW w:w="2500" w:type="dxa"/>
            <w:vAlign w:val="bottom"/>
            <w:gridSpan w:val="15"/>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10.9.1+**</w:t>
            </w:r>
          </w:p>
        </w:tc>
        <w:tc>
          <w:tcPr>
            <w:tcW w:w="9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Stock Option Grant Notice under the Biodesix, Inc. Bonus-To-Options Program (incorporated by reference to Exhibit</w:t>
              </w:r>
            </w:hyperlink>
          </w:p>
        </w:tc>
        <w:tc>
          <w:tcPr>
            <w:tcW w:w="60" w:type="dxa"/>
            <w:vAlign w:val="bottom"/>
            <w:gridSpan w:val="2"/>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6"/>
          </w:tcPr>
          <w:p>
            <w:pPr>
              <w:spacing w:after="0" w:line="195"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6.1</w:t>
              </w:r>
              <w:r>
                <w:rPr>
                  <w:rFonts w:ascii="Times New Roman" w:cs="Times New Roman" w:eastAsia="Times New Roman" w:hAnsi="Times New Roman"/>
                  <w:sz w:val="18"/>
                  <w:szCs w:val="18"/>
                  <w:color w:val="0000FF"/>
                </w:rPr>
                <w:t xml:space="preserve"> to the Company’s Registration Statement on Form S-1/A filed with the SEC on October 9, 2020).</w:t>
              </w:r>
            </w:hyperlink>
          </w:p>
        </w:tc>
      </w:tr>
      <w:tr>
        <w:trPr>
          <w:trHeight w:val="20"/>
        </w:trPr>
        <w:tc>
          <w:tcPr>
            <w:tcW w:w="19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68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10.9.2+**</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Form of Option Agreement under the Biodesix, Inc. Bonus-To-Options Program (incorporated by reference to Exhibit 10.6.2 to</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6"/>
          </w:tcPr>
          <w:p>
            <w:pPr>
              <w:spacing w:after="0" w:line="195"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the Company’s Registration Statement on Form S-1/A filed with the SEC on October 9, 2020).</w:t>
              </w:r>
            </w:hyperlink>
          </w:p>
        </w:tc>
      </w:tr>
      <w:tr>
        <w:trPr>
          <w:trHeight w:val="20"/>
        </w:trPr>
        <w:tc>
          <w:tcPr>
            <w:tcW w:w="1960" w:type="dxa"/>
            <w:vAlign w:val="bottom"/>
          </w:tcPr>
          <w:p>
            <w:pPr>
              <w:spacing w:after="0" w:line="20" w:lineRule="exact"/>
              <w:rPr>
                <w:sz w:val="1"/>
                <w:szCs w:val="1"/>
                <w:color w:val="auto"/>
              </w:rPr>
            </w:pPr>
          </w:p>
        </w:tc>
        <w:tc>
          <w:tcPr>
            <w:tcW w:w="1380" w:type="dxa"/>
            <w:vAlign w:val="bottom"/>
            <w:tcBorders>
              <w:right w:val="single" w:sz="8" w:color="0000FF"/>
            </w:tcBorders>
            <w:gridSpan w:val="3"/>
            <w:shd w:val="clear" w:color="auto" w:fill="0000FF"/>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91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Indemnification Agreement, by and between Biodesix, Inc. and each of its directors and executive officers</w:t>
              </w:r>
            </w:hyperlink>
          </w:p>
        </w:tc>
        <w:tc>
          <w:tcPr>
            <w:tcW w:w="100" w:type="dxa"/>
            <w:vAlign w:val="bottom"/>
            <w:gridSpan w:val="4"/>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40" w:type="dxa"/>
            <w:vAlign w:val="bottom"/>
            <w:tcBorders>
              <w:bottom w:val="single" w:sz="8" w:color="0000FF"/>
            </w:tcBorders>
            <w:gridSpan w:val="25"/>
          </w:tcPr>
          <w:p>
            <w:pPr>
              <w:spacing w:after="0" w:line="195"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(incorporated by reference to Exhibit 10.7 to the Company’s Registration Statement on Form S-1/A filed with the SEC on</w:t>
              </w:r>
            </w:hyperlink>
          </w:p>
        </w:tc>
        <w:tc>
          <w:tcPr>
            <w:tcW w:w="40" w:type="dxa"/>
            <w:vAlign w:val="bottom"/>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6"/>
          </w:tcPr>
          <w:p>
            <w:pPr>
              <w:spacing w:after="0" w:line="195"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October 14, 2020).</w:t>
              </w:r>
            </w:hyperlink>
          </w:p>
        </w:tc>
      </w:tr>
      <w:tr>
        <w:trPr>
          <w:trHeight w:val="20"/>
        </w:trPr>
        <w:tc>
          <w:tcPr>
            <w:tcW w:w="1960" w:type="dxa"/>
            <w:vAlign w:val="bottom"/>
          </w:tcPr>
          <w:p>
            <w:pPr>
              <w:spacing w:after="0" w:line="20" w:lineRule="exact"/>
              <w:rPr>
                <w:sz w:val="1"/>
                <w:szCs w:val="1"/>
                <w:color w:val="auto"/>
              </w:rPr>
            </w:pPr>
          </w:p>
        </w:tc>
        <w:tc>
          <w:tcPr>
            <w:tcW w:w="1380" w:type="dxa"/>
            <w:vAlign w:val="bottom"/>
            <w:tcBorders>
              <w:right w:val="single" w:sz="8" w:color="0000EE"/>
            </w:tcBorders>
            <w:gridSpan w:val="3"/>
            <w:shd w:val="clear" w:color="auto" w:fill="0000FF"/>
          </w:tcPr>
          <w:p>
            <w:pPr>
              <w:spacing w:after="0" w:line="20" w:lineRule="exact"/>
              <w:rPr>
                <w:sz w:val="1"/>
                <w:szCs w:val="1"/>
                <w:color w:val="auto"/>
              </w:rPr>
            </w:pPr>
          </w:p>
        </w:tc>
        <w:tc>
          <w:tcPr>
            <w:tcW w:w="4140" w:type="dxa"/>
            <w:vAlign w:val="bottom"/>
            <w:gridSpan w:val="6"/>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9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Executive Employment Letter, by and between Biodesix, Inc. and Scott Hutton, dated February 23, 2020 (incorporated by</w:t>
              </w:r>
            </w:hyperlink>
          </w:p>
        </w:tc>
        <w:tc>
          <w:tcPr>
            <w:tcW w:w="60" w:type="dxa"/>
            <w:vAlign w:val="bottom"/>
            <w:gridSpan w:val="2"/>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8800" w:type="dxa"/>
            <w:vAlign w:val="bottom"/>
            <w:tcBorders>
              <w:bottom w:val="single" w:sz="8" w:color="0000FF"/>
            </w:tcBorders>
            <w:gridSpan w:val="19"/>
          </w:tcPr>
          <w:p>
            <w:pPr>
              <w:spacing w:after="0" w:line="195"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reference to Exhibit 10.9.2 to the Company’s Registration Statement on Form S-1 filed with the SEC on October 2, 2020).</w:t>
              </w:r>
            </w:hyperlink>
          </w:p>
        </w:tc>
        <w:tc>
          <w:tcPr>
            <w:tcW w:w="20" w:type="dxa"/>
            <w:vAlign w:val="bottom"/>
            <w:tcBorders>
              <w:bottom w:val="single" w:sz="8" w:color="0000EE"/>
            </w:tcBorders>
          </w:tcPr>
          <w:p>
            <w:pPr>
              <w:spacing w:after="0"/>
              <w:rPr>
                <w:sz w:val="17"/>
                <w:szCs w:val="17"/>
                <w:color w:val="auto"/>
              </w:rPr>
            </w:pPr>
          </w:p>
        </w:tc>
        <w:tc>
          <w:tcPr>
            <w:tcW w:w="460" w:type="dxa"/>
            <w:vAlign w:val="bottom"/>
            <w:gridSpan w:val="6"/>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Executive Employment Letter, by and between Biodesix, Inc. and Robin Harper Cowie, dated February 23, 2020 (incorporated</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6"/>
          </w:tcPr>
          <w:p>
            <w:pPr>
              <w:spacing w:after="0" w:line="195"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by reference to Exhibit 10.10.2 to the Company’s Registration Statement on Form S-1 filed with the SEC on October 2, 2020).</w:t>
              </w:r>
            </w:hyperlink>
          </w:p>
        </w:tc>
      </w:tr>
      <w:tr>
        <w:trPr>
          <w:trHeight w:val="20"/>
        </w:trPr>
        <w:tc>
          <w:tcPr>
            <w:tcW w:w="1960" w:type="dxa"/>
            <w:vAlign w:val="bottom"/>
          </w:tcPr>
          <w:p>
            <w:pPr>
              <w:spacing w:after="0" w:line="20" w:lineRule="exact"/>
              <w:rPr>
                <w:sz w:val="1"/>
                <w:szCs w:val="1"/>
                <w:color w:val="auto"/>
              </w:rPr>
            </w:pPr>
          </w:p>
        </w:tc>
        <w:tc>
          <w:tcPr>
            <w:tcW w:w="5520" w:type="dxa"/>
            <w:vAlign w:val="bottom"/>
            <w:gridSpan w:val="9"/>
            <w:shd w:val="clear" w:color="auto" w:fill="0000FF"/>
          </w:tcPr>
          <w:p>
            <w:pPr>
              <w:spacing w:after="0" w:line="20" w:lineRule="exact"/>
              <w:rPr>
                <w:sz w:val="1"/>
                <w:szCs w:val="1"/>
                <w:color w:val="auto"/>
              </w:rPr>
            </w:pPr>
          </w:p>
        </w:tc>
        <w:tc>
          <w:tcPr>
            <w:tcW w:w="200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10.13.1†**</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Office Lease between Aero-Tech Investments, LLC and Biodesix, Inc., dated October 5, 2011 (incorporated by reference to</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6"/>
          </w:tcPr>
          <w:p>
            <w:pPr>
              <w:spacing w:after="0" w:line="195"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Exhibit 10.11 to the Company’s Registration Statement on Form S-1/A filed with the SEC on October 9, 2020).</w:t>
              </w:r>
            </w:hyperlink>
          </w:p>
        </w:tc>
      </w:tr>
      <w:tr>
        <w:trPr>
          <w:trHeight w:val="20"/>
        </w:trPr>
        <w:tc>
          <w:tcPr>
            <w:tcW w:w="1960" w:type="dxa"/>
            <w:vAlign w:val="bottom"/>
          </w:tcPr>
          <w:p>
            <w:pPr>
              <w:spacing w:after="0" w:line="20" w:lineRule="exact"/>
              <w:rPr>
                <w:sz w:val="1"/>
                <w:szCs w:val="1"/>
                <w:color w:val="auto"/>
              </w:rPr>
            </w:pPr>
          </w:p>
        </w:tc>
        <w:tc>
          <w:tcPr>
            <w:tcW w:w="5520" w:type="dxa"/>
            <w:vAlign w:val="bottom"/>
            <w:gridSpan w:val="9"/>
            <w:shd w:val="clear" w:color="auto" w:fill="0000FF"/>
          </w:tcPr>
          <w:p>
            <w:pPr>
              <w:spacing w:after="0" w:line="20" w:lineRule="exact"/>
              <w:rPr>
                <w:sz w:val="1"/>
                <w:szCs w:val="1"/>
                <w:color w:val="auto"/>
              </w:rPr>
            </w:pPr>
          </w:p>
        </w:tc>
        <w:tc>
          <w:tcPr>
            <w:tcW w:w="200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10.13.2**</w:t>
            </w:r>
          </w:p>
        </w:tc>
        <w:tc>
          <w:tcPr>
            <w:tcW w:w="92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Office Lease between Aero-Tech Investments, LLC and Biodesix, Inc., dated January 24, 2022 (incorporated by reference to</w:t>
              </w:r>
            </w:hyperlink>
          </w:p>
        </w:tc>
        <w:tc>
          <w:tcPr>
            <w:tcW w:w="60" w:type="dxa"/>
            <w:vAlign w:val="bottom"/>
            <w:gridSpan w:val="2"/>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752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Exhibit 10.13.2 to the Company’s Annual Report on Form 10-K filed with the SEC on March 14, 2022).</w:t>
              </w:r>
            </w:hyperlink>
          </w:p>
        </w:tc>
        <w:tc>
          <w:tcPr>
            <w:tcW w:w="20" w:type="dxa"/>
            <w:vAlign w:val="bottom"/>
            <w:tcBorders>
              <w:bottom w:val="single" w:sz="8" w:color="0000EE"/>
            </w:tcBorders>
          </w:tcPr>
          <w:p>
            <w:pPr>
              <w:spacing w:after="0"/>
              <w:rPr>
                <w:sz w:val="17"/>
                <w:szCs w:val="17"/>
                <w:color w:val="auto"/>
              </w:rPr>
            </w:pPr>
          </w:p>
        </w:tc>
        <w:tc>
          <w:tcPr>
            <w:tcW w:w="1740" w:type="dxa"/>
            <w:vAlign w:val="bottom"/>
            <w:gridSpan w:val="10"/>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10.14.1†**</w:t>
            </w:r>
          </w:p>
        </w:tc>
        <w:tc>
          <w:tcPr>
            <w:tcW w:w="92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Lease Assignment of De Soto Facility, dated November 1, 2019 (incorporated by reference to Exhibit 10.13 to the Company’s</w:t>
              </w:r>
            </w:hyperlink>
          </w:p>
        </w:tc>
        <w:tc>
          <w:tcPr>
            <w:tcW w:w="8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6"/>
          </w:tcPr>
          <w:p>
            <w:pPr>
              <w:spacing w:after="0" w:line="195"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Registration Statement on Form S-1 filed with the SEC on October 2, 2020).</w:t>
              </w:r>
            </w:hyperlink>
          </w:p>
        </w:tc>
      </w:tr>
      <w:tr>
        <w:trPr>
          <w:trHeight w:val="573"/>
        </w:trPr>
        <w:tc>
          <w:tcPr>
            <w:tcW w:w="1960" w:type="dxa"/>
            <w:vAlign w:val="bottom"/>
          </w:tcPr>
          <w:p>
            <w:pPr>
              <w:spacing w:after="0"/>
              <w:rPr>
                <w:sz w:val="24"/>
                <w:szCs w:val="24"/>
                <w:color w:val="auto"/>
              </w:rPr>
            </w:pPr>
          </w:p>
        </w:tc>
        <w:tc>
          <w:tcPr>
            <w:tcW w:w="4100" w:type="dxa"/>
            <w:vAlign w:val="bottom"/>
            <w:tcBorders>
              <w:top w:val="single" w:sz="8" w:color="0000FF"/>
            </w:tcBorders>
            <w:gridSpan w:val="4"/>
          </w:tcPr>
          <w:p>
            <w:pPr>
              <w:ind w:left="3580"/>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2"/>
        </w:trPr>
        <w:tc>
          <w:tcPr>
            <w:tcW w:w="19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10.14.2**</w:t>
            </w:r>
          </w:p>
        </w:tc>
        <w:tc>
          <w:tcPr>
            <w:tcW w:w="8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De Soto Amendment to Commercial Lease Agreement, effective April 4, 2023, by and between Biodesix, Inc. and De Soto</w:t>
              </w:r>
            </w:hyperlink>
          </w:p>
        </w:tc>
        <w:tc>
          <w:tcPr>
            <w:tcW w:w="380" w:type="dxa"/>
            <w:vAlign w:val="bottom"/>
            <w:gridSpan w:val="9"/>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9060" w:type="dxa"/>
            <w:vAlign w:val="bottom"/>
            <w:tcBorders>
              <w:bottom w:val="single" w:sz="8" w:color="0000FF"/>
            </w:tcBorders>
            <w:gridSpan w:val="16"/>
          </w:tcPr>
          <w:p>
            <w:pPr>
              <w:spacing w:after="0" w:line="195"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Investments, LLC (incorporated by reference to Exhibit 10.2 to the Company's Quarterly Report on Form 10-Q filed with the</w:t>
              </w:r>
            </w:hyperlink>
          </w:p>
        </w:tc>
        <w:tc>
          <w:tcPr>
            <w:tcW w:w="220" w:type="dxa"/>
            <w:vAlign w:val="bottom"/>
            <w:gridSpan w:val="8"/>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4"/>
          </w:tcPr>
          <w:p>
            <w:pPr>
              <w:spacing w:after="0" w:line="195"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SEC on May 11, 2023).</w:t>
              </w:r>
            </w:hyperlink>
          </w:p>
        </w:tc>
      </w:tr>
      <w:tr>
        <w:trPr>
          <w:trHeight w:val="20"/>
        </w:trPr>
        <w:tc>
          <w:tcPr>
            <w:tcW w:w="196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10.15.1**</w:t>
            </w:r>
          </w:p>
        </w:tc>
        <w:tc>
          <w:tcPr>
            <w:tcW w:w="92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Lease agreement by and between Centennial Valley Properties I, LLC and Biodesix, Inc. dated March 11, 2022 (incorporated</w:t>
              </w:r>
            </w:hyperlink>
          </w:p>
        </w:tc>
        <w:tc>
          <w:tcPr>
            <w:tcW w:w="40" w:type="dxa"/>
            <w:vAlign w:val="bottom"/>
            <w:gridSpan w:val="2"/>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8460" w:type="dxa"/>
            <w:vAlign w:val="bottom"/>
            <w:tcBorders>
              <w:bottom w:val="single" w:sz="8" w:color="0000EE"/>
            </w:tcBorders>
            <w:gridSpan w:val="14"/>
          </w:tcPr>
          <w:p>
            <w:pPr>
              <w:spacing w:after="0" w:line="195"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by reference to Exhibit 10.1 to the Company’s Quarterly Report on Form 10-Q filed with the SEC on May 11, 2022).</w:t>
              </w:r>
            </w:hyperlink>
          </w:p>
        </w:tc>
        <w:tc>
          <w:tcPr>
            <w:tcW w:w="820" w:type="dxa"/>
            <w:vAlign w:val="bottom"/>
            <w:gridSpan w:val="10"/>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10.15.2**</w:t>
            </w:r>
          </w:p>
        </w:tc>
        <w:tc>
          <w:tcPr>
            <w:tcW w:w="91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First Amendment to Lease Agreement by and between Centennial Valley Properties I, LLC and Biodesix, Inc. dated March 11,</w:t>
              </w:r>
            </w:hyperlink>
          </w:p>
        </w:tc>
        <w:tc>
          <w:tcPr>
            <w:tcW w:w="100" w:type="dxa"/>
            <w:vAlign w:val="bottom"/>
            <w:gridSpan w:val="5"/>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4"/>
          </w:tcPr>
          <w:p>
            <w:pPr>
              <w:spacing w:after="0" w:line="195"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2022 (incorporated by reference to Exhibit 10.2 to the Company’s Quarterly Report on Form 10-Q filed with the SEC on May</w:t>
              </w:r>
            </w:hyperlink>
          </w:p>
        </w:tc>
      </w:tr>
      <w:tr>
        <w:trPr>
          <w:trHeight w:val="196"/>
        </w:trPr>
        <w:tc>
          <w:tcPr>
            <w:tcW w:w="1960" w:type="dxa"/>
            <w:vAlign w:val="bottom"/>
          </w:tcPr>
          <w:p>
            <w:pPr>
              <w:spacing w:after="0"/>
              <w:rPr>
                <w:sz w:val="17"/>
                <w:szCs w:val="17"/>
                <w:color w:val="auto"/>
              </w:rPr>
            </w:pPr>
          </w:p>
        </w:tc>
        <w:tc>
          <w:tcPr>
            <w:tcW w:w="740" w:type="dxa"/>
            <w:vAlign w:val="bottom"/>
            <w:tcBorders>
              <w:top w:val="single" w:sz="8" w:color="0000FF"/>
              <w:bottom w:val="single" w:sz="8" w:color="0000FF"/>
            </w:tcBorders>
          </w:tcPr>
          <w:p>
            <w:pPr>
              <w:spacing w:after="0" w:line="195" w:lineRule="exact"/>
              <w:rPr>
                <w:rFonts w:ascii="Times New Roman" w:cs="Times New Roman" w:eastAsia="Times New Roman" w:hAnsi="Times New Roman"/>
                <w:sz w:val="18"/>
                <w:szCs w:val="18"/>
                <w:color w:val="0000FF"/>
                <w:w w:val="97"/>
              </w:rPr>
            </w:pPr>
            <w:hyperlink r:id="rId187">
              <w:r>
                <w:rPr>
                  <w:rFonts w:ascii="Times New Roman" w:cs="Times New Roman" w:eastAsia="Times New Roman" w:hAnsi="Times New Roman"/>
                  <w:sz w:val="18"/>
                  <w:szCs w:val="18"/>
                  <w:color w:val="0000FF"/>
                  <w:w w:val="97"/>
                </w:rPr>
                <w:t>11,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48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8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37"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Patent Assignment between Biodesix, Inc., and Integrated Diagnostics, Inc., dated June 30, 2018 (incorporated by reference to</w:t>
              </w:r>
            </w:hyperlink>
          </w:p>
        </w:tc>
        <w:tc>
          <w:tcPr>
            <w:tcW w:w="80" w:type="dxa"/>
            <w:vAlign w:val="bottom"/>
            <w:gridSpan w:val="4"/>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7860" w:type="dxa"/>
            <w:vAlign w:val="bottom"/>
            <w:tcBorders>
              <w:bottom w:val="single" w:sz="8" w:color="0000FF"/>
            </w:tcBorders>
            <w:gridSpan w:val="11"/>
          </w:tcPr>
          <w:p>
            <w:pPr>
              <w:spacing w:after="0" w:line="195"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Exhibit 10.15 to the Company’s Registration Statement on Form S-1 filed with the SEC on October 2, 2020).</w:t>
              </w:r>
            </w:hyperlink>
          </w:p>
        </w:tc>
        <w:tc>
          <w:tcPr>
            <w:tcW w:w="1420" w:type="dxa"/>
            <w:vAlign w:val="bottom"/>
            <w:gridSpan w:val="13"/>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IP Assignment Agreement between Oncimmune Limited, and Biodesix, Inc., dated October 31, 2019 (incorporated by</w:t>
              </w:r>
            </w:hyperlink>
          </w:p>
        </w:tc>
        <w:tc>
          <w:tcPr>
            <w:tcW w:w="80" w:type="dxa"/>
            <w:vAlign w:val="bottom"/>
            <w:gridSpan w:val="4"/>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4"/>
          </w:tcPr>
          <w:p>
            <w:pPr>
              <w:spacing w:after="0" w:line="195"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reference to Exhibit 10.15 to the Company’s Registration Statement on Form S-1/A filed with the SEC on October 9, 2020).</w:t>
              </w:r>
            </w:hyperlink>
          </w:p>
        </w:tc>
      </w:tr>
      <w:tr>
        <w:trPr>
          <w:trHeight w:val="20"/>
        </w:trPr>
        <w:tc>
          <w:tcPr>
            <w:tcW w:w="1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92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IP License Agreement between Oncimmune Limited, and Biodesix, Inc., dated October 31, 2019 (incorporated by reference to</w:t>
              </w:r>
            </w:hyperlink>
          </w:p>
        </w:tc>
        <w:tc>
          <w:tcPr>
            <w:tcW w:w="6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8040" w:type="dxa"/>
            <w:vAlign w:val="bottom"/>
            <w:tcBorders>
              <w:bottom w:val="single" w:sz="8" w:color="0000FF"/>
            </w:tcBorders>
            <w:gridSpan w:val="12"/>
          </w:tcPr>
          <w:p>
            <w:pPr>
              <w:spacing w:after="0" w:line="195"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Exhibit 10.16 to the Company’s Registration Statement on Form S-1/A filed with the SEC on October 9, 2020).</w:t>
              </w:r>
            </w:hyperlink>
          </w:p>
        </w:tc>
        <w:tc>
          <w:tcPr>
            <w:tcW w:w="1240" w:type="dxa"/>
            <w:vAlign w:val="bottom"/>
            <w:gridSpan w:val="12"/>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9280" w:type="dxa"/>
            <w:vAlign w:val="bottom"/>
            <w:gridSpan w:val="24"/>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Non-Exclusive License Agreement between Bio-Rad Laboratories, Inc., and Biodesix, Inc., dated August 1, 2019 (incorporated</w:t>
              </w:r>
            </w:hyperlink>
          </w:p>
        </w:tc>
      </w:tr>
      <w:tr>
        <w:trPr>
          <w:trHeight w:val="196"/>
        </w:trPr>
        <w:tc>
          <w:tcPr>
            <w:tcW w:w="1960" w:type="dxa"/>
            <w:vAlign w:val="bottom"/>
          </w:tcPr>
          <w:p>
            <w:pPr>
              <w:spacing w:after="0"/>
              <w:rPr>
                <w:sz w:val="17"/>
                <w:szCs w:val="17"/>
                <w:color w:val="auto"/>
              </w:rPr>
            </w:pPr>
          </w:p>
        </w:tc>
        <w:tc>
          <w:tcPr>
            <w:tcW w:w="9160" w:type="dxa"/>
            <w:vAlign w:val="bottom"/>
            <w:tcBorders>
              <w:top w:val="single" w:sz="8" w:color="0000FF"/>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by reference to Exhibit 10.17 to the Company’s Registration Statement on Form S-1/A filed with the SEC on October 9, 2020).</w:t>
              </w:r>
            </w:hyperlink>
          </w:p>
        </w:tc>
        <w:tc>
          <w:tcPr>
            <w:tcW w:w="20" w:type="dxa"/>
            <w:vAlign w:val="bottom"/>
            <w:tcBorders>
              <w:top w:val="single" w:sz="8" w:color="0000FF"/>
              <w:bottom w:val="single" w:sz="8" w:color="0000EE"/>
            </w:tcBorders>
          </w:tcPr>
          <w:p>
            <w:pPr>
              <w:spacing w:after="0"/>
              <w:rPr>
                <w:sz w:val="17"/>
                <w:szCs w:val="17"/>
                <w:color w:val="auto"/>
              </w:rPr>
            </w:pPr>
          </w:p>
        </w:tc>
        <w:tc>
          <w:tcPr>
            <w:tcW w:w="0" w:type="dxa"/>
            <w:vAlign w:val="bottom"/>
            <w:tcBorders>
              <w:top w:val="single" w:sz="8" w:color="0000FF"/>
            </w:tcBorders>
            <w:gridSpan w:val="4"/>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9280" w:type="dxa"/>
            <w:vAlign w:val="bottom"/>
            <w:gridSpan w:val="24"/>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Supply Agreement between Biodesix, Inc., and Oncimmune, dated October 31, 2019 (incorporated by reference to Exhibit</w:t>
              </w:r>
            </w:hyperlink>
          </w:p>
        </w:tc>
      </w:tr>
      <w:tr>
        <w:trPr>
          <w:trHeight w:val="196"/>
        </w:trPr>
        <w:tc>
          <w:tcPr>
            <w:tcW w:w="1960" w:type="dxa"/>
            <w:vAlign w:val="bottom"/>
          </w:tcPr>
          <w:p>
            <w:pPr>
              <w:spacing w:after="0"/>
              <w:rPr>
                <w:sz w:val="17"/>
                <w:szCs w:val="17"/>
                <w:color w:val="auto"/>
              </w:rPr>
            </w:pPr>
          </w:p>
        </w:tc>
        <w:tc>
          <w:tcPr>
            <w:tcW w:w="7460" w:type="dxa"/>
            <w:vAlign w:val="bottom"/>
            <w:tcBorders>
              <w:top w:val="single" w:sz="8" w:color="0000FF"/>
              <w:bottom w:val="single" w:sz="8" w:color="0000FF"/>
            </w:tcBorders>
            <w:gridSpan w:val="9"/>
          </w:tcPr>
          <w:p>
            <w:pPr>
              <w:spacing w:after="0" w:line="195"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18</w:t>
              </w:r>
              <w:r>
                <w:rPr>
                  <w:rFonts w:ascii="Times New Roman" w:cs="Times New Roman" w:eastAsia="Times New Roman" w:hAnsi="Times New Roman"/>
                  <w:sz w:val="18"/>
                  <w:szCs w:val="18"/>
                  <w:color w:val="0000FF"/>
                  <w:w w:val="99"/>
                </w:rPr>
                <w:t xml:space="preserve"> to the Company’s Registration Statement on Form S-1/A filed with the SEC on October 9, 2020).</w:t>
              </w:r>
            </w:hyperlink>
          </w:p>
        </w:tc>
        <w:tc>
          <w:tcPr>
            <w:tcW w:w="20" w:type="dxa"/>
            <w:vAlign w:val="bottom"/>
            <w:tcBorders>
              <w:top w:val="single" w:sz="8" w:color="0000FF"/>
              <w:bottom w:val="single" w:sz="8" w:color="0000EE"/>
            </w:tcBorders>
          </w:tcPr>
          <w:p>
            <w:pPr>
              <w:spacing w:after="0"/>
              <w:rPr>
                <w:sz w:val="17"/>
                <w:szCs w:val="17"/>
                <w:color w:val="auto"/>
              </w:rPr>
            </w:pPr>
          </w:p>
        </w:tc>
        <w:tc>
          <w:tcPr>
            <w:tcW w:w="1700" w:type="dxa"/>
            <w:vAlign w:val="bottom"/>
            <w:tcBorders>
              <w:top w:val="single" w:sz="8" w:color="0000FF"/>
            </w:tcBorders>
            <w:gridSpan w:val="13"/>
          </w:tcPr>
          <w:p>
            <w:pPr>
              <w:spacing w:after="0"/>
              <w:rPr>
                <w:sz w:val="17"/>
                <w:szCs w:val="17"/>
                <w:color w:val="auto"/>
              </w:rPr>
            </w:pPr>
          </w:p>
        </w:tc>
        <w:tc>
          <w:tcPr>
            <w:tcW w:w="100" w:type="dxa"/>
            <w:vAlign w:val="bottom"/>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Supply Agreement between Bio-Rad Laboratories, Inc., and Biodesix, Inc., dated August 1, 2019 (incorporated by reference to</w:t>
              </w:r>
            </w:hyperlink>
          </w:p>
        </w:tc>
        <w:tc>
          <w:tcPr>
            <w:tcW w:w="80" w:type="dxa"/>
            <w:vAlign w:val="bottom"/>
            <w:gridSpan w:val="4"/>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8040" w:type="dxa"/>
            <w:vAlign w:val="bottom"/>
            <w:tcBorders>
              <w:bottom w:val="single" w:sz="8" w:color="0000FF"/>
            </w:tcBorders>
            <w:gridSpan w:val="12"/>
          </w:tcPr>
          <w:p>
            <w:pPr>
              <w:spacing w:after="0" w:line="195"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Exhibit 10.19 to the Company’s Registration Statement on Form S-1/A filed with the SEC on October 9, 2020).</w:t>
              </w:r>
            </w:hyperlink>
          </w:p>
        </w:tc>
        <w:tc>
          <w:tcPr>
            <w:tcW w:w="1240" w:type="dxa"/>
            <w:vAlign w:val="bottom"/>
            <w:gridSpan w:val="12"/>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91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Co-Development and Collaboration Agreement between AVEO Pharmaceuticals, Inc., and Biodesix, Inc., dated April 9, 2014,</w:t>
              </w:r>
            </w:hyperlink>
          </w:p>
        </w:tc>
        <w:tc>
          <w:tcPr>
            <w:tcW w:w="20" w:type="dxa"/>
            <w:vAlign w:val="bottom"/>
            <w:tcBorders>
              <w:bottom w:val="single" w:sz="8" w:color="0000EE"/>
            </w:tcBorders>
          </w:tcPr>
          <w:p>
            <w:pPr>
              <w:spacing w:after="0"/>
              <w:rPr>
                <w:sz w:val="24"/>
                <w:szCs w:val="24"/>
                <w:color w:val="auto"/>
              </w:rPr>
            </w:pPr>
          </w:p>
        </w:tc>
        <w:tc>
          <w:tcPr>
            <w:tcW w:w="80" w:type="dxa"/>
            <w:vAlign w:val="bottom"/>
            <w:gridSpan w:val="4"/>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4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as amended October 14, 2016 (incorporated by reference to Exhibit 10.20 to the Company’s Registration Statement on Form S-</w:t>
              </w:r>
            </w:hyperlink>
          </w:p>
        </w:tc>
        <w:tc>
          <w:tcPr>
            <w:tcW w:w="40" w:type="dxa"/>
            <w:vAlign w:val="bottom"/>
            <w:gridSpan w:val="2"/>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4"/>
          </w:tcPr>
          <w:p>
            <w:pPr>
              <w:spacing w:after="0" w:line="195"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1/A filed with the SEC on October 9, 2020).</w:t>
              </w:r>
            </w:hyperlink>
          </w:p>
        </w:tc>
      </w:tr>
      <w:tr>
        <w:trPr>
          <w:trHeight w:val="20"/>
        </w:trPr>
        <w:tc>
          <w:tcPr>
            <w:tcW w:w="1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92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10.23.1†**</w:t>
            </w:r>
          </w:p>
        </w:tc>
        <w:tc>
          <w:tcPr>
            <w:tcW w:w="92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Asset Purchase Agreement among Biodesix, Inc., Integrated Diagnostics, Inc., and the stockholders of Integrated Diagnostics,</w:t>
              </w:r>
            </w:hyperlink>
          </w:p>
        </w:tc>
        <w:tc>
          <w:tcPr>
            <w:tcW w:w="40" w:type="dxa"/>
            <w:vAlign w:val="bottom"/>
            <w:gridSpan w:val="2"/>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0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Inc., listed therein, dated June 30, 2018 (incorporated by reference to Exhibit 10.23 to the Company’s Registration Statement</w:t>
              </w:r>
            </w:hyperlink>
          </w:p>
        </w:tc>
        <w:tc>
          <w:tcPr>
            <w:tcW w:w="8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4"/>
          </w:tcPr>
          <w:p>
            <w:pPr>
              <w:spacing w:after="0" w:line="195"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on Form S-1 filed with the SEC on October 2, 2020).</w:t>
              </w:r>
            </w:hyperlink>
          </w:p>
        </w:tc>
      </w:tr>
      <w:tr>
        <w:trPr>
          <w:trHeight w:val="20"/>
        </w:trPr>
        <w:tc>
          <w:tcPr>
            <w:tcW w:w="1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56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10.23.2**</w:t>
            </w:r>
          </w:p>
        </w:tc>
        <w:tc>
          <w:tcPr>
            <w:tcW w:w="92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Amendment No. 2 to Asset Purchase Agreement and Plan of Reorganization (incorporated by reference to Exhibit 10.38 to the</w:t>
              </w:r>
            </w:hyperlink>
          </w:p>
        </w:tc>
        <w:tc>
          <w:tcPr>
            <w:tcW w:w="40" w:type="dxa"/>
            <w:vAlign w:val="bottom"/>
            <w:gridSpan w:val="2"/>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4"/>
          </w:tcPr>
          <w:p>
            <w:pPr>
              <w:spacing w:after="0" w:line="195"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Company's Form 10-Q filed with the SEC on August 10, 2021).</w:t>
              </w:r>
            </w:hyperlink>
          </w:p>
        </w:tc>
      </w:tr>
      <w:tr>
        <w:trPr>
          <w:trHeight w:val="20"/>
        </w:trPr>
        <w:tc>
          <w:tcPr>
            <w:tcW w:w="1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10.23.3**</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Amendment No. 3 to Asset Purchase Agreement and Plan of Reorganization (incorporated by reference to Exhibit 10.6 to the</w:t>
              </w:r>
            </w:hyperlink>
          </w:p>
        </w:tc>
        <w:tc>
          <w:tcPr>
            <w:tcW w:w="80" w:type="dxa"/>
            <w:vAlign w:val="bottom"/>
            <w:gridSpan w:val="4"/>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4"/>
          </w:tcPr>
          <w:p>
            <w:pPr>
              <w:spacing w:after="0" w:line="195"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Company's Form 10-Q filed with the SEC on May 11, 2022).</w:t>
              </w:r>
            </w:hyperlink>
          </w:p>
        </w:tc>
      </w:tr>
      <w:tr>
        <w:trPr>
          <w:trHeight w:val="20"/>
        </w:trPr>
        <w:tc>
          <w:tcPr>
            <w:tcW w:w="196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Asset Purchase Agreement between Oncimmune Limited and Biodesix, Inc., dated June 27, 2019, as amended to date</w:t>
              </w:r>
            </w:hyperlink>
          </w:p>
        </w:tc>
        <w:tc>
          <w:tcPr>
            <w:tcW w:w="80" w:type="dxa"/>
            <w:vAlign w:val="bottom"/>
            <w:gridSpan w:val="4"/>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00" w:type="dxa"/>
            <w:vAlign w:val="bottom"/>
            <w:tcBorders>
              <w:bottom w:val="single" w:sz="8" w:color="0000FF"/>
            </w:tcBorders>
            <w:gridSpan w:val="20"/>
          </w:tcPr>
          <w:p>
            <w:pPr>
              <w:spacing w:after="0" w:line="195"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(incorporated by reference to Exhibit 10.24 to the Company’s Registration Statement on Form S-1 filed with the SEC on</w:t>
              </w:r>
            </w:hyperlink>
          </w:p>
        </w:tc>
        <w:tc>
          <w:tcPr>
            <w:tcW w:w="80" w:type="dxa"/>
            <w:vAlign w:val="bottom"/>
            <w:gridSpan w:val="4"/>
          </w:tcPr>
          <w:p>
            <w:pPr>
              <w:spacing w:after="0"/>
              <w:rPr>
                <w:sz w:val="17"/>
                <w:szCs w:val="17"/>
                <w:color w:val="auto"/>
              </w:rPr>
            </w:pPr>
          </w:p>
        </w:tc>
      </w:tr>
      <w:tr>
        <w:trPr>
          <w:trHeight w:val="196"/>
        </w:trPr>
        <w:tc>
          <w:tcPr>
            <w:tcW w:w="1960" w:type="dxa"/>
            <w:vAlign w:val="bottom"/>
          </w:tcPr>
          <w:p>
            <w:pPr>
              <w:spacing w:after="0"/>
              <w:rPr>
                <w:sz w:val="17"/>
                <w:szCs w:val="17"/>
                <w:color w:val="auto"/>
              </w:rPr>
            </w:pPr>
          </w:p>
        </w:tc>
        <w:tc>
          <w:tcPr>
            <w:tcW w:w="128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October 2, 2020).</w:t>
              </w:r>
            </w:hyperlink>
          </w:p>
        </w:tc>
        <w:tc>
          <w:tcPr>
            <w:tcW w:w="8000" w:type="dxa"/>
            <w:vAlign w:val="bottom"/>
            <w:gridSpan w:val="21"/>
          </w:tcPr>
          <w:p>
            <w:pPr>
              <w:spacing w:after="0"/>
              <w:rPr>
                <w:sz w:val="17"/>
                <w:szCs w:val="17"/>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92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First Amendment to the Non-Exclusive License Agreement between Bio-Rad Laboratories, Inc., and Biodesix, Inc., dated May</w:t>
              </w:r>
            </w:hyperlink>
          </w:p>
        </w:tc>
        <w:tc>
          <w:tcPr>
            <w:tcW w:w="60" w:type="dxa"/>
            <w:vAlign w:val="bottom"/>
            <w:gridSpan w:val="3"/>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4"/>
          </w:tcPr>
          <w:p>
            <w:pPr>
              <w:spacing w:after="0" w:line="195"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24, 2021 (incorporated by reference to Exhibit 10.37 to the Company's Form 10-Q filed with the SEC on August 10, 2021).</w:t>
              </w:r>
            </w:hyperlink>
          </w:p>
        </w:tc>
      </w:tr>
      <w:tr>
        <w:trPr>
          <w:trHeight w:val="20"/>
        </w:trPr>
        <w:tc>
          <w:tcPr>
            <w:tcW w:w="1960" w:type="dxa"/>
            <w:vAlign w:val="bottom"/>
          </w:tcPr>
          <w:p>
            <w:pPr>
              <w:spacing w:after="0" w:line="20" w:lineRule="exact"/>
              <w:rPr>
                <w:sz w:val="1"/>
                <w:szCs w:val="1"/>
                <w:color w:val="auto"/>
              </w:rPr>
            </w:pPr>
          </w:p>
        </w:tc>
        <w:tc>
          <w:tcPr>
            <w:tcW w:w="8140" w:type="dxa"/>
            <w:vAlign w:val="bottom"/>
            <w:tcBorders>
              <w:right w:val="single" w:sz="8" w:color="0000FF"/>
            </w:tcBorders>
            <w:gridSpan w:val="13"/>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10.26**</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Purchase Agreement, dated March 7, 2022, by and between Biodesix, Inc. and Lincoln Park Capital Fund, LLC (incorporated</w:t>
              </w:r>
            </w:hyperlink>
          </w:p>
        </w:tc>
        <w:tc>
          <w:tcPr>
            <w:tcW w:w="80" w:type="dxa"/>
            <w:vAlign w:val="bottom"/>
            <w:gridSpan w:val="4"/>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4"/>
          </w:tcPr>
          <w:p>
            <w:pPr>
              <w:spacing w:after="0" w:line="195"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by reference to Exhibit 10.1 to the Company's current report on Form 8-K filed with the SEC on March 7, 2022).</w:t>
              </w:r>
            </w:hyperlink>
          </w:p>
        </w:tc>
      </w:tr>
      <w:tr>
        <w:trPr>
          <w:trHeight w:val="20"/>
        </w:trPr>
        <w:tc>
          <w:tcPr>
            <w:tcW w:w="1960" w:type="dxa"/>
            <w:vAlign w:val="bottom"/>
          </w:tcPr>
          <w:p>
            <w:pPr>
              <w:spacing w:after="0" w:line="20" w:lineRule="exact"/>
              <w:rPr>
                <w:sz w:val="1"/>
                <w:szCs w:val="1"/>
                <w:color w:val="auto"/>
              </w:rPr>
            </w:pPr>
          </w:p>
        </w:tc>
        <w:tc>
          <w:tcPr>
            <w:tcW w:w="8140" w:type="dxa"/>
            <w:vAlign w:val="bottom"/>
            <w:tcBorders>
              <w:right w:val="single" w:sz="8" w:color="0000EE"/>
            </w:tcBorders>
            <w:gridSpan w:val="13"/>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1"/>
        </w:trPr>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10.27**</w:t>
            </w:r>
          </w:p>
        </w:tc>
        <w:tc>
          <w:tcPr>
            <w:tcW w:w="92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Registration Rights Agreement, dated March 7, 2022, by and between Biodesix, Inc. and Lincoln Park Capital Fund, LLC</w:t>
              </w:r>
            </w:hyperlink>
          </w:p>
        </w:tc>
        <w:tc>
          <w:tcPr>
            <w:tcW w:w="80" w:type="dxa"/>
            <w:vAlign w:val="bottom"/>
            <w:gridSpan w:val="4"/>
          </w:tcPr>
          <w:p>
            <w:pPr>
              <w:spacing w:after="0"/>
              <w:rPr>
                <w:sz w:val="24"/>
                <w:szCs w:val="24"/>
                <w:color w:val="auto"/>
              </w:rPr>
            </w:pPr>
          </w:p>
        </w:tc>
      </w:tr>
      <w:tr>
        <w:trPr>
          <w:trHeight w:val="196"/>
        </w:trPr>
        <w:tc>
          <w:tcPr>
            <w:tcW w:w="1960" w:type="dxa"/>
            <w:vAlign w:val="bottom"/>
          </w:tcPr>
          <w:p>
            <w:pPr>
              <w:spacing w:after="0"/>
              <w:rPr>
                <w:sz w:val="17"/>
                <w:szCs w:val="17"/>
                <w:color w:val="auto"/>
              </w:rPr>
            </w:pPr>
          </w:p>
        </w:tc>
        <w:tc>
          <w:tcPr>
            <w:tcW w:w="9280" w:type="dxa"/>
            <w:vAlign w:val="bottom"/>
            <w:gridSpan w:val="24"/>
          </w:tcPr>
          <w:p>
            <w:pPr>
              <w:spacing w:after="0" w:line="195"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(incorporated by reference to Exhibit 10.2 to the Company's current report on Form 8-K filed with the SEC on March 7, 2022).</w:t>
              </w:r>
            </w:hyperlink>
          </w:p>
        </w:tc>
      </w:tr>
      <w:tr>
        <w:trPr>
          <w:trHeight w:val="573"/>
        </w:trPr>
        <w:tc>
          <w:tcPr>
            <w:tcW w:w="1960" w:type="dxa"/>
            <w:vAlign w:val="bottom"/>
          </w:tcPr>
          <w:p>
            <w:pPr>
              <w:spacing w:after="0"/>
              <w:rPr>
                <w:sz w:val="24"/>
                <w:szCs w:val="24"/>
                <w:color w:val="auto"/>
              </w:rPr>
            </w:pPr>
          </w:p>
        </w:tc>
        <w:tc>
          <w:tcPr>
            <w:tcW w:w="3840" w:type="dxa"/>
            <w:vAlign w:val="bottom"/>
            <w:tcBorders>
              <w:top w:val="single" w:sz="8" w:color="0000FF"/>
            </w:tcBorders>
            <w:gridSpan w:val="6"/>
          </w:tcPr>
          <w:p>
            <w:pPr>
              <w:ind w:left="3580"/>
              <w:spacing w:after="0"/>
              <w:rPr>
                <w:sz w:val="20"/>
                <w:szCs w:val="20"/>
                <w:color w:val="auto"/>
              </w:rPr>
            </w:pPr>
            <w:r>
              <w:rPr>
                <w:rFonts w:ascii="Times New Roman" w:cs="Times New Roman" w:eastAsia="Times New Roman" w:hAnsi="Times New Roman"/>
                <w:sz w:val="18"/>
                <w:szCs w:val="18"/>
                <w:color w:val="auto"/>
              </w:rPr>
              <w:t>97</w:t>
            </w:r>
          </w:p>
        </w:tc>
        <w:tc>
          <w:tcPr>
            <w:tcW w:w="5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19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37"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99" w:name="page100"/>
    <w:bookmarkEnd w:id="99"/>
    <w:tbl>
      <w:tblPr>
        <w:tblLayout w:type="fixed"/>
        <w:tblInd w:w="100" w:type="dxa"/>
        <w:tblCellMar>
          <w:top w:w="0" w:type="dxa"/>
          <w:left w:w="0" w:type="dxa"/>
          <w:bottom w:w="0" w:type="dxa"/>
          <w:right w:w="0" w:type="dxa"/>
        </w:tblCellMar>
      </w:tblPr>
      <w:tr>
        <w:trPr>
          <w:trHeight w:val="207"/>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9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Form of Subscription Agreement with resale registration rights provision, dated April 7, 2022 (incorporated by reference to</w:t>
              </w:r>
            </w:hyperlink>
          </w:p>
        </w:tc>
      </w:tr>
      <w:tr>
        <w:trPr>
          <w:trHeight w:val="196"/>
        </w:trPr>
        <w:tc>
          <w:tcPr>
            <w:tcW w:w="1860" w:type="dxa"/>
            <w:vAlign w:val="bottom"/>
          </w:tcPr>
          <w:p>
            <w:pPr>
              <w:spacing w:after="0"/>
              <w:rPr>
                <w:sz w:val="17"/>
                <w:szCs w:val="17"/>
                <w:color w:val="auto"/>
              </w:rPr>
            </w:pPr>
          </w:p>
        </w:tc>
        <w:tc>
          <w:tcPr>
            <w:tcW w:w="7000" w:type="dxa"/>
            <w:vAlign w:val="bottom"/>
            <w:tcBorders>
              <w:bottom w:val="single" w:sz="8" w:color="0000FF"/>
            </w:tcBorders>
            <w:gridSpan w:val="18"/>
          </w:tcPr>
          <w:p>
            <w:pPr>
              <w:spacing w:after="0" w:line="195"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Exhibit 10.1 to the Company's current report on Form 8-K filed with the SEC on April 11, 2022).</w:t>
              </w:r>
            </w:hyperlink>
          </w:p>
        </w:tc>
        <w:tc>
          <w:tcPr>
            <w:tcW w:w="20" w:type="dxa"/>
            <w:vAlign w:val="bottom"/>
            <w:tcBorders>
              <w:bottom w:val="single" w:sz="8" w:color="0000EE"/>
            </w:tcBorders>
          </w:tcPr>
          <w:p>
            <w:pPr>
              <w:spacing w:after="0"/>
              <w:rPr>
                <w:sz w:val="17"/>
                <w:szCs w:val="17"/>
                <w:color w:val="auto"/>
              </w:rPr>
            </w:pPr>
          </w:p>
        </w:tc>
        <w:tc>
          <w:tcPr>
            <w:tcW w:w="2160" w:type="dxa"/>
            <w:vAlign w:val="bottom"/>
            <w:gridSpan w:val="5"/>
          </w:tcPr>
          <w:p>
            <w:pPr>
              <w:spacing w:after="0"/>
              <w:rPr>
                <w:sz w:val="17"/>
                <w:szCs w:val="17"/>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9180" w:type="dxa"/>
            <w:vAlign w:val="bottom"/>
            <w:gridSpan w:val="24"/>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Subscription Agreement without registration rights, entered by the three members of our Board of Directors, dated</w:t>
              </w:r>
            </w:hyperlink>
          </w:p>
        </w:tc>
      </w:tr>
      <w:tr>
        <w:trPr>
          <w:trHeight w:val="20"/>
        </w:trPr>
        <w:tc>
          <w:tcPr>
            <w:tcW w:w="18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860" w:type="dxa"/>
            <w:vAlign w:val="bottom"/>
          </w:tcPr>
          <w:p>
            <w:pPr>
              <w:spacing w:after="0"/>
              <w:rPr>
                <w:sz w:val="17"/>
                <w:szCs w:val="17"/>
                <w:color w:val="auto"/>
              </w:rPr>
            </w:pPr>
          </w:p>
        </w:tc>
        <w:tc>
          <w:tcPr>
            <w:tcW w:w="918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April 7, 2022 (incorporated by reference to Exhibit 10.2 to the Company's current report on Form 8-K filed with the SEC on</w:t>
              </w:r>
            </w:hyperlink>
          </w:p>
        </w:tc>
      </w:tr>
      <w:tr>
        <w:trPr>
          <w:trHeight w:val="196"/>
        </w:trPr>
        <w:tc>
          <w:tcPr>
            <w:tcW w:w="1860" w:type="dxa"/>
            <w:vAlign w:val="bottom"/>
          </w:tcPr>
          <w:p>
            <w:pPr>
              <w:spacing w:after="0"/>
              <w:rPr>
                <w:sz w:val="17"/>
                <w:szCs w:val="17"/>
                <w:color w:val="auto"/>
              </w:rPr>
            </w:pPr>
          </w:p>
        </w:tc>
        <w:tc>
          <w:tcPr>
            <w:tcW w:w="1160" w:type="dxa"/>
            <w:vAlign w:val="bottom"/>
            <w:tcBorders>
              <w:bottom w:val="single" w:sz="8" w:color="0000FF"/>
            </w:tcBorders>
            <w:gridSpan w:val="3"/>
          </w:tcPr>
          <w:p>
            <w:pPr>
              <w:spacing w:after="0" w:line="195" w:lineRule="exact"/>
              <w:rPr>
                <w:rFonts w:ascii="Times New Roman" w:cs="Times New Roman" w:eastAsia="Times New Roman" w:hAnsi="Times New Roman"/>
                <w:sz w:val="18"/>
                <w:szCs w:val="18"/>
                <w:color w:val="0000FF"/>
                <w:w w:val="98"/>
              </w:rPr>
            </w:pPr>
            <w:hyperlink r:id="rId205">
              <w:r>
                <w:rPr>
                  <w:rFonts w:ascii="Times New Roman" w:cs="Times New Roman" w:eastAsia="Times New Roman" w:hAnsi="Times New Roman"/>
                  <w:sz w:val="18"/>
                  <w:szCs w:val="18"/>
                  <w:color w:val="0000FF"/>
                  <w:w w:val="98"/>
                </w:rPr>
                <w:t>April 11, 2022).</w:t>
              </w:r>
            </w:hyperlink>
          </w:p>
        </w:tc>
        <w:tc>
          <w:tcPr>
            <w:tcW w:w="20" w:type="dxa"/>
            <w:vAlign w:val="bottom"/>
            <w:tcBorders>
              <w:bottom w:val="single" w:sz="8" w:color="0000EE"/>
            </w:tcBorders>
          </w:tcPr>
          <w:p>
            <w:pPr>
              <w:spacing w:after="0"/>
              <w:rPr>
                <w:sz w:val="17"/>
                <w:szCs w:val="17"/>
                <w:color w:val="auto"/>
              </w:rPr>
            </w:pPr>
          </w:p>
        </w:tc>
        <w:tc>
          <w:tcPr>
            <w:tcW w:w="8000" w:type="dxa"/>
            <w:vAlign w:val="bottom"/>
            <w:gridSpan w:val="20"/>
          </w:tcPr>
          <w:p>
            <w:pPr>
              <w:spacing w:after="0"/>
              <w:rPr>
                <w:sz w:val="17"/>
                <w:szCs w:val="17"/>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9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Credit Agreement and Guaranty, dated as of November 16, 2022, by and among the Company and Perceptive Credit Holdings</w:t>
              </w:r>
            </w:hyperlink>
          </w:p>
        </w:tc>
      </w:tr>
      <w:tr>
        <w:trPr>
          <w:trHeight w:val="196"/>
        </w:trPr>
        <w:tc>
          <w:tcPr>
            <w:tcW w:w="1860" w:type="dxa"/>
            <w:vAlign w:val="bottom"/>
          </w:tcPr>
          <w:p>
            <w:pPr>
              <w:spacing w:after="0"/>
              <w:rPr>
                <w:sz w:val="17"/>
                <w:szCs w:val="17"/>
                <w:color w:val="auto"/>
              </w:rPr>
            </w:pPr>
          </w:p>
        </w:tc>
        <w:tc>
          <w:tcPr>
            <w:tcW w:w="918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IV, LP. (incorporated by reference to Exhibit 10.1 to the Company's current report on Form 8-K filed with the SEC on</w:t>
              </w:r>
            </w:hyperlink>
          </w:p>
        </w:tc>
      </w:tr>
      <w:tr>
        <w:trPr>
          <w:trHeight w:val="196"/>
        </w:trPr>
        <w:tc>
          <w:tcPr>
            <w:tcW w:w="1860" w:type="dxa"/>
            <w:vAlign w:val="bottom"/>
          </w:tcPr>
          <w:p>
            <w:pPr>
              <w:spacing w:after="0"/>
              <w:rPr>
                <w:sz w:val="17"/>
                <w:szCs w:val="17"/>
                <w:color w:val="auto"/>
              </w:rPr>
            </w:pPr>
          </w:p>
        </w:tc>
        <w:tc>
          <w:tcPr>
            <w:tcW w:w="9180" w:type="dxa"/>
            <w:vAlign w:val="bottom"/>
            <w:gridSpan w:val="24"/>
          </w:tcPr>
          <w:p>
            <w:pPr>
              <w:spacing w:after="0" w:line="195"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November 21, 2022).</w:t>
              </w:r>
            </w:hyperlink>
          </w:p>
        </w:tc>
      </w:tr>
      <w:tr>
        <w:trPr>
          <w:trHeight w:val="20"/>
        </w:trPr>
        <w:tc>
          <w:tcPr>
            <w:tcW w:w="18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9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Limited Waiver, dated April 7, 2023, by and between Biodesix, Inc. and Perceptive Credit Holdings IV, LP (incorporated by</w:t>
              </w:r>
            </w:hyperlink>
          </w:p>
        </w:tc>
      </w:tr>
      <w:tr>
        <w:trPr>
          <w:trHeight w:val="196"/>
        </w:trPr>
        <w:tc>
          <w:tcPr>
            <w:tcW w:w="1860" w:type="dxa"/>
            <w:vAlign w:val="bottom"/>
          </w:tcPr>
          <w:p>
            <w:pPr>
              <w:spacing w:after="0"/>
              <w:rPr>
                <w:sz w:val="17"/>
                <w:szCs w:val="17"/>
                <w:color w:val="auto"/>
              </w:rPr>
            </w:pPr>
          </w:p>
        </w:tc>
        <w:tc>
          <w:tcPr>
            <w:tcW w:w="8180" w:type="dxa"/>
            <w:vAlign w:val="bottom"/>
            <w:tcBorders>
              <w:bottom w:val="single" w:sz="8" w:color="0000FF"/>
            </w:tcBorders>
            <w:gridSpan w:val="21"/>
          </w:tcPr>
          <w:p>
            <w:pPr>
              <w:spacing w:after="0" w:line="195"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reference to Exhibit 10.1 to the Company's Quarterly Report on Form 10-Q filed with the SEC on May 11, 2023).</w:t>
              </w:r>
            </w:hyperlink>
          </w:p>
        </w:tc>
        <w:tc>
          <w:tcPr>
            <w:tcW w:w="20" w:type="dxa"/>
            <w:vAlign w:val="bottom"/>
            <w:tcBorders>
              <w:bottom w:val="single" w:sz="8" w:color="0000EE"/>
            </w:tcBorders>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9180" w:type="dxa"/>
            <w:vAlign w:val="bottom"/>
            <w:gridSpan w:val="24"/>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First Amendment to Credit Agreement and Guaranty, dated May 10, 2023, by and among the Company and Perceptive Credit</w:t>
              </w:r>
            </w:hyperlink>
          </w:p>
        </w:tc>
      </w:tr>
      <w:tr>
        <w:trPr>
          <w:trHeight w:val="20"/>
        </w:trPr>
        <w:tc>
          <w:tcPr>
            <w:tcW w:w="18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4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r>
      <w:tr>
        <w:trPr>
          <w:trHeight w:val="196"/>
        </w:trPr>
        <w:tc>
          <w:tcPr>
            <w:tcW w:w="1860" w:type="dxa"/>
            <w:vAlign w:val="bottom"/>
          </w:tcPr>
          <w:p>
            <w:pPr>
              <w:spacing w:after="0"/>
              <w:rPr>
                <w:sz w:val="17"/>
                <w:szCs w:val="17"/>
                <w:color w:val="auto"/>
              </w:rPr>
            </w:pPr>
          </w:p>
        </w:tc>
        <w:tc>
          <w:tcPr>
            <w:tcW w:w="918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Holdings IV, LP (incorporated by reference to Exhibit 10.3 to the Company's Quarterly Report on Form 10-Q filed with the</w:t>
              </w:r>
            </w:hyperlink>
          </w:p>
        </w:tc>
      </w:tr>
      <w:tr>
        <w:trPr>
          <w:trHeight w:val="196"/>
        </w:trPr>
        <w:tc>
          <w:tcPr>
            <w:tcW w:w="1860" w:type="dxa"/>
            <w:vAlign w:val="bottom"/>
          </w:tcPr>
          <w:p>
            <w:pPr>
              <w:spacing w:after="0"/>
              <w:rPr>
                <w:sz w:val="17"/>
                <w:szCs w:val="17"/>
                <w:color w:val="auto"/>
              </w:rPr>
            </w:pPr>
          </w:p>
        </w:tc>
        <w:tc>
          <w:tcPr>
            <w:tcW w:w="9180" w:type="dxa"/>
            <w:vAlign w:val="bottom"/>
            <w:gridSpan w:val="24"/>
          </w:tcPr>
          <w:p>
            <w:pPr>
              <w:spacing w:after="0" w:line="195"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SEC on May 11, 2023).</w:t>
              </w:r>
            </w:hyperlink>
          </w:p>
        </w:tc>
      </w:tr>
      <w:tr>
        <w:trPr>
          <w:trHeight w:val="20"/>
        </w:trPr>
        <w:tc>
          <w:tcPr>
            <w:tcW w:w="18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89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Second Amendment to Credit Agreement and Guaranty, dated August 4, 2023, by and among the Company and Perceptive</w:t>
              </w:r>
            </w:hyperlink>
          </w:p>
        </w:tc>
        <w:tc>
          <w:tcPr>
            <w:tcW w:w="280" w:type="dxa"/>
            <w:vAlign w:val="bottom"/>
          </w:tcPr>
          <w:p>
            <w:pPr>
              <w:spacing w:after="0"/>
              <w:rPr>
                <w:sz w:val="24"/>
                <w:szCs w:val="24"/>
                <w:color w:val="auto"/>
              </w:rPr>
            </w:pPr>
          </w:p>
        </w:tc>
      </w:tr>
      <w:tr>
        <w:trPr>
          <w:trHeight w:val="196"/>
        </w:trPr>
        <w:tc>
          <w:tcPr>
            <w:tcW w:w="1860" w:type="dxa"/>
            <w:vAlign w:val="bottom"/>
          </w:tcPr>
          <w:p>
            <w:pPr>
              <w:spacing w:after="0"/>
              <w:rPr>
                <w:sz w:val="17"/>
                <w:szCs w:val="17"/>
                <w:color w:val="auto"/>
              </w:rPr>
            </w:pPr>
          </w:p>
        </w:tc>
        <w:tc>
          <w:tcPr>
            <w:tcW w:w="918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Credit Holdings IV, LP (incorporated by reference to Exhibit 10.2 to the Company's Quarterly Report on Form 10-Q filed with</w:t>
              </w:r>
            </w:hyperlink>
          </w:p>
        </w:tc>
      </w:tr>
      <w:tr>
        <w:trPr>
          <w:trHeight w:val="196"/>
        </w:trPr>
        <w:tc>
          <w:tcPr>
            <w:tcW w:w="1860" w:type="dxa"/>
            <w:vAlign w:val="bottom"/>
          </w:tcPr>
          <w:p>
            <w:pPr>
              <w:spacing w:after="0"/>
              <w:rPr>
                <w:sz w:val="17"/>
                <w:szCs w:val="17"/>
                <w:color w:val="auto"/>
              </w:rPr>
            </w:pPr>
          </w:p>
        </w:tc>
        <w:tc>
          <w:tcPr>
            <w:tcW w:w="2080" w:type="dxa"/>
            <w:vAlign w:val="bottom"/>
            <w:tcBorders>
              <w:bottom w:val="single" w:sz="8" w:color="0000FF"/>
            </w:tcBorders>
            <w:gridSpan w:val="8"/>
          </w:tcPr>
          <w:p>
            <w:pPr>
              <w:spacing w:after="0" w:line="195"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the SEC on August 7, 2023).</w:t>
              </w:r>
            </w:hyperlink>
          </w:p>
        </w:tc>
        <w:tc>
          <w:tcPr>
            <w:tcW w:w="40" w:type="dxa"/>
            <w:vAlign w:val="bottom"/>
            <w:tcBorders>
              <w:bottom w:val="single" w:sz="8" w:color="0000EE"/>
            </w:tcBorders>
          </w:tcPr>
          <w:p>
            <w:pPr>
              <w:spacing w:after="0"/>
              <w:rPr>
                <w:sz w:val="17"/>
                <w:szCs w:val="17"/>
                <w:color w:val="auto"/>
              </w:rPr>
            </w:pPr>
          </w:p>
        </w:tc>
        <w:tc>
          <w:tcPr>
            <w:tcW w:w="7060" w:type="dxa"/>
            <w:vAlign w:val="bottom"/>
            <w:gridSpan w:val="15"/>
          </w:tcPr>
          <w:p>
            <w:pPr>
              <w:spacing w:after="0"/>
              <w:rPr>
                <w:sz w:val="17"/>
                <w:szCs w:val="17"/>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80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Limited Waiver, dated February 14, 2024, by and between Biodesix, Inc. and Perceptive Credit Holdings IV, LP</w:t>
            </w:r>
          </w:p>
        </w:tc>
        <w:tc>
          <w:tcPr>
            <w:tcW w:w="1120" w:type="dxa"/>
            <w:vAlign w:val="bottom"/>
            <w:gridSpan w:val="4"/>
          </w:tcPr>
          <w:p>
            <w:pPr>
              <w:spacing w:after="0"/>
              <w:rPr>
                <w:sz w:val="24"/>
                <w:szCs w:val="24"/>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1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Third Amendment to Credit Agreement and Guaranty, dated February 29, 2024, by and among the Company and Perceptive</w:t>
            </w:r>
          </w:p>
        </w:tc>
      </w:tr>
      <w:tr>
        <w:trPr>
          <w:trHeight w:val="196"/>
        </w:trPr>
        <w:tc>
          <w:tcPr>
            <w:tcW w:w="1860" w:type="dxa"/>
            <w:vAlign w:val="bottom"/>
          </w:tcPr>
          <w:p>
            <w:pPr>
              <w:spacing w:after="0"/>
              <w:rPr>
                <w:sz w:val="17"/>
                <w:szCs w:val="17"/>
                <w:color w:val="auto"/>
              </w:rPr>
            </w:pPr>
          </w:p>
        </w:tc>
        <w:tc>
          <w:tcPr>
            <w:tcW w:w="174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FF"/>
                <w:w w:val="99"/>
              </w:rPr>
              <w:t>Credit Holdings IV, LP.</w:t>
            </w:r>
          </w:p>
        </w:tc>
        <w:tc>
          <w:tcPr>
            <w:tcW w:w="7440" w:type="dxa"/>
            <w:vAlign w:val="bottom"/>
            <w:gridSpan w:val="17"/>
          </w:tcPr>
          <w:p>
            <w:pPr>
              <w:spacing w:after="0"/>
              <w:rPr>
                <w:sz w:val="17"/>
                <w:szCs w:val="17"/>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Security Agreement, dated as of November 21, 2022, by and among the Company and Perceptive Credit Holdings IV, LP.</w:t>
              </w:r>
            </w:hyperlink>
          </w:p>
        </w:tc>
      </w:tr>
      <w:tr>
        <w:trPr>
          <w:trHeight w:val="196"/>
        </w:trPr>
        <w:tc>
          <w:tcPr>
            <w:tcW w:w="1860" w:type="dxa"/>
            <w:vAlign w:val="bottom"/>
          </w:tcPr>
          <w:p>
            <w:pPr>
              <w:spacing w:after="0"/>
              <w:rPr>
                <w:sz w:val="17"/>
                <w:szCs w:val="17"/>
                <w:color w:val="auto"/>
              </w:rPr>
            </w:pPr>
          </w:p>
        </w:tc>
        <w:tc>
          <w:tcPr>
            <w:tcW w:w="9180" w:type="dxa"/>
            <w:vAlign w:val="bottom"/>
            <w:tcBorders>
              <w:bottom w:val="single" w:sz="8" w:color="0000FF"/>
            </w:tcBorders>
            <w:gridSpan w:val="24"/>
          </w:tcPr>
          <w:p>
            <w:pPr>
              <w:spacing w:after="0" w:line="195"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(incorporated by reference to Exhibit 10.2 to the Company's current report on Form 8-K filed with the SEC on November 21,</w:t>
              </w:r>
            </w:hyperlink>
          </w:p>
        </w:tc>
      </w:tr>
      <w:tr>
        <w:trPr>
          <w:trHeight w:val="196"/>
        </w:trPr>
        <w:tc>
          <w:tcPr>
            <w:tcW w:w="1860" w:type="dxa"/>
            <w:vAlign w:val="bottom"/>
          </w:tcPr>
          <w:p>
            <w:pPr>
              <w:spacing w:after="0"/>
              <w:rPr>
                <w:sz w:val="17"/>
                <w:szCs w:val="17"/>
                <w:color w:val="auto"/>
              </w:rPr>
            </w:pPr>
          </w:p>
        </w:tc>
        <w:tc>
          <w:tcPr>
            <w:tcW w:w="460" w:type="dxa"/>
            <w:vAlign w:val="bottom"/>
            <w:tcBorders>
              <w:bottom w:val="single" w:sz="8" w:color="0000FF"/>
            </w:tcBorders>
          </w:tcPr>
          <w:p>
            <w:pPr>
              <w:spacing w:after="0" w:line="195" w:lineRule="exact"/>
              <w:rPr>
                <w:rFonts w:ascii="Times New Roman" w:cs="Times New Roman" w:eastAsia="Times New Roman" w:hAnsi="Times New Roman"/>
                <w:sz w:val="18"/>
                <w:szCs w:val="18"/>
                <w:color w:val="0000FF"/>
                <w:w w:val="94"/>
              </w:rPr>
            </w:pPr>
            <w:hyperlink r:id="rId209">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9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Form of Subscription Agreement, dated November 21, 2022 (incorporated by reference to Exhibit 10.3 to the Company's</w:t>
              </w:r>
            </w:hyperlink>
          </w:p>
        </w:tc>
      </w:tr>
      <w:tr>
        <w:trPr>
          <w:trHeight w:val="196"/>
        </w:trPr>
        <w:tc>
          <w:tcPr>
            <w:tcW w:w="1860" w:type="dxa"/>
            <w:vAlign w:val="bottom"/>
          </w:tcPr>
          <w:p>
            <w:pPr>
              <w:spacing w:after="0"/>
              <w:rPr>
                <w:sz w:val="17"/>
                <w:szCs w:val="17"/>
                <w:color w:val="auto"/>
              </w:rPr>
            </w:pPr>
          </w:p>
        </w:tc>
        <w:tc>
          <w:tcPr>
            <w:tcW w:w="5160" w:type="dxa"/>
            <w:vAlign w:val="bottom"/>
            <w:tcBorders>
              <w:bottom w:val="single" w:sz="8" w:color="0000FF"/>
            </w:tcBorders>
            <w:gridSpan w:val="15"/>
          </w:tcPr>
          <w:p>
            <w:pPr>
              <w:spacing w:after="0" w:line="195" w:lineRule="exact"/>
              <w:rPr>
                <w:rFonts w:ascii="Times New Roman" w:cs="Times New Roman" w:eastAsia="Times New Roman" w:hAnsi="Times New Roman"/>
                <w:sz w:val="18"/>
                <w:szCs w:val="18"/>
                <w:color w:val="0000FF"/>
                <w:w w:val="99"/>
              </w:rPr>
            </w:pPr>
            <w:hyperlink r:id="rId210">
              <w:r>
                <w:rPr>
                  <w:rFonts w:ascii="Times New Roman" w:cs="Times New Roman" w:eastAsia="Times New Roman" w:hAnsi="Times New Roman"/>
                  <w:sz w:val="18"/>
                  <w:szCs w:val="18"/>
                  <w:color w:val="0000FF"/>
                  <w:w w:val="99"/>
                </w:rPr>
                <w:t>current report on Form 8-K filed with the SEC on November 21, 2022).</w:t>
              </w:r>
            </w:hyperlink>
          </w:p>
        </w:tc>
        <w:tc>
          <w:tcPr>
            <w:tcW w:w="20" w:type="dxa"/>
            <w:vAlign w:val="bottom"/>
            <w:tcBorders>
              <w:bottom w:val="single" w:sz="8" w:color="0000EE"/>
            </w:tcBorders>
          </w:tcPr>
          <w:p>
            <w:pPr>
              <w:spacing w:after="0"/>
              <w:rPr>
                <w:sz w:val="17"/>
                <w:szCs w:val="17"/>
                <w:color w:val="auto"/>
              </w:rPr>
            </w:pPr>
          </w:p>
        </w:tc>
        <w:tc>
          <w:tcPr>
            <w:tcW w:w="4000" w:type="dxa"/>
            <w:vAlign w:val="bottom"/>
            <w:gridSpan w:val="8"/>
          </w:tcPr>
          <w:p>
            <w:pPr>
              <w:spacing w:after="0"/>
              <w:rPr>
                <w:sz w:val="17"/>
                <w:szCs w:val="17"/>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91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Form of Subscription Agreement, dated August 3, 2023 (incorporated by reference to Exhibit 10.1 to the Company's Quarterly</w:t>
              </w:r>
            </w:hyperlink>
          </w:p>
        </w:tc>
      </w:tr>
      <w:tr>
        <w:trPr>
          <w:trHeight w:val="196"/>
        </w:trPr>
        <w:tc>
          <w:tcPr>
            <w:tcW w:w="1860" w:type="dxa"/>
            <w:vAlign w:val="bottom"/>
          </w:tcPr>
          <w:p>
            <w:pPr>
              <w:spacing w:after="0"/>
              <w:rPr>
                <w:sz w:val="17"/>
                <w:szCs w:val="17"/>
                <w:color w:val="auto"/>
              </w:rPr>
            </w:pPr>
          </w:p>
        </w:tc>
        <w:tc>
          <w:tcPr>
            <w:tcW w:w="9180" w:type="dxa"/>
            <w:vAlign w:val="bottom"/>
            <w:gridSpan w:val="24"/>
          </w:tcPr>
          <w:p>
            <w:pPr>
              <w:spacing w:after="0" w:line="195"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Report on Form 10-Q filed with the SEC on August 7, 2023).</w:t>
              </w:r>
            </w:hyperlink>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20" w:type="dxa"/>
            <w:vAlign w:val="bottom"/>
            <w:tcBorders>
              <w:top w:val="single" w:sz="8" w:color="0000FF"/>
              <w:bottom w:val="single" w:sz="8" w:color="0000EE"/>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760" w:type="dxa"/>
            <w:vAlign w:val="bottom"/>
            <w:gridSpan w:val="12"/>
          </w:tcPr>
          <w:p>
            <w:pPr>
              <w:spacing w:after="0"/>
              <w:rPr>
                <w:sz w:val="24"/>
                <w:szCs w:val="24"/>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1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the signature page of this Form 10-K).</w:t>
            </w:r>
          </w:p>
        </w:tc>
        <w:tc>
          <w:tcPr>
            <w:tcW w:w="4080" w:type="dxa"/>
            <w:vAlign w:val="bottom"/>
            <w:gridSpan w:val="10"/>
          </w:tcPr>
          <w:p>
            <w:pPr>
              <w:spacing w:after="0"/>
              <w:rPr>
                <w:sz w:val="24"/>
                <w:szCs w:val="24"/>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1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w:t>
            </w:r>
          </w:p>
        </w:tc>
      </w:tr>
      <w:tr>
        <w:trPr>
          <w:trHeight w:val="196"/>
        </w:trPr>
        <w:tc>
          <w:tcPr>
            <w:tcW w:w="1860" w:type="dxa"/>
            <w:vAlign w:val="bottom"/>
          </w:tcPr>
          <w:p>
            <w:pPr>
              <w:spacing w:after="0"/>
              <w:rPr>
                <w:sz w:val="17"/>
                <w:szCs w:val="17"/>
                <w:color w:val="auto"/>
              </w:rPr>
            </w:pPr>
          </w:p>
        </w:tc>
        <w:tc>
          <w:tcPr>
            <w:tcW w:w="918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r>
      <w:tr>
        <w:trPr>
          <w:trHeight w:val="20"/>
        </w:trPr>
        <w:tc>
          <w:tcPr>
            <w:tcW w:w="1860" w:type="dxa"/>
            <w:vAlign w:val="bottom"/>
          </w:tcPr>
          <w:p>
            <w:pPr>
              <w:spacing w:after="0" w:line="20" w:lineRule="exact"/>
              <w:rPr>
                <w:sz w:val="1"/>
                <w:szCs w:val="1"/>
                <w:color w:val="auto"/>
              </w:rPr>
            </w:pPr>
          </w:p>
        </w:tc>
        <w:tc>
          <w:tcPr>
            <w:tcW w:w="2120" w:type="dxa"/>
            <w:vAlign w:val="bottom"/>
            <w:tcBorders>
              <w:right w:val="single" w:sz="8" w:color="0000FF"/>
            </w:tcBorders>
            <w:gridSpan w:val="9"/>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560" w:type="dxa"/>
            <w:vAlign w:val="bottom"/>
            <w:gridSpan w:val="7"/>
          </w:tcPr>
          <w:p>
            <w:pPr>
              <w:spacing w:after="0" w:line="20" w:lineRule="exact"/>
              <w:rPr>
                <w:sz w:val="1"/>
                <w:szCs w:val="1"/>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1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w:t>
            </w:r>
          </w:p>
        </w:tc>
      </w:tr>
      <w:tr>
        <w:trPr>
          <w:trHeight w:val="196"/>
        </w:trPr>
        <w:tc>
          <w:tcPr>
            <w:tcW w:w="1860" w:type="dxa"/>
            <w:vAlign w:val="bottom"/>
          </w:tcPr>
          <w:p>
            <w:pPr>
              <w:spacing w:after="0"/>
              <w:rPr>
                <w:sz w:val="17"/>
                <w:szCs w:val="17"/>
                <w:color w:val="auto"/>
              </w:rPr>
            </w:pPr>
          </w:p>
        </w:tc>
        <w:tc>
          <w:tcPr>
            <w:tcW w:w="918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r>
      <w:tr>
        <w:trPr>
          <w:trHeight w:val="20"/>
        </w:trPr>
        <w:tc>
          <w:tcPr>
            <w:tcW w:w="1860" w:type="dxa"/>
            <w:vAlign w:val="bottom"/>
          </w:tcPr>
          <w:p>
            <w:pPr>
              <w:spacing w:after="0" w:line="20" w:lineRule="exact"/>
              <w:rPr>
                <w:sz w:val="1"/>
                <w:szCs w:val="1"/>
                <w:color w:val="auto"/>
              </w:rPr>
            </w:pPr>
          </w:p>
        </w:tc>
        <w:tc>
          <w:tcPr>
            <w:tcW w:w="2120" w:type="dxa"/>
            <w:vAlign w:val="bottom"/>
            <w:tcBorders>
              <w:right w:val="single" w:sz="8" w:color="0000FF"/>
            </w:tcBorders>
            <w:gridSpan w:val="9"/>
            <w:shd w:val="clear" w:color="auto" w:fill="0000FF"/>
          </w:tcPr>
          <w:p>
            <w:pPr>
              <w:spacing w:after="0" w:line="20" w:lineRule="exact"/>
              <w:rPr>
                <w:sz w:val="1"/>
                <w:szCs w:val="1"/>
                <w:color w:val="auto"/>
              </w:rPr>
            </w:pPr>
          </w:p>
        </w:tc>
        <w:tc>
          <w:tcPr>
            <w:tcW w:w="2700" w:type="dxa"/>
            <w:vAlign w:val="bottom"/>
            <w:tcBorders>
              <w:right w:val="single" w:sz="8" w:color="0000FF"/>
            </w:tcBorders>
            <w:gridSpan w:val="4"/>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560" w:type="dxa"/>
            <w:vAlign w:val="bottom"/>
            <w:tcBorders>
              <w:left w:val="single" w:sz="8" w:color="0000EE"/>
            </w:tcBorders>
            <w:gridSpan w:val="7"/>
          </w:tcPr>
          <w:p>
            <w:pPr>
              <w:spacing w:after="0" w:line="20" w:lineRule="exact"/>
              <w:rPr>
                <w:sz w:val="1"/>
                <w:szCs w:val="1"/>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1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w:t>
            </w:r>
          </w:p>
        </w:tc>
      </w:tr>
      <w:tr>
        <w:trPr>
          <w:trHeight w:val="196"/>
        </w:trPr>
        <w:tc>
          <w:tcPr>
            <w:tcW w:w="1860" w:type="dxa"/>
            <w:vAlign w:val="bottom"/>
          </w:tcPr>
          <w:p>
            <w:pPr>
              <w:spacing w:after="0"/>
              <w:rPr>
                <w:sz w:val="17"/>
                <w:szCs w:val="17"/>
                <w:color w:val="auto"/>
              </w:rPr>
            </w:pPr>
          </w:p>
        </w:tc>
        <w:tc>
          <w:tcPr>
            <w:tcW w:w="918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860" w:type="dxa"/>
            <w:vAlign w:val="bottom"/>
          </w:tcPr>
          <w:p>
            <w:pPr>
              <w:spacing w:after="0" w:line="20" w:lineRule="exact"/>
              <w:rPr>
                <w:sz w:val="1"/>
                <w:szCs w:val="1"/>
                <w:color w:val="auto"/>
              </w:rPr>
            </w:pPr>
          </w:p>
        </w:tc>
        <w:tc>
          <w:tcPr>
            <w:tcW w:w="2120" w:type="dxa"/>
            <w:vAlign w:val="bottom"/>
            <w:tcBorders>
              <w:right w:val="single" w:sz="8" w:color="0000EE"/>
            </w:tcBorders>
            <w:gridSpan w:val="9"/>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4360" w:type="dxa"/>
            <w:vAlign w:val="bottom"/>
            <w:gridSpan w:val="11"/>
          </w:tcPr>
          <w:p>
            <w:pPr>
              <w:spacing w:after="0" w:line="20" w:lineRule="exact"/>
              <w:rPr>
                <w:sz w:val="1"/>
                <w:szCs w:val="1"/>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1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96"/>
        </w:trPr>
        <w:tc>
          <w:tcPr>
            <w:tcW w:w="1860" w:type="dxa"/>
            <w:vAlign w:val="bottom"/>
          </w:tcPr>
          <w:p>
            <w:pPr>
              <w:spacing w:after="0"/>
              <w:rPr>
                <w:sz w:val="17"/>
                <w:szCs w:val="17"/>
                <w:color w:val="auto"/>
              </w:rPr>
            </w:pPr>
          </w:p>
        </w:tc>
        <w:tc>
          <w:tcPr>
            <w:tcW w:w="9180" w:type="dxa"/>
            <w:vAlign w:val="bottom"/>
            <w:gridSpan w:val="24"/>
          </w:tcPr>
          <w:p>
            <w:pPr>
              <w:spacing w:after="0" w:line="195"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860" w:type="dxa"/>
            <w:vAlign w:val="bottom"/>
          </w:tcPr>
          <w:p>
            <w:pPr>
              <w:spacing w:after="0" w:line="20" w:lineRule="exact"/>
              <w:rPr>
                <w:sz w:val="1"/>
                <w:szCs w:val="1"/>
                <w:color w:val="auto"/>
              </w:rPr>
            </w:pPr>
          </w:p>
        </w:tc>
        <w:tc>
          <w:tcPr>
            <w:tcW w:w="2120" w:type="dxa"/>
            <w:vAlign w:val="bottom"/>
            <w:tcBorders>
              <w:right w:val="single" w:sz="8" w:color="0000EE"/>
            </w:tcBorders>
            <w:gridSpan w:val="9"/>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4360" w:type="dxa"/>
            <w:vAlign w:val="bottom"/>
            <w:gridSpan w:val="11"/>
          </w:tcPr>
          <w:p>
            <w:pPr>
              <w:spacing w:after="0" w:line="20" w:lineRule="exact"/>
              <w:rPr>
                <w:sz w:val="1"/>
                <w:szCs w:val="1"/>
                <w:color w:val="auto"/>
              </w:rPr>
            </w:pPr>
          </w:p>
        </w:tc>
      </w:tr>
      <w:tr>
        <w:trPr>
          <w:trHeight w:val="33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Policy Relating to Recovery of Erroneously Award Compensation.</w:t>
            </w:r>
          </w:p>
        </w:tc>
      </w:tr>
      <w:tr>
        <w:trPr>
          <w:trHeight w:val="20"/>
        </w:trPr>
        <w:tc>
          <w:tcPr>
            <w:tcW w:w="1860" w:type="dxa"/>
            <w:vAlign w:val="bottom"/>
          </w:tcPr>
          <w:p>
            <w:pPr>
              <w:spacing w:after="0" w:line="20" w:lineRule="exact"/>
              <w:rPr>
                <w:sz w:val="1"/>
                <w:szCs w:val="1"/>
                <w:color w:val="auto"/>
              </w:rPr>
            </w:pPr>
          </w:p>
        </w:tc>
        <w:tc>
          <w:tcPr>
            <w:tcW w:w="4820" w:type="dxa"/>
            <w:vAlign w:val="bottom"/>
            <w:tcBorders>
              <w:right w:val="single" w:sz="8" w:color="0000EE"/>
            </w:tcBorders>
            <w:gridSpan w:val="13"/>
            <w:shd w:val="clear" w:color="auto" w:fill="0000FF"/>
          </w:tcPr>
          <w:p>
            <w:pPr>
              <w:spacing w:after="0" w:line="20" w:lineRule="exact"/>
              <w:rPr>
                <w:sz w:val="1"/>
                <w:szCs w:val="1"/>
                <w:color w:val="auto"/>
              </w:rPr>
            </w:pPr>
          </w:p>
        </w:tc>
        <w:tc>
          <w:tcPr>
            <w:tcW w:w="4360" w:type="dxa"/>
            <w:vAlign w:val="bottom"/>
            <w:gridSpan w:val="11"/>
          </w:tcPr>
          <w:p>
            <w:pPr>
              <w:spacing w:after="0" w:line="20" w:lineRule="exact"/>
              <w:rPr>
                <w:sz w:val="1"/>
                <w:szCs w:val="1"/>
                <w:color w:val="auto"/>
              </w:rPr>
            </w:pPr>
          </w:p>
        </w:tc>
      </w:tr>
      <w:tr>
        <w:trPr>
          <w:trHeight w:val="353"/>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860" w:type="dxa"/>
            <w:vAlign w:val="bottom"/>
          </w:tcPr>
          <w:p>
            <w:pPr>
              <w:spacing w:after="0"/>
              <w:rPr>
                <w:sz w:val="20"/>
                <w:szCs w:val="20"/>
                <w:color w:val="auto"/>
              </w:rPr>
            </w:pP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5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51"/>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1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9005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2">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393" w:lineRule="exact"/>
        <w:rPr>
          <w:sz w:val="20"/>
          <w:szCs w:val="20"/>
          <w:color w:val="auto"/>
        </w:rPr>
      </w:pPr>
    </w:p>
    <w:p>
      <w:pPr>
        <w:ind w:right="300" w:firstLine="8"/>
        <w:spacing w:after="0" w:line="281" w:lineRule="auto"/>
        <w:tabs>
          <w:tab w:leader="none" w:pos="1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4" w:right="439" w:bottom="1440" w:gutter="0" w:footer="0" w:header="0"/>
        </w:sectPr>
      </w:pPr>
    </w:p>
    <w:bookmarkStart w:id="100" w:name="page101"/>
    <w:bookmarkEnd w:id="100"/>
    <w:p>
      <w:pPr>
        <w:ind w:right="8719" w:firstLine="8"/>
        <w:spacing w:after="0" w:line="312" w:lineRule="auto"/>
        <w:tabs>
          <w:tab w:leader="none" w:pos="13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38" w:right="1440" w:bottom="1440" w:gutter="0" w:footer="0" w:header="0"/>
        </w:sectPr>
      </w:pPr>
    </w:p>
    <w:bookmarkStart w:id="101" w:name="page102"/>
    <w:bookmarkEnd w:id="101"/>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Biodesix, Inc.</w:t>
      </w:r>
    </w:p>
    <w:p>
      <w:pPr>
        <w:spacing w:after="0" w:line="251" w:lineRule="exact"/>
        <w:rPr>
          <w:sz w:val="20"/>
          <w:szCs w:val="20"/>
          <w:color w:val="auto"/>
        </w:rPr>
      </w:pPr>
    </w:p>
    <w:p>
      <w:pPr>
        <w:ind w:left="20"/>
        <w:spacing w:after="0"/>
        <w:tabs>
          <w:tab w:leader="none" w:pos="5680" w:val="left"/>
          <w:tab w:leader="none" w:pos="736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C. VAZQUEZ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5">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i w:val="1"/>
          <w:iCs w:val="1"/>
          <w:color w:val="auto"/>
        </w:rPr>
        <w:t>Christopher C. Vazquez</w:t>
      </w:r>
    </w:p>
    <w:p>
      <w:pPr>
        <w:spacing w:after="0" w:line="3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6"/>
          <w:szCs w:val="16"/>
          <w:i w:val="1"/>
          <w:iCs w:val="1"/>
          <w:color w:val="auto"/>
        </w:rPr>
        <w:t>Chief Accounting Officer</w:t>
      </w:r>
    </w:p>
    <w:p>
      <w:pPr>
        <w:spacing w:after="0" w:line="28"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3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Scott Hutton and Robin Harper Cowie, and each of them, his or her true and lawful agent, proxy and attorney-in-fact, with full power of substitution and resubstitution, for him or her and in his or her name, place and stead, in any and all capacities, to file with the Securities and Exchange Commission this Form 10-K and any and all amendments and exhibits thereto, and all documents in connection therewith, granting unto each such attorney-in-fact and agent full power and authority to do and perform each and every act and thing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hereof.</w:t>
      </w:r>
    </w:p>
    <w:p>
      <w:pPr>
        <w:spacing w:after="0" w:line="7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6" w:lineRule="exact"/>
        <w:rPr>
          <w:sz w:val="20"/>
          <w:szCs w:val="20"/>
          <w:color w:val="auto"/>
        </w:rPr>
      </w:pPr>
    </w:p>
    <w:p>
      <w:pPr>
        <w:ind w:left="1680"/>
        <w:spacing w:after="0"/>
        <w:tabs>
          <w:tab w:leader="none" w:pos="6480" w:val="left"/>
          <w:tab w:leader="none" w:pos="1026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HUTTON</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(Principal Executive Officer)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Scott Hutton</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ROBIN HARPER COWIE</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Robin Harper Cowie</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CHRISTOPHER C. VAZQUEZ</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Accounting Officer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Christopher C. Vazquez</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PATIENCE</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and 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John Patience</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JEAN FRANCHI</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Jean Franchi</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JON FAIZ KAYYEM</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Jon Faiz Kayyem, Ph.D.</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LAWRENCE T. KENNEDY, JR.</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Lawrence T. Kennedy, Jr.</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HANY MASSARANY</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Hany Massarany</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JACK SCHULER</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Jack Schuler</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STROBECK</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Matthew Strobeck, Ph.D.</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297"/>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CHARLES WATTS</w:t>
            </w: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March 1, 2024</w:t>
            </w:r>
          </w:p>
        </w:tc>
      </w:tr>
      <w:tr>
        <w:trPr>
          <w:trHeight w:val="182"/>
        </w:trPr>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Charles Watts, M.D.</w:t>
            </w:r>
          </w:p>
        </w:tc>
        <w:tc>
          <w:tcPr>
            <w:tcW w:w="5320" w:type="dxa"/>
            <w:vAlign w:val="bottom"/>
          </w:tcPr>
          <w:p>
            <w:pPr>
              <w:spacing w:after="0"/>
              <w:rPr>
                <w:sz w:val="15"/>
                <w:szCs w:val="15"/>
                <w:color w:val="auto"/>
              </w:rPr>
            </w:pPr>
          </w:p>
        </w:tc>
        <w:tc>
          <w:tcPr>
            <w:tcW w:w="2200" w:type="dxa"/>
            <w:vAlign w:val="bottom"/>
          </w:tcPr>
          <w:p>
            <w:pPr>
              <w:spacing w:after="0"/>
              <w:rPr>
                <w:sz w:val="15"/>
                <w:szCs w:val="15"/>
                <w:color w:val="auto"/>
              </w:rPr>
            </w:pPr>
          </w:p>
        </w:tc>
      </w:tr>
      <w:tr>
        <w:trPr>
          <w:trHeight w:val="715"/>
        </w:trPr>
        <w:tc>
          <w:tcPr>
            <w:tcW w:w="3720" w:type="dxa"/>
            <w:vAlign w:val="bottom"/>
          </w:tcPr>
          <w:p>
            <w:pPr>
              <w:spacing w:after="0"/>
              <w:rPr>
                <w:sz w:val="24"/>
                <w:szCs w:val="24"/>
                <w:color w:val="auto"/>
              </w:rPr>
            </w:pPr>
          </w:p>
        </w:tc>
        <w:tc>
          <w:tcPr>
            <w:tcW w:w="53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100</w:t>
            </w:r>
          </w:p>
        </w:tc>
        <w:tc>
          <w:tcPr>
            <w:tcW w:w="2200" w:type="dxa"/>
            <w:vAlign w:val="bottom"/>
          </w:tcPr>
          <w:p>
            <w:pPr>
              <w:spacing w:after="0"/>
              <w:rPr>
                <w:sz w:val="24"/>
                <w:szCs w:val="24"/>
                <w:color w:val="auto"/>
              </w:rPr>
            </w:pPr>
          </w:p>
        </w:tc>
      </w:tr>
      <w:tr>
        <w:trPr>
          <w:trHeight w:val="762"/>
        </w:trPr>
        <w:tc>
          <w:tcPr>
            <w:tcW w:w="37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8"/>
        </w:trPr>
        <w:tc>
          <w:tcPr>
            <w:tcW w:w="94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20" w:type="dxa"/>
            <w:vAlign w:val="bottom"/>
          </w:tcPr>
          <w:p>
            <w:pPr>
              <w:spacing w:after="0"/>
              <w:rPr>
                <w:sz w:val="20"/>
                <w:szCs w:val="20"/>
                <w:color w:val="auto"/>
              </w:rPr>
            </w:pPr>
          </w:p>
        </w:tc>
      </w:tr>
      <w:tr>
        <w:trPr>
          <w:trHeight w:val="539"/>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740" w:type="dxa"/>
            <w:vAlign w:val="bottom"/>
            <w:gridSpan w:val="6"/>
          </w:tcPr>
          <w:p>
            <w:pPr>
              <w:jc w:val="center"/>
              <w:ind w:right="184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182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740" w:type="dxa"/>
            <w:vAlign w:val="bottom"/>
            <w:gridSpan w:val="6"/>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820" w:type="dxa"/>
            <w:vAlign w:val="bottom"/>
          </w:tcPr>
          <w:p>
            <w:pPr>
              <w:spacing w:after="0"/>
              <w:rPr>
                <w:sz w:val="24"/>
                <w:szCs w:val="24"/>
                <w:color w:val="auto"/>
              </w:rPr>
            </w:pPr>
          </w:p>
        </w:tc>
      </w:tr>
      <w:tr>
        <w:trPr>
          <w:trHeight w:val="431"/>
        </w:trPr>
        <w:tc>
          <w:tcPr>
            <w:tcW w:w="20" w:type="dxa"/>
            <w:vAlign w:val="bottom"/>
          </w:tcPr>
          <w:p>
            <w:pPr>
              <w:spacing w:after="0"/>
              <w:rPr>
                <w:sz w:val="24"/>
                <w:szCs w:val="24"/>
                <w:color w:val="auto"/>
              </w:rPr>
            </w:pPr>
          </w:p>
        </w:tc>
        <w:tc>
          <w:tcPr>
            <w:tcW w:w="78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(KPMG LLP, Denver, CO, Auditor Firm ID: 185)</w:t>
            </w:r>
          </w:p>
        </w:tc>
        <w:tc>
          <w:tcPr>
            <w:tcW w:w="1540" w:type="dxa"/>
            <w:vAlign w:val="bottom"/>
          </w:tcPr>
          <w:p>
            <w:pPr>
              <w:spacing w:after="0"/>
              <w:rPr>
                <w:sz w:val="24"/>
                <w:szCs w:val="24"/>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F-2</w:t>
            </w:r>
          </w:p>
        </w:tc>
      </w:tr>
      <w:tr>
        <w:trPr>
          <w:trHeight w:val="344"/>
        </w:trPr>
        <w:tc>
          <w:tcPr>
            <w:tcW w:w="2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Balance Sheets as of December 31, 2023 and 2022</w:t>
            </w: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2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44"/>
        </w:trPr>
        <w:tc>
          <w:tcPr>
            <w:tcW w:w="20" w:type="dxa"/>
            <w:vAlign w:val="bottom"/>
          </w:tcPr>
          <w:p>
            <w:pPr>
              <w:spacing w:after="0"/>
              <w:rPr>
                <w:sz w:val="24"/>
                <w:szCs w:val="24"/>
                <w:color w:val="auto"/>
              </w:rPr>
            </w:pPr>
          </w:p>
        </w:tc>
        <w:tc>
          <w:tcPr>
            <w:tcW w:w="5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Statements of Operations for the Years Ended December 31, 2023 and 2022</w:t>
            </w:r>
          </w:p>
        </w:tc>
        <w:tc>
          <w:tcPr>
            <w:tcW w:w="20" w:type="dxa"/>
            <w:vAlign w:val="bottom"/>
            <w:tcBorders>
              <w:bottom w:val="single" w:sz="8" w:color="0000EE"/>
            </w:tcBorders>
          </w:tcPr>
          <w:p>
            <w:pPr>
              <w:spacing w:after="0"/>
              <w:rPr>
                <w:sz w:val="24"/>
                <w:szCs w:val="24"/>
                <w:color w:val="auto"/>
              </w:rPr>
            </w:pPr>
          </w:p>
        </w:tc>
        <w:tc>
          <w:tcPr>
            <w:tcW w:w="3920" w:type="dxa"/>
            <w:vAlign w:val="bottom"/>
            <w:gridSpan w:val="4"/>
          </w:tcPr>
          <w:p>
            <w:pPr>
              <w:spacing w:after="0"/>
              <w:rPr>
                <w:sz w:val="24"/>
                <w:szCs w:val="24"/>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F-4</w:t>
            </w:r>
          </w:p>
        </w:tc>
      </w:tr>
      <w:tr>
        <w:trPr>
          <w:trHeight w:val="344"/>
        </w:trPr>
        <w:tc>
          <w:tcPr>
            <w:tcW w:w="20" w:type="dxa"/>
            <w:vAlign w:val="bottom"/>
          </w:tcPr>
          <w:p>
            <w:pPr>
              <w:spacing w:after="0"/>
              <w:rPr>
                <w:sz w:val="24"/>
                <w:szCs w:val="24"/>
                <w:color w:val="auto"/>
              </w:rPr>
            </w:pPr>
          </w:p>
        </w:tc>
        <w:tc>
          <w:tcPr>
            <w:tcW w:w="94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Stockholders’ Equity for the Years Ended December 31, 2023 and 2022</w:t>
            </w: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F-5</w:t>
            </w:r>
          </w:p>
        </w:tc>
      </w:tr>
      <w:tr>
        <w:trPr>
          <w:trHeight w:val="344"/>
        </w:trPr>
        <w:tc>
          <w:tcPr>
            <w:tcW w:w="20" w:type="dxa"/>
            <w:vAlign w:val="bottom"/>
          </w:tcPr>
          <w:p>
            <w:pPr>
              <w:spacing w:after="0"/>
              <w:rPr>
                <w:sz w:val="24"/>
                <w:szCs w:val="24"/>
                <w:color w:val="auto"/>
              </w:rPr>
            </w:pPr>
          </w:p>
        </w:tc>
        <w:tc>
          <w:tcPr>
            <w:tcW w:w="61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Statements of Cash Flows for the Years Ended December 31, 2023 and 2022</w:t>
            </w:r>
          </w:p>
        </w:tc>
        <w:tc>
          <w:tcPr>
            <w:tcW w:w="3220" w:type="dxa"/>
            <w:vAlign w:val="bottom"/>
            <w:gridSpan w:val="2"/>
          </w:tcPr>
          <w:p>
            <w:pPr>
              <w:spacing w:after="0"/>
              <w:rPr>
                <w:sz w:val="24"/>
                <w:szCs w:val="24"/>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F-6</w:t>
            </w:r>
          </w:p>
        </w:tc>
      </w:tr>
      <w:tr>
        <w:trPr>
          <w:trHeight w:val="344"/>
        </w:trPr>
        <w:tc>
          <w:tcPr>
            <w:tcW w:w="20" w:type="dxa"/>
            <w:vAlign w:val="bottom"/>
          </w:tcPr>
          <w:p>
            <w:pPr>
              <w:spacing w:after="0"/>
              <w:rPr>
                <w:sz w:val="24"/>
                <w:szCs w:val="24"/>
                <w:color w:val="auto"/>
              </w:rPr>
            </w:pPr>
          </w:p>
        </w:tc>
        <w:tc>
          <w:tcPr>
            <w:tcW w:w="55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3900" w:type="dxa"/>
            <w:vAlign w:val="bottom"/>
            <w:gridSpan w:val="3"/>
          </w:tcPr>
          <w:p>
            <w:pPr>
              <w:spacing w:after="0"/>
              <w:rPr>
                <w:sz w:val="24"/>
                <w:szCs w:val="24"/>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8"/>
                <w:szCs w:val="18"/>
                <w:color w:val="auto"/>
                <w:w w:val="95"/>
              </w:rPr>
              <w:t>F-8</w:t>
            </w:r>
          </w:p>
        </w:tc>
      </w:tr>
      <w:tr>
        <w:trPr>
          <w:trHeight w:val="897"/>
        </w:trPr>
        <w:tc>
          <w:tcPr>
            <w:tcW w:w="20" w:type="dxa"/>
            <w:vAlign w:val="bottom"/>
          </w:tcPr>
          <w:p>
            <w:pPr>
              <w:spacing w:after="0"/>
              <w:rPr>
                <w:sz w:val="24"/>
                <w:szCs w:val="24"/>
                <w:color w:val="auto"/>
              </w:rPr>
            </w:pPr>
          </w:p>
        </w:tc>
        <w:tc>
          <w:tcPr>
            <w:tcW w:w="2160" w:type="dxa"/>
            <w:vAlign w:val="bottom"/>
            <w:tcBorders>
              <w:top w:val="single" w:sz="8" w:color="0000FF"/>
            </w:tcBorders>
          </w:tcPr>
          <w:p>
            <w:pPr>
              <w:spacing w:after="0"/>
              <w:rPr>
                <w:sz w:val="24"/>
                <w:szCs w:val="24"/>
                <w:color w:val="auto"/>
              </w:rPr>
            </w:pP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20" w:type="dxa"/>
            <w:vAlign w:val="bottom"/>
            <w:gridSpan w:val="4"/>
          </w:tcPr>
          <w:p>
            <w:pPr>
              <w:jc w:val="center"/>
              <w:ind w:right="3680"/>
              <w:spacing w:after="0"/>
              <w:rPr>
                <w:sz w:val="20"/>
                <w:szCs w:val="20"/>
                <w:color w:val="auto"/>
              </w:rPr>
            </w:pPr>
            <w:r>
              <w:rPr>
                <w:rFonts w:ascii="Times New Roman" w:cs="Times New Roman" w:eastAsia="Times New Roman" w:hAnsi="Times New Roman"/>
                <w:sz w:val="18"/>
                <w:szCs w:val="18"/>
                <w:color w:val="auto"/>
                <w:w w:val="95"/>
              </w:rPr>
              <w:t>F-1</w:t>
            </w:r>
          </w:p>
        </w:tc>
        <w:tc>
          <w:tcPr>
            <w:tcW w:w="1820" w:type="dxa"/>
            <w:vAlign w:val="bottom"/>
          </w:tcPr>
          <w:p>
            <w:pPr>
              <w:spacing w:after="0"/>
              <w:rPr>
                <w:sz w:val="24"/>
                <w:szCs w:val="24"/>
                <w:color w:val="auto"/>
              </w:rPr>
            </w:pPr>
          </w:p>
        </w:tc>
      </w:tr>
      <w:tr>
        <w:trPr>
          <w:trHeight w:val="762"/>
        </w:trPr>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Financial Statements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audited the accompanying balance sheets of Biodesix, Inc. (the Company) as of December 31, 2023 and 2022, the related statements of operations, stockholders’ equity, and cash flows for the years then ended, and the related notes (collectively, the financial statements). In our opinion, the financial statements present fairly, in all material respects, the financial position of the Company as of December 31, 2023 and 2022, and the results of its operations and its cash flows for the years then ended, in conformity with U.S. generally accepted accounting principles.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has suffered recurring losses from operations and needs to raise additional equity or debt capital to fund its operations. These matters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4" w:name="page105"/>
    <w:bookmarkEnd w:id="104"/>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18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7340" w:type="dxa"/>
            <w:vAlign w:val="bottom"/>
            <w:shd w:val="clear" w:color="auto" w:fill="CFF0FC"/>
          </w:tcPr>
          <w:p>
            <w:pPr>
              <w:ind w:left="53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26,284</w:t>
            </w: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43,088</w:t>
            </w: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$65 and $118</w:t>
            </w: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7,679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5,065</w:t>
            </w: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5,720</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5,181</w:t>
            </w:r>
          </w:p>
        </w:tc>
      </w:tr>
      <w:tr>
        <w:trPr>
          <w:trHeight w:val="236"/>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39,683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53,334</w:t>
            </w:r>
          </w:p>
        </w:tc>
      </w:tr>
      <w:tr>
        <w:trPr>
          <w:trHeight w:val="247"/>
        </w:trPr>
        <w:tc>
          <w:tcPr>
            <w:tcW w:w="7340" w:type="dxa"/>
            <w:vAlign w:val="bottom"/>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27,867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5,848</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7,911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9,797</w:t>
            </w: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1,745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2,973</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15,031</w:t>
            </w: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15,031</w:t>
            </w:r>
          </w:p>
        </w:tc>
      </w:tr>
      <w:tr>
        <w:trPr>
          <w:trHeight w:val="23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5,923</w:t>
            </w:r>
          </w:p>
        </w:tc>
      </w:tr>
      <w:tr>
        <w:trPr>
          <w:trHeight w:val="243"/>
        </w:trPr>
        <w:tc>
          <w:tcPr>
            <w:tcW w:w="7340" w:type="dxa"/>
            <w:vAlign w:val="bottom"/>
            <w:tcBorders>
              <w:bottom w:val="single" w:sz="8" w:color="CFF0FC"/>
            </w:tcBorders>
            <w:shd w:val="clear" w:color="auto" w:fill="CFF0FC"/>
          </w:tcPr>
          <w:p>
            <w:pPr>
              <w:ind w:left="3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assets</w:t>
            </w:r>
          </w:p>
        </w:tc>
        <w:tc>
          <w:tcPr>
            <w:tcW w:w="1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59,413</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39,572</w:t>
            </w:r>
          </w:p>
        </w:tc>
      </w:tr>
      <w:tr>
        <w:trPr>
          <w:trHeight w:val="236"/>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99,096</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92,906</w:t>
            </w: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r>
      <w:tr>
        <w:trPr>
          <w:trHeight w:val="240"/>
        </w:trPr>
        <w:tc>
          <w:tcPr>
            <w:tcW w:w="7340" w:type="dxa"/>
            <w:vAlign w:val="bottom"/>
          </w:tcPr>
          <w:p>
            <w:pPr>
              <w:ind w:left="4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45"/>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2,929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1,685</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7,710</w:t>
            </w: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8,218</w:t>
            </w: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962</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252</w:t>
            </w: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1,543</w:t>
            </w: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21,857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10,341</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r>
      <w:tr>
        <w:trPr>
          <w:trHeight w:val="240"/>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33,416</w:t>
            </w:r>
          </w:p>
        </w:tc>
        <w:tc>
          <w:tcPr>
            <w:tcW w:w="160" w:type="dxa"/>
            <w:vAlign w:val="bottom"/>
            <w:shd w:val="clear" w:color="auto" w:fill="CFF0FC"/>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22,839</w:t>
            </w:r>
          </w:p>
        </w:tc>
      </w:tr>
      <w:tr>
        <w:trPr>
          <w:trHeight w:val="243"/>
        </w:trPr>
        <w:tc>
          <w:tcPr>
            <w:tcW w:w="73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43"/>
        </w:trPr>
        <w:tc>
          <w:tcPr>
            <w:tcW w:w="7340" w:type="dxa"/>
            <w:vAlign w:val="bottom"/>
            <w:shd w:val="clear" w:color="auto" w:fill="CFF0FC"/>
          </w:tcPr>
          <w:p>
            <w:pPr>
              <w:ind w:left="20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notes payable, net of current portion</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35,225</w:t>
            </w:r>
          </w:p>
        </w:tc>
        <w:tc>
          <w:tcPr>
            <w:tcW w:w="160" w:type="dxa"/>
            <w:vAlign w:val="bottom"/>
            <w:shd w:val="clear" w:color="auto" w:fill="CFF0FC"/>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25,004</w:t>
            </w: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25,163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5,254</w:t>
            </w:r>
          </w:p>
        </w:tc>
      </w:tr>
      <w:tr>
        <w:trPr>
          <w:trHeight w:val="247"/>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18,645</w:t>
            </w:r>
          </w:p>
        </w:tc>
      </w:tr>
      <w:tr>
        <w:trPr>
          <w:trHeight w:val="236"/>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r>
      <w:tr>
        <w:trPr>
          <w:trHeight w:val="243"/>
        </w:trPr>
        <w:tc>
          <w:tcPr>
            <w:tcW w:w="7340" w:type="dxa"/>
            <w:vAlign w:val="bottom"/>
            <w:tcBorders>
              <w:bottom w:val="single" w:sz="8" w:color="CFF0FC"/>
            </w:tcBorders>
            <w:shd w:val="clear" w:color="auto" w:fill="CFF0FC"/>
          </w:tcPr>
          <w:p>
            <w:pPr>
              <w:ind w:left="380"/>
              <w:spacing w:after="0" w:line="207" w:lineRule="exact"/>
              <w:rPr>
                <w:sz w:val="20"/>
                <w:szCs w:val="20"/>
                <w:color w:val="auto"/>
              </w:rPr>
            </w:pPr>
            <w:r>
              <w:rPr>
                <w:rFonts w:ascii="Times New Roman" w:cs="Times New Roman" w:eastAsia="Times New Roman" w:hAnsi="Times New Roman"/>
                <w:sz w:val="18"/>
                <w:szCs w:val="18"/>
                <w:color w:val="auto"/>
              </w:rPr>
              <w:t>Total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61,100</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49,461</w:t>
            </w:r>
          </w:p>
        </w:tc>
      </w:tr>
      <w:tr>
        <w:trPr>
          <w:trHeight w:val="232"/>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94,516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72,300</w:t>
            </w:r>
          </w:p>
        </w:tc>
      </w:tr>
      <w:tr>
        <w:trPr>
          <w:trHeight w:val="24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60" w:type="dxa"/>
            <w:vAlign w:val="bottom"/>
            <w:shd w:val="clear" w:color="auto" w:fill="CFF0FC"/>
          </w:tcPr>
          <w:p>
            <w:pPr>
              <w:spacing w:after="0"/>
              <w:rPr>
                <w:sz w:val="21"/>
                <w:szCs w:val="21"/>
                <w:color w:val="auto"/>
              </w:rPr>
            </w:pPr>
          </w:p>
        </w:tc>
      </w:tr>
      <w:tr>
        <w:trPr>
          <w:trHeight w:val="23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15"/>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5,000,000 authorized;</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48"/>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0 (2023 and 2022) issued and outstanding</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200,000,000 authorized;</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41"/>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96,235,883 (2023) and 77,614,358 (2022) shares issued and outstanding</w:t>
            </w:r>
          </w:p>
        </w:tc>
        <w:tc>
          <w:tcPr>
            <w:tcW w:w="120" w:type="dxa"/>
            <w:vAlign w:val="bottom"/>
          </w:tcPr>
          <w:p>
            <w:pPr>
              <w:spacing w:after="0"/>
              <w:rPr>
                <w:sz w:val="20"/>
                <w:szCs w:val="20"/>
                <w:color w:val="auto"/>
              </w:rPr>
            </w:pP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49"/>
        </w:trPr>
        <w:tc>
          <w:tcPr>
            <w:tcW w:w="7340" w:type="dxa"/>
            <w:vAlign w:val="bottom"/>
            <w:shd w:val="clear" w:color="auto" w:fill="CFF0FC"/>
          </w:tcPr>
          <w:p>
            <w:pPr>
              <w:ind w:left="20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424,050</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387,948</w:t>
            </w:r>
          </w:p>
        </w:tc>
      </w:tr>
      <w:tr>
        <w:trPr>
          <w:trHeight w:val="238"/>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(419,566 )</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(367,420 )</w:t>
            </w:r>
          </w:p>
        </w:tc>
      </w:tr>
      <w:tr>
        <w:trPr>
          <w:trHeight w:val="236"/>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4,580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20,606</w:t>
            </w:r>
          </w:p>
        </w:tc>
      </w:tr>
      <w:tr>
        <w:trPr>
          <w:trHeight w:val="24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99,096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92,906</w:t>
            </w:r>
          </w:p>
        </w:tc>
      </w:tr>
      <w:tr>
        <w:trPr>
          <w:trHeight w:val="20"/>
        </w:trPr>
        <w:tc>
          <w:tcPr>
            <w:tcW w:w="7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-5787390</wp:posOffset>
            </wp:positionV>
            <wp:extent cx="1028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-4537710</wp:posOffset>
            </wp:positionV>
            <wp:extent cx="1028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-1711960</wp:posOffset>
            </wp:positionV>
            <wp:extent cx="102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-187960</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4600" w:type="dxa"/>
            <w:vAlign w:val="bottom"/>
            <w:gridSpan w:val="2"/>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69"/>
        </w:trPr>
        <w:tc>
          <w:tcPr>
            <w:tcW w:w="4120" w:type="dxa"/>
            <w:vAlign w:val="bottom"/>
          </w:tcPr>
          <w:p>
            <w:pPr>
              <w:spacing w:after="0"/>
              <w:rPr>
                <w:sz w:val="24"/>
                <w:szCs w:val="24"/>
                <w:color w:val="auto"/>
              </w:rPr>
            </w:pPr>
          </w:p>
        </w:tc>
        <w:tc>
          <w:tcPr>
            <w:tcW w:w="4600" w:type="dxa"/>
            <w:vAlign w:val="bottom"/>
            <w:gridSpan w:val="2"/>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p>
        </w:tc>
        <w:tc>
          <w:tcPr>
            <w:tcW w:w="4600" w:type="dxa"/>
            <w:vAlign w:val="bottom"/>
            <w:gridSpan w:val="2"/>
          </w:tcPr>
          <w:p>
            <w:pPr>
              <w:jc w:val="right"/>
              <w:ind w:right="159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52"/>
        </w:trPr>
        <w:tc>
          <w:tcPr>
            <w:tcW w:w="4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40"/>
        </w:trPr>
        <w:tc>
          <w:tcPr>
            <w:tcW w:w="4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r>
      <w:tr>
        <w:trPr>
          <w:trHeight w:val="238"/>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20" w:type="dxa"/>
            <w:vAlign w:val="bottom"/>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49,087</w:t>
            </w:r>
          </w:p>
        </w:tc>
        <w:tc>
          <w:tcPr>
            <w:tcW w:w="16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38,212</w:t>
            </w:r>
          </w:p>
        </w:tc>
      </w:tr>
      <w:tr>
        <w:trPr>
          <w:trHeight w:val="23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3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13,010</w:t>
            </w:r>
          </w:p>
        </w:tc>
        <w:tc>
          <w:tcPr>
            <w:tcW w:w="160" w:type="dxa"/>
            <w:vAlign w:val="bottom"/>
            <w:shd w:val="clear" w:color="auto" w:fill="CFF0FC"/>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14,154</w:t>
            </w:r>
          </w:p>
        </w:tc>
      </w:tr>
      <w:tr>
        <w:trPr>
          <w:trHeight w:val="23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9,988</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13,102</w:t>
            </w:r>
          </w:p>
        </w:tc>
      </w:tr>
      <w:tr>
        <w:trPr>
          <w:trHeight w:val="24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3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67,387</w:t>
            </w:r>
          </w:p>
        </w:tc>
        <w:tc>
          <w:tcPr>
            <w:tcW w:w="160" w:type="dxa"/>
            <w:vAlign w:val="bottom"/>
            <w:shd w:val="clear" w:color="auto" w:fill="CFF0FC"/>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61,462</w:t>
            </w:r>
          </w:p>
        </w:tc>
      </w:tr>
      <w:tr>
        <w:trPr>
          <w:trHeight w:val="243"/>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36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32"/>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90,429</w:t>
            </w:r>
          </w:p>
        </w:tc>
        <w:tc>
          <w:tcPr>
            <w:tcW w:w="16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88,799</w:t>
            </w:r>
          </w:p>
        </w:tc>
      </w:tr>
      <w:tr>
        <w:trPr>
          <w:trHeight w:val="23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(41,342 )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(50,587 )</w:t>
            </w:r>
          </w:p>
        </w:tc>
      </w:tr>
      <w:tr>
        <w:trPr>
          <w:trHeight w:val="247"/>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6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r>
      <w:tr>
        <w:trPr>
          <w:trHeight w:val="23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(8,072 )</w:t>
            </w:r>
          </w:p>
        </w:tc>
      </w:tr>
      <w:tr>
        <w:trPr>
          <w:trHeight w:val="247"/>
        </w:trPr>
        <w:tc>
          <w:tcPr>
            <w:tcW w:w="4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extinguishment of liabilities, net</w:t>
            </w:r>
          </w:p>
        </w:tc>
        <w:tc>
          <w:tcPr>
            <w:tcW w:w="3620" w:type="dxa"/>
            <w:vAlign w:val="bottom"/>
            <w:shd w:val="clear" w:color="auto" w:fill="CFF0FC"/>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(6,981 )</w:t>
            </w:r>
          </w:p>
        </w:tc>
      </w:tr>
      <w:tr>
        <w:trPr>
          <w:trHeight w:val="238"/>
        </w:trPr>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41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36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r>
      <w:tr>
        <w:trPr>
          <w:trHeight w:val="23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(10,804 )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(14,860 )</w:t>
            </w:r>
          </w:p>
        </w:tc>
      </w:tr>
      <w:tr>
        <w:trPr>
          <w:trHeight w:val="247"/>
        </w:trPr>
        <w:tc>
          <w:tcPr>
            <w:tcW w:w="4120" w:type="dxa"/>
            <w:vAlign w:val="bottom"/>
            <w:tcBorders>
              <w:bottom w:val="single" w:sz="8" w:color="CFF0FC"/>
            </w:tcBorders>
            <w:shd w:val="clear" w:color="auto" w:fill="CFF0FC"/>
          </w:tcPr>
          <w:p>
            <w:pPr>
              <w:spacing w:after="0"/>
              <w:rPr>
                <w:sz w:val="21"/>
                <w:szCs w:val="21"/>
                <w:color w:val="auto"/>
              </w:rPr>
            </w:pPr>
          </w:p>
        </w:tc>
        <w:tc>
          <w:tcPr>
            <w:tcW w:w="36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r>
      <w:tr>
        <w:trPr>
          <w:trHeight w:val="23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(52,146 )</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(65,447 )</w:t>
            </w:r>
          </w:p>
        </w:tc>
      </w:tr>
      <w:tr>
        <w:trPr>
          <w:trHeight w:val="20"/>
        </w:trPr>
        <w:tc>
          <w:tcPr>
            <w:tcW w:w="4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60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(0.64 )</w:t>
            </w:r>
          </w:p>
        </w:tc>
        <w:tc>
          <w:tcPr>
            <w:tcW w:w="1120" w:type="dxa"/>
            <w:vAlign w:val="bottom"/>
            <w:gridSpan w:val="2"/>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3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82,113</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-1740535</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-807085</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-490855</wp:posOffset>
            </wp:positionV>
            <wp:extent cx="1028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BIODESIX, INC.</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7440" w:type="dxa"/>
            <w:vAlign w:val="bottom"/>
            <w:gridSpan w:val="6"/>
          </w:tcPr>
          <w:p>
            <w:pPr>
              <w:jc w:val="center"/>
              <w:ind w:left="3730"/>
              <w:spacing w:after="0"/>
              <w:rPr>
                <w:sz w:val="20"/>
                <w:szCs w:val="20"/>
                <w:color w:val="auto"/>
              </w:rPr>
            </w:pPr>
            <w:r>
              <w:rPr>
                <w:rFonts w:ascii="Times New Roman" w:cs="Times New Roman" w:eastAsia="Times New Roman" w:hAnsi="Times New Roman"/>
                <w:sz w:val="18"/>
                <w:szCs w:val="18"/>
                <w:b w:val="1"/>
                <w:bCs w:val="1"/>
                <w:color w:val="auto"/>
                <w:w w:val="99"/>
              </w:rPr>
              <w:t>Statements of Stockholders' Equity</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7"/>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240" w:type="dxa"/>
            <w:vAlign w:val="bottom"/>
          </w:tcPr>
          <w:p>
            <w:pPr>
              <w:spacing w:after="0"/>
              <w:rPr>
                <w:sz w:val="16"/>
                <w:szCs w:val="16"/>
                <w:color w:val="auto"/>
              </w:rPr>
            </w:pPr>
          </w:p>
        </w:tc>
        <w:tc>
          <w:tcPr>
            <w:tcW w:w="1160" w:type="dxa"/>
            <w:vAlign w:val="bottom"/>
            <w:gridSpan w:val="3"/>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Accumulat</w:t>
            </w:r>
          </w:p>
        </w:tc>
        <w:tc>
          <w:tcPr>
            <w:tcW w:w="1140" w:type="dxa"/>
            <w:vAlign w:val="bottom"/>
            <w:gridSpan w:val="3"/>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70"/>
        </w:trPr>
        <w:tc>
          <w:tcPr>
            <w:tcW w:w="4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2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ind w:right="70"/>
              <w:spacing w:after="0" w:line="207" w:lineRule="exact"/>
              <w:rPr>
                <w:sz w:val="20"/>
                <w:szCs w:val="20"/>
                <w:color w:val="auto"/>
              </w:rPr>
            </w:pPr>
            <w:r>
              <w:rPr>
                <w:rFonts w:ascii="Times New Roman" w:cs="Times New Roman" w:eastAsia="Times New Roman" w:hAnsi="Times New Roman"/>
                <w:sz w:val="18"/>
                <w:szCs w:val="18"/>
                <w:b w:val="1"/>
                <w:bCs w:val="1"/>
                <w:color w:val="auto"/>
              </w:rPr>
              <w:t>Paid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In</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80" w:type="dxa"/>
            <w:vAlign w:val="bottom"/>
          </w:tcPr>
          <w:p>
            <w:pPr>
              <w:spacing w:after="0"/>
              <w:rPr>
                <w:sz w:val="23"/>
                <w:szCs w:val="23"/>
                <w:color w:val="auto"/>
              </w:rPr>
            </w:pPr>
          </w:p>
        </w:tc>
        <w:tc>
          <w:tcPr>
            <w:tcW w:w="8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 xml:space="preserve"> December 31, 2021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30,790</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321,669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(301,973 )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45,705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for deferred offering costs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Initial Warrants</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32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(65,447 )</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(65,447 )</w:t>
            </w:r>
          </w:p>
        </w:tc>
        <w:tc>
          <w:tcPr>
            <w:tcW w:w="0" w:type="dxa"/>
            <w:vAlign w:val="bottom"/>
          </w:tcPr>
          <w:p>
            <w:pPr>
              <w:spacing w:after="0"/>
              <w:rPr>
                <w:sz w:val="1"/>
                <w:szCs w:val="1"/>
                <w:color w:val="auto"/>
              </w:rPr>
            </w:pPr>
          </w:p>
        </w:tc>
      </w:tr>
      <w:tr>
        <w:trPr>
          <w:trHeight w:val="20"/>
        </w:trPr>
        <w:tc>
          <w:tcPr>
            <w:tcW w:w="49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77,614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387,948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(367,420 )</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17,352</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27,986</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employee stock purchase plan</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restricted stock units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First Amendment warrants</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Tranche B warrants to additional paid-in capital</w:t>
            </w:r>
          </w:p>
        </w:tc>
        <w:tc>
          <w:tcPr>
            <w:tcW w:w="3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(52,146 )</w:t>
            </w:r>
          </w:p>
        </w:tc>
        <w:tc>
          <w:tcPr>
            <w:tcW w:w="1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(52,146 )</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96,236</w:t>
            </w: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424,050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(419,566 )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-1583690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-1583690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-1583690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-1583690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-24765</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768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768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8"/>
        </w:trPr>
        <w:tc>
          <w:tcPr>
            <w:tcW w:w="774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69"/>
        </w:trPr>
        <w:tc>
          <w:tcPr>
            <w:tcW w:w="774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8"/>
        </w:trPr>
        <w:tc>
          <w:tcPr>
            <w:tcW w:w="774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52"/>
        </w:trPr>
        <w:tc>
          <w:tcPr>
            <w:tcW w:w="774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40"/>
        </w:trPr>
        <w:tc>
          <w:tcPr>
            <w:tcW w:w="77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Pr>
          <w:p>
            <w:pPr>
              <w:spacing w:after="0"/>
              <w:rPr>
                <w:sz w:val="20"/>
                <w:szCs w:val="20"/>
                <w:color w:val="auto"/>
              </w:rPr>
            </w:pPr>
          </w:p>
        </w:tc>
      </w:tr>
      <w:tr>
        <w:trPr>
          <w:trHeight w:val="23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(52,146 )</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(65,447 )</w:t>
            </w:r>
          </w:p>
        </w:tc>
      </w:tr>
      <w:tr>
        <w:trPr>
          <w:trHeight w:val="215"/>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cash equivalents, and restricted</w:t>
            </w:r>
          </w:p>
        </w:tc>
        <w:tc>
          <w:tcPr>
            <w:tcW w:w="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48"/>
        </w:trPr>
        <w:tc>
          <w:tcPr>
            <w:tcW w:w="7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3,328</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3,597</w:t>
            </w:r>
          </w:p>
        </w:tc>
      </w:tr>
      <w:tr>
        <w:trPr>
          <w:trHeight w:val="247"/>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2,179</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2,247</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extinguishment of liabilities, net</w:t>
            </w: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6,981</w:t>
            </w:r>
          </w:p>
        </w:tc>
      </w:tr>
      <w:tr>
        <w:trPr>
          <w:trHeight w:val="247"/>
        </w:trPr>
        <w:tc>
          <w:tcPr>
            <w:tcW w:w="7740" w:type="dxa"/>
            <w:vAlign w:val="bottom"/>
            <w:shd w:val="clear" w:color="auto" w:fill="CCEEFF"/>
          </w:tcPr>
          <w:p>
            <w:pPr>
              <w:ind w:left="380"/>
              <w:spacing w:after="0" w:line="207" w:lineRule="exact"/>
              <w:rPr>
                <w:sz w:val="20"/>
                <w:szCs w:val="20"/>
                <w:color w:val="auto"/>
              </w:rPr>
            </w:pPr>
            <w:r>
              <w:rPr>
                <w:rFonts w:ascii="Times New Roman" w:cs="Times New Roman" w:eastAsia="Times New Roman" w:hAnsi="Times New Roman"/>
                <w:sz w:val="18"/>
                <w:szCs w:val="18"/>
                <w:color w:val="auto"/>
              </w:rPr>
              <w:t>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5,373</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5,961</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 liability, net</w:t>
            </w: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1,274</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47"/>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interest, amortization of debt issuance costs and other</w:t>
            </w: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5,111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5,037</w:t>
            </w:r>
          </w:p>
        </w:tc>
      </w:tr>
      <w:tr>
        <w:trPr>
          <w:trHeight w:val="247"/>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Inventory excess and obsolescence</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47"/>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(1,501 )</w:t>
            </w:r>
          </w:p>
        </w:tc>
      </w:tr>
      <w:tr>
        <w:trPr>
          <w:trHeight w:val="247"/>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905</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1,113</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(3,504 )</w:t>
            </w:r>
          </w:p>
        </w:tc>
      </w:tr>
      <w:tr>
        <w:trPr>
          <w:trHeight w:val="247"/>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513</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(1,213 )</w:t>
            </w:r>
          </w:p>
        </w:tc>
      </w:tr>
      <w:tr>
        <w:trPr>
          <w:trHeight w:val="247"/>
        </w:trPr>
        <w:tc>
          <w:tcPr>
            <w:tcW w:w="7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(2,494 )</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Tenant improvement allowances received</w:t>
            </w: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18,323</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2,471</w:t>
            </w:r>
          </w:p>
        </w:tc>
      </w:tr>
      <w:tr>
        <w:trPr>
          <w:trHeight w:val="243"/>
        </w:trPr>
        <w:tc>
          <w:tcPr>
            <w:tcW w:w="7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and long-term operating lease liabilities</w:t>
            </w:r>
          </w:p>
        </w:tc>
        <w:tc>
          <w:tcPr>
            <w:tcW w:w="9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(937 )</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operating activities</w:t>
            </w: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(22,870 )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(44,972 )</w:t>
            </w:r>
          </w:p>
        </w:tc>
      </w:tr>
      <w:tr>
        <w:trPr>
          <w:trHeight w:val="247"/>
        </w:trPr>
        <w:tc>
          <w:tcPr>
            <w:tcW w:w="77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47"/>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(22,919 )</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 costs and intangible asset acquisition, net</w:t>
            </w: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r>
      <w:tr>
        <w:trPr>
          <w:trHeight w:val="24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used in investing activities</w:t>
            </w:r>
          </w:p>
        </w:tc>
        <w:tc>
          <w:tcPr>
            <w:tcW w:w="9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(23,062 )</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(3,534 )</w:t>
            </w:r>
          </w:p>
        </w:tc>
      </w:tr>
      <w:tr>
        <w:trPr>
          <w:trHeight w:val="243"/>
        </w:trPr>
        <w:tc>
          <w:tcPr>
            <w:tcW w:w="7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28,126</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59,538</w:t>
            </w:r>
          </w:p>
        </w:tc>
      </w:tr>
      <w:tr>
        <w:trPr>
          <w:trHeight w:val="247"/>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w:t>
            </w:r>
          </w:p>
        </w:tc>
      </w:tr>
      <w:tr>
        <w:trPr>
          <w:trHeight w:val="247"/>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(8,581 )</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(10,822 )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term loan and notes payable</w:t>
            </w:r>
          </w:p>
        </w:tc>
        <w:tc>
          <w:tcPr>
            <w:tcW w:w="9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45,102</w:t>
            </w:r>
          </w:p>
        </w:tc>
      </w:tr>
      <w:tr>
        <w:trPr>
          <w:trHeight w:val="247"/>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Repayment of term loan and notes payable</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(28,604 )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(3,725 )</w:t>
            </w:r>
          </w:p>
        </w:tc>
      </w:tr>
      <w:tr>
        <w:trPr>
          <w:trHeight w:val="247"/>
        </w:trPr>
        <w:tc>
          <w:tcPr>
            <w:tcW w:w="7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offering costs</w:t>
            </w: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financing costs</w:t>
            </w:r>
          </w:p>
        </w:tc>
        <w:tc>
          <w:tcPr>
            <w:tcW w:w="9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(3,069 )</w:t>
            </w:r>
          </w:p>
        </w:tc>
      </w:tr>
      <w:tr>
        <w:trPr>
          <w:trHeight w:val="243"/>
        </w:trPr>
        <w:tc>
          <w:tcPr>
            <w:tcW w:w="77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and restricted cash provided by financing activities</w:t>
            </w:r>
          </w:p>
        </w:tc>
        <w:tc>
          <w:tcPr>
            <w:tcW w:w="9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29,129</w:t>
            </w: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58,882</w:t>
            </w:r>
          </w:p>
        </w:tc>
      </w:tr>
      <w:tr>
        <w:trPr>
          <w:trHeight w:val="24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9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(16,803 )</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10,376</w:t>
            </w:r>
          </w:p>
        </w:tc>
      </w:tr>
      <w:tr>
        <w:trPr>
          <w:trHeight w:val="243"/>
        </w:trPr>
        <w:tc>
          <w:tcPr>
            <w:tcW w:w="774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beginning of period</w:t>
            </w:r>
          </w:p>
        </w:tc>
        <w:tc>
          <w:tcPr>
            <w:tcW w:w="9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43,174</w:t>
            </w:r>
          </w:p>
        </w:tc>
        <w:tc>
          <w:tcPr>
            <w:tcW w:w="1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32,798</w:t>
            </w:r>
          </w:p>
        </w:tc>
      </w:tr>
      <w:tr>
        <w:trPr>
          <w:trHeight w:val="276"/>
        </w:trPr>
        <w:tc>
          <w:tcPr>
            <w:tcW w:w="774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end of period</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26,371</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-3458845</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-667385</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8"/>
        </w:trPr>
        <w:tc>
          <w:tcPr>
            <w:tcW w:w="7740" w:type="dxa"/>
            <w:vAlign w:val="bottom"/>
          </w:tcPr>
          <w:p>
            <w:pPr>
              <w:ind w:left="4960"/>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9"/>
        </w:trPr>
        <w:tc>
          <w:tcPr>
            <w:tcW w:w="7740" w:type="dxa"/>
            <w:vAlign w:val="bottom"/>
          </w:tcPr>
          <w:p>
            <w:pPr>
              <w:ind w:left="46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8"/>
        </w:trPr>
        <w:tc>
          <w:tcPr>
            <w:tcW w:w="774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(Continued from the previous page)</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1"/>
        </w:trPr>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r>
              <w:rPr>
                <w:rFonts w:ascii="Times New Roman" w:cs="Times New Roman" w:eastAsia="Times New Roman" w:hAnsi="Times New Roman"/>
                <w:sz w:val="18"/>
                <w:szCs w:val="18"/>
                <w:color w:val="auto"/>
              </w:rPr>
              <w:t>:</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2"/>
        </w:trPr>
        <w:tc>
          <w:tcPr>
            <w:tcW w:w="7740" w:type="dxa"/>
            <w:vAlign w:val="bottom"/>
          </w:tcPr>
          <w:p>
            <w:pPr>
              <w:spacing w:after="0"/>
              <w:rPr>
                <w:sz w:val="24"/>
                <w:szCs w:val="24"/>
                <w:color w:val="auto"/>
              </w:rPr>
            </w:pPr>
          </w:p>
        </w:tc>
        <w:tc>
          <w:tcPr>
            <w:tcW w:w="288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r>
      <w:tr>
        <w:trPr>
          <w:trHeight w:val="240"/>
        </w:trPr>
        <w:tc>
          <w:tcPr>
            <w:tcW w:w="7740" w:type="dxa"/>
            <w:vAlign w:val="bottom"/>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r>
      <w:tr>
        <w:trPr>
          <w:trHeight w:val="238"/>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issued for deferred offering costs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offering costs amortized against Additional paid-in capital</w:t>
            </w:r>
          </w:p>
        </w:tc>
        <w:tc>
          <w:tcPr>
            <w:tcW w:w="10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r>
      <w:tr>
        <w:trPr>
          <w:trHeight w:val="24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 included in accounts payable and other accrued liabilities</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financing costs included in accounts payable and other accrued liabilities</w:t>
            </w:r>
          </w:p>
        </w:tc>
        <w:tc>
          <w:tcPr>
            <w:tcW w:w="10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r>
      <w:tr>
        <w:trPr>
          <w:trHeight w:val="24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Perceptive Warrants</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674</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3,051</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liabilities at adoption of ASC 842</w:t>
            </w:r>
          </w:p>
        </w:tc>
        <w:tc>
          <w:tcPr>
            <w:tcW w:w="10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1,269</w:t>
            </w:r>
          </w:p>
        </w:tc>
      </w:tr>
      <w:tr>
        <w:trPr>
          <w:trHeight w:val="24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lease liabilities</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3,936</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obtained in exchange for lease liabilities</w:t>
            </w:r>
          </w:p>
        </w:tc>
        <w:tc>
          <w:tcPr>
            <w:tcW w:w="10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773</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r>
      <w:tr>
        <w:trPr>
          <w:trHeight w:val="24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3,994</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1,009</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of warrant liability to additional paid-in capital</w:t>
            </w:r>
          </w:p>
        </w:tc>
        <w:tc>
          <w:tcPr>
            <w:tcW w:w="1060" w:type="dxa"/>
            <w:vAlign w:val="bottom"/>
          </w:tcPr>
          <w:p>
            <w:pPr>
              <w:spacing w:after="0"/>
              <w:rPr>
                <w:sz w:val="20"/>
                <w:szCs w:val="20"/>
                <w:color w:val="auto"/>
              </w:rPr>
            </w:pPr>
          </w:p>
        </w:tc>
        <w:tc>
          <w:tcPr>
            <w:tcW w:w="6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1,335</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&amp; equipment included in accounts payable and accrued liabilities</w:t>
            </w:r>
          </w:p>
        </w:tc>
        <w:tc>
          <w:tcPr>
            <w:tcW w:w="10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BIODESIX,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Biodesix, Inc. (the “Company”, “Biodesix”, “we” “us” and “our”), formerly Elston Technologies, Inc., was incorporated in Delaware in 2005. The Company’s headquarters are in Colorado and the Company performs its blood-based diagnostic tests in its laboratory facilities which are located in Louisville, Colorado and De Soto Kansas. Throughout 2023, the Company leased its headquarters and laboratory facilities in Boulder, Colorado, under a lease agreement that expired in January 2024 and the Company subsequently relocated its corporate headquarters and laboratory facilities to Louisville, Colorado. The Company conducts all of its operations within a single legal entity. Biodesix is a leading diagnostic solutions company with a focus in lung disease. The Company develops diagnostic tests addressing important clinical questions by combining multi-omics through the use of artificial intelligence enabled informatics. We derive our revenue from two sources: (i) providing diagnostic testing services associated with (a) blood-based lung tests and (b) prior to May 11, 2023, Coronavirus Disease 2019 (COVID-19) tests (Diagnostic Tests); and (ii) providing biopharmaceutical companies with services that include diagnostic research, clinical research,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 Biodesix offers five Medicare-covered tests for patients with lung diseases which includes our blood-based Nodify Lung® Nodule Risk Assessment testing, consisting of the Nodify XL2® and the Nodify CDT® tests. These tests evaluate the risk of malignancy in incidental pulmonary nodules, enabling physicians to better triage patients to the most appropriate course of action. Additionally, our blood-based IQLung™ testing strategy for lung cancer patients integrates the GeneStrat® ddPCR test, the GeneStrat NGS® test and the VeriStrat® test to support treatment decisions across all stages of lung cancer.</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offered three SARS-CoV-2 tests. The Bio-Rad SARS-CoV-2 ddPCR test, the cPASS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neutralization antibody test kit, and the Platelia SARS-CoV-2 Total Ab test were granted Emergency Use Authorization (EUA) by the Federal Drug Administration (FDA). On January 30, 2023, the White House issued a Statement of Administration Policy announcing the President’s intention to allow the Public Health Emergency declaration under Section 319 to expire on May 11, 2023. In connection with the expiration of the Public Health Emergency declaration under Section 319, the Company no longer provides commercial COVID-19 diagnostic testing services.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Blood-Based Lung Tests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offers five blood-based lung cancer tests across the lung cancer continuum of care:</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Diagnosis</w:t>
      </w:r>
    </w:p>
    <w:p>
      <w:pPr>
        <w:spacing w:after="0" w:line="117" w:lineRule="exact"/>
        <w:rPr>
          <w:sz w:val="20"/>
          <w:szCs w:val="20"/>
          <w:color w:val="auto"/>
        </w:rPr>
      </w:pPr>
    </w:p>
    <w:p>
      <w:pPr>
        <w:jc w:val="both"/>
        <w:ind w:left="900" w:hanging="383"/>
        <w:spacing w:after="0" w:line="258"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Nodify CDT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Nodify XL2 </w:t>
      </w:r>
      <w:r>
        <w:rPr>
          <w:rFonts w:ascii="Times New Roman" w:cs="Times New Roman" w:eastAsia="Times New Roman" w:hAnsi="Times New Roman"/>
          <w:sz w:val="18"/>
          <w:szCs w:val="18"/>
          <w:color w:val="auto"/>
        </w:rPr>
        <w:t>tests, marketed as Nodify Lung Nodule Risk Assessment testing, assess a suspicious lung nodule's risk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We believe we are the only company to offer two commercial blood-based tests to help physicians reclassify risk of malignancy in patients with suspicious lung nodules.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Treatment &amp; Monitoring</w:t>
      </w:r>
    </w:p>
    <w:p>
      <w:pPr>
        <w:spacing w:after="0" w:line="117" w:lineRule="exact"/>
        <w:rPr>
          <w:sz w:val="20"/>
          <w:szCs w:val="20"/>
          <w:color w:val="auto"/>
        </w:rPr>
      </w:pPr>
    </w:p>
    <w:p>
      <w:pPr>
        <w:jc w:val="both"/>
        <w:ind w:left="900" w:hanging="383"/>
        <w:spacing w:after="0" w:line="254"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GeneStrat ddPCR, GeneStrat NGS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VeriStrat </w:t>
      </w:r>
      <w:r>
        <w:rPr>
          <w:rFonts w:ascii="Times New Roman" w:cs="Times New Roman" w:eastAsia="Times New Roman" w:hAnsi="Times New Roman"/>
          <w:sz w:val="18"/>
          <w:szCs w:val="18"/>
          <w:color w:val="auto"/>
        </w:rPr>
        <w:t>tests, marketed as part of our IQLung testing strategy, are used following diagnosis of lung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cancer to detect the presence of mutations in the tumor and the state of the patient’s immune system to help guide treatment decisions. The GeneStrat ddPCR tumor genomic profiling test and the VeriStrat immune profiling test have established an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developing the Company's products, the Company has built or gained access to regulatory approvals, product development know-how, unique biorepositories, proprietary and patented technologies, specimen collection kit manufacturing capabilities, and bioinformatics methods that it believes are important to the development of new targeted therapies, determining clinical trial eligibility and guiding treatment selection. The Company’s testing services are made available through its clinical laboratories.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Estimates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 xml:space="preserve">The Company’s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Significant items subject to such estimates include: revenue recognition; the estimation of the fair value of goodwill and other intangible assets pursuant to the Company's annual impairment analysis; fair value of stock options; income tax uncertainties, including a valuation allowance for deferred tax assets; fair value of warrant liabilities; leases, including </w:t>
      </w:r>
      <w:r>
        <w:rPr>
          <w:rFonts w:ascii="Times New Roman" w:cs="Times New Roman" w:eastAsia="Times New Roman" w:hAnsi="Times New Roman"/>
          <w:sz w:val="18"/>
          <w:szCs w:val="18"/>
          <w:color w:val="000000"/>
        </w:rPr>
        <w:t>the estimated incremental borrowing rates</w:t>
      </w:r>
      <w:r>
        <w:rPr>
          <w:rFonts w:ascii="Times New Roman" w:cs="Times New Roman" w:eastAsia="Times New Roman" w:hAnsi="Times New Roman"/>
          <w:sz w:val="18"/>
          <w:szCs w:val="18"/>
          <w:color w:val="212529"/>
        </w:rPr>
        <w:t>;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Actual results could differ from those estimates and assumptions.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of December 31, 2023, we maintained cash and cash equivalents of $26.3 million and we have $40.0 million in outstanding aggregate principal amount on our Perceptive Term Loan Facility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We have incurred significant losses since inception and, as a result, we have funded our operations to date primarily through the sale of common stock, the sale of convertible preferred stock, the issuance of notes payable, and from our two primary revenue sources: (i) diagnostic testing, which includes lung diagnostic testing and, prior to May 11, 2023, COVID-19 testing, and (ii) providing biopharmaceutical companies with development and testing services and licensing our technologies. In accordance with Accounting Standards Update 2014-15 (ASC Topic 205-40), </w:t>
      </w:r>
      <w:r>
        <w:rPr>
          <w:rFonts w:ascii="Times New Roman" w:cs="Times New Roman" w:eastAsia="Times New Roman" w:hAnsi="Times New Roman"/>
          <w:sz w:val="18"/>
          <w:szCs w:val="18"/>
          <w:i w:val="1"/>
          <w:iCs w:val="1"/>
          <w:color w:val="auto"/>
        </w:rPr>
        <w:t>Presentation of Financial Statements - Going Concern: Disclosure of Uncertainties about an Entity’s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 is required to evaluate whether there is substantial doubt about its ability to continue as a going concern each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including interim periods. In evaluating the Company’s ability to continue as a going concern, management projected its cash flow sources and evaluated the conditions and events that could raise substantial doubt about the Company’s ability to continue as a going concern within one year after the date that these financial statements were issued. Management considered the Company’s current projections of future cash flows, current financial condition, sources of liquidity and debt obligations for at least one year from the date of issuance of this Form 10-K in considering whether it has the ability to meet its obligations.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ability to meet our obligations as they come due may be impacted by our ability to remain compliant with financial covenants in our Perceptive Term Loan Facility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or to obtain waivers or amendments that impact the related covenants. As of December 31, 2023, the Company was in compliance with all restrictive covenants associated with its borrowing and entered into a limited waiver on February 14, 2024 to the Perceptive Term Loan Facility (the Limited Waiver). Subject to the terms and conditions of the Limited Waiver, Perceptive agreed to (i) waive compliance with the December 31, 2023 Minimum Net Revenue covenant and (ii) waive the requirement that the Annual Report on Form 10-K for the year-ended December 31, 2023 and auditor's opinion on the financial statements herein shall not be subject to any going concern or like qualification or exception audit.</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Based on our current operating plan, unless we continue to raise additional capital (debt or equity), we expect that we will be unable to maintain our financial covenants under our existing loan agreement during the next twelve months, which could result in an Event of Default (as defined in the Perceptive Term Loan Facility), causing an acceleration and repayment of the outstanding balances. We have taken steps to improve our liquidity through raising debt and equity capital and have also undertaken several proactive measures including, among other things, the reduction of planned capital expenditures and certain operating expenses but we do not expect that these actions alone will be sufficient to maintain our financial covenants. The Perceptive Term Loan Facility requires the Company to recognize revenue in amounts agreed to between the Company and Perceptive as of the last day of each fiscal quarter, which commenced with the fiscal quarter ending March 31, 2023. On May 10, 2023 (the First Amendment Effective Date), the Company entered into the First Amendment to the Credit Agreement (the First Amendment), whereby subject to the terms and conditions of the First Amendment, the Minimum Net Revenue Covenant (as defined in the Credit Agreement) was amended to reduce the relevant threshold through the twelve month period ended March 31, 2024. On August 4, 2023, the Company entered into a second amendment to the Perceptive Term Loan Facility, whereby subject to the terms and conditions of the second amendment, the Minimum Net Revenue Covenant was amended to reduce the relevant threshold through the twelve month period ended December 31, 2025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raised approximately $27.5 million in net proceeds through a private placement equity offering (see Note 10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Subsequent to December 31, 2023, the Company entered into a third amendment to the Perceptive Term Loan Facility, whereby, subject to the terms and conditions of the third amendment, the Minimum Net Revenue Covenant was amended to reduce the relevant threshold through the fiscal quarter ended December 31, 2025 (see Note 16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To maintain an adequate amount of available liquidity and execute our current operating plan, we will need to continue to raise additional funds from external sources, such as through the issuance of equity or debt securities; however, we have not secured such funding at the time of this filing and any such financing activities are subject to market conditions. If we raise additional capital through debt financing, we may be subject to covenants limiting or restricting our ability to take specific actions, such as incurring additional debt, making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11" w:name="page112"/>
    <w:bookmarkEnd w:id="111"/>
    <w:p>
      <w:pPr>
        <w:jc w:val="both"/>
        <w:spacing w:after="0" w:line="256" w:lineRule="auto"/>
        <w:rPr>
          <w:sz w:val="20"/>
          <w:szCs w:val="20"/>
          <w:color w:val="auto"/>
        </w:rPr>
      </w:pPr>
      <w:r>
        <w:rPr>
          <w:rFonts w:ascii="Times New Roman" w:cs="Times New Roman" w:eastAsia="Times New Roman" w:hAnsi="Times New Roman"/>
          <w:sz w:val="18"/>
          <w:szCs w:val="18"/>
          <w:color w:val="auto"/>
        </w:rPr>
        <w:t>capital expenditures or declaring dividends.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There can be no assurance that additional capital will be available to us or, if available, will be available in sufficient amounts or on terms acceptable to us or on a timely basis. If adequate capital resources are not available on a timely basis, we intend to consider limiting our operations substantially. This limitation of operations could include a hiring freeze, reductions in our workforce, reduction in cash compensation, deferring capital expenditures, and reducing other operating costs.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continue to incur operating losses in the near term while we make investments to support our anticipated growth. Our current operating plan, which is in part determined based on our most recent historical actual results and trends, along with the items noted above, raises substantial doubt about the Company’s ability to continue as a going concern for a period beyond one year after these financial statements are issued. Our audited financial statements have been prepared assuming we will continue as a going concern and do not include any adjustments that might be necessary should we be unable to continue as a going concern.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has a single operating segment focused on providing diagnostic testing services to customers. Substantially all of the Company’s revenue and all long-lived assets were derived or located in the United States for the years ended December 31, 2023 and 2022.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generates revenues from two primary sources: (i) providing diagnostic testing in the clinical setting (Diagnostic tests); and (ii) providing biopharmaceutical companies with services that include diagnostic research, clinical research, clinical trial testing, development and testing services generally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 revenue).</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Diagnostic test revenues consist of blood-based lung tests and are recognized in the amount expected to be received in exchange for diagnostic tests when the diagnostic tests are delivered. The Company determines the transaction price and amount to accrue related to its blood-based lung diagnostic test contracts using a portfolio approach by considering:</w:t>
      </w:r>
    </w:p>
    <w:p>
      <w:pPr>
        <w:spacing w:after="0" w:line="69" w:lineRule="exact"/>
        <w:rPr>
          <w:sz w:val="20"/>
          <w:szCs w:val="20"/>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payer and payer coverage;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history;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type;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amount of time until payment by a payer;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price concessions granted to groups of customers;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is a reimbursement contract between the payer and the Company;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as a percentage of agreed upon rate (if applicable);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paid per test;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developments or changes that could impact reimbursement.</w:t>
      </w:r>
    </w:p>
    <w:p>
      <w:pPr>
        <w:spacing w:after="0" w:line="11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Variable consideration, if any, is estimated based on an analysis of historical experience and adjusted as better estimates become available. These estimates require significant judgment by management.</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Biopharma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or achievement of contractual milestone(s) as defined in the customer agreements.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or upon completion of the contractual milestone(s).</w:t>
      </w:r>
    </w:p>
    <w:p>
      <w:pPr>
        <w:spacing w:after="0" w:line="7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also provides services to patients with whom the Company does not have contracts as defined Accounting Standards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for these patients when contracts are established at the amount of consideration to which it expects to be entitled, or when the Company receives substantially all of the consideration subsequent to satisfaction and delivery of the performance obligations.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12" w:name="page113"/>
    <w:bookmarkEnd w:id="112"/>
    <w:p>
      <w:pPr>
        <w:jc w:val="both"/>
        <w:spacing w:after="0" w:line="281" w:lineRule="auto"/>
        <w:rPr>
          <w:sz w:val="20"/>
          <w:szCs w:val="20"/>
          <w:color w:val="auto"/>
        </w:rPr>
      </w:pPr>
      <w:r>
        <w:rPr>
          <w:rFonts w:ascii="Times New Roman" w:cs="Times New Roman" w:eastAsia="Times New Roman" w:hAnsi="Times New Roman"/>
          <w:sz w:val="18"/>
          <w:szCs w:val="18"/>
          <w:color w:val="auto"/>
        </w:rPr>
        <w:t>Deferred revenue consists of payments received for research, development, and testing services fees received prior to the completion of performance of these tests and services.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11 — </w:t>
      </w:r>
      <w:r>
        <w:rPr>
          <w:rFonts w:ascii="Times New Roman" w:cs="Times New Roman" w:eastAsia="Times New Roman" w:hAnsi="Times New Roman"/>
          <w:sz w:val="18"/>
          <w:szCs w:val="18"/>
          <w:i w:val="1"/>
          <w:iCs w:val="1"/>
          <w:color w:val="auto"/>
        </w:rPr>
        <w:t>Revenue and Accounts Receivable Credit Concentration</w:t>
      </w:r>
      <w:r>
        <w:rPr>
          <w:rFonts w:ascii="Times New Roman" w:cs="Times New Roman" w:eastAsia="Times New Roman" w:hAnsi="Times New Roman"/>
          <w:sz w:val="18"/>
          <w:szCs w:val="18"/>
          <w:color w:val="auto"/>
        </w:rPr>
        <w:t xml:space="preserve"> for additional information.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Costs and Expenses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components of our cost of diagnostic tests and testing services consist of cost of materials, direct labor, including bonuses, benefit and share-based compensation, depreciation of laboratory equipment, rent costs, amortization of leasehold improvements and information technology costs associated with acquiring and processing test samples, including sample accessioning, test performance, quality control analyses, charges to collect and transport samples; curation of test results for physicians; and in some cases, license or royalty fees due to third parties.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Costs associated with performing tests are expensed as the test is processed regardless of whether and when revenue is recognized with respect to that test.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b w:val="1"/>
          <w:bCs w:val="1"/>
          <w:i w:val="1"/>
          <w:iCs w:val="1"/>
          <w:color w:val="212529"/>
        </w:rPr>
        <w:t>Expenses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include external and internal costs incurred to develop our technology, collect clinical samples, and conduct clinical studies to develop and support our products. External costs consist primarily of payments to clinical trial sites, sample acquisition costs and laboratory supplies purchased in connection with the Company’s discovery and preclinical activities, process development and clinical development activities, infrastructure expenses, including allocated facility occupancy and information technology costs. Internal expenses include employee-related costs, including salaries, share-based compensation, and related benefits for employees engaged in research and development functions.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The Company estimates and accrues its expenses resulting from its obligations under contracts with vendors and consultants in connection with conducting research and development activities. The financial terms of these contracts vary from contract to contract and may result in payments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 Research and development costs are expensed as incurred.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General and Administrative Expenses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Selling expenses consist primarily of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share-based compensation, as well as marketing and educational activities and allocated overhead expenses.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Sales, marketing, general and administrative expenses also include costs for our marketing and sales organizations, and other functions including finance, legal, human resources, and information technology. These expenses consist principally of salaries, bonuses, employee benefits, travel, share-based compensation, as well as professional services fees such as consulting, audit, tax and legal fees, and general corporate costs and allocated overhead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Uncertainties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spacing w:after="0" w:line="6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For a discussion of credit risk concentration of accounts receivable as of December 31, 2023 and 2022, see Note 11 — </w:t>
      </w:r>
      <w:r>
        <w:rPr>
          <w:rFonts w:ascii="Times New Roman" w:cs="Times New Roman" w:eastAsia="Times New Roman" w:hAnsi="Times New Roman"/>
          <w:sz w:val="18"/>
          <w:szCs w:val="18"/>
          <w:i w:val="1"/>
          <w:iCs w:val="1"/>
          <w:color w:val="auto"/>
        </w:rPr>
        <w:t>Revenue and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Concentration</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consist of short-term, highly-liquid instruments with an original maturity of three months or less from the date of purchase.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Restricted cash consists of deposits related to the Company’s corporate credit card. As of December 31, 2023 and 2022, the Company had $0.1 million restricted cash, respectively, which was included in ‘Other current assets’ in the accompanying balance sheets.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Accounts receivable are stated at the amount management expects to collect from customers based on their outstanding invoices. Management reviews accounts receivable quarterly to determine if any receivable will potentially be uncollectible and to estimate the amount of allowance for doubtful accounts necessary to reduce accounts receivable to its estimated net realizable value based on historical experience, customer creditworthiness, facts, and circumstances specific to outstanding balances, and payment terms.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Inventory consists primarily of material supplies, which are consumed in the performance of testing services and charged to ‘Direct costs and expenses’. Inventory is stated at cost and reported within ‘Other current assets’ in the balance sheet and was $1.4 million for both years ended December 31, 2023 and 2022, respectively. The Company recorded a reserve for excess inventory of $0.1 million for both years ended December 31, 2023 and 2022, respectively. During the years ended December 31, 2023 and 2022, the Company recorded $0.2 million and $0.9 million, respectively, to the statement of operations for excess and obsolete inventory.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in the period realized.</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Long-lived assets to be held and used are evaluated for impairment when events or circumstances indicate the carrying value of a long-lived asset or asset group is less than the undiscounted cash flows from the use and eventual disposition over its remaining useful life. The Company assesses recoverability by comparing the sum or projected undiscounted cash flows from the use and eventual disposition of the asset or asset group to its carrying value, and records an impairment loss if the carrying value is greater than the undiscounted future cash flows. There were no impairments for the years ended December 31, 2023 and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Intangible assets primarily consist of intangible assets acquired as part of business combinations, external costs associated with patent applications that are probable of future economic benefits, and trademark costs. Finite-lived intangibles are stated at cost, net of accumulated amortization. The Company amortizes finite-lived intangible assets using the straight-line method over their estimated useful lives of 10 years, based on management's estimate of the period over which their economic benefits will be realized, product life and patent life. Trademarks are considered indefinite lived and are not amortized.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are reviewed for impairment whenever events or changes in circumstances indicate a reduction to fair value below their carrying amounts.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immaterial impairments during the years ended December 31, 2023 and 2022.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purchase price over amounts allocated to acquired assets and liabilities assumed in business combinations. The carrying value of goodwill is evaluated for impairment at least annually or more frequently when events or circumstances occur indicate a potential for impairment. The annual impairment test is performed on the last day of our fourth quarter. Prior to performing a quantitative evaluation, an assessment of qualitative factors may be performed to determine whether it is more likely than not that the fair value of the reporting unit exceeds its carrying value. In the event the Company determines that it is more likely than not the carrying value of our single reporting unit is higher than its estimated fair value, quantitative testing is performed comparing recorded values to estimated fair values. If impairment is present, the impairment loss is measured as the excess of the recorded goodwill over its implied fair value. Through December 31, 2023, there were no accumulated impairment losses.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acts as a lessee under all its lease agreements and holds various real estate leases for its headquarters and laboratory facilities in Colorado and Kansas and other various copier leases.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elected the following practical expedients as part of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1020" w:hanging="504"/>
        <w:spacing w:after="0"/>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Package of practical expedients which allows the Company to carry forward the historical lease classification;</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Hindsight practical expedient which allows the Company to use hindsight in determining the lease term, in assessing purchase options, and in assessing impairment of right-of-use (ROU) assets;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14" w:name="page115"/>
    <w:bookmarkEnd w:id="114"/>
    <w:p>
      <w:pPr>
        <w:ind w:left="1020" w:hanging="504"/>
        <w:spacing w:after="0" w:line="281"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lease practical expedient which allows the Company to capitalize only those leases with an initial term of twelve months or more; and</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practical expedient to account for lease and non-lease components (such as common area maintenance, utilities, insurance and taxes) as a single lease component for all classes of underlying assets.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determines if an arrangement is a lease at inception or upon modification of a contract.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Certain of the Company's leases include options to extend or terminate the lease. As leases approach maturity, the Company considers 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and disclosures required by this standard are contained in Note 9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Company has a $5.0 million cash refundable deposit to secure the performance of the Company’s obligations associated with the operating lease agreement with Centennial Valley Properties I, LLC (see Note 9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of December 31, 2023 and 2022, the $5.0 million refundable deposit is reported within 'Other long-term assets' in the balance sheet.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hierarchy and the related inputs are as follows:</w:t>
      </w:r>
    </w:p>
    <w:p>
      <w:pPr>
        <w:spacing w:after="0" w:line="117" w:lineRule="exact"/>
        <w:rPr>
          <w:sz w:val="20"/>
          <w:szCs w:val="20"/>
          <w:color w:val="auto"/>
        </w:rPr>
      </w:pPr>
    </w:p>
    <w:p>
      <w:pPr>
        <w:ind w:left="480"/>
        <w:spacing w:after="0"/>
        <w:tabs>
          <w:tab w:leader="none" w:pos="6160" w:val="left"/>
        </w:tabs>
        <w:rPr>
          <w:sz w:val="20"/>
          <w:szCs w:val="20"/>
          <w:color w:val="auto"/>
        </w:rPr>
      </w:pPr>
      <w:r>
        <w:rPr>
          <w:rFonts w:ascii="Times New Roman" w:cs="Times New Roman" w:eastAsia="Times New Roman" w:hAnsi="Times New Roman"/>
          <w:sz w:val="18"/>
          <w:szCs w:val="18"/>
          <w:color w:val="auto"/>
        </w:rPr>
        <w:t>Level</w:t>
      </w:r>
      <w:r>
        <w:rPr>
          <w:sz w:val="20"/>
          <w:szCs w:val="20"/>
          <w:color w:val="auto"/>
        </w:rPr>
        <w:tab/>
      </w:r>
      <w:r>
        <w:rPr>
          <w:rFonts w:ascii="Times New Roman" w:cs="Times New Roman" w:eastAsia="Times New Roman" w:hAnsi="Times New Roman"/>
          <w:sz w:val="18"/>
          <w:szCs w:val="18"/>
          <w:color w:val="auto"/>
        </w:rPr>
        <w:t>Inputs</w:t>
      </w:r>
    </w:p>
    <w:p>
      <w:pPr>
        <w:spacing w:after="0" w:line="36" w:lineRule="exact"/>
        <w:rPr>
          <w:sz w:val="20"/>
          <w:szCs w:val="20"/>
          <w:color w:val="auto"/>
        </w:rPr>
      </w:pPr>
    </w:p>
    <w:p>
      <w:pPr>
        <w:ind w:left="1580" w:hanging="949"/>
        <w:spacing w:after="0"/>
        <w:tabs>
          <w:tab w:leader="none" w:pos="15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in active markets for identical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1580" w:hanging="949"/>
        <w:spacing w:after="0"/>
        <w:tabs>
          <w:tab w:leader="none" w:pos="15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in active markets for similar assets and liabilities;</w:t>
      </w:r>
    </w:p>
    <w:p>
      <w:pPr>
        <w:spacing w:after="0" w:line="22" w:lineRule="exact"/>
        <w:rPr>
          <w:rFonts w:ascii="Times New Roman" w:cs="Times New Roman" w:eastAsia="Times New Roman" w:hAnsi="Times New Roman"/>
          <w:sz w:val="18"/>
          <w:szCs w:val="18"/>
          <w:color w:val="auto"/>
        </w:rPr>
      </w:pPr>
    </w:p>
    <w:p>
      <w:pPr>
        <w:ind w:left="1580" w:right="24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Unadjusted quoted prices for identical or similar assets or liabilities in markets that are not active; or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580" w:hanging="949"/>
        <w:spacing w:after="0"/>
        <w:tabs>
          <w:tab w:leader="none" w:pos="15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Unobservable inputs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0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4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for further discussion related to estimated fair value measurements.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fair value of contingent consideration is assessed at each balance sheet date and changes, if any, to the fair value are recorded as ‘Interest expense’ in the statements of operations.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i w:val="1"/>
          <w:iCs w:val="1"/>
          <w:color w:val="auto"/>
        </w:rPr>
        <w:t>Warrant Liability</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fair value of warrant liabilities is assessed at each balance sheet date and changes, if any, to the fair value are recorded as 'Change in fair value of warrant liability, net' in the statement of operations.</w:t>
      </w:r>
    </w:p>
    <w:p>
      <w:pPr>
        <w:spacing w:after="0" w:line="1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-43815</wp:posOffset>
            </wp:positionV>
            <wp:extent cx="63500"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2">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grants service condition and performance condition stock options. Stock options are granted with exercise prices equal to the fair market value of our common stock on the date of grant. The grant date fair value of each employee stock option is estimated on the date of grant using the Black-Scholes option-pricing model, which requires the use of assumptions, including the expected term of the option, expected volatility of our stock price, expected dividend yield, and the risk-free interest rate, among others. We estimate forfeitures and adjust these estimates to actual forfeitures as they occur. These assumptions involve inherent uncertainties including market conditions and employee behavior that are generally outside of the Company’s control. Service condition stock options are expensed based on the grant date fair value of the awards using the straight-line method over the requisite service period. Performance-condition stock options, if granted, vest based on achievement of multiple weighted performance goals, certification of performance achievement by the Compensation Committee of the Board of Directors, and continued service. For performance-condition stock options, compensation expense is updated for our expected performance level against performance goals at the end of each reporting period, which involves judgment as to achievement of certain performance metrics.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grants service-condition RSUs. The grant date fair values of these RSUs are based on the closing market price of our common stock on the grant date. We estimate forfeitures and adjust these estimates to actual forfeitures as they occur. The service-condition RSUs vest based on continued service with compensation expense recognized on a straight-line basis over the requisite service period.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12 —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xml:space="preserve"> for additional information related to share-based compensation.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which deferred income taxes are recognized based on the estimated future tax effects of differences between the financial statement and tax bases of assets and liabilities given the provisions of enacted tax laws. Deferred income tax provisions and benefits are based on changes to the assets or liabilities from year to year. In providing for deferred taxes, the Company considers tax regulations of the jurisdictions in which the Company operates, estimates of future taxable income, and available tax planning strategies. If tax regulations, operating results, or the ability to implement tax-planning strategies vary, adjustments to the carrying value of deferred tax assets and liabilities may be required. A valuation allowance is recorded when it is more likely than not that a deferred tax asset will not be realized. The recorded valuation allowance is based on significant estimates and judgments and if the facts and circumstances change, the valuation allowance could materially change. In accounting for uncertainty in income taxes, the Company recognizes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 The Company recognizes interest and penalties accrued on any unrecognized tax benefits as a component of income tax expense.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14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for additional information related to income taxes.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by the weighted-average number of common shares outstanding during the period, without consideration of common stock equivalents. Diluted net loss per common share is computed by dividing net loss by the weighted-average number of common share equivalents outstanding for the period, if dilutive, using the treasury stock method. Potentially dilutive securities consisting of options to purchase common stock, warrants to purchase common stock, RSUs and shares subject to purchase under our employee stock purchase plan were excluded from the calculation of diluted net loss per common share because their effect would be anti-dilutive for all periods presented.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Measurement of Credit Losses on Financial Instruments</w:t>
      </w:r>
      <w:r>
        <w:rPr>
          <w:rFonts w:ascii="Times New Roman" w:cs="Times New Roman" w:eastAsia="Times New Roman" w:hAnsi="Times New Roman"/>
          <w:sz w:val="18"/>
          <w:szCs w:val="18"/>
          <w:color w:val="auto"/>
        </w:rPr>
        <w:t xml:space="preserve"> (ASC Topic 326). This ASU requires measurement and recognition of expected credit losses for financial assets. This guidance became effective for the Company beginning January 1, 2023. The Company evaluated the guidance and determined the overall impact of the adoption had an immaterial impact on our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Improvements to Reportable Segment Disclosures</w:t>
      </w:r>
      <w:r>
        <w:rPr>
          <w:rFonts w:ascii="Times New Roman" w:cs="Times New Roman" w:eastAsia="Times New Roman" w:hAnsi="Times New Roman"/>
          <w:sz w:val="18"/>
          <w:szCs w:val="18"/>
          <w:color w:val="auto"/>
        </w:rPr>
        <w:t xml:space="preserve"> (ASC Topic 280). This ASU requires all public entities to provide additional disclosures about the entity's reportable segments and more detailed information about a reportable segment's expenses. This guidance will become effective for the Company beginning January 1, 2024, with early adoption permitted. The Company is currently evaluating this guidance and assessing the overall impact on its financial statements.</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ASU improves the transparency of income tax disclosures by requiring consistent categories and greater disaggregation of information in the rate reconciliation and income taxes paid by jurisdiction. This guidance will become effective for the Company beginning January 1, 2025, with early adoption permitted. The Company is currently evaluating this guidance and assessing the overall impact on its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borrowing instruments are recorded at their carrying values in the balance sheets, which may differ from their respective fair values. The fair value of borrowings as of December 31, 2023 and 2022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carrying value of outstanding borrowings approximates the fair value as of December 31, 2023. The difference between the carrying value and fair value of outstanding borrowings as of December 31, 2022 is due to the debt issuance costs and the fair value of the Perceptive Warrant netted against the Perceptive Term Loan Facility. The table below presents the carrying and fair values of outstanding borrowings, which are classified as Level 2, as of the dates indicated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1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35,276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35,506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25,053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26,785</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financial liabilities that are measured and recorded at estimated fair value on a recurring basis consist of our contingent consideration associated with our previous acquisition of Indi and the warrant liabilities granted as consideration for the Perceptive Term Loan Facility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which were accounted for as liabilities and remeasured through our statements of operations.</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table below presents the reported fair values of contingent consideration and warrant liabilities, which are classified as Level 3 in the fair value hierarchy, as of the dates indicated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7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21"/>
                <w:szCs w:val="21"/>
                <w:color w:val="auto"/>
              </w:rPr>
            </w:pPr>
          </w:p>
        </w:tc>
        <w:tc>
          <w:tcPr>
            <w:tcW w:w="16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3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21,857</w:t>
            </w:r>
          </w:p>
        </w:tc>
        <w:tc>
          <w:tcPr>
            <w:tcW w:w="7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10,341</w:t>
            </w:r>
          </w:p>
        </w:tc>
      </w:tr>
      <w:tr>
        <w:trPr>
          <w:trHeight w:val="23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18,645</w:t>
            </w:r>
          </w:p>
        </w:tc>
      </w:tr>
      <w:tr>
        <w:trPr>
          <w:trHeight w:val="276"/>
        </w:trPr>
        <w:tc>
          <w:tcPr>
            <w:tcW w:w="43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contingent consideration</w:t>
            </w:r>
          </w:p>
        </w:tc>
        <w:tc>
          <w:tcPr>
            <w:tcW w:w="3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21,857</w:t>
            </w:r>
          </w:p>
        </w:tc>
        <w:tc>
          <w:tcPr>
            <w:tcW w:w="7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28,986</w:t>
            </w:r>
          </w:p>
        </w:tc>
      </w:tr>
      <w:tr>
        <w:trPr>
          <w:trHeight w:val="227"/>
        </w:trPr>
        <w:tc>
          <w:tcPr>
            <w:tcW w:w="4300" w:type="dxa"/>
            <w:vAlign w:val="bottom"/>
            <w:tcBorders>
              <w:top w:val="single" w:sz="8" w:color="CCEEFF"/>
            </w:tcBorders>
          </w:tcPr>
          <w:p>
            <w:pPr>
              <w:spacing w:after="0"/>
              <w:rPr>
                <w:sz w:val="19"/>
                <w:szCs w:val="19"/>
                <w:color w:val="auto"/>
              </w:rPr>
            </w:pPr>
          </w:p>
        </w:tc>
        <w:tc>
          <w:tcPr>
            <w:tcW w:w="27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3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r>
      <w:tr>
        <w:trPr>
          <w:trHeight w:val="647"/>
        </w:trPr>
        <w:tc>
          <w:tcPr>
            <w:tcW w:w="4300" w:type="dxa"/>
            <w:vAlign w:val="bottom"/>
          </w:tcPr>
          <w:p>
            <w:pPr>
              <w:spacing w:after="0"/>
              <w:rPr>
                <w:sz w:val="24"/>
                <w:szCs w:val="24"/>
                <w:color w:val="auto"/>
              </w:rPr>
            </w:pPr>
          </w:p>
        </w:tc>
        <w:tc>
          <w:tcPr>
            <w:tcW w:w="3100" w:type="dxa"/>
            <w:vAlign w:val="bottom"/>
            <w:gridSpan w:val="3"/>
          </w:tcPr>
          <w:p>
            <w:pPr>
              <w:jc w:val="right"/>
              <w:ind w:right="1600"/>
              <w:spacing w:after="0"/>
              <w:rPr>
                <w:sz w:val="20"/>
                <w:szCs w:val="20"/>
                <w:color w:val="auto"/>
              </w:rPr>
            </w:pPr>
            <w:r>
              <w:rPr>
                <w:rFonts w:ascii="Times New Roman" w:cs="Times New Roman" w:eastAsia="Times New Roman" w:hAnsi="Times New Roman"/>
                <w:sz w:val="18"/>
                <w:szCs w:val="18"/>
                <w:color w:val="auto"/>
              </w:rPr>
              <w:t>F-15</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49"/>
        </w:trPr>
        <w:tc>
          <w:tcPr>
            <w:tcW w:w="43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-1232535</wp:posOffset>
            </wp:positionV>
            <wp:extent cx="939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-1215390</wp:posOffset>
            </wp:positionV>
            <wp:extent cx="939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t>The following table presents the changes in contingent consideration and warrant liabilities for the dates indicated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Level 3 Rollforward</w:t>
            </w:r>
          </w:p>
        </w:tc>
        <w:tc>
          <w:tcPr>
            <w:tcW w:w="160" w:type="dxa"/>
            <w:vAlign w:val="bottom"/>
          </w:tcPr>
          <w:p>
            <w:pPr>
              <w:spacing w:after="0"/>
              <w:rPr>
                <w:sz w:val="21"/>
                <w:szCs w:val="21"/>
                <w:color w:val="auto"/>
              </w:rPr>
            </w:pPr>
          </w:p>
        </w:tc>
        <w:tc>
          <w:tcPr>
            <w:tcW w:w="2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240" w:type="dxa"/>
            <w:vAlign w:val="bottom"/>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Warrant Liabilities</w:t>
            </w:r>
          </w:p>
        </w:tc>
        <w:tc>
          <w:tcPr>
            <w:tcW w:w="100" w:type="dxa"/>
            <w:vAlign w:val="bottom"/>
          </w:tcPr>
          <w:p>
            <w:pPr>
              <w:spacing w:after="0"/>
              <w:rPr>
                <w:sz w:val="21"/>
                <w:szCs w:val="21"/>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98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33,792</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0"/>
                <w:szCs w:val="20"/>
                <w:color w:val="auto"/>
              </w:rPr>
            </w:pPr>
          </w:p>
        </w:tc>
      </w:tr>
      <w:tr>
        <w:trPr>
          <w:trHeight w:val="24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net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(84 )</w:t>
            </w: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liabilities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(10,822 )</w:t>
            </w:r>
          </w:p>
        </w:tc>
        <w:tc>
          <w:tcPr>
            <w:tcW w:w="6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60" w:type="dxa"/>
            <w:vAlign w:val="bottom"/>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w:t>
            </w:r>
          </w:p>
        </w:tc>
        <w:tc>
          <w:tcPr>
            <w:tcW w:w="240" w:type="dxa"/>
            <w:vAlign w:val="bottom"/>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net</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20"/>
                <w:szCs w:val="20"/>
                <w:color w:val="auto"/>
              </w:rPr>
            </w:pPr>
          </w:p>
        </w:tc>
      </w:tr>
      <w:tr>
        <w:trPr>
          <w:trHeight w:val="24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(11,075 )</w:t>
            </w:r>
          </w:p>
        </w:tc>
        <w:tc>
          <w:tcPr>
            <w:tcW w:w="6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of Tranche B Warrants to additional paid-in capital</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(1,335 )</w:t>
            </w:r>
          </w:p>
        </w:tc>
      </w:tr>
      <w:tr>
        <w:trPr>
          <w:trHeight w:val="236"/>
        </w:trPr>
        <w:tc>
          <w:tcPr>
            <w:tcW w:w="7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60" w:type="dxa"/>
            <w:vAlign w:val="bottom"/>
            <w:tcBorders>
              <w:top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240" w:type="dxa"/>
            <w:vAlign w:val="bottom"/>
            <w:tcBorders>
              <w:top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20"/>
                <w:szCs w:val="20"/>
                <w:color w:val="auto"/>
              </w:rPr>
            </w:pPr>
          </w:p>
        </w:tc>
      </w:tr>
      <w:tr>
        <w:trPr>
          <w:trHeight w:val="20"/>
        </w:trPr>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requires additional consideration to be paid by the Company to such shareholders upon attainment of a three-consecutive month gross margin target of $2.0 million within the seven-year period after the acquisition date, which was achieved during the three months ended June 30, 2021.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2021, the Company entered into an amendment to the original agreement in which all parties agreed to forgo the issuance of common stock and agreed that the Company would,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is the same as if Indi had exercised the put right or the Company had exercised the call right provided for in the original agreement.</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7, 2022, the Company entered into Amendment No. 3 to the Indi APA, in which the parties agreed to restructure the Milestone Payments. The Company made five quarterly installments of $2.0 million each beginning in April 2022, three quarterly installments of $3.0 million which began in July 2023, will make one installment of $5.0 million in April 2024, and will make one installment of approximately $8.4 million in July 2024. In addition, the Company agreed to an exit fee of approximately $6.1 million in October 2024. Interest shall accrue on the difference between the payment schedule as agreed in the August 2021 amendment and the April 2022 amended payment schedule, at an aggregate per annum rate equal to 10%, with such interest to be payable quarterly on the following installment payment date. Our ability to make these payments is subject to ongoing compliance under the Perceptive Term Loan Facility. We obtained consent from Perceptive and subsequently paid the contractual Milestone Payment due January 1, 2024.</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contingent consideration liability is accounted for at fair value and subject to certain unobservable inputs. The significant unobservable inputs used in the measurement of the fair value include the probability of successful achievement of the specified product gross margin targets, the period in which the targets were expected to be achieved, and discount rates which ranged from 11% to 16%. As a result of the achievement of the gross margin target, the only remaining significant unobservable input used in the measurement of fair value includes the discount rate since all other inputs became fixed and determinable. Significant increases or decreases in the discount rate could result in a significantly higher or lower fair value measurement.</w:t>
      </w:r>
    </w:p>
    <w:p>
      <w:pPr>
        <w:spacing w:after="0" w:line="74"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recorded $3.9 million and $3.1 million, respectively, in interest expense due to the passage of time and fixed payment schedule.</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230, </w:t>
      </w:r>
      <w:r>
        <w:rPr>
          <w:rFonts w:ascii="Times New Roman" w:cs="Times New Roman" w:eastAsia="Times New Roman" w:hAnsi="Times New Roman"/>
          <w:sz w:val="18"/>
          <w:szCs w:val="18"/>
          <w:i w:val="1"/>
          <w:iCs w:val="1"/>
          <w:color w:val="auto"/>
        </w:rPr>
        <w:t>Statement of Cash Flows</w:t>
      </w:r>
      <w:r>
        <w:rPr>
          <w:rFonts w:ascii="Times New Roman" w:cs="Times New Roman" w:eastAsia="Times New Roman" w:hAnsi="Times New Roman"/>
          <w:sz w:val="18"/>
          <w:szCs w:val="18"/>
          <w:color w:val="auto"/>
        </w:rPr>
        <w:t>, cash paid to settle the contingent consideration liability recognized at fair value as of the acquisition date (including measurement-period adjustments) should be reflected as a cash outflow for financing activities while the remaining portion of the amount paid should be reflected as a cash outflow from operating activities in the statement of cash flows. A portion of the October 2023 and all 2024 Milestone Payments are classified as cash outflows from operating activities in the Company's statements of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11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On November 21, 2022, as consideration for the Perceptive Term Loan Facility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issued Perceptive a warrant to purchase up to 5,000,000 shares of the Company's common stock (the Perceptive Warrant), including Initial Warrants and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18" w:name="page119"/>
    <w:bookmarkEnd w:id="11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Additional Warrants (as defined in Note 10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below). The Initial Warrants and First Amendment Warrants are equity classified (see Note 10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while the Tranche B and C Warrants were initially classified as liabilities within 'Other short-term liabilities' and recognized at fair value.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Tranche B and C Warrants is determined using a Black-Scholes model and subject to certain unobservable inputs. The significant unobservable inputs used in the measurement of the fair value include the fair value of the Company's common stock, risk-free rate, the volatility of common stock, and the probability of the expected borrowing. Significant increases or decreases in the unobservable inputs could result in a significantly higher or lower fair value measurement. During the year ended December 31, 2023, the Company recorded a $1.3 million loss as a change in fair value through the statement of operations due to changes in unobservable inputs. This is a result of changes in the probability of our ability to draw on Tranche B and C loans. During the year ended December 31, 2022, the Company recorded $0.1 million as a change in fair value through the statement of operations due to changes in unobservable inputs.</w:t>
      </w:r>
    </w:p>
    <w:p>
      <w:pPr>
        <w:spacing w:after="0" w:line="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December 15, 2023 (the Tranche B Borrowing Date), the Company exercised its ability to draw the Tranche B loan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the Tranche B draw, the Company remeasured the Tranche B Warrants through the Tranche B Borrowing Date and recorded the change in fair value through the statement of operations and, subsequently, reclassified the fair value to additional paid-in capital (see Note 10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0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1"/>
                <w:szCs w:val="21"/>
                <w:color w:val="auto"/>
              </w:rPr>
            </w:pPr>
          </w:p>
        </w:tc>
        <w:tc>
          <w:tcPr>
            <w:tcW w:w="16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2022</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120" w:type="dxa"/>
            <w:vAlign w:val="bottom"/>
            <w:shd w:val="clear" w:color="auto" w:fill="CCEEFF"/>
          </w:tcPr>
          <w:p>
            <w:pPr>
              <w:spacing w:after="0"/>
              <w:rPr>
                <w:sz w:val="21"/>
                <w:szCs w:val="21"/>
                <w:color w:val="auto"/>
              </w:rPr>
            </w:pPr>
          </w:p>
        </w:tc>
        <w:tc>
          <w:tcPr>
            <w:tcW w:w="740" w:type="dxa"/>
            <w:vAlign w:val="bottom"/>
            <w:tcBorders>
              <w:top w:val="single" w:sz="8" w:color="auto"/>
            </w:tcBorders>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24,713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4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7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36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33,479</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(5,612 )</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(7,018 )</w:t>
            </w:r>
          </w:p>
        </w:tc>
        <w:tc>
          <w:tcPr>
            <w:tcW w:w="0" w:type="dxa"/>
            <w:vAlign w:val="bottom"/>
          </w:tcPr>
          <w:p>
            <w:pPr>
              <w:spacing w:after="0"/>
              <w:rPr>
                <w:sz w:val="1"/>
                <w:szCs w:val="1"/>
                <w:color w:val="auto"/>
              </w:rPr>
            </w:pPr>
          </w:p>
        </w:tc>
      </w:tr>
      <w:tr>
        <w:trPr>
          <w:trHeight w:val="234"/>
        </w:trPr>
        <w:tc>
          <w:tcPr>
            <w:tcW w:w="444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top w:val="single" w:sz="8" w:color="CCEEFF"/>
            </w:tcBorders>
          </w:tcPr>
          <w:p>
            <w:pPr>
              <w:spacing w:after="0"/>
              <w:rPr>
                <w:sz w:val="20"/>
                <w:szCs w:val="20"/>
                <w:color w:val="auto"/>
              </w:rPr>
            </w:pPr>
          </w:p>
        </w:tc>
        <w:tc>
          <w:tcPr>
            <w:tcW w:w="7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360" w:type="dxa"/>
            <w:vAlign w:val="bottom"/>
            <w:tcBorders>
              <w:top w:val="single" w:sz="8" w:color="CCEEFF"/>
            </w:tcBorders>
          </w:tcPr>
          <w:p>
            <w:pPr>
              <w:spacing w:after="0"/>
              <w:rPr>
                <w:sz w:val="20"/>
                <w:szCs w:val="20"/>
                <w:color w:val="auto"/>
              </w:rPr>
            </w:pPr>
          </w:p>
        </w:tc>
        <w:tc>
          <w:tcPr>
            <w:tcW w:w="74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6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w:t>
            </w: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4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4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6 – Goodwill and Intangible Assets</w:t>
            </w:r>
          </w:p>
        </w:tc>
        <w:tc>
          <w:tcPr>
            <w:tcW w:w="2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Intangible assets, excluding goodwill, consist of the following (in thousands):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4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4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Amortizatio</w:t>
            </w:r>
          </w:p>
        </w:tc>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5"/>
        </w:trPr>
        <w:tc>
          <w:tcPr>
            <w:tcW w:w="4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3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1"/>
                <w:szCs w:val="21"/>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n</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subject to amortization</w:t>
            </w:r>
          </w:p>
        </w:tc>
        <w:tc>
          <w:tcPr>
            <w:tcW w:w="200" w:type="dxa"/>
            <w:vAlign w:val="bottom"/>
            <w:tcBorders>
              <w:top w:val="single" w:sz="8" w:color="auto"/>
            </w:tcBorders>
            <w:shd w:val="clear" w:color="auto" w:fill="CFF0FC"/>
          </w:tcPr>
          <w:p>
            <w:pPr>
              <w:spacing w:after="0"/>
              <w:rPr>
                <w:sz w:val="21"/>
                <w:szCs w:val="21"/>
                <w:color w:val="auto"/>
              </w:rPr>
            </w:pPr>
          </w:p>
        </w:tc>
        <w:tc>
          <w:tcPr>
            <w:tcW w:w="70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20" w:type="dxa"/>
            <w:vAlign w:val="bottom"/>
            <w:tcBorders>
              <w:top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Patents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(752 )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4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(647 )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Purchased technology</w:t>
            </w: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(10,328 )</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(8,450 )</w:t>
            </w:r>
          </w:p>
        </w:tc>
        <w:tc>
          <w:tcPr>
            <w:tcW w:w="1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18,991</w:t>
            </w:r>
          </w:p>
        </w:tc>
        <w:tc>
          <w:tcPr>
            <w:tcW w:w="26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(11,080 )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4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(9,097 )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F-17</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4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-5008245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-5008245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-4691380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-4691380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-3355975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-3338830</wp:posOffset>
            </wp:positionV>
            <wp:extent cx="768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-3355975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-3338830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-1086485</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-1086485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-1086485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-1086485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6461125</wp:posOffset>
            </wp:positionH>
            <wp:positionV relativeFrom="paragraph">
              <wp:posOffset>-1086485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 related to definite-lived intangible assets was (in thousands):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4"/>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costs and expenses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tcPr>
          <w:p>
            <w:pPr>
              <w:spacing w:after="0"/>
              <w:rPr>
                <w:sz w:val="21"/>
                <w:szCs w:val="21"/>
                <w:color w:val="auto"/>
              </w:rPr>
            </w:pPr>
          </w:p>
        </w:tc>
      </w:tr>
      <w:tr>
        <w:trPr>
          <w:trHeight w:val="276"/>
        </w:trPr>
        <w:tc>
          <w:tcPr>
            <w:tcW w:w="20" w:type="dxa"/>
            <w:vAlign w:val="bottom"/>
          </w:tcPr>
          <w:p>
            <w:pPr>
              <w:spacing w:after="0"/>
              <w:rPr>
                <w:sz w:val="24"/>
                <w:szCs w:val="24"/>
                <w:color w:val="auto"/>
              </w:rPr>
            </w:pPr>
          </w:p>
        </w:tc>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1,983</w:t>
            </w:r>
          </w:p>
        </w:tc>
        <w:tc>
          <w:tcPr>
            <w:tcW w:w="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2"/>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estimated amortization expense of intangible assets is (in thousands):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73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2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0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Borders>
              <w:bottom w:val="single" w:sz="8" w:color="auto"/>
            </w:tcBorders>
          </w:tcPr>
          <w:p>
            <w:pPr>
              <w:spacing w:after="0"/>
              <w:rPr>
                <w:sz w:val="20"/>
                <w:szCs w:val="20"/>
                <w:color w:val="auto"/>
              </w:rPr>
            </w:pPr>
          </w:p>
        </w:tc>
      </w:tr>
      <w:tr>
        <w:trPr>
          <w:trHeight w:val="276"/>
        </w:trPr>
        <w:tc>
          <w:tcPr>
            <w:tcW w:w="20" w:type="dxa"/>
            <w:vAlign w:val="bottom"/>
          </w:tcPr>
          <w:p>
            <w:pPr>
              <w:spacing w:after="0"/>
              <w:rPr>
                <w:sz w:val="24"/>
                <w:szCs w:val="24"/>
                <w:color w:val="auto"/>
              </w:rPr>
            </w:pPr>
          </w:p>
        </w:tc>
        <w:tc>
          <w:tcPr>
            <w:tcW w:w="7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3"/>
            <w:shd w:val="clear" w:color="auto" w:fill="CCEEFF"/>
          </w:tcPr>
          <w:p>
            <w:pPr>
              <w:spacing w:after="0"/>
              <w:rPr>
                <w:sz w:val="24"/>
                <w:szCs w:val="24"/>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tcBorders>
              <w:bottom w:val="single" w:sz="8" w:color="auto"/>
            </w:tcBorders>
            <w:shd w:val="clear" w:color="auto" w:fill="CCEEFF"/>
          </w:tcPr>
          <w:p>
            <w:pPr>
              <w:spacing w:after="0"/>
              <w:rPr>
                <w:sz w:val="24"/>
                <w:szCs w:val="24"/>
                <w:color w:val="auto"/>
              </w:rPr>
            </w:pPr>
          </w:p>
        </w:tc>
      </w:tr>
      <w:tr>
        <w:trPr>
          <w:trHeight w:val="389"/>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Accrued Liabilities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4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related accruals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3,855</w:t>
            </w:r>
          </w:p>
        </w:tc>
        <w:tc>
          <w:tcPr>
            <w:tcW w:w="1360" w:type="dxa"/>
            <w:vAlign w:val="bottom"/>
            <w:gridSpan w:val="3"/>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shd w:val="clear" w:color="auto" w:fill="CCEEFF"/>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expense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00" w:type="dxa"/>
            <w:vAlign w:val="bottom"/>
            <w:tcBorders>
              <w:bottom w:val="single" w:sz="8" w:color="auto"/>
            </w:tcBorders>
            <w:shd w:val="clear" w:color="auto" w:fill="CCEEFF"/>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7,710</w:t>
            </w:r>
          </w:p>
        </w:tc>
        <w:tc>
          <w:tcPr>
            <w:tcW w:w="1360" w:type="dxa"/>
            <w:vAlign w:val="bottom"/>
            <w:gridSpan w:val="3"/>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-3312795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-3295650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-3312795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-3295650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-187960</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long-term debt primarily consists of notes payable associated with our Perceptive Term Loan Facility which is described in further detail below. Long-term notes payable were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00" w:type="dxa"/>
            <w:vAlign w:val="bottom"/>
          </w:tcPr>
          <w:p>
            <w:pPr>
              <w:spacing w:after="0"/>
              <w:rPr>
                <w:sz w:val="21"/>
                <w:szCs w:val="21"/>
                <w:color w:val="auto"/>
              </w:rPr>
            </w:pPr>
          </w:p>
        </w:tc>
        <w:tc>
          <w:tcPr>
            <w:tcW w:w="18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7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Perceptive Term Loan Facility</w:t>
            </w: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21"/>
                <w:szCs w:val="21"/>
                <w:color w:val="auto"/>
              </w:rPr>
            </w:pPr>
          </w:p>
        </w:tc>
      </w:tr>
      <w:tr>
        <w:trPr>
          <w:trHeight w:val="23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debt issuance costs</w:t>
            </w:r>
          </w:p>
        </w:tc>
        <w:tc>
          <w:tcPr>
            <w:tcW w:w="6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(4,802 )</w:t>
            </w:r>
          </w:p>
        </w:tc>
        <w:tc>
          <w:tcPr>
            <w:tcW w:w="6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(5,074 )</w:t>
            </w:r>
          </w:p>
        </w:tc>
      </w:tr>
      <w:tr>
        <w:trPr>
          <w:trHeight w:val="236"/>
        </w:trPr>
        <w:tc>
          <w:tcPr>
            <w:tcW w:w="7600" w:type="dxa"/>
            <w:vAlign w:val="bottom"/>
            <w:tcBorders>
              <w:top w:val="single" w:sz="8" w:color="CCEEFF"/>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35,276</w:t>
            </w:r>
          </w:p>
        </w:tc>
        <w:tc>
          <w:tcPr>
            <w:tcW w:w="260" w:type="dxa"/>
            <w:vAlign w:val="bottom"/>
            <w:tcBorders>
              <w:top w:val="single" w:sz="8" w:color="CCEEFF"/>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25,053</w:t>
            </w:r>
          </w:p>
        </w:tc>
        <w:tc>
          <w:tcPr>
            <w:tcW w:w="100" w:type="dxa"/>
            <w:vAlign w:val="bottom"/>
            <w:tcBorders>
              <w:top w:val="single" w:sz="8" w:color="CCEEFF"/>
            </w:tcBorders>
          </w:tcPr>
          <w:p>
            <w:pPr>
              <w:spacing w:after="0"/>
              <w:rPr>
                <w:sz w:val="20"/>
                <w:szCs w:val="20"/>
                <w:color w:val="auto"/>
              </w:rPr>
            </w:pP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6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notes payable</w:t>
            </w: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35,225</w:t>
            </w:r>
          </w:p>
        </w:tc>
        <w:tc>
          <w:tcPr>
            <w:tcW w:w="260" w:type="dxa"/>
            <w:vAlign w:val="bottom"/>
          </w:tcPr>
          <w:p>
            <w:pPr>
              <w:spacing w:after="0"/>
              <w:rPr>
                <w:sz w:val="20"/>
                <w:szCs w:val="20"/>
                <w:color w:val="auto"/>
              </w:rPr>
            </w:pPr>
          </w:p>
        </w:tc>
        <w:tc>
          <w:tcPr>
            <w:tcW w:w="6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25,004</w:t>
            </w:r>
          </w:p>
        </w:tc>
        <w:tc>
          <w:tcPr>
            <w:tcW w:w="10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5853430</wp:posOffset>
            </wp:positionH>
            <wp:positionV relativeFrom="paragraph">
              <wp:posOffset>-504825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-187960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Perceptive Term Loan Facility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in an aggregate principal amount of up to $50.0 million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includes an additional Tranche B Loan, in an aggregate amount of up to $10.0 million, and an additional Tranche C Loan, in an aggregate amount of up to $10.0 million, which are accessible by the Company so long as the Company satisfies certain customary conditions precedent, including revenue milestones. On December 15, 2023, the Company exercised its ability to draw the Tranche B loan for $10.0 million. The Tranche C loan has a loan commitment date through September 30, 2024. The Perceptive Term Loan Facility has a maturity date of November 21, 2027 (the Maturity Date) and provides for an interest-only period during the term of the loan with principal due at the Maturity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Perceptive Term Loan Facility will accrue interest at an annual rate equal to the greater of (a) forward-looking one-month term SOFR as posted by CME Group Inc. and (b) 3.0% per annum, plus an applicable margin of 9.0%. As of December 31, 2023, the stated interest rate was approximately 14.4%.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Prepayment</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Instruments and Warrants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consideration for the Credit Agreement, the Company has issued, on the Funding Date, the Perceptive Warrant of up to 5,000,000 shares of the Company's common stock, including the Initial Warrants which are equity classified at a per share exercise price equal to $1.0648 which is equal to the 10-day volume weighted average price (VWAP) of the Company’s common stock, on the business day immediately prior to the Closing Date of the Tranche A Loan. In connection with the Tranche B borrowing, additional warrants became exercisable into 1,000,000 shares of common stock with a per share exercise price equal to $1.0648, which is equal to the Initial Warrant exercise price (the Tranche B Warrants) and expire on December 15, 2033.</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addition to the Initial and Tranche B Warrants, additional warrants will become exercisable into 1,000,000 shares of common stock concurrently with the borrowing date of the Tranche C Loan (the Tranche C Warrants). The per share exercise price for the Tranche C Warrants will be equal to the lower of (A) the Initial Warrant exercise price or (B) the 10-day VWAP ending on the business day immediately preceding the funding date of the Tranche C loan. Each warrant will be exercisable, in whole or in part, until the 10th anniversary of the date of issuance. If the Tranche C loan is not drawn by the loan commitment date, the associated Tranche C Warrants expire and will not become exercisable. The Company accounts for the Tranche C Warrants as liabilities as the Tranche C Warrants do not meet the criteria for equity treatment (see Note 4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Warranties, Covenants, and Events of Default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$2.5 million; and (ii) as of the last day of each fiscal quarter commencing on the fiscal quarter ending March 31, 2023, recognize revenue in amounts agreed to between the Company and Perceptive.</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May 10, 2023, the Company entered into the First Amendment with the Lender, whereby subject to the terms and conditions of the First Amendment, the Minimum Net Revenue Covenant (as defined in the Credit Agreement) was amended to reduce the relevant threshold of each fiscal quarter commencing on the fiscal quarter ending June 30, 2023 through and including the fiscal quarter ending March 31, 2024. As consideration for the First Amendment, the Company agreed to issue to Perceptive a warrant to purchase up to 500,000 shares of the Company’s common stock (the First Amendment Warrants) which are equity classified at a per share exercise price equal to $1.6254 (see Note 10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4, 2023 (the Second Amendment Effective Date), the Company entered into the Second Amendment to the Credit Agreement and Guaranty (the Second Amendment) with Perceptive as lender and administrative agent and the Company, as borrower, whereby subject to the terms and conditions of the Second Amendment, the Minimum Net Revenue Covenant (as defined in the Credit Agreement) was amended to reduce the relevant threshold as of the last day of each fiscal quarter commencing on the fiscal quarter ending June 30, 2024 through and including the fiscal quarter ending December 31,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21" w:name="page122"/>
    <w:bookmarkEnd w:id="121"/>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Under the terms of the Second Amendment, the conditions precedent for drawing on the Tranche B Loan were amended to (i) reduce the trailing-twelve month revenue milestone and (ii) add the receipt of aggregate cash proceeds of at least $27.5 million from an equity offering of the Company's common stock. During the three months ended September 30, 2023, the Company met the amended trailing-twelve month revenue milestone associated with the Tranche B Loan. On August 3, 2023, the Company entered into subscription agreements for the issuance and sale by the Company of an aggregate of 16,975,298 of the Company’s common stock at a purchase price of $1.62 per share for an aggregate purchase price of approximately $27.5 million. During the three months ended September 30, 2023, the Company received $15.3 million in proceeds and issued 9,454,927 shares of common stock pursuant to the Subscription Agreements. On September 27, 2023, the Company entered into an amendment to delay final closing on one subscription agreement. The remaining $12.2 million in proceeds were received and 7,520,371 shares of common stock were issued during the three months ended December 31, 2023 (see Note 10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which include, among others, non-payment of principal, interest, or fees, violation of covenants, inaccuracy of representations and warranties, bankruptcy and insolvency events, material judgments, cross- defaults to material contracts, certain regulatory-related events and events constituting a change of control. As of December 31, 2023, the Company was in compliance with all restrictive covenants associated with its borrowing and entered into a limited waiver on February 14, 2024 to the Perceptive Term Loan Facility (the Limited Waiver). Subject to the terms and conditions of the Limited Waiver, Perceptive agreed to (i) waive compliance with the December 31, 2023 Minimum Net Revenue covenant and (ii) waive the requirement that the Annual Report on Form 10-K for the year-ended December 31, 2023 and auditor's opinion on the financial statements herein shall not be subject to any going concern or like qualification or exception audit. The occurrence of an Event of Default could result in, among other things, the declaration that all outstanding principal and interest under the Perceptive Term Loan Facility are immediately due and payable in whole or in part.</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First Amendment Warrants were valued at $0.7 million using the Black-Scholes option-pricing model which the recognized as a discount on the Perceptive Term Loan Facility. The Company recorded the debt discount as a reduction to the principal amount of the debt and is amortized as interest expense over the life of the debt.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Scheduled principal repayments (maturities) of long-term obligations were as follows (in thousands):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20" w:type="dxa"/>
            <w:vAlign w:val="bottom"/>
          </w:tcPr>
          <w:p>
            <w:pPr>
              <w:spacing w:after="0"/>
              <w:rPr>
                <w:sz w:val="21"/>
                <w:szCs w:val="21"/>
                <w:color w:val="auto"/>
              </w:rPr>
            </w:pPr>
          </w:p>
        </w:tc>
        <w:tc>
          <w:tcPr>
            <w:tcW w:w="89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8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Borders>
              <w:bottom w:val="single" w:sz="8" w:color="CCEEFF"/>
            </w:tcBorders>
          </w:tcPr>
          <w:p>
            <w:pPr>
              <w:spacing w:after="0"/>
              <w:rPr>
                <w:sz w:val="20"/>
                <w:szCs w:val="20"/>
                <w:color w:val="auto"/>
              </w:rPr>
            </w:pPr>
          </w:p>
        </w:tc>
      </w:tr>
      <w:tr>
        <w:trPr>
          <w:trHeight w:val="276"/>
        </w:trPr>
        <w:tc>
          <w:tcPr>
            <w:tcW w:w="20" w:type="dxa"/>
            <w:vAlign w:val="bottom"/>
          </w:tcPr>
          <w:p>
            <w:pPr>
              <w:spacing w:after="0"/>
              <w:rPr>
                <w:sz w:val="24"/>
                <w:szCs w:val="24"/>
                <w:color w:val="auto"/>
              </w:rPr>
            </w:pPr>
          </w:p>
        </w:tc>
        <w:tc>
          <w:tcPr>
            <w:tcW w:w="8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40,078</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acts as a lessee under all its lease agreements. Throughout 2023, the Company leased its headquarters and laboratory facilities in Boulder, Colorado, under a lease agreement that expired in January 2024 and the Company subsequently relocated its corporate headquarters and laboratory facilities to Louisville, Colorado. The Company also leases laboratory and office space in De Soto, Kansas, under a non-cancelable lease agreement for approximately 9,066 square feet that was set to expire in October 2023. In April 2023, the Company amended the agreement to extend the lease agreement through October 2026. The Company also holds various copier leases under non-cancelable lease agreements that expire in the next one to three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Centennial Valley Properties I, LLC Lease Agreement</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March 11, 2022, the Company entered into a Lease Agreement (the Lease) with Centennial Valley Properties I, LLC, a Colorado limited liability company (the Landlord) for office and laboratory space in Louisville, Colorado (the Leased Premises). The Leased Premises replaced the Company’s headquarters and laboratory facilities in Boulder, Colorado in January 2024.</w:t>
      </w:r>
    </w:p>
    <w:p>
      <w:pPr>
        <w:spacing w:after="0" w:line="6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initial term of the Lease is twelve years (the Initial Term) from the commencement date, which is the earlier of: (i) the Company conducting revenue generating business (as defined in the Lease), or (ii) April 1, 2023. The Company has two renewal options to extend the term of the Lease for an additional seven- or ten-year terms for each renewal. During the three months ended June 30, 2022, the lease commenced for accounting purposes resulting in $2.0 million in ROU assets and lease liabilities being recorded, however, the Lease commenced for legal purposes on April 1, 2023 (the Commencement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2" w:name="page123"/>
    <w:bookmarkEnd w:id="122"/>
    <w:p>
      <w:pPr>
        <w:jc w:val="both"/>
        <w:spacing w:after="0" w:line="252" w:lineRule="auto"/>
        <w:rPr>
          <w:sz w:val="20"/>
          <w:szCs w:val="20"/>
          <w:color w:val="auto"/>
        </w:rPr>
      </w:pPr>
      <w:r>
        <w:rPr>
          <w:rFonts w:ascii="Times New Roman" w:cs="Times New Roman" w:eastAsia="Times New Roman" w:hAnsi="Times New Roman"/>
          <w:sz w:val="18"/>
          <w:szCs w:val="18"/>
          <w:color w:val="auto"/>
        </w:rPr>
        <w:t>Under the Lease, the Company will lease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Company's obligation to pay base rent shall be abated, commencing as of the Commencement Date and ending on and including the date that is 12 months after the Commencement Date (the Abated Rent Period). Further, the Company's obligation to pay base rent with respect to a portion of the area of the Lease Premises equal to 19,980 square feet shall be abated (the Partial Abated Rent), commencing as of the day after the end of the Abated Rent Period and ending on and including the date that is 24 months after the Commencement Date (the Partial Abated Rent Period). Pursuant to a work letter entered by the parties in connection with the Lease, the Landlord will contribute an aggregate of $18.8 million toward the cost of construction and improvements for the Leased Premises and the Company exercised its option for an additional tenant improvement allowance of $2.0 million (the Extra Allowance Amount). The Company will repay the Extra Allowance Amount actually funded by the Landlord in equal monthly payments with an interest rate of 6% per year over the Initial Term excluding any part of the Abated Rent Period or Partial Abated Rent Period, which shall start to accrue on the date that the Landlord first disburses the Extra Allowance Amount. The Company made an accounting policy election to reduce the right-of-use asset and lease liability at lease commencement because the Lease specifies a maximum level of reimbursement for tenant improvements which are probable of being incurred and within the Company's control. Due to the tenant improvement allowances at the accounting lease commencement date and rent abatement periods described above, the Company expects the lease liability to accrete to approximately $25.5 million by November 2024 after receiving $20.8 million in lessor reimbursements. As of December 31, 2023, the Company has utilized the total $20.8 million ($18.3 million and $2.5 million during the years ended December 31, 2023, and 2022, respectively) in tenant improvement allowances for capital expenditures for leasehold improvements related to the Leased Premises and have been reimbursed from the Landlord.</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balance sheet as of December 31, 2023 and 2022.</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Operating lease expense for all operating leases was $4.3 million and $2.6 million and for the year ended December 31, 2023 and 2022, respectively. As of December 31, 2023, the weighted-average remaining lease term and discount rate associated with our operating leases were 10.9 years and 11.40%, respectively.</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associated with our operating leases were as follows (in thousands):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5"/>
        </w:trPr>
        <w:tc>
          <w:tcPr>
            <w:tcW w:w="20" w:type="dxa"/>
            <w:vAlign w:val="bottom"/>
          </w:tcPr>
          <w:p>
            <w:pPr>
              <w:spacing w:after="0"/>
              <w:rPr>
                <w:sz w:val="21"/>
                <w:szCs w:val="21"/>
                <w:color w:val="auto"/>
              </w:rPr>
            </w:pPr>
          </w:p>
        </w:tc>
        <w:tc>
          <w:tcPr>
            <w:tcW w:w="87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00" w:type="dxa"/>
            <w:vAlign w:val="bottom"/>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28,113</w:t>
            </w:r>
          </w:p>
        </w:tc>
        <w:tc>
          <w:tcPr>
            <w:tcW w:w="100" w:type="dxa"/>
            <w:vAlign w:val="bottom"/>
          </w:tcPr>
          <w:p>
            <w:pPr>
              <w:spacing w:after="0"/>
              <w:rPr>
                <w:sz w:val="21"/>
                <w:szCs w:val="21"/>
                <w:color w:val="auto"/>
              </w:rPr>
            </w:pPr>
          </w:p>
        </w:tc>
      </w:tr>
      <w:tr>
        <w:trPr>
          <w:trHeight w:val="236"/>
        </w:trPr>
        <w:tc>
          <w:tcPr>
            <w:tcW w:w="20" w:type="dxa"/>
            <w:vAlign w:val="bottom"/>
          </w:tcPr>
          <w:p>
            <w:pPr>
              <w:spacing w:after="0"/>
              <w:rPr>
                <w:sz w:val="20"/>
                <w:szCs w:val="20"/>
                <w:color w:val="auto"/>
              </w:rPr>
            </w:pPr>
          </w:p>
        </w:tc>
        <w:tc>
          <w:tcPr>
            <w:tcW w:w="8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46,909</w:t>
            </w:r>
          </w:p>
        </w:tc>
        <w:tc>
          <w:tcPr>
            <w:tcW w:w="100" w:type="dxa"/>
            <w:vAlign w:val="bottom"/>
            <w:shd w:val="clear" w:color="auto" w:fill="CCEEFF"/>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(21,494 )</w:t>
            </w:r>
          </w:p>
        </w:tc>
      </w:tr>
      <w:tr>
        <w:trPr>
          <w:trHeight w:val="272"/>
        </w:trPr>
        <w:tc>
          <w:tcPr>
            <w:tcW w:w="20" w:type="dxa"/>
            <w:vAlign w:val="bottom"/>
          </w:tcPr>
          <w:p>
            <w:pPr>
              <w:spacing w:after="0"/>
              <w:rPr>
                <w:sz w:val="23"/>
                <w:szCs w:val="23"/>
                <w:color w:val="auto"/>
              </w:rPr>
            </w:pPr>
          </w:p>
        </w:tc>
        <w:tc>
          <w:tcPr>
            <w:tcW w:w="8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100" w:type="dxa"/>
            <w:vAlign w:val="bottom"/>
            <w:tcBorders>
              <w:bottom w:val="single" w:sz="8" w:color="CCEEFF"/>
            </w:tcBorders>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Company’s Restated Certificate of Incorporation authorizes the Company to issue up to 200,000,000 shares of common stock with a par value of $0.001 per share. The holder of each share of common stock is entitled to one vote per share. The common shareholders are entitled to dividends whenever funds and assets are legally available and when and if declared by the Board of Directors. The Company is currently subject to restrictions on the payment of dividends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no dividends have been declared as of December 31, 2023.</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up to 5,000,000 shares of preferred stock with a par value of $0.001 per share. As of December 31, 2023 and 2022, no shares of preferred stock were issued or outstanding.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Financing Programs</w:t>
      </w:r>
    </w:p>
    <w:p>
      <w:pPr>
        <w:spacing w:after="0" w:line="1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maintains two facilities that enable equity financing on an ongoing basis at the Company’s sole discretion, our at-the-market offering (ATM) and our common stock purchase agreement with Lincoln Park Capital Fund, LLC (Lincoln Park).</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3" w:name="page124"/>
    <w:bookmarkEnd w:id="123"/>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2021, the Company entered into a sales agreement with a financial institution, pursuant to which the Company may issue and sell, from time to time, shares of its common stock having an aggregate offering price of up to $50.0 million (the ATM Shares), subject to terms and conditions. The Shares will be offered and sold by the Company pursuant to its previously filed and currently effective registration statement on Form S-3, and sales of common stock,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7, 2022 (the LPC Effective Date), the Company entered into a purchase agreement with Lincoln Park Capital Fund, LLC (the Purchase Agreement), pursuant to which Lincoln Park has committed to purchase up to $50.0 million of the Company's common stock (the LPC Facility). Under the terms and subject to the conditions of the Purchase Agreement, the Company has the right, but not the obligation, to sell to Lincoln Park, and Lincoln Park is obligated to purchase up to $50.0 million of the Company’s common stock. Such sales of common stock by the Company, if any, will be subject to certain limitations, and may occur from time to time, at the Company’s sole discretion, over the 36-month period commencing on the LPC Effective Date. The number of shares the Company may sell to Lincoln Park on any single business day in a regular purchase is 50,000 shares, but that amount may be increased up to 100,000 shares, depending upon the market price of the Company’s common stock at the time of sale and subject to a maximum limit of $1.5 million per regular purchase. The purchase price per share for each such regular purchase will be based on prevailing market prices of the Company’s common stock immediately preceding the time of sale as computed under the Purchase Agreement. In addition to regular purchases, the Company may also direct Lincoln Park to purchase other amounts as accelerated purchases or as additional accelerated purchases.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applicable rules of the NASDAQ Global Market, in no event may the Company issue or sell to Lincoln Park under the Purchase Agreement more than 19.99% of the shares of the Company’s common stock outstanding immediately prior to the execution of the Purchase Agreement (the Exchange Cap), unless (i) the Company obtains stockholder approval to issue shares of common stock in excess of the Exchange Cap or (ii) the average price of all applicable sales of common stock to Lincoln Park under the Purchase Agreement equals or exceeds $2.20 per share, such that issuances and sales of the common stock to Lincoln Park under the Purchase Agreement would be exempt from the Exchange Cap limitation under applicable NASDAQ rules.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Lincoln Park has no right to require the Company to sell any shares of common stock to Lincoln Park, but Lincoln Park is obligated to make purchases as the Company directs, subject to certain conditions. In all instances, the Company may not sell shares of its common stock to Lincoln Park under the Purchase Agreement if doing so would result in Lincoln Park beneficially owning more than 9.99% of its common stock.</w:t>
      </w:r>
    </w:p>
    <w:p>
      <w:pPr>
        <w:spacing w:after="0" w:line="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Actual sales of shares of common stock to Lincoln Park under the Purchase Agreement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if any, under the Purchase Agreement will depend on the frequency and prices at which the Company sells shares of its common stock to Lincoln Park. The Company intends to use any net proceeds from the sale of its common stock to Lincoln Park to advance its growth strategy and for general corporate purposes. On the LPC Effective Date, the Company issued 184,275 shares of common stock to Lincoln Park as a commitment fee (the Initial Commitment Shares) for which the Company did not receive consideration and, upon the available amount being reduced to an amount equal to or less than $20.0 million, the Company will be required to issue 61,425 shares (the Additional Commitment Shares and together with the Initial Commitment Shares, collectively, the Commitment Shares). The Initial Commitment Shares issued were valued at $600,000 and, together with due diligence expenses and legal fees of $129,000, reflect deferred offering costs of $729,000, which are included on the balance sheet in 'Other long-term assets'. The deferred offering costs will be charged against 'Additional paid-in capital' upon future proceeds from the sale of common stock under the Purchase Agreement. During the year ended December 31, 2022, $75,000 of deferred offering costs were charged against 'Additional paid-in capital'. As of December 31, 2023, $654,000 of deferred offering costs remain.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may be terminated by the Company at any time, at its sole discretion, without any cost or penalty, by giving one business day notice to Lincoln Park to terminate the Purchase Agreement. Lincoln Park has covenanted not to cause or engage in any manner whatsoever, any direct or indirect short selling or hedging of the common stock. Although the Company has agreed to reimburse Lincoln Park for a limited portion of the fees it incurred in connection with the Purchase Agreement, the Company did not pay any additional amounts to reimburse or otherwise compensate Lincoln Park in connection with the transaction, other than the issuance of the Commitment Shares.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2023, the Company raised approximately $0.6 million ($0.6 million after deducting underwriting discounts and commissions and offering expenses payable), in gross proceeds from the sale of 376,456 common shares at a weighted average price per share of $1.66 under the ATM facility. As of December 31, 2023, the Company had remaining available capacity for share issuances of approximately $28.9 million under the ATM facility and up to $46.9 million under the LPC facility, each subject to the restrictions and limitations of the underlying facilities, as well as volume limitations under applicable SEC rules and regulations that limit their availability as sources of funding.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21, 2022, the Company closed an underwritten public offering (the Public Offering) of 35,075,000 shares of its common stock (the Public Offering Shares), including 4,575,000 shares purchased by the underwriter pursuant to an option to purchase additional shares. The Public Offering Shares were issued and sold pursuant to an underwriting agreement, dated November 16, 2022, by and between the Company and William Blair &amp; Company, L.L.C., as sole underwriter, at a public offering price per share of $1.15. The Company received net proceeds of approximately $37.5 million from the Public Offering after deducting underwriting discounts, commissions, and offering expenses payable by the Company.</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Public Offering was made pursuant to the Company’s effective Registration Statement on Form S-3 previously filed with the Securities and Exchange Commission on November 29, 2021 and a prospectus supplement, dated November 16, 2022, relating to the Offering.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7, 2022, the Company entered into subscription agreements (the April 2022 Subscription Agreements) with a consortium of investors (the April 2022 Investors), including three members of our Board of Directors and other existing shareholders of the Company, for the issuance and sale by the Company of 6,508,376 shares of the Company’s common stock in a private placement offering. The three members of our Board of Directors acquired an aggregate of 3,631,284 shares pursuant to the form of a Subscription Agreement that did not include any registration rights. The remaining 2,877,092 shares were acquired by others pursuant to the form of a Subscription Agreement whereby the Company agreed to file, subject to certain exceptions, a shelf registration statement with respect to resales of such shares with the Securities and Exchange Commission no later than 60 days from April 7, 2022, which the Company filed on June 6, 2022.</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the April 2022 Subscription Agreements, the April 2022 Investors purchased shares at a purchase price (determined in accordance with NASDAQ rules relating to the “Minimum Value” of the Company’s common stock) of $1.79 per share, which is equal to the closing price of the Company's common stock on April 7, 2022, for an aggregate purchase price of approximately $11.7 million. The April 2022 Subscription Agreements include customary representations, warranties and covenants by the parties to the agreement.</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21, 2022, the Company entered into subscription agreements (the November 2022 Subscription Agreements) with certain members of management (the November 2022 Investors), including the Company’s Chief Executive Officer and Chief Financial Officer, for the issuance and sale by the Company of an aggregate of 235,056 shares of the Company’s common stock in a private placement offering. The November 2022 Subscription Agreement did not include any registration rights and included lock up restrictions that were in effect during the period ending 90 days subsequent to November 21, 2022.</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Pursuant to the November 2022 Subscription Agreements, the November 2022 Investors purchased shares at a purchase price (determined in accordance with NASDAQ rules relating to the “Minimum Value” of the Company’s common stock) of $1.15 per share, which is equal to the public offer price in the Public Offering, for an aggregate purchase price of approximately $270,000. The November 2022 Subscription Agreements include customary representations, warranties and covenants by the parties to the agreement.</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3, 2023, the Company entered into subscription agreements (the August 2023 Subscription Agreements) with all the members of our Board of Directors, all Section 16 officers, and additional members of the Biodesix leadership team (together, the August 2023 Investors) for the issuance and sale by the Company of an aggregate of 16,975,298 shares of the Company’s common stock in a private equity offering. The Subscription Agreements did not include any registration rights.</w:t>
      </w:r>
    </w:p>
    <w:p>
      <w:pPr>
        <w:spacing w:after="0" w:line="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August 2023 Subscription Agreements, the August 2023 Investors purchased shares at a purchase price (determined in accordance with NASDAQ rules relating to the “Minimum Value” of the Company’s common stock) of $1.62 per share, which is equal to the closing price of the Company's common stock on August 3, 2023, for an aggregate purchase price of approximately $27.5 million. The August 2023 Subscription Agreements include customary representations, warranties and covenants by the parties to the agreement. During the three months ended September 30, 2023, the Company received $15.3 million in proceeds and issued 9,454,927 shares of common stock pursuant to the Subscription Agreements. On September 27, 2023, the Company entered into an amendment to delay final closing on one subscription agreement. The remaining $12.2 million in proceeds were received and 7,520,371 shares of common stock were issued during the three months ended December 31,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2018, the Company issued warrants to purchase shares of convertible preferred stock in conjunction with the sale of certain convertible preferred shares and issuance of debt. The Company issued to the lender a warrant to purchase 613,333 shares of Series G convertible preferred stock, at an exercise price of $0.75 per share, subject to adjustment upon specified dilutive issuances. The warrant was immediately exercisable upon issuance and expires on February 23, 2028. Through the effective date of the Company’s initial public offering (IPO) in October 2020, the Series G warrants were remeasured to an estimate of fair value using a Black-Scholes pricing model. As a result of the Company’s IPO, the preferred stock warrants were automatically converted to warrants to purchase 103,326 shares of common stock with a weighted average exercise price of $4.46 and were also transferred to additional paid-in capital. All common stock warrants remain outstanding as of December 31,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25" w:name="page126"/>
    <w:bookmarkEnd w:id="125"/>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November 21, 2022, as consideration for the Perceptive Term Loan Facility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the Company issued the Perceptive Warrant to purchase up to 5,000,000 shares of the Company's common stock, including the Initial Warrants. In addition to the Initial Warrants, the Additional Warrants will each become exercisable into 1,000,000 shares of common stock concurrently with the borrowing date of the Tranche B and C Loans, respectively. The Company accounts for the Additional Warrants as liabilities as the Additional Warrants do not meet the criteria for equity treatment (see Note 4 – </w:t>
      </w:r>
      <w:r>
        <w:rPr>
          <w:rFonts w:ascii="Times New Roman" w:cs="Times New Roman" w:eastAsia="Times New Roman" w:hAnsi="Times New Roman"/>
          <w:sz w:val="18"/>
          <w:szCs w:val="18"/>
          <w:i w:val="1"/>
          <w:iCs w:val="1"/>
          <w:color w:val="auto"/>
        </w:rPr>
        <w:t>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w:t>
      </w:r>
      <w:r>
        <w:rPr>
          <w:rFonts w:ascii="Times New Roman" w:cs="Times New Roman" w:eastAsia="Times New Roman" w:hAnsi="Times New Roman"/>
          <w:sz w:val="18"/>
          <w:szCs w:val="18"/>
          <w:color w:val="auto"/>
        </w:rPr>
        <w:t>). The per share exercise price for the Initial Warrants is equal to $1.0648, which is equal to the lower of (A) the 10-day VWAP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on the business day immediately prior to the Closing Date of the Tranche A Loan or (B) the public offering price per share of common stock of $1.15. The Initial Warrants are equity classified and were immediately exercisable upon issuance and expire on November 21, 2032. The Initial Warrants were valued at $2.9 million using the Black-Scholes option-pricing model assuming an expected term of 10 years, a volatility of 81.3%, a dividend yield of 0% and a risk-free interest rate of 3.67%. All Initial Warrants remain outstanding as of December 31, 2023.</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May 10, 2023, as consideration for the First Amendment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agreed to issue to Perceptive a warrant to purchase up to 500,000 shares of the Company’s common stock (the First Amendment Warrants) at a per share exercise price equal to $1.6254, which is equal to the 10-day VWAP of the Company’s common stock ending on the business day immediately prior to the First Amendment Effective Date.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December 31, 2023.</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December 15, 2023 (the Tranche B Borrowing Date), the Company exercised its ability to draw the Tranche B loan (see Note 8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connection with the Tranche B draw, the Company remeasured the Tranche B Warrants through the Tranche B Borrowing Date and recorded the change in fair value through the statement of operations and, subsequently, reclassified the fair value to additional paid-in capital.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December 31,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Revenue and Accounts Receivable Credit Concentration</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derive our revenue from two primary sources: (i) providing diagnostic testing in the clinical setting (Diagnostic tests); and (ii) providing biopharmaceutical companies with services that include diagnostic research, clinical research, clinical trial testing, development and testing services provided outside the clinical setting and governed by individual contracts with third parties as well as development and commercialization of companion diagnostics. We also recognize revenue from other services, including amounts derived from licensing our technologies (Biopharma Services and other).</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Diagnostic test revenues consist of blood-based lung tests and, prior to May 11, 2023, COVID-19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or other contractually defined milestone(s), to the customer. Revenue for these services is recognized upon delivery of the completed test results, or upon completion of the contractual milestone(s). In addition, other revenue includes amounts derived from licensing our digital sequencing technologies to our international laboratory partners. We are compensated through royalty-based payments for the licensed technology, and depending on the nature of the technology licensing arrangements and considering factors including but not limited to enforceable right to payment and payment terms, and if an asset with alternative use is created, these revenues are recognized in the period when royalty-bearing sales occur.</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Revenues consisted of the following (in thousands):</w:t>
            </w:r>
          </w:p>
        </w:tc>
        <w:tc>
          <w:tcPr>
            <w:tcW w:w="2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44"/>
        </w:trPr>
        <w:tc>
          <w:tcPr>
            <w:tcW w:w="46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9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4"/>
                <w:szCs w:val="24"/>
                <w:color w:val="auto"/>
              </w:rPr>
            </w:pPr>
          </w:p>
        </w:tc>
      </w:tr>
      <w:tr>
        <w:trPr>
          <w:trHeight w:val="240"/>
        </w:trPr>
        <w:tc>
          <w:tcPr>
            <w:tcW w:w="460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r>
      <w:tr>
        <w:trPr>
          <w:trHeight w:val="23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Diagnostic Tests</w:t>
            </w:r>
          </w:p>
        </w:tc>
        <w:tc>
          <w:tcPr>
            <w:tcW w:w="406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45,192</w:t>
            </w:r>
          </w:p>
        </w:tc>
        <w:tc>
          <w:tcPr>
            <w:tcW w:w="1220" w:type="dxa"/>
            <w:vAlign w:val="bottom"/>
            <w:gridSpan w:val="2"/>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34,538</w:t>
            </w: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Biopharma Services and other</w:t>
            </w:r>
          </w:p>
        </w:tc>
        <w:tc>
          <w:tcPr>
            <w:tcW w:w="298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3,895</w:t>
            </w:r>
          </w:p>
        </w:tc>
        <w:tc>
          <w:tcPr>
            <w:tcW w:w="16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3,674</w:t>
            </w:r>
          </w:p>
        </w:tc>
      </w:tr>
      <w:tr>
        <w:trPr>
          <w:trHeight w:val="276"/>
        </w:trPr>
        <w:tc>
          <w:tcPr>
            <w:tcW w:w="46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29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49,087</w:t>
            </w: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38,212</w:t>
            </w:r>
          </w:p>
        </w:tc>
      </w:tr>
      <w:tr>
        <w:trPr>
          <w:trHeight w:val="628"/>
        </w:trPr>
        <w:tc>
          <w:tcPr>
            <w:tcW w:w="4600" w:type="dxa"/>
            <w:vAlign w:val="bottom"/>
          </w:tcPr>
          <w:p>
            <w:pPr>
              <w:spacing w:after="0"/>
              <w:rPr>
                <w:sz w:val="24"/>
                <w:szCs w:val="24"/>
                <w:color w:val="auto"/>
              </w:rPr>
            </w:pPr>
          </w:p>
        </w:tc>
        <w:tc>
          <w:tcPr>
            <w:tcW w:w="4060" w:type="dxa"/>
            <w:vAlign w:val="bottom"/>
            <w:gridSpan w:val="2"/>
          </w:tcPr>
          <w:p>
            <w:pPr>
              <w:jc w:val="right"/>
              <w:ind w:right="2770"/>
              <w:spacing w:after="0"/>
              <w:rPr>
                <w:sz w:val="20"/>
                <w:szCs w:val="20"/>
                <w:color w:val="auto"/>
              </w:rPr>
            </w:pPr>
            <w:r>
              <w:rPr>
                <w:rFonts w:ascii="Times New Roman" w:cs="Times New Roman" w:eastAsia="Times New Roman" w:hAnsi="Times New Roman"/>
                <w:sz w:val="18"/>
                <w:szCs w:val="18"/>
                <w:color w:val="auto"/>
              </w:rPr>
              <w:t>F-24</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749"/>
        </w:trPr>
        <w:tc>
          <w:tcPr>
            <w:tcW w:w="460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-923925</wp:posOffset>
            </wp:positionV>
            <wp:extent cx="102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-906780</wp:posOffset>
            </wp:positionV>
            <wp:extent cx="1028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2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Deferred revenue consists of cash payments from customers received in advance of delivery. As test results are delivered, the Company recognizes the deferred revenue in 'Revenues' in the statements of operations. The Company had $1.0 million in ‘Deferred revenue’ recorded in the balance sheet as of December 31, 2022 and $0.6 million was added throughout 2023 to ‘Deferred revenue’ for up-front cash payments received while $1.3 million was recognized in 'Revenues' during the year ended December 31, 2023. The ‘Deferred revenue’ of $0.3 million recorded in the balance sheet as of December 31, 2023 is expected to be recognized in revenues over the next twelve months as test results are delivered and services are performed. As of December 31, 2023 and 2022, the Company had $0.3 million and $0.4 million in non-current deferred revenue, respectively, recorded within ‘Other long-term liabilities’ in the balance sheets which represent amounts to be recognized in excess of twelve months from the respective balance sheet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customers in excess of 10% of total revenue and their related revenue as a percentage of total revenue were as follows:</w:t>
      </w:r>
    </w:p>
    <w:p>
      <w:pPr>
        <w:spacing w:after="0" w:line="194"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5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8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Healthcare</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10 %</w:t>
            </w:r>
          </w:p>
        </w:tc>
        <w:tc>
          <w:tcPr>
            <w:tcW w:w="18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34"/>
        </w:trPr>
        <w:tc>
          <w:tcPr>
            <w:tcW w:w="8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State of Colorado</w:t>
            </w:r>
          </w:p>
        </w:tc>
        <w:tc>
          <w:tcPr>
            <w:tcW w:w="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w w:val="90"/>
              </w:rPr>
              <w:t>10 %</w:t>
            </w:r>
          </w:p>
        </w:tc>
      </w:tr>
    </w:tbl>
    <w:p>
      <w:pPr>
        <w:spacing w:after="0" w:line="17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In addition to the above table, we collect reimbursement on behalf of customers covered by Medicare, which accounted for 43% and 37% of the Company’s total revenue for the years ended December 31, 2023 and 2022, respectively. The Company is subject to credit risk from its accounts receivable related to services provided to its customers.</w:t>
      </w:r>
    </w:p>
    <w:p>
      <w:pPr>
        <w:spacing w:after="0" w:line="69"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The Company’s third-party payors and other customers in excess of 10% of accounts receivable, and their related accounts receivable as a percentage of total accounts receivable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20" w:type="dxa"/>
            <w:vAlign w:val="bottom"/>
          </w:tcPr>
          <w:p>
            <w:pPr>
              <w:spacing w:after="0"/>
              <w:rPr>
                <w:sz w:val="21"/>
                <w:szCs w:val="21"/>
                <w:color w:val="auto"/>
              </w:rPr>
            </w:pPr>
          </w:p>
        </w:tc>
        <w:tc>
          <w:tcPr>
            <w:tcW w:w="2020" w:type="dxa"/>
            <w:vAlign w:val="bottom"/>
            <w:tcBorders>
              <w:bottom w:val="single" w:sz="8" w:color="auto"/>
            </w:tcBorders>
            <w:gridSpan w:val="3"/>
          </w:tcPr>
          <w:p>
            <w:pPr>
              <w:ind w:left="1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8"/>
        </w:trPr>
        <w:tc>
          <w:tcPr>
            <w:tcW w:w="7520" w:type="dxa"/>
            <w:vAlign w:val="bottom"/>
          </w:tcPr>
          <w:p>
            <w:pPr>
              <w:spacing w:after="0"/>
              <w:rPr>
                <w:sz w:val="20"/>
                <w:szCs w:val="20"/>
                <w:color w:val="auto"/>
              </w:rPr>
            </w:pPr>
          </w:p>
        </w:tc>
        <w:tc>
          <w:tcPr>
            <w:tcW w:w="1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60" w:type="dxa"/>
            <w:vAlign w:val="bottom"/>
          </w:tcPr>
          <w:p>
            <w:pPr>
              <w:spacing w:after="0"/>
              <w:rPr>
                <w:sz w:val="20"/>
                <w:szCs w:val="20"/>
                <w:color w:val="auto"/>
              </w:rPr>
            </w:pPr>
          </w:p>
        </w:tc>
      </w:tr>
      <w:tr>
        <w:trPr>
          <w:trHeight w:val="232"/>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9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 UK</w:t>
            </w:r>
          </w:p>
        </w:tc>
        <w:tc>
          <w:tcPr>
            <w:tcW w:w="202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Share 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Predecessor 2016 and 2006 Equity Incentive Plans</w:t>
      </w:r>
    </w:p>
    <w:p>
      <w:pPr>
        <w:spacing w:after="0" w:line="119"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Under the 2006 Equity Incentive Plan (2006 Plan), the Company was authorized to grant incentive stock options, non-statutory stock options, stock appreciation rights, restricted stock awards and RSUs. No additional awards may be granted under the 2006 Plan.</w:t>
      </w:r>
    </w:p>
    <w:p>
      <w:pPr>
        <w:spacing w:after="0" w:line="55"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In February 2016, the Company adopted the 2016 Equity Incentive Plan (2016 Plan) as a successor to and continuation of the prior 2006 Plan. The 2016 Plan provided for the grant of incentive stock options, non-statutory stock options, stock appreciation rights, restricted stock awards, RSUs, and other stock awards to directors, employees, and consultants. Awards granted under the 2016 Plan or the 2006 Plan that were unallocated, expired or otherwise terminated, or were forfeited, cancelled, or repurchased by the Company, became available for future issuance under the 2016 Plan. In addition, shares subject to an award were withheld to satisfy a participant’s tax withholding obligations, or were reacquired by the Company as consideration for the exercise or purchase price of a stock award also became available for future issuance under the 2016 Incentive Plan. No additional awards may be granted under the 2016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11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Effective upon the closing of our IPO, the Company’s Board of Directors approved the 2020 Equity Incentive Plan (2020 Plan), which replaced the 2016 Plan. The 2020 Plan provides for the grant of incentive stock options, non-statutory stock options, stock appreciation rights, restricted stock awards, RSUs, performance awards and other stock awards. Officers, directors, employees, consultants, agents, and independent contractors who provide services to the Company may receive awards. The terms of all awards are governed by an agreement between the Company and the recipients, as administered and approved by the Compensation Committee of the Board of Directors). Any awards that expire or are forfeited under the 2016 Plan or 2006 Plan become available for issuance under the 2020 Plan.</w:t>
      </w:r>
    </w:p>
    <w:p>
      <w:pPr>
        <w:spacing w:after="0" w:line="78"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The number of shares originally reserved for issuance under the 2020 Plan was 1,893,395. The 2020 Plan includes an annual increase on the first day of each calendar year, beginning with the calendar year ending December 31, 2022, and continuing until, and including, the calendar year ending December 31, 2030. The annual increase will be equal to the lesser of (i) 4% of the number of shares of our common stock issued and outstanding as of December 31st of the immediately preceding calendar year and (ii) such lesser amount determined by the Board of Directors.</w:t>
      </w:r>
    </w:p>
    <w:p>
      <w:pPr>
        <w:spacing w:after="0" w:line="74"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To the extent an equity award granted under the 2020 Plan (other than any substitute award) or granted under any other equity plan maintained by us under which awards are outstanding as of the effective date of the 2020 Plan (the Prior Plans) expires or otherwise terminates without having been exercised or paid in full, or is settled in cash, the shares subject to such award will become available for</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88" w:right="279" w:bottom="1440" w:gutter="0" w:footer="0" w:header="0"/>
        </w:sectPr>
      </w:pPr>
    </w:p>
    <w:bookmarkStart w:id="127" w:name="page128"/>
    <w:bookmarkEnd w:id="127"/>
    <w:p>
      <w:pPr>
        <w:jc w:val="both"/>
        <w:spacing w:after="0" w:line="260" w:lineRule="auto"/>
        <w:rPr>
          <w:sz w:val="20"/>
          <w:szCs w:val="20"/>
          <w:color w:val="auto"/>
        </w:rPr>
      </w:pPr>
      <w:r>
        <w:rPr>
          <w:rFonts w:ascii="Times New Roman" w:cs="Times New Roman" w:eastAsia="Times New Roman" w:hAnsi="Times New Roman"/>
          <w:sz w:val="18"/>
          <w:szCs w:val="18"/>
          <w:color w:val="auto"/>
        </w:rPr>
        <w:t>future grant under the 2020 Plan. In addition, to the extent shares subject to an award are withheld to satisfy a participant’s tax withholding obligation upon the exercise or settlement of such award (other than any substitute award) or to pay the exercise price of a stock option granted under the 2020 Plan or a prior plan, such shares will become available for future grant under the 2020 Plan. The total number of shares available for grant under all plans as of December 31, 2023 was 960,305.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with our IPO in October 2020, the Company’s Board of Directors and its stockholders approved the Company’s Employee Stock Purchase Plan (the ESPP). The number of shares originally reserved for issuance under the ESPP was 338,106. The maximum number of shares of our common stock available under the ESPP will automatically increase on the first trading day of each calendar year by an amount equal to the lesser of (i) 1% of the shares of our common stock issued and outstanding on December 31st of the immediately preceding calendar year, and (ii) an amount determined by our Board of Directors.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No employee may participate in an offering period if the employee owns 5% or more of the total combined voting power or value of the Company’s stock. The ESPP provides for successive six-month offering periods beginning on September 1st and March 1st of each year. During the year ended December 31, 2023, 437,135 shares were issued under the ESPP leaving 309,012 shares remaining for future issuance.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Awards Granted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granted incentive stock options, non-statutory stock options, performance-based stock options, and RSUs.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Incentive stock options, which may only be issued to employees,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6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Non-statutory stock options, which may be issued to employees, non-employees and directors,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Performance-based stock options are typically granted on an annual basis and consist of a performance-based and service-based component. The performance targets and vesting conditions for performance-condition options are based on achievement of recognized revenue targets. Performance-based options vest in three equal annual installments beginning one year after the grant date, pending certification of performance achievement by the Compensation Committee and continued service. The fair value of performance-condition awards is based on the closing market price of the Company’s common stock on the grant date. There are no performance-based stock options outstanding as of December 31, 2023.</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RSUs and the related terms and conditions are awarded at the discretion of the Compensation Committee. RSU holders have a contractual right to receive a share of common stock when vested. RSUs vest over time as determined by the Compensation Committee. RSU agreements may provide for accelerated vesting in the event of a stock unit holder's death, disability, or retirement or other events.</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Compensation Committee may grant other stock awards that are based on or related to shares of our common stock, such as awards of shares of common stock granted as bonus and not subject to any vesting conditions, deferred stock units, stock purchase rights, and shares of our common stock issued in lieu of our obligations to pay cash under any compensatory plan or arrangement.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Exchange Program</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23, 2023, the Company commenced a voluntary offer to exchange certain eligible options held by eligible employees of the Company for new options (the Exchange Offer). The Exchange Offer expired on July 24, 2023. Pursuant to the Exchange Offer, 83 eligible holders elected to exchange, and the Company accepted for cancellation, eligible options to purchase an aggregate of 757,595 shares of the Company’s common stock, representing approximately 99% of the total shares of common stock underlying the eligible options. On July 24, 2023, immediately following the expiration of the Exchange Offer, the Company granted new options to purchase 156,868 shares of common stock, pursuant to the terms of the Exchange Offer and the Company’s 2020 Equity Incentive Plan. The exercise price of the new options granted pursuant to the Exchange Offer was $1.20 per share, which was the closing price of the common stock on the NASDAQ Global Market on the grant date of the new options. Each new option granted in exchange for the vested shares underlying an eligible option will fully vest on the first day of the month following the first anniversary of the month in which the Exchange Offer is completed. Each new option granted in exchange for the unvested shares underlying an eligible option will vest under an extended vesting schedule, with vesting commencing on the first day of the month following the first anniversary of the month in which the Exchange Offer is completed, and occurring in a series of equal monthly installments over the number of months that were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8" w:name="page129"/>
    <w:bookmarkEnd w:id="128"/>
    <w:p>
      <w:pPr>
        <w:jc w:val="both"/>
        <w:spacing w:after="0" w:line="281" w:lineRule="auto"/>
        <w:rPr>
          <w:sz w:val="20"/>
          <w:szCs w:val="20"/>
          <w:color w:val="auto"/>
        </w:rPr>
      </w:pPr>
      <w:r>
        <w:rPr>
          <w:rFonts w:ascii="Times New Roman" w:cs="Times New Roman" w:eastAsia="Times New Roman" w:hAnsi="Times New Roman"/>
          <w:sz w:val="18"/>
          <w:szCs w:val="18"/>
          <w:color w:val="auto"/>
        </w:rPr>
        <w:t>remaining in the surrendered eligible option’s vesting schedule immediately prior to the Exchange Offer. Each new option has a maximum term of ten years.</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exchange of stock options was treated as a modification for accounting purposes. The incremental expense was immaterial for the new options and was calculated using the Black-Scholes option pricing model. The incremental expense and the unamortized expense remaining on the exchanged options as of the modification date will be recognized over the new vesting schedule.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Bonus-To-Options Program</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has a Bonus-to-Options Program (the Bonus Option Program) which is separate from previously described plans and was initially adopted by the Board of Directors in 2008, and subsequently amended and restated in 2010, 2011, 2015, and 2022. For fiscal year 2023, the Bonus Option Program is subject to the shares reserved under the 2020 Plan. The Bonus Option Program, which is limited to participation of the Chief Executive Officer, direct reports to the Chief Executive Officer and Vice Presidents of the Company, allows participants who so elect to convert a portion of their annual cash bonus into fully vested, non-qualified stock options to purchase shares of common stock (Bonus Options). The exercise price for the options under the Bonus Option Program equals the closing market price of the Company's common stock on the grant date, as disclosed below under “</w:t>
      </w:r>
      <w:r>
        <w:rPr>
          <w:rFonts w:ascii="Times New Roman" w:cs="Times New Roman" w:eastAsia="Times New Roman" w:hAnsi="Times New Roman"/>
          <w:sz w:val="18"/>
          <w:szCs w:val="18"/>
          <w:i w:val="1"/>
          <w:iCs w:val="1"/>
          <w:color w:val="auto"/>
        </w:rPr>
        <w:t>Fair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Bonus Options issued must be exercised within a ten-year term.</w:t>
      </w:r>
    </w:p>
    <w:p>
      <w:pPr>
        <w:spacing w:after="0" w:line="79"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The Company recorded the following activity related to the Bonus Option Program during the year ended December 31, 2023 (in thousands, excepted weighted average exercise price and weighted average contractual life):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3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4020" w:type="dxa"/>
            <w:vAlign w:val="bottom"/>
            <w:gridSpan w:val="2"/>
            <w:shd w:val="clear" w:color="auto" w:fill="CFF0FC"/>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January 1, 2023</w:t>
            </w:r>
          </w:p>
        </w:tc>
        <w:tc>
          <w:tcPr>
            <w:tcW w:w="128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20" w:type="dxa"/>
            <w:vAlign w:val="bottom"/>
            <w:shd w:val="clear" w:color="auto" w:fill="CFF0FC"/>
          </w:tcPr>
          <w:p>
            <w:pPr>
              <w:spacing w:after="0"/>
              <w:rPr>
                <w:sz w:val="21"/>
                <w:szCs w:val="21"/>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8"/>
        </w:trPr>
        <w:tc>
          <w:tcPr>
            <w:tcW w:w="40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(217 )</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Cancelled under the Option Exchange</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(169 )</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22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Granted under the Option Exchange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390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December 31, 2023</w:t>
            </w:r>
          </w:p>
        </w:tc>
        <w:tc>
          <w:tcPr>
            <w:tcW w:w="1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1,050</w:t>
            </w: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2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Borders>
              <w:bottom w:val="single" w:sz="8" w:color="CFF0FC"/>
            </w:tcBorders>
            <w:gridSpan w:val="2"/>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39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Exercisable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December 31, 2023</w:t>
            </w:r>
          </w:p>
        </w:tc>
        <w:tc>
          <w:tcPr>
            <w:tcW w:w="1400" w:type="dxa"/>
            <w:vAlign w:val="bottom"/>
            <w:gridSpan w:val="2"/>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-205105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3635375</wp:posOffset>
            </wp:positionH>
            <wp:positionV relativeFrom="paragraph">
              <wp:posOffset>-187960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-205105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-187960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-205105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-187960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recorded $0.4 million and $1.1 million during the years ended December 31, 2023 and 2022, respectively, associated with the estimate of options to be delivered to eligible participants under the Bonus Option Program and which were granted in the first quarter of 2024 and 2023, respectively, by the Compensation Committee of the Board of Directors. In determining the amount of share-based compensation to recognize under the Bonus Option Program, the Company estimates the bonus attainment for the year and determines the expected number of options to be delivered to eligible participants. A Black-Scholes option pricing model is used to determine the estimated fair value of the expected number of options to be delivered to eligible participants. The key elements in determining the estimated fair value include assumptions for volatility, the risk-free interest rate, expected dividends and strike price, utilizing the measurement date closing stock price until the grants are authorized.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reported in the Company’s statements of operations was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20" w:type="dxa"/>
            <w:vAlign w:val="bottom"/>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0" w:type="dxa"/>
            <w:vAlign w:val="bottom"/>
            <w:tcBorders>
              <w:bottom w:val="single" w:sz="8" w:color="auto"/>
            </w:tcBorders>
          </w:tcPr>
          <w:p>
            <w:pPr>
              <w:spacing w:after="0"/>
              <w:rPr>
                <w:sz w:val="21"/>
                <w:szCs w:val="21"/>
                <w:color w:val="auto"/>
              </w:rPr>
            </w:pPr>
          </w:p>
        </w:tc>
      </w:tr>
      <w:tr>
        <w:trPr>
          <w:trHeight w:val="240"/>
        </w:trPr>
        <w:tc>
          <w:tcPr>
            <w:tcW w:w="5920" w:type="dxa"/>
            <w:vAlign w:val="bottom"/>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38"/>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and expenses</w:t>
            </w:r>
          </w:p>
        </w:tc>
        <w:tc>
          <w:tcPr>
            <w:tcW w:w="150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53</w:t>
            </w:r>
          </w:p>
        </w:tc>
        <w:tc>
          <w:tcPr>
            <w:tcW w:w="11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tcPr>
          <w:p>
            <w:pPr>
              <w:spacing w:after="0"/>
              <w:rPr>
                <w:sz w:val="20"/>
                <w:szCs w:val="20"/>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w:t>
            </w: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marketing, general and administrative</w:t>
            </w:r>
          </w:p>
        </w:tc>
        <w:tc>
          <w:tcPr>
            <w:tcW w:w="1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4,989</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5,469</w:t>
            </w:r>
          </w:p>
        </w:tc>
      </w:tr>
      <w:tr>
        <w:trPr>
          <w:trHeight w:val="236"/>
        </w:trPr>
        <w:tc>
          <w:tcPr>
            <w:tcW w:w="5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5,373</w:t>
            </w:r>
          </w:p>
        </w:tc>
        <w:tc>
          <w:tcPr>
            <w:tcW w:w="11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5,961</w:t>
            </w:r>
          </w:p>
        </w:tc>
      </w:tr>
      <w:tr>
        <w:trPr>
          <w:trHeight w:val="20"/>
        </w:trPr>
        <w:tc>
          <w:tcPr>
            <w:tcW w:w="59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-187960</wp:posOffset>
            </wp:positionV>
            <wp:extent cx="1543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2">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unrecognized remaining share-based compensation expense for options and RSUs was approximately $5.9 million as of December 31, 2023 and is expected to be amortized to expense over the next 2.5 years.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Stock option activity during the year ended December 31, 2023, excluding the Bonus Option Program described above, was (in thousands, except weighted average exercise price and weighted average contractual life):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020" w:type="dxa"/>
            <w:vAlign w:val="bottom"/>
          </w:tcPr>
          <w:p>
            <w:pPr>
              <w:spacing w:after="0"/>
              <w:rPr>
                <w:sz w:val="18"/>
                <w:szCs w:val="18"/>
                <w:color w:val="auto"/>
              </w:rPr>
            </w:pPr>
          </w:p>
        </w:tc>
        <w:tc>
          <w:tcPr>
            <w:tcW w:w="128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8"/>
                <w:szCs w:val="18"/>
                <w:color w:val="auto"/>
              </w:rPr>
            </w:pPr>
          </w:p>
        </w:tc>
        <w:tc>
          <w:tcPr>
            <w:tcW w:w="17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020" w:type="dxa"/>
            <w:vAlign w:val="bottom"/>
          </w:tcPr>
          <w:p>
            <w:pPr>
              <w:spacing w:after="0"/>
              <w:rPr>
                <w:sz w:val="21"/>
                <w:szCs w:val="21"/>
                <w:color w:val="auto"/>
              </w:rPr>
            </w:pPr>
          </w:p>
        </w:tc>
        <w:tc>
          <w:tcPr>
            <w:tcW w:w="128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5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0" w:type="dxa"/>
            <w:vAlign w:val="bottom"/>
          </w:tcPr>
          <w:p>
            <w:pPr>
              <w:spacing w:after="0"/>
              <w:rPr>
                <w:sz w:val="21"/>
                <w:szCs w:val="21"/>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January 1, 2023</w:t>
            </w:r>
          </w:p>
        </w:tc>
        <w:tc>
          <w:tcPr>
            <w:tcW w:w="5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2,541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19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1,489</w:t>
            </w:r>
          </w:p>
        </w:tc>
      </w:tr>
      <w:tr>
        <w:trPr>
          <w:trHeight w:val="238"/>
        </w:trPr>
        <w:tc>
          <w:tcPr>
            <w:tcW w:w="5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0.74</w:t>
            </w:r>
          </w:p>
        </w:tc>
        <w:tc>
          <w:tcPr>
            <w:tcW w:w="120" w:type="dxa"/>
            <w:vAlign w:val="bottom"/>
          </w:tcPr>
          <w:p>
            <w:pPr>
              <w:spacing w:after="0"/>
              <w:rPr>
                <w:sz w:val="20"/>
                <w:szCs w:val="20"/>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Cancelled under the Option Exchange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(589 )</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 under the Option Exchange</w:t>
            </w:r>
          </w:p>
        </w:tc>
        <w:tc>
          <w:tcPr>
            <w:tcW w:w="12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402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December 31, 2023</w:t>
            </w:r>
          </w:p>
        </w:tc>
        <w:tc>
          <w:tcPr>
            <w:tcW w:w="12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2,041</w:t>
            </w: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r>
      <w:tr>
        <w:trPr>
          <w:trHeight w:val="223"/>
        </w:trPr>
        <w:tc>
          <w:tcPr>
            <w:tcW w:w="53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Exercisable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December 31, 2023</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1,298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r>
      <w:tr>
        <w:trPr>
          <w:trHeight w:val="20"/>
        </w:trPr>
        <w:tc>
          <w:tcPr>
            <w:tcW w:w="40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3712210</wp:posOffset>
            </wp:positionH>
            <wp:positionV relativeFrom="paragraph">
              <wp:posOffset>-205105</wp:posOffset>
            </wp:positionV>
            <wp:extent cx="12001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-187960</wp:posOffset>
            </wp:positionV>
            <wp:extent cx="12001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-205105</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-187960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-205105</wp:posOffset>
            </wp:positionV>
            <wp:extent cx="1111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-187960</wp:posOffset>
            </wp:positionV>
            <wp:extent cx="1111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Common Stock</w:t>
      </w:r>
    </w:p>
    <w:p>
      <w:pPr>
        <w:spacing w:after="0" w:line="119"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The fair value of the Company’s common stock is determined based on its closing market price on the date of grant. The estimated grant date fair value of stock options was calculated using the Black-Scholes option-pricing model, based on the following assumptions:</w:t>
      </w:r>
    </w:p>
    <w:p>
      <w:pPr>
        <w:spacing w:after="0" w:line="53" w:lineRule="exact"/>
        <w:rPr>
          <w:sz w:val="20"/>
          <w:szCs w:val="20"/>
          <w:color w:val="auto"/>
        </w:rPr>
      </w:pPr>
    </w:p>
    <w:p>
      <w:pPr>
        <w:ind w:left="900" w:right="60" w:hanging="383"/>
        <w:spacing w:after="0" w:line="283"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represents the period that the options granted are expected to be outstanding using the simplified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mid-point between the vesting date and the end of the contractual term).</w:t>
      </w:r>
    </w:p>
    <w:p>
      <w:pPr>
        <w:spacing w:after="0" w:line="51" w:lineRule="exact"/>
        <w:rPr>
          <w:rFonts w:ascii="Times New Roman" w:cs="Times New Roman" w:eastAsia="Times New Roman" w:hAnsi="Times New Roman"/>
          <w:sz w:val="18"/>
          <w:szCs w:val="18"/>
          <w:color w:val="auto"/>
        </w:rPr>
      </w:pPr>
    </w:p>
    <w:p>
      <w:pPr>
        <w:ind w:left="900" w:right="60" w:hanging="383"/>
        <w:spacing w:after="0" w:line="283"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uses an average historical stock price of selected comparable companies over the expected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as the Company does not have sufficient trading history for its common stock.</w:t>
      </w:r>
    </w:p>
    <w:p>
      <w:pPr>
        <w:spacing w:after="0" w:line="51" w:lineRule="exact"/>
        <w:rPr>
          <w:rFonts w:ascii="Times New Roman" w:cs="Times New Roman" w:eastAsia="Times New Roman" w:hAnsi="Times New Roman"/>
          <w:sz w:val="18"/>
          <w:szCs w:val="18"/>
          <w:color w:val="auto"/>
        </w:rPr>
      </w:pPr>
    </w:p>
    <w:p>
      <w:pPr>
        <w:ind w:left="900" w:right="80" w:hanging="383"/>
        <w:spacing w:after="0" w:line="283"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Company uses the risk-free interest rate over the expected term of the options based on the constant maturity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U.S. Treasury securities with similar maturities as of the date of the grant.</w:t>
      </w:r>
    </w:p>
    <w:p>
      <w:pPr>
        <w:spacing w:after="0" w:line="51" w:lineRule="exact"/>
        <w:rPr>
          <w:rFonts w:ascii="Times New Roman" w:cs="Times New Roman" w:eastAsia="Times New Roman" w:hAnsi="Times New Roman"/>
          <w:sz w:val="18"/>
          <w:szCs w:val="18"/>
          <w:color w:val="auto"/>
        </w:rPr>
      </w:pPr>
    </w:p>
    <w:p>
      <w:pPr>
        <w:jc w:val="both"/>
        <w:ind w:left="900" w:right="80" w:hanging="383"/>
        <w:spacing w:after="0" w:line="267"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Company is currently subject to restrictions on the payment of dividends (see Note 8 -</w:t>
      </w:r>
      <w:r>
        <w:rPr>
          <w:rFonts w:ascii="Times New Roman" w:cs="Times New Roman" w:eastAsia="Times New Roman" w:hAnsi="Times New Roman"/>
          <w:sz w:val="18"/>
          <w:szCs w:val="18"/>
          <w:i w:val="1"/>
          <w:iCs w:val="1"/>
          <w:color w:val="auto"/>
        </w:rPr>
        <w:t xml:space="preserve"> Debt</w:t>
      </w:r>
      <w:r>
        <w:rPr>
          <w:rFonts w:ascii="Times New Roman" w:cs="Times New Roman" w:eastAsia="Times New Roman" w:hAnsi="Times New Roman"/>
          <w:sz w:val="18"/>
          <w:szCs w:val="18"/>
          <w:color w:val="auto"/>
        </w:rPr>
        <w:t>) and no dividends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declared as of December 31, 2023 and 2022. The Company has not paid and does not anticipate paying any dividends in the near future. Therefore, the expected dividend yield was zero.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option grant was estimated on the grant date with the following weighted average assumptions for the years indicated:</w:t>
      </w:r>
    </w:p>
    <w:p>
      <w:pPr>
        <w:spacing w:after="0" w:line="14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28575</wp:posOffset>
            </wp:positionV>
            <wp:extent cx="34163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30">
                      <a:extLst>
                        <a:ext uri="{28A0092B-C50C-407E-A947-70E740481C1C}"/>
                      </a:extLst>
                    </a:blip>
                    <a:srcRect/>
                    <a:stretch>
                      <a:fillRect/>
                    </a:stretch>
                  </pic:blipFill>
                  <pic:spPr bwMode="auto">
                    <a:xfrm>
                      <a:off x="0" y="0"/>
                      <a:ext cx="3416300"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58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1"/>
                <w:szCs w:val="21"/>
                <w:color w:val="auto"/>
              </w:rPr>
            </w:pPr>
          </w:p>
        </w:tc>
      </w:tr>
      <w:tr>
        <w:trPr>
          <w:trHeight w:val="270"/>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shd w:val="clear" w:color="auto" w:fill="CCEEFF"/>
          </w:tcPr>
          <w:p>
            <w:pPr>
              <w:spacing w:after="0"/>
              <w:rPr>
                <w:sz w:val="23"/>
                <w:szCs w:val="23"/>
                <w:color w:val="auto"/>
              </w:rPr>
            </w:pPr>
          </w:p>
        </w:tc>
        <w:tc>
          <w:tcPr>
            <w:tcW w:w="2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w:t>
            </w:r>
          </w:p>
        </w:tc>
        <w:tc>
          <w:tcPr>
            <w:tcW w:w="60" w:type="dxa"/>
            <w:vAlign w:val="bottom"/>
          </w:tcPr>
          <w:p>
            <w:pPr>
              <w:spacing w:after="0"/>
              <w:rPr>
                <w:sz w:val="23"/>
                <w:szCs w:val="23"/>
                <w:color w:val="auto"/>
              </w:rPr>
            </w:pPr>
          </w:p>
        </w:tc>
      </w:tr>
      <w:tr>
        <w:trPr>
          <w:trHeight w:val="25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80.1 %</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72.6 %</w:t>
            </w:r>
          </w:p>
        </w:tc>
      </w:tr>
      <w:tr>
        <w:trPr>
          <w:trHeight w:val="283"/>
        </w:trPr>
        <w:tc>
          <w:tcPr>
            <w:tcW w:w="76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rate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3.98 %</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5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 activity during the year ended December 31, 2023 was (in thousands, except weighted average grant date fair value per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Grant Date Fair Value Per</w:t>
            </w:r>
          </w:p>
        </w:tc>
      </w:tr>
      <w:tr>
        <w:trPr>
          <w:trHeight w:val="245"/>
        </w:trPr>
        <w:tc>
          <w:tcPr>
            <w:tcW w:w="57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Pr>
          <w:p>
            <w:pPr>
              <w:spacing w:after="0"/>
              <w:rPr>
                <w:sz w:val="21"/>
                <w:szCs w:val="21"/>
                <w:color w:val="auto"/>
              </w:rPr>
            </w:pPr>
          </w:p>
        </w:tc>
      </w:tr>
      <w:tr>
        <w:trPr>
          <w:trHeight w:val="243"/>
        </w:trPr>
        <w:tc>
          <w:tcPr>
            <w:tcW w:w="7880" w:type="dxa"/>
            <w:vAlign w:val="bottom"/>
            <w:gridSpan w:val="3"/>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January 1, 2023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1"/>
                <w:szCs w:val="21"/>
                <w:color w:val="auto"/>
              </w:rPr>
            </w:pPr>
          </w:p>
        </w:tc>
      </w:tr>
      <w:tr>
        <w:trPr>
          <w:trHeight w:val="238"/>
        </w:trPr>
        <w:tc>
          <w:tcPr>
            <w:tcW w:w="78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0"/>
                <w:szCs w:val="20"/>
                <w:color w:val="auto"/>
              </w:rPr>
            </w:pPr>
          </w:p>
        </w:tc>
      </w:tr>
      <w:tr>
        <w:trPr>
          <w:trHeight w:val="247"/>
        </w:trPr>
        <w:tc>
          <w:tcPr>
            <w:tcW w:w="58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Forfeited/canceled</w:t>
            </w:r>
          </w:p>
        </w:tc>
        <w:tc>
          <w:tcPr>
            <w:tcW w:w="20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(246 )</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1"/>
                <w:szCs w:val="21"/>
                <w:color w:val="auto"/>
              </w:rPr>
            </w:pPr>
          </w:p>
        </w:tc>
      </w:tr>
      <w:tr>
        <w:trPr>
          <w:trHeight w:val="243"/>
        </w:trPr>
        <w:tc>
          <w:tcPr>
            <w:tcW w:w="58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Released</w:t>
            </w:r>
          </w:p>
        </w:tc>
        <w:tc>
          <w:tcPr>
            <w:tcW w:w="20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(710 )</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r>
      <w:tr>
        <w:trPr>
          <w:trHeight w:val="276"/>
        </w:trPr>
        <w:tc>
          <w:tcPr>
            <w:tcW w:w="5860" w:type="dxa"/>
            <w:vAlign w:val="bottom"/>
            <w:tcBorders>
              <w:bottom w:val="single" w:sz="8" w:color="CCEEFF"/>
            </w:tcBorders>
            <w:gridSpan w:val="2"/>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Outstanding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December 31, 2023</w:t>
            </w:r>
          </w:p>
        </w:tc>
        <w:tc>
          <w:tcPr>
            <w:tcW w:w="2020" w:type="dxa"/>
            <w:vAlign w:val="bottom"/>
            <w:tcBorders>
              <w:top w:val="single" w:sz="8" w:color="auto"/>
              <w:bottom w:val="single" w:sz="8" w:color="auto"/>
            </w:tcBorders>
            <w:shd w:val="clear" w:color="auto" w:fill="CCEEFF"/>
          </w:tcPr>
          <w:p>
            <w:pPr>
              <w:spacing w:after="0"/>
              <w:rPr>
                <w:sz w:val="24"/>
                <w:szCs w:val="2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5305425</wp:posOffset>
            </wp:positionH>
            <wp:positionV relativeFrom="paragraph">
              <wp:posOffset>-24765</wp:posOffset>
            </wp:positionV>
            <wp:extent cx="768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Net Loss per Common Share</w:t>
      </w:r>
    </w:p>
    <w:p>
      <w:pPr>
        <w:spacing w:after="0" w:line="121"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Basic net loss per share excludes dilution and is computed by dividing net loss attributable to the common stockholders by the weighted-average shares outstanding during the period. Diluted net loss per common share reflects the potential dilution that could occur if</w:t>
      </w:r>
    </w:p>
    <w:p>
      <w:pPr>
        <w:spacing w:after="0" w:line="1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0" w:right="279" w:bottom="1440" w:gutter="0" w:footer="0" w:header="0"/>
        </w:sectPr>
      </w:pPr>
    </w:p>
    <w:bookmarkStart w:id="130" w:name="page131"/>
    <w:bookmarkEnd w:id="130"/>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securities or other contracts to issue common stock were exercised, resulting in the issuance of shares of common stock that would then share in the earnings or losses of the Company.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loss per share as of the dates indicated were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18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3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(52,146 )</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(65,447 )</w:t>
            </w:r>
          </w:p>
        </w:tc>
        <w:tc>
          <w:tcPr>
            <w:tcW w:w="0" w:type="dxa"/>
            <w:vAlign w:val="bottom"/>
          </w:tcPr>
          <w:p>
            <w:pPr>
              <w:spacing w:after="0"/>
              <w:rPr>
                <w:sz w:val="1"/>
                <w:szCs w:val="1"/>
                <w:color w:val="auto"/>
              </w:rPr>
            </w:pPr>
          </w:p>
        </w:tc>
      </w:tr>
      <w:tr>
        <w:trPr>
          <w:trHeight w:val="247"/>
        </w:trPr>
        <w:tc>
          <w:tcPr>
            <w:tcW w:w="7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outstanding used</w:t>
            </w:r>
          </w:p>
        </w:tc>
        <w:tc>
          <w:tcPr>
            <w:tcW w:w="116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82,113</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 computing net loss per share, basic and diluted</w:t>
            </w:r>
          </w:p>
        </w:tc>
        <w:tc>
          <w:tcPr>
            <w:tcW w:w="1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(0.64 )</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-187960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 xml:space="preserve">The potentially dilutive securities as of December 31, 2023 and 2022 primarily represent the shares subject to future issuance under stock options awards, warrants, RSUs, and shares subject to purchase under our ESPP, the terms of which are described in further detail in Note 12 – </w:t>
      </w:r>
      <w:r>
        <w:rPr>
          <w:rFonts w:ascii="Times New Roman" w:cs="Times New Roman" w:eastAsia="Times New Roman" w:hAnsi="Times New Roman"/>
          <w:sz w:val="18"/>
          <w:szCs w:val="18"/>
          <w:i w:val="1"/>
          <w:iCs w:val="1"/>
          <w:color w:val="auto"/>
        </w:rPr>
        <w:t>Share Based Compensation</w:t>
      </w:r>
      <w:r>
        <w:rPr>
          <w:rFonts w:ascii="Times New Roman" w:cs="Times New Roman" w:eastAsia="Times New Roman" w:hAnsi="Times New Roman"/>
          <w:sz w:val="18"/>
          <w:szCs w:val="18"/>
          <w:color w:val="auto"/>
        </w:rPr>
        <w:t>. The potentially dilutive securities would be subject to the treasury stock method when dilutive.</w:t>
      </w:r>
    </w:p>
    <w:p>
      <w:pPr>
        <w:spacing w:after="0" w:line="69"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The following outstanding common stock equivalents were excluded from diluted net loss attributable to common stockholders for the periods presented because inclusion would be anti-dilutive (in thousands):</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28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38"/>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shd w:val="clear" w:color="auto" w:fill="CCEEFF"/>
          </w:tcPr>
          <w:p>
            <w:pPr>
              <w:spacing w:after="0"/>
              <w:rPr>
                <w:sz w:val="20"/>
                <w:szCs w:val="20"/>
                <w:color w:val="auto"/>
              </w:rPr>
            </w:pPr>
          </w:p>
        </w:tc>
      </w:tr>
      <w:tr>
        <w:trPr>
          <w:trHeight w:val="238"/>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committed under ESPP</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r>
      <w:tr>
        <w:trPr>
          <w:trHeight w:val="247"/>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shd w:val="clear" w:color="auto" w:fill="CCEEFF"/>
          </w:tcPr>
          <w:p>
            <w:pPr>
              <w:spacing w:after="0"/>
              <w:rPr>
                <w:sz w:val="21"/>
                <w:szCs w:val="21"/>
                <w:color w:val="auto"/>
              </w:rPr>
            </w:pPr>
          </w:p>
        </w:tc>
      </w:tr>
      <w:tr>
        <w:trPr>
          <w:trHeight w:val="23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2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20"/>
                <w:szCs w:val="20"/>
                <w:color w:val="auto"/>
              </w:rPr>
            </w:pPr>
          </w:p>
        </w:tc>
      </w:tr>
      <w:tr>
        <w:trPr>
          <w:trHeight w:val="276"/>
        </w:trPr>
        <w:tc>
          <w:tcPr>
            <w:tcW w:w="7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11,482</w:t>
            </w:r>
          </w:p>
        </w:tc>
        <w:tc>
          <w:tcPr>
            <w:tcW w:w="22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9,461</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21"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Since inception, the Company has incurred net taxable losses, and accordingly, no current provision for income taxes has been recorded. The effective income tax rate of the provision for income taxes differs from the federal statutory rate as follows:</w:t>
      </w:r>
    </w:p>
    <w:p>
      <w:pPr>
        <w:spacing w:after="0" w:line="64"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58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5"/>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9"/>
        </w:trPr>
        <w:tc>
          <w:tcPr>
            <w:tcW w:w="8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developments credits</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0"/>
                <w:szCs w:val="20"/>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(20 )</w:t>
            </w: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60" w:type="dxa"/>
            <w:vAlign w:val="bottom"/>
          </w:tcPr>
          <w:p>
            <w:pPr>
              <w:spacing w:after="0"/>
              <w:rPr>
                <w:sz w:val="21"/>
                <w:szCs w:val="21"/>
                <w:color w:val="auto"/>
              </w:rPr>
            </w:pPr>
          </w:p>
        </w:tc>
      </w:tr>
      <w:tr>
        <w:trPr>
          <w:trHeight w:val="20"/>
        </w:trPr>
        <w:tc>
          <w:tcPr>
            <w:tcW w:w="75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 %</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 %</w:t>
            </w:r>
          </w:p>
        </w:tc>
      </w:tr>
      <w:tr>
        <w:trPr>
          <w:trHeight w:val="20"/>
        </w:trPr>
        <w:tc>
          <w:tcPr>
            <w:tcW w:w="75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8"/>
        </w:trPr>
        <w:tc>
          <w:tcPr>
            <w:tcW w:w="8880" w:type="dxa"/>
            <w:vAlign w:val="bottom"/>
            <w:gridSpan w:val="2"/>
          </w:tcPr>
          <w:p>
            <w:pPr>
              <w:ind w:left="5460"/>
              <w:spacing w:after="0"/>
              <w:rPr>
                <w:sz w:val="20"/>
                <w:szCs w:val="20"/>
                <w:color w:val="auto"/>
              </w:rPr>
            </w:pPr>
            <w:r>
              <w:rPr>
                <w:rFonts w:ascii="Times New Roman" w:cs="Times New Roman" w:eastAsia="Times New Roman" w:hAnsi="Times New Roman"/>
                <w:sz w:val="18"/>
                <w:szCs w:val="18"/>
                <w:color w:val="auto"/>
              </w:rPr>
              <w:t>F-29</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9"/>
        </w:trPr>
        <w:tc>
          <w:tcPr>
            <w:tcW w:w="7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-1849120</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-1078230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income tax assets and liabilities are as follows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4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6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3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8"/>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72,722</w:t>
            </w:r>
          </w:p>
        </w:tc>
        <w:tc>
          <w:tcPr>
            <w:tcW w:w="26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70,822</w:t>
            </w:r>
          </w:p>
        </w:tc>
        <w:tc>
          <w:tcPr>
            <w:tcW w:w="100" w:type="dxa"/>
            <w:vAlign w:val="bottom"/>
          </w:tcPr>
          <w:p>
            <w:pPr>
              <w:spacing w:after="0"/>
              <w:rPr>
                <w:sz w:val="20"/>
                <w:szCs w:val="20"/>
                <w:color w:val="auto"/>
              </w:rPr>
            </w:pPr>
          </w:p>
        </w:tc>
      </w:tr>
      <w:tr>
        <w:trPr>
          <w:trHeight w:val="247"/>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shd w:val="clear" w:color="auto" w:fill="CCEEFF"/>
          </w:tcPr>
          <w:p>
            <w:pPr>
              <w:spacing w:after="0"/>
              <w:rPr>
                <w:sz w:val="21"/>
                <w:szCs w:val="21"/>
                <w:color w:val="auto"/>
              </w:rPr>
            </w:pPr>
          </w:p>
        </w:tc>
      </w:tr>
      <w:tr>
        <w:trPr>
          <w:trHeight w:val="238"/>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Pr>
          <w:p>
            <w:pPr>
              <w:spacing w:after="0"/>
              <w:rPr>
                <w:sz w:val="20"/>
                <w:szCs w:val="20"/>
                <w:color w:val="auto"/>
              </w:rPr>
            </w:pPr>
          </w:p>
        </w:tc>
      </w:tr>
      <w:tr>
        <w:trPr>
          <w:trHeight w:val="247"/>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1"/>
                <w:szCs w:val="21"/>
                <w:color w:val="auto"/>
              </w:rPr>
            </w:pPr>
          </w:p>
        </w:tc>
      </w:tr>
      <w:tr>
        <w:trPr>
          <w:trHeight w:val="238"/>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100" w:type="dxa"/>
            <w:vAlign w:val="bottom"/>
          </w:tcPr>
          <w:p>
            <w:pPr>
              <w:spacing w:after="0"/>
              <w:rPr>
                <w:sz w:val="20"/>
                <w:szCs w:val="20"/>
                <w:color w:val="auto"/>
              </w:rPr>
            </w:pPr>
          </w:p>
        </w:tc>
      </w:tr>
      <w:tr>
        <w:trPr>
          <w:trHeight w:val="247"/>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shd w:val="clear" w:color="auto" w:fill="CCEEFF"/>
          </w:tcPr>
          <w:p>
            <w:pPr>
              <w:spacing w:after="0"/>
              <w:rPr>
                <w:sz w:val="21"/>
                <w:szCs w:val="21"/>
                <w:color w:val="auto"/>
              </w:rPr>
            </w:pPr>
          </w:p>
        </w:tc>
      </w:tr>
      <w:tr>
        <w:trPr>
          <w:trHeight w:val="238"/>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Accruals and reserves</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2"/>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95,022</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84,324</w:t>
            </w:r>
          </w:p>
        </w:tc>
        <w:tc>
          <w:tcPr>
            <w:tcW w:w="100" w:type="dxa"/>
            <w:vAlign w:val="bottom"/>
          </w:tcPr>
          <w:p>
            <w:pPr>
              <w:spacing w:after="0"/>
              <w:rPr>
                <w:sz w:val="20"/>
                <w:szCs w:val="20"/>
                <w:color w:val="auto"/>
              </w:rPr>
            </w:pPr>
          </w:p>
        </w:tc>
      </w:tr>
      <w:tr>
        <w:trPr>
          <w:trHeight w:val="24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(93,023 )</w:t>
            </w:r>
          </w:p>
        </w:tc>
        <w:tc>
          <w:tcPr>
            <w:tcW w:w="5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(82,552 )</w:t>
            </w:r>
          </w:p>
        </w:tc>
      </w:tr>
      <w:tr>
        <w:trPr>
          <w:trHeight w:val="232"/>
        </w:trPr>
        <w:tc>
          <w:tcPr>
            <w:tcW w:w="76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26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Borders>
              <w:top w:val="single" w:sz="8" w:color="CCEEFF"/>
            </w:tcBorders>
          </w:tcPr>
          <w:p>
            <w:pPr>
              <w:spacing w:after="0"/>
              <w:rPr>
                <w:sz w:val="20"/>
                <w:szCs w:val="20"/>
                <w:color w:val="auto"/>
              </w:rPr>
            </w:pPr>
          </w:p>
        </w:tc>
      </w:tr>
      <w:tr>
        <w:trPr>
          <w:trHeight w:val="247"/>
        </w:trPr>
        <w:tc>
          <w:tcPr>
            <w:tcW w:w="7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6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3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(4 )</w:t>
            </w:r>
          </w:p>
        </w:tc>
        <w:tc>
          <w:tcPr>
            <w:tcW w:w="5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38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(692 )</w:t>
            </w:r>
          </w:p>
        </w:tc>
        <w:tc>
          <w:tcPr>
            <w:tcW w:w="5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(1,303 )</w:t>
            </w:r>
          </w:p>
        </w:tc>
        <w:tc>
          <w:tcPr>
            <w:tcW w:w="5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(1,772 )</w:t>
            </w:r>
          </w:p>
        </w:tc>
      </w:tr>
      <w:tr>
        <w:trPr>
          <w:trHeight w:val="20"/>
        </w:trPr>
        <w:tc>
          <w:tcPr>
            <w:tcW w:w="76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36"/>
        </w:trPr>
        <w:tc>
          <w:tcPr>
            <w:tcW w:w="7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(1,999 )</w:t>
            </w:r>
          </w:p>
        </w:tc>
        <w:tc>
          <w:tcPr>
            <w:tcW w:w="5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(1,772 )</w:t>
            </w:r>
          </w:p>
        </w:tc>
      </w:tr>
      <w:tr>
        <w:trPr>
          <w:trHeight w:val="276"/>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and liabilities</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5930265</wp:posOffset>
            </wp:positionH>
            <wp:positionV relativeFrom="paragraph">
              <wp:posOffset>-1617345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-1617345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-1301115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-1301115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-350520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At December 31, 2023, the Company had $310.4 million and $5.2 million of federal net operating loss and research and experimentation tax carryforwards, respectively, which are set to expire beginning in 2026. The Internal Revenue Code contains provisions that may limit the net operating loss carryovers available to be used in any year if certain events occur, including significant changes in ownership interest.</w:t>
      </w:r>
    </w:p>
    <w:p>
      <w:pPr>
        <w:spacing w:after="0" w:line="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its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taxable income, and tax planning strategies in making this assessment. As the Company does not have any historical taxable income, projections of future taxable income over the periods in which the deferred tax assets are deductible, and after consideration of the history of operating losses, the Company does not believe it is more likely than not that it will realize the benefits of net deferred tax assets and, accordingly, has established a valuation allowance equal to 100% of net deferred tax assets. The valuation allowance increased by $10.5 million during 2023 and $15.1 million during 2022.</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During 2023, the Company determined that it has uncertain tax positions related to its U.S. research and development credits. As of December 31, 2023 and 2022, there was no accrued interest related to uncertain tax positions. The Company does not believe it is reasonably possible that its unrecognized tax benefits will significantly change in the next twelve months. A reconciliation of beginning and ending balances for unrecognized tax benefits is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20" w:type="dxa"/>
            <w:vAlign w:val="bottom"/>
          </w:tcPr>
          <w:p>
            <w:pPr>
              <w:spacing w:after="0"/>
              <w:rPr>
                <w:sz w:val="21"/>
                <w:szCs w:val="21"/>
                <w:color w:val="auto"/>
              </w:rPr>
            </w:pPr>
          </w:p>
        </w:tc>
        <w:tc>
          <w:tcPr>
            <w:tcW w:w="308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0"/>
        </w:trPr>
        <w:tc>
          <w:tcPr>
            <w:tcW w:w="7620" w:type="dxa"/>
            <w:vAlign w:val="bottom"/>
          </w:tcPr>
          <w:p>
            <w:pPr>
              <w:spacing w:after="0"/>
              <w:rPr>
                <w:sz w:val="20"/>
                <w:szCs w:val="20"/>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34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23"/>
                <w:szCs w:val="23"/>
                <w:color w:val="auto"/>
              </w:rPr>
            </w:pPr>
          </w:p>
        </w:tc>
      </w:tr>
      <w:tr>
        <w:trPr>
          <w:trHeight w:val="263"/>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r>
      <w:tr>
        <w:trPr>
          <w:trHeight w:val="276"/>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1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11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6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Reductions related to settlements</w:t>
            </w:r>
          </w:p>
        </w:tc>
        <w:tc>
          <w:tcPr>
            <w:tcW w:w="11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 related to a lapse of statute</w:t>
            </w:r>
          </w:p>
        </w:tc>
        <w:tc>
          <w:tcPr>
            <w:tcW w:w="1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7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6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5938520</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5938520</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monitors proposed and issued tax law, regulations, and cases to determine the potential impact of uncertain income tax positions. As of December 31, 2023, the Company had not identified any potential subsequent events that would have a material impact on unrecognized income tax benefits within the next twelve months.</w:t>
      </w:r>
    </w:p>
    <w:p>
      <w:pPr>
        <w:spacing w:after="0" w:line="6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federal and state returns for all years will remain open to examination by federal and state tax authorities for three and four years, respectively, from the date of utilization of any net operating loss carryforwards.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Co</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Development Agreement</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will conduct a proof of concept (POC) clinical study of ficlatuzumab for NSCLC in which BDX004 will be used to select clinical trial subjects (the NSCLC POC Trial). Under the agreement, the Company and AVEO would share equally in the costs of the NSCLC POC Trial, and each would be responsible for 50% of development and regulatory costs associated with all future clinical trials agreed upon by the Company and AVEO. The Company and AVEO continue to conduct POC clinical trials of ficlatuzumab in combination with BDX004.</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2020, the Company exercised its opt-out right with AVEO for the payment of 50% of development and regulatory costs for ficlatuzumab effective December 2, 2020 (the AVEO Effective Date). In September 2021, AVEO announced that the FDA has granted Fast Track Designation (FTD) to ficlatuzumab for the treatment of patients with relapsed or recurrent head and neck squamous cell carcinoma. In November 2021 AVEO also announced plans to initiate a potential registrational Phase 3 clinical trial for ficlatuzumab in the first half of 2023. The Company had $0.1 million in remaining obligations related to the AVEO agreement as of December 31, 2023. Following the AVEO Effective Date, the Company is entitled to a 10% royalty of net sales of ficlatuzumab and 25% of license income generated from the licensing of ficlatuzumab from AVEO. There were no royalties received or expenses related to this agreement for the years ended December 31, 2023 and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2019, we entered into a non-exclusive license agreement with Bio-Rad Laboratories, Inc.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 Company also agreed to purchase all of the necessary supplies and reagents for such testing exclusively from Bio-Rad, pursuant to a separately executed supply agreement (the Supply Agreement) with Bio-Rad. As further consideration for the non-exclusive license, the Company agreed to pay a royalty of 2.5% on the net revenue received for the performance of such ddPCR testing collected from third parties. On May 24, 2021, the Company entered into the First Amendment to the Non-Exclusive License Agreement with Bio-Rad which amended the Bio-Rad License such that, effective May 1, 2021, the Company no longer paid a royalty of 2.5% on the net revenue received for the performance of such ddPCR testing collected from third parties. The Bio-Rad License expires in August 2024. Either party may terminate for the other’s uncured material breach or bankruptcy events. Bio-Rad may terminate the Bio-Rad License if the Company does not purchase licensed products under the Supply Agreement for a consecutive twelve-month period or for any material breach by us of the Supply Agreement. There were no expenses related to this agreement for the years ended December 31, 2023 and 2022.</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for each of the years ended December 31, 2023 and 2022 was $0.2 million and $0.1 million, respectively.</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31, 2019, we completed an acquisition of Freenome's United States operations (formerly "Oncimmune USA" or "Oncimmune") including its CLIA lab in De Soto, Kansas and its incidental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with an escalating minimum through the first four years of sales. Royalty expenses were $1.0 million and $0.9 million for the years ended December 31, 2023 and 2022,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Claims and Assessments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Perceptive Term Loan Facility Limited Waiver and Amendment</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14, 2024 a limited waiver to the Perceptive Term Loan Facility was executed (the Limited Waiver), whereby, subject to the terms and conditions of the Limited Waiver, Perceptive agreed to (i) waive compliance with the December 31, 2023 Minimum Net Revenue covenant and (ii) waive the requirement that the Annual Report on Form 10-K for the year-ended December 31, 2023 and auditor's opinion on the financial statements herein shall not be subject to any going concern or like qualification or exception audit.</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29, 2024 (the Third Amendment Effective Date), the Company entered into the Third Amendment to the Credit Agreement and Guaranty (the Third Amendment) with Perceptive as lender and administrative agent and the Company, as borrower, whereby subject to the terms and conditions of the Third Amendment, the Minimum Net Revenue Covenant (as defined in the Credit Agreement) was amended to reduce the relevant threshold as of the last day of each fiscal quarter commencing on the fiscal quarter ending March 31, 2024 through and including the fiscal quarter ending December 31, 2025.</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b w:val="1"/>
          <w:bCs w:val="1"/>
          <w:color w:val="auto"/>
        </w:rPr>
        <w:t>Exhibit 10.34</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imited</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aiver</w:t>
      </w:r>
    </w:p>
    <w:p>
      <w:pPr>
        <w:spacing w:after="0" w:line="313" w:lineRule="exact"/>
        <w:rPr>
          <w:sz w:val="20"/>
          <w:szCs w:val="20"/>
          <w:color w:val="auto"/>
        </w:rPr>
      </w:pPr>
    </w:p>
    <w:p>
      <w:pPr>
        <w:jc w:val="both"/>
        <w:ind w:left="160" w:right="100" w:firstLine="749"/>
        <w:spacing w:after="0"/>
        <w:rPr>
          <w:sz w:val="20"/>
          <w:szCs w:val="20"/>
          <w:color w:val="auto"/>
        </w:rPr>
      </w:pPr>
      <w:r>
        <w:rPr>
          <w:rFonts w:ascii="Times New Roman" w:cs="Times New Roman" w:eastAsia="Times New Roman" w:hAnsi="Times New Roman"/>
          <w:sz w:val="22"/>
          <w:szCs w:val="22"/>
          <w:color w:val="auto"/>
        </w:rPr>
        <w:t xml:space="preserve">This Limited Waiver, dated as of February 14, 2024 (this </w:t>
      </w:r>
      <w:r>
        <w:rPr>
          <w:rFonts w:ascii="Times New Roman" w:cs="Times New Roman" w:eastAsia="Times New Roman" w:hAnsi="Times New Roman"/>
          <w:sz w:val="22"/>
          <w:szCs w:val="22"/>
          <w:i w:val="1"/>
          <w:iCs w:val="1"/>
          <w:color w:val="auto"/>
        </w:rPr>
        <w:t>“Waiver”</w:t>
      </w:r>
      <w:r>
        <w:rPr>
          <w:rFonts w:ascii="Times New Roman" w:cs="Times New Roman" w:eastAsia="Times New Roman" w:hAnsi="Times New Roman"/>
          <w:sz w:val="22"/>
          <w:szCs w:val="22"/>
          <w:color w:val="auto"/>
        </w:rPr>
        <w:t>), is entered into by and among B</w:t>
      </w:r>
      <w:r>
        <w:rPr>
          <w:rFonts w:ascii="Times New Roman" w:cs="Times New Roman" w:eastAsia="Times New Roman" w:hAnsi="Times New Roman"/>
          <w:sz w:val="17"/>
          <w:szCs w:val="17"/>
          <w:color w:val="auto"/>
        </w:rPr>
        <w:t>IODESIX</w:t>
      </w:r>
      <w:r>
        <w:rPr>
          <w:rFonts w:ascii="Times New Roman" w:cs="Times New Roman" w:eastAsia="Times New Roman" w:hAnsi="Times New Roman"/>
          <w:sz w:val="22"/>
          <w:szCs w:val="22"/>
          <w:color w:val="auto"/>
        </w:rPr>
        <w:t>, I</w:t>
      </w:r>
      <w:r>
        <w:rPr>
          <w:rFonts w:ascii="Times New Roman" w:cs="Times New Roman" w:eastAsia="Times New Roman" w:hAnsi="Times New Roman"/>
          <w:sz w:val="17"/>
          <w:szCs w:val="17"/>
          <w:color w:val="auto"/>
        </w:rPr>
        <w:t>NC</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i w:val="1"/>
          <w:iCs w:val="1"/>
          <w:color w:val="auto"/>
        </w:rPr>
        <w:t>Borrower</w:t>
      </w:r>
      <w:r>
        <w:rPr>
          <w:rFonts w:ascii="Times New Roman" w:cs="Times New Roman" w:eastAsia="Times New Roman" w:hAnsi="Times New Roman"/>
          <w:sz w:val="22"/>
          <w:szCs w:val="22"/>
          <w:color w:val="auto"/>
        </w:rPr>
        <w:t>”), the Lenders party hereto constituting Majority Lenders and P</w:t>
      </w:r>
      <w:r>
        <w:rPr>
          <w:rFonts w:ascii="Times New Roman" w:cs="Times New Roman" w:eastAsia="Times New Roman" w:hAnsi="Times New Roman"/>
          <w:sz w:val="17"/>
          <w:szCs w:val="17"/>
          <w:color w:val="auto"/>
        </w:rPr>
        <w:t>ERCEPTIVE</w:t>
      </w:r>
      <w:r>
        <w:rPr>
          <w:rFonts w:ascii="Times New Roman" w:cs="Times New Roman" w:eastAsia="Times New Roman" w:hAnsi="Times New Roman"/>
          <w:sz w:val="22"/>
          <w:szCs w:val="22"/>
          <w:color w:val="auto"/>
        </w:rPr>
        <w:t xml:space="preserve"> C</w:t>
      </w:r>
      <w:r>
        <w:rPr>
          <w:rFonts w:ascii="Times New Roman" w:cs="Times New Roman" w:eastAsia="Times New Roman" w:hAnsi="Times New Roman"/>
          <w:sz w:val="17"/>
          <w:szCs w:val="17"/>
          <w:color w:val="auto"/>
        </w:rPr>
        <w:t>REDIT</w:t>
      </w:r>
      <w:r>
        <w:rPr>
          <w:rFonts w:ascii="Times New Roman" w:cs="Times New Roman" w:eastAsia="Times New Roman" w:hAnsi="Times New Roman"/>
          <w:sz w:val="22"/>
          <w:szCs w:val="22"/>
          <w:color w:val="auto"/>
        </w:rPr>
        <w:t xml:space="preserve"> H</w:t>
      </w:r>
      <w:r>
        <w:rPr>
          <w:rFonts w:ascii="Times New Roman" w:cs="Times New Roman" w:eastAsia="Times New Roman" w:hAnsi="Times New Roman"/>
          <w:sz w:val="17"/>
          <w:szCs w:val="17"/>
          <w:color w:val="auto"/>
        </w:rPr>
        <w:t>OLDINGS</w:t>
      </w:r>
      <w:r>
        <w:rPr>
          <w:rFonts w:ascii="Times New Roman" w:cs="Times New Roman" w:eastAsia="Times New Roman" w:hAnsi="Times New Roman"/>
          <w:sz w:val="22"/>
          <w:szCs w:val="22"/>
          <w:color w:val="auto"/>
        </w:rPr>
        <w:t xml:space="preserve"> IV, LP, a Delaware limited partnership, as administrative agent for the Lenders (in such capacity, together with its successors and assigns, the </w:t>
      </w:r>
      <w:r>
        <w:rPr>
          <w:rFonts w:ascii="Times New Roman" w:cs="Times New Roman" w:eastAsia="Times New Roman" w:hAnsi="Times New Roman"/>
          <w:sz w:val="22"/>
          <w:szCs w:val="22"/>
          <w:i w:val="1"/>
          <w:iCs w:val="1"/>
          <w:color w:val="auto"/>
        </w:rPr>
        <w:t>“Administrative Agent”</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317" w:lineRule="exact"/>
        <w:rPr>
          <w:sz w:val="20"/>
          <w:szCs w:val="20"/>
          <w:color w:val="auto"/>
        </w:rPr>
      </w:pPr>
    </w:p>
    <w:p>
      <w:pPr>
        <w:jc w:val="both"/>
        <w:ind w:left="160" w:right="100" w:firstLine="749"/>
        <w:spacing w:after="0" w:line="236"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xml:space="preserve">, the Borrower, the Guarantors from time to time party thereto, the Lenders from time to time party thereto and the Administrative Agent are parties to that certain Credit Agreement and Guaranty, dated as of November 16, 2022, as amended by that certain (i) First Amendment to Credit Agreement and Guaranty, dated as of May 10, 2023, and (ii) Second Amendment to Credit Agreement and Guaranty, dated as of August 4, 2023 (as may be further amended, restated, supplemented or otherwise modified from time to time, the </w:t>
      </w:r>
      <w:r>
        <w:rPr>
          <w:rFonts w:ascii="Times New Roman" w:cs="Times New Roman" w:eastAsia="Times New Roman" w:hAnsi="Times New Roman"/>
          <w:sz w:val="22"/>
          <w:szCs w:val="22"/>
          <w:i w:val="1"/>
          <w:iCs w:val="1"/>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left="160" w:right="100" w:firstLine="749"/>
        <w:spacing w:after="0" w:line="234"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xml:space="preserve">, pursuant to Section 8.01(b) of the Credit Agreement, the Obligors are required to furnish to the Administrative Agent, as soon as available and in any event within five (5) Business Days following each date Borrower is required to file its Form 10-K with the SEC, the consolidated balance sheet of the Borrower and its Subsidiaries as of the end of such fiscal year, and the related consolidated statement of income, shareholders’ equity and cash flows of the Borrower and its Subsidiaries for such fiscal year, setting forth in each case in comparative form the corresponding figures for such fiscal year (collectively, the </w:t>
      </w:r>
      <w:r>
        <w:rPr>
          <w:rFonts w:ascii="Times New Roman" w:cs="Times New Roman" w:eastAsia="Times New Roman" w:hAnsi="Times New Roman"/>
          <w:sz w:val="22"/>
          <w:szCs w:val="22"/>
          <w:i w:val="1"/>
          <w:iCs w:val="1"/>
          <w:color w:val="auto"/>
        </w:rPr>
        <w:t>“Annual 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Statements”</w:t>
      </w:r>
      <w:r>
        <w:rPr>
          <w:rFonts w:ascii="Times New Roman" w:cs="Times New Roman" w:eastAsia="Times New Roman" w:hAnsi="Times New Roman"/>
          <w:sz w:val="22"/>
          <w:szCs w:val="22"/>
          <w:color w:val="auto"/>
        </w:rPr>
        <w:t>), accompanied by, among other things, a report and opinion thereon of an independent certified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public accountant of recognized national standing (such report and opinion, an </w:t>
      </w:r>
      <w:r>
        <w:rPr>
          <w:rFonts w:ascii="Times New Roman" w:cs="Times New Roman" w:eastAsia="Times New Roman" w:hAnsi="Times New Roman"/>
          <w:sz w:val="22"/>
          <w:szCs w:val="22"/>
          <w:i w:val="1"/>
          <w:iCs w:val="1"/>
          <w:color w:val="auto"/>
        </w:rPr>
        <w:t>“Audit Report”</w:t>
      </w:r>
      <w:r>
        <w:rPr>
          <w:rFonts w:ascii="Times New Roman" w:cs="Times New Roman" w:eastAsia="Times New Roman" w:hAnsi="Times New Roman"/>
          <w:sz w:val="22"/>
          <w:szCs w:val="22"/>
          <w:color w:val="auto"/>
        </w:rPr>
        <w:t>), which Audit Report shall not be subject to any “going concern” or like qualification or exception audit;</w:t>
      </w:r>
    </w:p>
    <w:p>
      <w:pPr>
        <w:spacing w:after="0" w:line="180" w:lineRule="exact"/>
        <w:rPr>
          <w:sz w:val="20"/>
          <w:szCs w:val="20"/>
          <w:color w:val="auto"/>
        </w:rPr>
      </w:pPr>
    </w:p>
    <w:p>
      <w:pPr>
        <w:jc w:val="both"/>
        <w:ind w:left="160" w:right="100" w:firstLine="749"/>
        <w:spacing w:after="0" w:line="258"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the Obligors are required to attain a Minimum Net Revenue as agreed to in writing between the Borrower and the Administrative Agent as set forth in Section 8.15(b) of the Credit Agreement;</w:t>
      </w:r>
    </w:p>
    <w:p>
      <w:pPr>
        <w:spacing w:after="0" w:line="144" w:lineRule="exact"/>
        <w:rPr>
          <w:sz w:val="20"/>
          <w:szCs w:val="20"/>
          <w:color w:val="auto"/>
        </w:rPr>
      </w:pPr>
    </w:p>
    <w:p>
      <w:pPr>
        <w:jc w:val="both"/>
        <w:ind w:left="160" w:right="120" w:firstLine="749"/>
        <w:spacing w:after="0" w:line="244"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xml:space="preserve">, the Obligors have advised the Administrative Agent that the Audit Report that will accompany the Annual Financial Statements of the Obligors for the fiscal year ended December 31, 2023 will be subject to a “going concern” or like qualification or exception audit (the </w:t>
      </w:r>
      <w:r>
        <w:rPr>
          <w:rFonts w:ascii="Times New Roman" w:cs="Times New Roman" w:eastAsia="Times New Roman" w:hAnsi="Times New Roman"/>
          <w:sz w:val="22"/>
          <w:szCs w:val="22"/>
          <w:i w:val="1"/>
          <w:iCs w:val="1"/>
          <w:color w:val="auto"/>
        </w:rPr>
        <w:t>“Audit Report Event of Default”</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left="160" w:right="120" w:firstLine="749"/>
        <w:spacing w:after="0" w:line="244"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xml:space="preserve">, the Obligors have advised the Administrative Agent that they failed to attain the Minimum Net Revenue required as of December 31, 2023 (the </w:t>
      </w:r>
      <w:r>
        <w:rPr>
          <w:rFonts w:ascii="Times New Roman" w:cs="Times New Roman" w:eastAsia="Times New Roman" w:hAnsi="Times New Roman"/>
          <w:sz w:val="22"/>
          <w:szCs w:val="22"/>
          <w:i w:val="1"/>
          <w:iCs w:val="1"/>
          <w:color w:val="auto"/>
        </w:rPr>
        <w:t>“Minimum Net Revenue Event of Default”</w:t>
      </w:r>
      <w:r>
        <w:rPr>
          <w:rFonts w:ascii="Times New Roman" w:cs="Times New Roman" w:eastAsia="Times New Roman" w:hAnsi="Times New Roman"/>
          <w:sz w:val="22"/>
          <w:szCs w:val="22"/>
          <w:color w:val="auto"/>
        </w:rPr>
        <w:t xml:space="preserve"> and, collectively, with the Audit Report Event of Default, the “</w:t>
      </w:r>
      <w:r>
        <w:rPr>
          <w:rFonts w:ascii="Times New Roman" w:cs="Times New Roman" w:eastAsia="Times New Roman" w:hAnsi="Times New Roman"/>
          <w:sz w:val="22"/>
          <w:szCs w:val="22"/>
          <w:i w:val="1"/>
          <w:iCs w:val="1"/>
          <w:color w:val="auto"/>
        </w:rPr>
        <w:t>Specified Events of Default</w:t>
      </w:r>
      <w:r>
        <w:rPr>
          <w:rFonts w:ascii="Times New Roman" w:cs="Times New Roman" w:eastAsia="Times New Roman" w:hAnsi="Times New Roman"/>
          <w:sz w:val="22"/>
          <w:szCs w:val="22"/>
          <w:color w:val="auto"/>
        </w:rPr>
        <w:t>”);</w:t>
      </w:r>
    </w:p>
    <w:p>
      <w:pPr>
        <w:spacing w:after="0" w:line="159" w:lineRule="exact"/>
        <w:rPr>
          <w:sz w:val="20"/>
          <w:szCs w:val="20"/>
          <w:color w:val="auto"/>
        </w:rPr>
      </w:pPr>
    </w:p>
    <w:p>
      <w:pPr>
        <w:jc w:val="both"/>
        <w:ind w:left="160" w:right="120" w:firstLine="749"/>
        <w:spacing w:after="0" w:line="258" w:lineRule="auto"/>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the Borrower has requested that the Majority Lenders agree to waive the Specified Events of Default;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17"/>
          <w:szCs w:val="17"/>
          <w:color w:val="auto"/>
        </w:rPr>
        <w:t>HEREAS</w:t>
      </w:r>
      <w:r>
        <w:rPr>
          <w:rFonts w:ascii="Times New Roman" w:cs="Times New Roman" w:eastAsia="Times New Roman" w:hAnsi="Times New Roman"/>
          <w:sz w:val="22"/>
          <w:szCs w:val="22"/>
          <w:color w:val="auto"/>
        </w:rPr>
        <w:t>, the Majority Lenders are willing to grant such waiver in accordance with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220980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935" w:right="339" w:bottom="1440" w:gutter="0" w:footer="0" w:header="0"/>
        </w:sectPr>
      </w:pPr>
    </w:p>
    <w:bookmarkStart w:id="135" w:name="page136"/>
    <w:bookmarkEnd w:id="135"/>
    <w:p>
      <w:pPr>
        <w:ind w:left="160"/>
        <w:spacing w:after="0"/>
        <w:rPr>
          <w:sz w:val="20"/>
          <w:szCs w:val="20"/>
          <w:color w:val="auto"/>
        </w:rPr>
      </w:pPr>
      <w:r>
        <w:rPr>
          <w:rFonts w:ascii="Times New Roman" w:cs="Times New Roman" w:eastAsia="Times New Roman" w:hAnsi="Times New Roman"/>
          <w:sz w:val="22"/>
          <w:szCs w:val="22"/>
          <w:color w:val="auto"/>
        </w:rPr>
        <w:t>subject to the terms and conditions of this Waiver.</w:t>
      </w:r>
    </w:p>
    <w:p>
      <w:pPr>
        <w:spacing w:after="0" w:line="205" w:lineRule="exact"/>
        <w:rPr>
          <w:sz w:val="20"/>
          <w:szCs w:val="20"/>
          <w:color w:val="auto"/>
        </w:rPr>
      </w:pPr>
    </w:p>
    <w:p>
      <w:pPr>
        <w:jc w:val="both"/>
        <w:ind w:left="160" w:firstLine="749"/>
        <w:spacing w:after="0" w:line="244" w:lineRule="auto"/>
        <w:rPr>
          <w:sz w:val="20"/>
          <w:szCs w:val="20"/>
          <w:color w:val="auto"/>
        </w:rPr>
      </w:pPr>
      <w:r>
        <w:rPr>
          <w:rFonts w:ascii="Times New Roman" w:cs="Times New Roman" w:eastAsia="Times New Roman" w:hAnsi="Times New Roman"/>
          <w:sz w:val="22"/>
          <w:szCs w:val="22"/>
          <w:color w:val="auto"/>
        </w:rPr>
        <w:t>N</w:t>
      </w:r>
      <w:r>
        <w:rPr>
          <w:rFonts w:ascii="Times New Roman" w:cs="Times New Roman" w:eastAsia="Times New Roman" w:hAnsi="Times New Roman"/>
          <w:sz w:val="17"/>
          <w:szCs w:val="17"/>
          <w:color w:val="auto"/>
        </w:rPr>
        <w:t>OW</w:t>
      </w:r>
      <w:r>
        <w:rPr>
          <w:rFonts w:ascii="Times New Roman" w:cs="Times New Roman" w:eastAsia="Times New Roman" w:hAnsi="Times New Roman"/>
          <w:sz w:val="22"/>
          <w:szCs w:val="22"/>
          <w:color w:val="auto"/>
        </w:rPr>
        <w:t>, T</w:t>
      </w:r>
      <w:r>
        <w:rPr>
          <w:rFonts w:ascii="Times New Roman" w:cs="Times New Roman" w:eastAsia="Times New Roman" w:hAnsi="Times New Roman"/>
          <w:sz w:val="17"/>
          <w:szCs w:val="17"/>
          <w:color w:val="auto"/>
        </w:rPr>
        <w:t>HEREFORE</w:t>
      </w:r>
      <w:r>
        <w:rPr>
          <w:rFonts w:ascii="Times New Roman" w:cs="Times New Roman" w:eastAsia="Times New Roman" w:hAnsi="Times New Roman"/>
          <w:sz w:val="22"/>
          <w:szCs w:val="22"/>
          <w:color w:val="auto"/>
        </w:rPr>
        <w:t>, in consideration of the premises and the mutual covenants and the agreements herein set forth, and other good and valuable consideration, the receipt and sufficiency of which are hereby acknowledged, the parties hereto, intending to be legally bound, agree as follows:</w:t>
      </w:r>
    </w:p>
    <w:p>
      <w:pPr>
        <w:spacing w:after="0" w:line="1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ARTICLE I D</w:t>
      </w:r>
      <w:r>
        <w:rPr>
          <w:rFonts w:ascii="Times New Roman" w:cs="Times New Roman" w:eastAsia="Times New Roman" w:hAnsi="Times New Roman"/>
          <w:sz w:val="17"/>
          <w:szCs w:val="17"/>
          <w:b w:val="1"/>
          <w:bCs w:val="1"/>
          <w:color w:val="auto"/>
        </w:rPr>
        <w:t>EFINITIONS</w:t>
      </w:r>
    </w:p>
    <w:p>
      <w:pPr>
        <w:spacing w:after="0" w:line="219" w:lineRule="exact"/>
        <w:rPr>
          <w:sz w:val="20"/>
          <w:szCs w:val="20"/>
          <w:color w:val="auto"/>
        </w:rPr>
      </w:pPr>
    </w:p>
    <w:p>
      <w:pPr>
        <w:jc w:val="both"/>
        <w:ind w:left="16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Section 1.1. </w:t>
      </w:r>
      <w:r>
        <w:rPr>
          <w:rFonts w:ascii="Times New Roman" w:cs="Times New Roman" w:eastAsia="Times New Roman" w:hAnsi="Times New Roman"/>
          <w:sz w:val="22"/>
          <w:szCs w:val="22"/>
          <w:i w:val="1"/>
          <w:iCs w:val="1"/>
          <w:color w:val="auto"/>
        </w:rPr>
        <w:t>Certain Definitions</w:t>
      </w:r>
      <w:r>
        <w:rPr>
          <w:rFonts w:ascii="Times New Roman" w:cs="Times New Roman" w:eastAsia="Times New Roman" w:hAnsi="Times New Roman"/>
          <w:sz w:val="22"/>
          <w:szCs w:val="22"/>
          <w:color w:val="auto"/>
        </w:rPr>
        <w:t>. Capitalized terms used herein but not otherwise defined herein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meanings ascribed thereto in the Credit Agreement.</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ARTICLE II L</w:t>
      </w:r>
      <w:r>
        <w:rPr>
          <w:rFonts w:ascii="Times New Roman" w:cs="Times New Roman" w:eastAsia="Times New Roman" w:hAnsi="Times New Roman"/>
          <w:sz w:val="17"/>
          <w:szCs w:val="17"/>
          <w:b w:val="1"/>
          <w:bCs w:val="1"/>
          <w:color w:val="auto"/>
        </w:rPr>
        <w:t>IMITED</w:t>
      </w:r>
    </w:p>
    <w:p>
      <w:pPr>
        <w:spacing w:after="0" w:line="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7"/>
          <w:szCs w:val="17"/>
          <w:b w:val="1"/>
          <w:bCs w:val="1"/>
          <w:color w:val="auto"/>
        </w:rPr>
        <w:t>AIVER</w:t>
      </w:r>
    </w:p>
    <w:p>
      <w:pPr>
        <w:spacing w:after="0" w:line="177" w:lineRule="exact"/>
        <w:rPr>
          <w:sz w:val="20"/>
          <w:szCs w:val="20"/>
          <w:color w:val="auto"/>
        </w:rPr>
      </w:pPr>
    </w:p>
    <w:p>
      <w:pPr>
        <w:jc w:val="both"/>
        <w:ind w:left="160" w:firstLine="749"/>
        <w:spacing w:after="0"/>
        <w:rPr>
          <w:sz w:val="20"/>
          <w:szCs w:val="20"/>
          <w:color w:val="auto"/>
        </w:rPr>
      </w:pPr>
      <w:r>
        <w:rPr>
          <w:rFonts w:ascii="Times New Roman" w:cs="Times New Roman" w:eastAsia="Times New Roman" w:hAnsi="Times New Roman"/>
          <w:sz w:val="22"/>
          <w:szCs w:val="22"/>
          <w:b w:val="1"/>
          <w:bCs w:val="1"/>
          <w:color w:val="auto"/>
        </w:rPr>
        <w:t xml:space="preserve">Section 2.1. </w:t>
      </w:r>
      <w:r>
        <w:rPr>
          <w:rFonts w:ascii="Times New Roman" w:cs="Times New Roman" w:eastAsia="Times New Roman" w:hAnsi="Times New Roman"/>
          <w:sz w:val="22"/>
          <w:szCs w:val="22"/>
          <w:color w:val="auto"/>
        </w:rPr>
        <w:t>Upon satisfaction of the conditions set forth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hereof, pursuant to Section 13.04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Credit Agreement and subject to the terms and conditions hereof, the Majority Lenders hereby waive the Specified Events of Default. For the avoidance of doubt, this waiver is effective solely as a waiver of the Specified Events of Default and does not constitute a waiver of any other Default or Event of Default.</w:t>
      </w:r>
    </w:p>
    <w:p>
      <w:pPr>
        <w:spacing w:after="0" w:line="17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ARTICLE III R</w:t>
      </w:r>
      <w:r>
        <w:rPr>
          <w:rFonts w:ascii="Times New Roman" w:cs="Times New Roman" w:eastAsia="Times New Roman" w:hAnsi="Times New Roman"/>
          <w:sz w:val="14"/>
          <w:szCs w:val="14"/>
          <w:b w:val="1"/>
          <w:bCs w:val="1"/>
          <w:color w:val="auto"/>
        </w:rPr>
        <w:t>epresentations and</w:t>
      </w:r>
    </w:p>
    <w:p>
      <w:pPr>
        <w:spacing w:after="0" w:line="18"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arranties</w:t>
      </w:r>
    </w:p>
    <w:p>
      <w:pPr>
        <w:spacing w:after="0" w:line="1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22"/>
          <w:szCs w:val="22"/>
          <w:b w:val="1"/>
          <w:bCs w:val="1"/>
          <w:color w:val="auto"/>
        </w:rPr>
        <w:t xml:space="preserve">Section 3.1. </w:t>
      </w: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In order to induce the Administrative Agent and the</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Lenders to enter into this Waiver, the Borrower hereby represents and warrants as follows:</w:t>
      </w:r>
    </w:p>
    <w:p>
      <w:pPr>
        <w:spacing w:after="0" w:line="181" w:lineRule="exact"/>
        <w:rPr>
          <w:sz w:val="20"/>
          <w:szCs w:val="20"/>
          <w:color w:val="auto"/>
        </w:rPr>
      </w:pPr>
    </w:p>
    <w:p>
      <w:pPr>
        <w:jc w:val="both"/>
        <w:ind w:left="160" w:firstLine="749"/>
        <w:spacing w:after="0" w:line="235" w:lineRule="auto"/>
        <w:tabs>
          <w:tab w:leader="none" w:pos="1427"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After giving effect to this Waiver, the representations and warranties of the Obligors contained in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of the Credit Agreement and in each other Loan Document shall be true and correct in all material respects on and as of the date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22"/>
          <w:szCs w:val="22"/>
          <w:i w:val="1"/>
          <w:iCs w:val="1"/>
          <w:color w:val="auto"/>
        </w:rPr>
        <w:t xml:space="preserve">provided further </w:t>
      </w:r>
      <w:r>
        <w:rPr>
          <w:rFonts w:ascii="Times New Roman" w:cs="Times New Roman" w:eastAsia="Times New Roman" w:hAnsi="Times New Roman"/>
          <w:sz w:val="22"/>
          <w:szCs w:val="22"/>
          <w:color w:val="auto"/>
        </w:rPr>
        <w:t>that any representation and warranty that is qualified as to “materiality”, “Material Adverse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Effect” or similar language shall be true and correct (after giving effect to any qualification therein) in all respects on such respective dates.</w:t>
      </w:r>
    </w:p>
    <w:p>
      <w:pPr>
        <w:spacing w:after="0" w:line="180" w:lineRule="exact"/>
        <w:rPr>
          <w:rFonts w:ascii="Times New Roman" w:cs="Times New Roman" w:eastAsia="Times New Roman" w:hAnsi="Times New Roman"/>
          <w:sz w:val="22"/>
          <w:szCs w:val="22"/>
          <w:b w:val="1"/>
          <w:bCs w:val="1"/>
          <w:color w:val="auto"/>
        </w:rPr>
      </w:pPr>
    </w:p>
    <w:p>
      <w:pPr>
        <w:ind w:left="160" w:right="380" w:firstLine="749"/>
        <w:spacing w:after="0" w:line="258" w:lineRule="auto"/>
        <w:tabs>
          <w:tab w:leader="none" w:pos="1427"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 Default or Event of Default has occurred and is continuing or shall occur and be continuing immediately after giving effect to this Waiver.</w:t>
      </w:r>
    </w:p>
    <w:p>
      <w:pPr>
        <w:spacing w:after="0" w:line="15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jc w:val="center"/>
        <w:ind w:left="154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ffectiveness</w:t>
      </w:r>
    </w:p>
    <w:p>
      <w:pPr>
        <w:spacing w:after="0" w:line="177" w:lineRule="exact"/>
        <w:rPr>
          <w:sz w:val="20"/>
          <w:szCs w:val="20"/>
          <w:color w:val="auto"/>
        </w:rPr>
      </w:pPr>
    </w:p>
    <w:p>
      <w:pPr>
        <w:ind w:left="160" w:right="2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Section 4.1. </w:t>
      </w:r>
      <w:r>
        <w:rPr>
          <w:rFonts w:ascii="Times New Roman" w:cs="Times New Roman" w:eastAsia="Times New Roman" w:hAnsi="Times New Roman"/>
          <w:sz w:val="22"/>
          <w:szCs w:val="22"/>
          <w:i w:val="1"/>
          <w:iCs w:val="1"/>
          <w:color w:val="auto"/>
        </w:rPr>
        <w:t>Effectiveness</w:t>
      </w:r>
      <w:r>
        <w:rPr>
          <w:rFonts w:ascii="Times New Roman" w:cs="Times New Roman" w:eastAsia="Times New Roman" w:hAnsi="Times New Roman"/>
          <w:sz w:val="22"/>
          <w:szCs w:val="22"/>
          <w:color w:val="auto"/>
        </w:rPr>
        <w:t>. This Waiver shall become effective as of the date set forth above on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Waiver shall be executed by each party hereto.</w:t>
      </w:r>
    </w:p>
    <w:p>
      <w:pPr>
        <w:spacing w:after="0" w:line="39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p>
    <w:p>
      <w:pPr>
        <w:spacing w:after="0" w:line="177" w:lineRule="exact"/>
        <w:rPr>
          <w:sz w:val="20"/>
          <w:szCs w:val="20"/>
          <w:color w:val="auto"/>
        </w:rPr>
      </w:pPr>
    </w:p>
    <w:p>
      <w:pPr>
        <w:ind w:left="900"/>
        <w:spacing w:after="0"/>
        <w:tabs>
          <w:tab w:leader="none" w:pos="2180" w:val="left"/>
        </w:tabs>
        <w:rPr>
          <w:sz w:val="20"/>
          <w:szCs w:val="20"/>
          <w:color w:val="auto"/>
        </w:rPr>
      </w:pPr>
      <w:r>
        <w:rPr>
          <w:rFonts w:ascii="Times New Roman" w:cs="Times New Roman" w:eastAsia="Times New Roman" w:hAnsi="Times New Roman"/>
          <w:sz w:val="22"/>
          <w:szCs w:val="22"/>
          <w:b w:val="1"/>
          <w:bCs w:val="1"/>
          <w:color w:val="auto"/>
        </w:rPr>
        <w:t>Section 5.1.</w:t>
      </w:r>
      <w:r>
        <w:rPr>
          <w:sz w:val="20"/>
          <w:szCs w:val="20"/>
          <w:color w:val="auto"/>
        </w:rPr>
        <w:tab/>
      </w:r>
      <w:r>
        <w:rPr>
          <w:rFonts w:ascii="Times New Roman" w:cs="Times New Roman" w:eastAsia="Times New Roman" w:hAnsi="Times New Roman"/>
          <w:sz w:val="20"/>
          <w:szCs w:val="20"/>
          <w:i w:val="1"/>
          <w:iCs w:val="1"/>
          <w:color w:val="auto"/>
        </w:rPr>
        <w:t>Reference to and Effect on the Loan Documents</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ind w:left="1420" w:hanging="511"/>
        <w:spacing w:after="0"/>
        <w:tabs>
          <w:tab w:leader="none" w:pos="14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This Waiver constitutes a Loan Document. On and after the date hereof,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220980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231" w:right="439" w:bottom="1440" w:gutter="0" w:footer="0" w:header="0"/>
        </w:sectPr>
      </w:pPr>
    </w:p>
    <w:bookmarkStart w:id="136" w:name="page137"/>
    <w:bookmarkEnd w:id="136"/>
    <w:p>
      <w:pPr>
        <w:jc w:val="both"/>
        <w:ind w:left="160"/>
        <w:spacing w:after="0" w:line="239" w:lineRule="auto"/>
        <w:rPr>
          <w:sz w:val="20"/>
          <w:szCs w:val="20"/>
          <w:color w:val="auto"/>
        </w:rPr>
      </w:pPr>
      <w:r>
        <w:rPr>
          <w:rFonts w:ascii="Times New Roman" w:cs="Times New Roman" w:eastAsia="Times New Roman" w:hAnsi="Times New Roman"/>
          <w:sz w:val="22"/>
          <w:szCs w:val="22"/>
          <w:color w:val="auto"/>
        </w:rPr>
        <w:t>reference in the Credit Agreement to “this Agreement”, “hereunder”, “hereof”, “herein” or words of like import referring to the Credit Agreement, and each reference in the other Loan Documents to the “Credit Agreement”, “thereunder”, “thereof” or words of like import referring to the Credit Agreement shall mean and be a reference to the Credit Agreement after giving effect to this Waiver.</w:t>
      </w:r>
    </w:p>
    <w:p>
      <w:pPr>
        <w:spacing w:after="0" w:line="165" w:lineRule="exact"/>
        <w:rPr>
          <w:sz w:val="20"/>
          <w:szCs w:val="20"/>
          <w:color w:val="auto"/>
        </w:rPr>
      </w:pPr>
    </w:p>
    <w:p>
      <w:pPr>
        <w:ind w:left="160" w:right="20" w:firstLine="749"/>
        <w:spacing w:after="0" w:line="258" w:lineRule="auto"/>
        <w:tabs>
          <w:tab w:leader="none" w:pos="1427"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specifically set forth in this Waiver, the Credit Agreement and the other Loan Documents shall remain in full force and effect and are hereby ratified and confirmed.</w:t>
      </w:r>
    </w:p>
    <w:p>
      <w:pPr>
        <w:spacing w:after="0" w:line="140" w:lineRule="exact"/>
        <w:rPr>
          <w:sz w:val="20"/>
          <w:szCs w:val="20"/>
          <w:color w:val="auto"/>
        </w:rPr>
      </w:pPr>
    </w:p>
    <w:p>
      <w:pPr>
        <w:jc w:val="both"/>
        <w:ind w:left="16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Section 5.2. </w:t>
      </w:r>
      <w:r>
        <w:rPr>
          <w:rFonts w:ascii="Times New Roman" w:cs="Times New Roman" w:eastAsia="Times New Roman" w:hAnsi="Times New Roman"/>
          <w:sz w:val="22"/>
          <w:szCs w:val="22"/>
          <w:i w:val="1"/>
          <w:iCs w:val="1"/>
          <w:color w:val="auto"/>
        </w:rPr>
        <w:t>Headings</w:t>
      </w:r>
      <w:r>
        <w:rPr>
          <w:rFonts w:ascii="Times New Roman" w:cs="Times New Roman" w:eastAsia="Times New Roman" w:hAnsi="Times New Roman"/>
          <w:sz w:val="22"/>
          <w:szCs w:val="22"/>
          <w:color w:val="auto"/>
        </w:rPr>
        <w:t>. The headings in this Waiver are included for convenience of reference only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not affect in any way the meaning or interpretation of this Waiver.</w:t>
      </w:r>
    </w:p>
    <w:p>
      <w:pPr>
        <w:spacing w:after="0" w:line="137" w:lineRule="exact"/>
        <w:rPr>
          <w:sz w:val="20"/>
          <w:szCs w:val="20"/>
          <w:color w:val="auto"/>
        </w:rPr>
      </w:pPr>
    </w:p>
    <w:p>
      <w:pPr>
        <w:jc w:val="both"/>
        <w:ind w:left="16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Section 5.3.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Waiver, and all questions concerning the construction, validity,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enforcement and interpretation of this Waiver shall be governed by and construed and enforced in accordance with the internal laws of the State of New York.</w:t>
      </w:r>
    </w:p>
    <w:p>
      <w:pPr>
        <w:spacing w:after="0" w:line="152" w:lineRule="exact"/>
        <w:rPr>
          <w:sz w:val="20"/>
          <w:szCs w:val="20"/>
          <w:color w:val="auto"/>
        </w:rPr>
      </w:pPr>
    </w:p>
    <w:p>
      <w:pPr>
        <w:jc w:val="both"/>
        <w:ind w:left="160"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Section 5.4. </w:t>
      </w: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Waiver may be executed in any number of counterparts and by different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on separate counterparts, each of which, when executed and delivered, shall be deemed to be an original, and all of which, when taken together, shall constitute but one and the same Waiver. Delivery of an executed counterpart of this Waiver by facsimile, DocuSign, or a scanned copy by electronic mail shall be equally as effective as delivery of an original executed counterpart of this Waiver.</w:t>
      </w:r>
    </w:p>
    <w:p>
      <w:pPr>
        <w:spacing w:after="0" w:line="175" w:lineRule="exact"/>
        <w:rPr>
          <w:sz w:val="20"/>
          <w:szCs w:val="20"/>
          <w:color w:val="auto"/>
        </w:rPr>
      </w:pPr>
    </w:p>
    <w:p>
      <w:pPr>
        <w:jc w:val="both"/>
        <w:ind w:left="160"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Section 5.5. </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term or other provision of this Waiver is invalid, illegal or incapable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being enforced by any rule of law, or public policy, all other conditions and provisions of this Waiver will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hereto will negotiate in good faith to modify this Waiver so as to effect the original intent of the parties as closely as possible in an acceptable manner to the end that the transactions contemplated hereby are fulfilled to the extent possible.</w:t>
      </w:r>
    </w:p>
    <w:p>
      <w:pPr>
        <w:spacing w:after="0" w:line="173" w:lineRule="exact"/>
        <w:rPr>
          <w:sz w:val="20"/>
          <w:szCs w:val="20"/>
          <w:color w:val="auto"/>
        </w:rPr>
      </w:pPr>
    </w:p>
    <w:p>
      <w:pPr>
        <w:jc w:val="both"/>
        <w:ind w:left="160"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Section 5.6. </w:t>
      </w:r>
      <w:r>
        <w:rPr>
          <w:rFonts w:ascii="Times New Roman" w:cs="Times New Roman" w:eastAsia="Times New Roman" w:hAnsi="Times New Roman"/>
          <w:sz w:val="22"/>
          <w:szCs w:val="22"/>
          <w:i w:val="1"/>
          <w:iCs w:val="1"/>
          <w:color w:val="auto"/>
        </w:rPr>
        <w:t>Binding Effect</w:t>
      </w:r>
      <w:r>
        <w:rPr>
          <w:rFonts w:ascii="Times New Roman" w:cs="Times New Roman" w:eastAsia="Times New Roman" w:hAnsi="Times New Roman"/>
          <w:sz w:val="22"/>
          <w:szCs w:val="22"/>
          <w:color w:val="auto"/>
        </w:rPr>
        <w:t>. This Waiver will be binding upon and inure to the benefit of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enforceable by the respective successors and permitted assigns of the parties hereto.</w:t>
      </w:r>
    </w:p>
    <w:p>
      <w:pPr>
        <w:spacing w:after="0" w:line="15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 signatures on following pages.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223520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1440" w:top="1380" w:right="439" w:bottom="1440" w:gutter="0" w:footer="0" w:header="0"/>
        </w:sectPr>
      </w:pPr>
    </w:p>
    <w:bookmarkStart w:id="137" w:name="page138"/>
    <w:bookmarkEnd w:id="137"/>
    <w:p>
      <w:pPr>
        <w:spacing w:after="0" w:line="142" w:lineRule="exact"/>
        <w:rPr>
          <w:sz w:val="20"/>
          <w:szCs w:val="20"/>
          <w:color w:val="auto"/>
        </w:rPr>
      </w:pPr>
    </w:p>
    <w:p>
      <w:pPr>
        <w:ind w:left="1260" w:right="340" w:firstLine="747"/>
        <w:spacing w:after="0" w:line="258" w:lineRule="auto"/>
        <w:rPr>
          <w:sz w:val="20"/>
          <w:szCs w:val="20"/>
          <w:color w:val="auto"/>
        </w:rPr>
      </w:pPr>
      <w:r>
        <w:rPr>
          <w:rFonts w:ascii="Times New Roman" w:cs="Times New Roman" w:eastAsia="Times New Roman" w:hAnsi="Times New Roman"/>
          <w:sz w:val="22"/>
          <w:szCs w:val="22"/>
          <w:color w:val="auto"/>
        </w:rPr>
        <w:t>I</w:t>
      </w:r>
      <w:r>
        <w:rPr>
          <w:rFonts w:ascii="Times New Roman" w:cs="Times New Roman" w:eastAsia="Times New Roman" w:hAnsi="Times New Roman"/>
          <w:sz w:val="17"/>
          <w:szCs w:val="17"/>
          <w:color w:val="auto"/>
        </w:rPr>
        <w:t>N</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7"/>
          <w:szCs w:val="17"/>
          <w:color w:val="auto"/>
        </w:rPr>
        <w:t>ITNESS</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7"/>
          <w:szCs w:val="17"/>
          <w:color w:val="auto"/>
        </w:rPr>
        <w:t>HEREOF</w:t>
      </w:r>
      <w:r>
        <w:rPr>
          <w:rFonts w:ascii="Times New Roman" w:cs="Times New Roman" w:eastAsia="Times New Roman" w:hAnsi="Times New Roman"/>
          <w:sz w:val="22"/>
          <w:szCs w:val="22"/>
          <w:color w:val="auto"/>
        </w:rPr>
        <w:t>, the parties hereto have caused this Waiver to be duly executed and delivered by their respective officers thereunto duly 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58"/>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Biodesix, Inc.</w:t>
            </w:r>
          </w:p>
        </w:tc>
        <w:tc>
          <w:tcPr>
            <w:tcW w:w="2920" w:type="dxa"/>
            <w:vAlign w:val="bottom"/>
          </w:tcPr>
          <w:p>
            <w:pPr>
              <w:spacing w:after="0"/>
              <w:rPr>
                <w:sz w:val="22"/>
                <w:szCs w:val="22"/>
                <w:color w:val="auto"/>
              </w:rPr>
            </w:pPr>
          </w:p>
        </w:tc>
      </w:tr>
      <w:tr>
        <w:trPr>
          <w:trHeight w:val="486"/>
        </w:trPr>
        <w:tc>
          <w:tcPr>
            <w:tcW w:w="13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By:</w:t>
            </w:r>
          </w:p>
        </w:tc>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ROBIN HARPER COWIE</w:t>
            </w:r>
          </w:p>
        </w:tc>
      </w:tr>
      <w:tr>
        <w:trPr>
          <w:trHeight w:val="220"/>
        </w:trPr>
        <w:tc>
          <w:tcPr>
            <w:tcW w:w="1320" w:type="dxa"/>
            <w:vAlign w:val="bottom"/>
          </w:tcPr>
          <w:p>
            <w:pPr>
              <w:ind w:left="440"/>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292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Robin Harper Cowie</w:t>
            </w:r>
          </w:p>
        </w:tc>
      </w:tr>
      <w:tr>
        <w:trPr>
          <w:trHeight w:val="258"/>
        </w:trPr>
        <w:tc>
          <w:tcPr>
            <w:tcW w:w="13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Title:</w:t>
            </w:r>
          </w:p>
        </w:tc>
        <w:tc>
          <w:tcPr>
            <w:tcW w:w="2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ADMINISTRATIVE AGENT AND LENDERS</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CONSTITUTING MAJORITY LENDERS:</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PERCEPTIVE CREDIT HOLDINGS IV, LP,</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ind w:left="4520"/>
              <w:spacing w:after="0"/>
              <w:rPr>
                <w:sz w:val="20"/>
                <w:szCs w:val="20"/>
                <w:color w:val="auto"/>
              </w:rPr>
            </w:pPr>
            <w:r>
              <w:rPr>
                <w:rFonts w:ascii="Times New Roman" w:cs="Times New Roman" w:eastAsia="Times New Roman" w:hAnsi="Times New Roman"/>
                <w:sz w:val="20"/>
                <w:szCs w:val="20"/>
                <w:color w:val="auto"/>
              </w:rPr>
              <w:t>By:</w:t>
            </w: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Perceptive Credit Opportunities GP, LLC,</w:t>
            </w:r>
          </w:p>
        </w:tc>
        <w:tc>
          <w:tcPr>
            <w:tcW w:w="560" w:type="dxa"/>
            <w:vAlign w:val="bottom"/>
          </w:tcPr>
          <w:p>
            <w:pPr>
              <w:spacing w:after="0"/>
              <w:rPr>
                <w:sz w:val="19"/>
                <w:szCs w:val="19"/>
                <w:color w:val="auto"/>
              </w:rPr>
            </w:pPr>
          </w:p>
        </w:tc>
      </w:tr>
      <w:tr>
        <w:trPr>
          <w:trHeight w:val="258"/>
        </w:trPr>
        <w:tc>
          <w:tcPr>
            <w:tcW w:w="5840" w:type="dxa"/>
            <w:vAlign w:val="bottom"/>
          </w:tcPr>
          <w:p>
            <w:pPr>
              <w:spacing w:after="0"/>
              <w:rPr>
                <w:sz w:val="22"/>
                <w:szCs w:val="22"/>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its general partner</w:t>
            </w:r>
          </w:p>
        </w:tc>
        <w:tc>
          <w:tcPr>
            <w:tcW w:w="560" w:type="dxa"/>
            <w:vAlign w:val="bottom"/>
          </w:tcPr>
          <w:p>
            <w:pPr>
              <w:spacing w:after="0"/>
              <w:rPr>
                <w:sz w:val="22"/>
                <w:szCs w:val="22"/>
                <w:color w:val="auto"/>
              </w:rPr>
            </w:pPr>
          </w:p>
        </w:tc>
      </w:tr>
      <w:tr>
        <w:trPr>
          <w:trHeight w:val="486"/>
        </w:trPr>
        <w:tc>
          <w:tcPr>
            <w:tcW w:w="584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SANDEEP DIXIT</w:t>
            </w:r>
          </w:p>
        </w:tc>
        <w:tc>
          <w:tcPr>
            <w:tcW w:w="560" w:type="dxa"/>
            <w:vAlign w:val="bottom"/>
          </w:tcPr>
          <w:p>
            <w:pPr>
              <w:spacing w:after="0"/>
              <w:rPr>
                <w:sz w:val="24"/>
                <w:szCs w:val="24"/>
                <w:color w:val="auto"/>
              </w:rPr>
            </w:pPr>
          </w:p>
        </w:tc>
      </w:tr>
      <w:tr>
        <w:trPr>
          <w:trHeight w:val="220"/>
        </w:trPr>
        <w:tc>
          <w:tcPr>
            <w:tcW w:w="5840" w:type="dxa"/>
            <w:vAlign w:val="bottom"/>
          </w:tcPr>
          <w:p>
            <w:pPr>
              <w:ind w:left="4960"/>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8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Sandeep Dixit</w:t>
            </w:r>
          </w:p>
        </w:tc>
        <w:tc>
          <w:tcPr>
            <w:tcW w:w="560" w:type="dxa"/>
            <w:vAlign w:val="bottom"/>
          </w:tcPr>
          <w:p>
            <w:pPr>
              <w:spacing w:after="0"/>
              <w:rPr>
                <w:sz w:val="19"/>
                <w:szCs w:val="19"/>
                <w:color w:val="auto"/>
              </w:rPr>
            </w:pPr>
          </w:p>
        </w:tc>
      </w:tr>
      <w:tr>
        <w:trPr>
          <w:trHeight w:val="258"/>
        </w:trPr>
        <w:tc>
          <w:tcPr>
            <w:tcW w:w="584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Credit Officer</w:t>
            </w:r>
          </w:p>
        </w:tc>
        <w:tc>
          <w:tcPr>
            <w:tcW w:w="560" w:type="dxa"/>
            <w:vAlign w:val="bottom"/>
          </w:tcPr>
          <w:p>
            <w:pPr>
              <w:spacing w:after="0"/>
              <w:rPr>
                <w:sz w:val="22"/>
                <w:szCs w:val="22"/>
                <w:color w:val="auto"/>
              </w:rPr>
            </w:pPr>
          </w:p>
        </w:tc>
      </w:tr>
      <w:tr>
        <w:trPr>
          <w:trHeight w:val="486"/>
        </w:trPr>
        <w:tc>
          <w:tcPr>
            <w:tcW w:w="584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SAM CHAWLA</w:t>
            </w:r>
          </w:p>
        </w:tc>
        <w:tc>
          <w:tcPr>
            <w:tcW w:w="560" w:type="dxa"/>
            <w:vAlign w:val="bottom"/>
          </w:tcPr>
          <w:p>
            <w:pPr>
              <w:spacing w:after="0"/>
              <w:rPr>
                <w:sz w:val="24"/>
                <w:szCs w:val="24"/>
                <w:color w:val="auto"/>
              </w:rPr>
            </w:pPr>
          </w:p>
        </w:tc>
      </w:tr>
      <w:tr>
        <w:trPr>
          <w:trHeight w:val="220"/>
        </w:trPr>
        <w:tc>
          <w:tcPr>
            <w:tcW w:w="5840" w:type="dxa"/>
            <w:vAlign w:val="bottom"/>
          </w:tcPr>
          <w:p>
            <w:pPr>
              <w:ind w:left="4960"/>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8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Sam Chawla</w:t>
            </w:r>
          </w:p>
        </w:tc>
        <w:tc>
          <w:tcPr>
            <w:tcW w:w="560" w:type="dxa"/>
            <w:vAlign w:val="bottom"/>
          </w:tcPr>
          <w:p>
            <w:pPr>
              <w:spacing w:after="0"/>
              <w:rPr>
                <w:sz w:val="19"/>
                <w:szCs w:val="19"/>
                <w:color w:val="auto"/>
              </w:rPr>
            </w:pPr>
          </w:p>
        </w:tc>
      </w:tr>
      <w:tr>
        <w:trPr>
          <w:trHeight w:val="258"/>
        </w:trPr>
        <w:tc>
          <w:tcPr>
            <w:tcW w:w="5840" w:type="dxa"/>
            <w:vAlign w:val="bottom"/>
          </w:tcPr>
          <w:p>
            <w:pPr>
              <w:ind w:left="4960"/>
              <w:spacing w:after="0"/>
              <w:rPr>
                <w:sz w:val="20"/>
                <w:szCs w:val="20"/>
                <w:color w:val="auto"/>
              </w:rPr>
            </w:pPr>
            <w:r>
              <w:rPr>
                <w:rFonts w:ascii="Times New Roman" w:cs="Times New Roman" w:eastAsia="Times New Roman" w:hAnsi="Times New Roman"/>
                <w:sz w:val="20"/>
                <w:szCs w:val="20"/>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Portfolio Manager</w:t>
            </w:r>
          </w:p>
        </w:tc>
        <w:tc>
          <w:tcPr>
            <w:tcW w:w="560" w:type="dxa"/>
            <w:vAlign w:val="bottom"/>
          </w:tcPr>
          <w:p>
            <w:pPr>
              <w:spacing w:after="0"/>
              <w:rPr>
                <w:sz w:val="22"/>
                <w:szCs w:val="22"/>
                <w:color w:val="auto"/>
              </w:rPr>
            </w:pPr>
          </w:p>
        </w:tc>
      </w:tr>
      <w:tr>
        <w:trPr>
          <w:trHeight w:val="1632"/>
        </w:trPr>
        <w:tc>
          <w:tcPr>
            <w:tcW w:w="58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0"/>
          <w:szCs w:val="20"/>
          <w:b w:val="1"/>
          <w:bCs w:val="1"/>
          <w:color w:val="auto"/>
        </w:rPr>
        <w:t>Exhibit 10.35</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3"/>
          <w:szCs w:val="13"/>
          <w:b w:val="1"/>
          <w:bCs w:val="1"/>
          <w:color w:val="auto"/>
        </w:rPr>
        <w:t>hird</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mendment to</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redit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greement and</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3"/>
          <w:szCs w:val="13"/>
          <w:b w:val="1"/>
          <w:bCs w:val="1"/>
          <w:color w:val="auto"/>
        </w:rPr>
        <w:t>uaranty</w:t>
      </w:r>
    </w:p>
    <w:p>
      <w:pPr>
        <w:spacing w:after="0" w:line="24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This Third Amendment to Credit Agreement and Guaranty (herein, this </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 is entered into as of February 29, 2024 (the “</w:t>
      </w:r>
      <w:r>
        <w:rPr>
          <w:rFonts w:ascii="Times New Roman" w:cs="Times New Roman" w:eastAsia="Times New Roman" w:hAnsi="Times New Roman"/>
          <w:sz w:val="20"/>
          <w:szCs w:val="20"/>
          <w:i w:val="1"/>
          <w:iCs w:val="1"/>
          <w:color w:val="auto"/>
        </w:rPr>
        <w:t>Third Amendment Effective Date</w:t>
      </w:r>
      <w:r>
        <w:rPr>
          <w:rFonts w:ascii="Times New Roman" w:cs="Times New Roman" w:eastAsia="Times New Roman" w:hAnsi="Times New Roman"/>
          <w:sz w:val="20"/>
          <w:szCs w:val="20"/>
          <w:color w:val="auto"/>
        </w:rPr>
        <w:t>”), by and among B</w:t>
      </w:r>
      <w:r>
        <w:rPr>
          <w:rFonts w:ascii="Times New Roman" w:cs="Times New Roman" w:eastAsia="Times New Roman" w:hAnsi="Times New Roman"/>
          <w:sz w:val="13"/>
          <w:szCs w:val="13"/>
          <w:color w:val="auto"/>
        </w:rPr>
        <w:t>iodesix</w:t>
      </w:r>
      <w:r>
        <w:rPr>
          <w:rFonts w:ascii="Times New Roman" w:cs="Times New Roman" w:eastAsia="Times New Roman" w:hAnsi="Times New Roman"/>
          <w:sz w:val="20"/>
          <w:szCs w:val="20"/>
          <w:color w:val="auto"/>
        </w:rPr>
        <w:t>, I</w:t>
      </w:r>
      <w:r>
        <w:rPr>
          <w:rFonts w:ascii="Times New Roman" w:cs="Times New Roman" w:eastAsia="Times New Roman" w:hAnsi="Times New Roman"/>
          <w:sz w:val="13"/>
          <w:szCs w:val="13"/>
          <w:color w:val="auto"/>
        </w:rPr>
        <w:t>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i w:val="1"/>
          <w:iCs w:val="1"/>
          <w:color w:val="auto"/>
        </w:rPr>
        <w:t>Borrower</w:t>
      </w:r>
      <w:r>
        <w:rPr>
          <w:rFonts w:ascii="Times New Roman" w:cs="Times New Roman" w:eastAsia="Times New Roman" w:hAnsi="Times New Roman"/>
          <w:sz w:val="20"/>
          <w:szCs w:val="20"/>
          <w:color w:val="auto"/>
        </w:rPr>
        <w:t>”), the Lenders party hereto constituting Majority Lenders and P</w:t>
      </w:r>
      <w:r>
        <w:rPr>
          <w:rFonts w:ascii="Times New Roman" w:cs="Times New Roman" w:eastAsia="Times New Roman" w:hAnsi="Times New Roman"/>
          <w:sz w:val="13"/>
          <w:szCs w:val="13"/>
          <w:color w:val="auto"/>
        </w:rPr>
        <w:t>erceptive</w:t>
      </w:r>
      <w:r>
        <w:rPr>
          <w:rFonts w:ascii="Times New Roman" w:cs="Times New Roman" w:eastAsia="Times New Roman" w:hAnsi="Times New Roman"/>
          <w:sz w:val="20"/>
          <w:szCs w:val="20"/>
          <w:color w:val="auto"/>
        </w:rPr>
        <w:t xml:space="preserve"> C</w:t>
      </w:r>
      <w:r>
        <w:rPr>
          <w:rFonts w:ascii="Times New Roman" w:cs="Times New Roman" w:eastAsia="Times New Roman" w:hAnsi="Times New Roman"/>
          <w:sz w:val="13"/>
          <w:szCs w:val="13"/>
          <w:color w:val="auto"/>
        </w:rPr>
        <w:t>redit</w:t>
      </w:r>
      <w:r>
        <w:rPr>
          <w:rFonts w:ascii="Times New Roman" w:cs="Times New Roman" w:eastAsia="Times New Roman" w:hAnsi="Times New Roman"/>
          <w:sz w:val="20"/>
          <w:szCs w:val="20"/>
          <w:color w:val="auto"/>
        </w:rPr>
        <w:t xml:space="preserve"> H</w:t>
      </w:r>
      <w:r>
        <w:rPr>
          <w:rFonts w:ascii="Times New Roman" w:cs="Times New Roman" w:eastAsia="Times New Roman" w:hAnsi="Times New Roman"/>
          <w:sz w:val="13"/>
          <w:szCs w:val="13"/>
          <w:color w:val="auto"/>
        </w:rPr>
        <w:t>oldings</w:t>
      </w:r>
      <w:r>
        <w:rPr>
          <w:rFonts w:ascii="Times New Roman" w:cs="Times New Roman" w:eastAsia="Times New Roman" w:hAnsi="Times New Roman"/>
          <w:sz w:val="20"/>
          <w:szCs w:val="20"/>
          <w:color w:val="auto"/>
        </w:rPr>
        <w:t xml:space="preserve"> IV, LP, a Delaware limited partnership, as administrative agent for the Lenders (in such capacity, together with its successors and assigns, the </w:t>
      </w:r>
      <w:r>
        <w:rPr>
          <w:rFonts w:ascii="Times New Roman" w:cs="Times New Roman" w:eastAsia="Times New Roman" w:hAnsi="Times New Roman"/>
          <w:sz w:val="20"/>
          <w:szCs w:val="20"/>
          <w:i w:val="1"/>
          <w:iCs w:val="1"/>
          <w:color w:val="auto"/>
        </w:rPr>
        <w:t>“Administrative Agent”</w:t>
      </w:r>
      <w:r>
        <w:rPr>
          <w:rFonts w:ascii="Times New Roman" w:cs="Times New Roman" w:eastAsia="Times New Roman" w:hAnsi="Times New Roman"/>
          <w:sz w:val="20"/>
          <w:szCs w:val="20"/>
          <w:color w:val="auto"/>
        </w:rPr>
        <w:t>).</w:t>
      </w:r>
    </w:p>
    <w:p>
      <w:pPr>
        <w:spacing w:after="0" w:line="6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r>
        <w:rPr>
          <w:rFonts w:ascii="Times New Roman" w:cs="Times New Roman" w:eastAsia="Times New Roman" w:hAnsi="Times New Roman"/>
          <w:sz w:val="20"/>
          <w:szCs w:val="20"/>
          <w:b w:val="1"/>
          <w:bCs w:val="1"/>
          <w:color w:val="auto"/>
        </w:rPr>
        <w:t>:</w:t>
      </w:r>
    </w:p>
    <w:p>
      <w:pPr>
        <w:spacing w:after="0" w:line="111" w:lineRule="exact"/>
        <w:rPr>
          <w:sz w:val="20"/>
          <w:szCs w:val="20"/>
          <w:color w:val="auto"/>
        </w:rPr>
      </w:pPr>
    </w:p>
    <w:p>
      <w:pPr>
        <w:jc w:val="both"/>
        <w:ind w:firstLine="403"/>
        <w:spacing w:after="0" w:line="246" w:lineRule="auto"/>
        <w:tabs>
          <w:tab w:leader="none" w:pos="79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Lenders have extended credit to the Borrower on the terms and conditions set forth in that certain Credit Agreement and Guaranty, dated as of November 16, 2022 (as amended pursuant to that certain First Amendment to Credit Agreement and Guaranty, dated as of May 10, 2023, as amended pursuant to that certain Second Amendment to Credit Agreement and Guaranty, dated as of August 4, 2023, and as further amended, restated, supplemented or otherwise modified prior to the Third Amendment Effective Date, the </w:t>
      </w:r>
      <w:r>
        <w:rPr>
          <w:rFonts w:ascii="Times New Roman" w:cs="Times New Roman" w:eastAsia="Times New Roman" w:hAnsi="Times New Roman"/>
          <w:sz w:val="20"/>
          <w:szCs w:val="20"/>
          <w:i w:val="1"/>
          <w:iCs w:val="1"/>
          <w:color w:val="auto"/>
        </w:rPr>
        <w:t>“Existing 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Agreement”</w:t>
      </w:r>
      <w:r>
        <w:rPr>
          <w:rFonts w:ascii="Times New Roman" w:cs="Times New Roman" w:eastAsia="Times New Roman" w:hAnsi="Times New Roman"/>
          <w:sz w:val="20"/>
          <w:szCs w:val="20"/>
          <w:color w:val="auto"/>
        </w:rPr>
        <w:t>; the Existing Credit Agreement as amended by this Agreement, the “</w:t>
      </w:r>
      <w:r>
        <w:rPr>
          <w:rFonts w:ascii="Times New Roman" w:cs="Times New Roman" w:eastAsia="Times New Roman" w:hAnsi="Times New Roman"/>
          <w:sz w:val="20"/>
          <w:szCs w:val="20"/>
          <w:i w:val="1"/>
          <w:iCs w:val="1"/>
          <w:color w:val="auto"/>
        </w:rPr>
        <w:t>Credit Agreement</w:t>
      </w:r>
      <w:r>
        <w:rPr>
          <w:rFonts w:ascii="Times New Roman" w:cs="Times New Roman" w:eastAsia="Times New Roman" w:hAnsi="Times New Roman"/>
          <w:sz w:val="20"/>
          <w:szCs w:val="20"/>
          <w:color w:val="auto"/>
        </w:rPr>
        <w:t>”).</w:t>
      </w:r>
    </w:p>
    <w:p>
      <w:pPr>
        <w:spacing w:after="0" w:line="75" w:lineRule="exact"/>
        <w:rPr>
          <w:rFonts w:ascii="Times New Roman" w:cs="Times New Roman" w:eastAsia="Times New Roman" w:hAnsi="Times New Roman"/>
          <w:sz w:val="20"/>
          <w:szCs w:val="20"/>
          <w:color w:val="auto"/>
        </w:rPr>
      </w:pPr>
    </w:p>
    <w:p>
      <w:pPr>
        <w:ind w:firstLine="403"/>
        <w:spacing w:after="0" w:line="268" w:lineRule="auto"/>
        <w:tabs>
          <w:tab w:leader="none" w:pos="791"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requested that the Administrative Agent and the Lenders agree to amend certain provisions of the Existing Credit Agreement.</w:t>
      </w:r>
    </w:p>
    <w:p>
      <w:pPr>
        <w:spacing w:after="0" w:line="52" w:lineRule="exact"/>
        <w:rPr>
          <w:rFonts w:ascii="Times New Roman" w:cs="Times New Roman" w:eastAsia="Times New Roman" w:hAnsi="Times New Roman"/>
          <w:sz w:val="20"/>
          <w:szCs w:val="20"/>
          <w:color w:val="auto"/>
        </w:rPr>
      </w:pPr>
    </w:p>
    <w:p>
      <w:pPr>
        <w:ind w:left="800" w:hanging="397"/>
        <w:spacing w:after="0"/>
        <w:tabs>
          <w:tab w:leader="none" w:pos="8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agree to amend the Existing Credit Agreement pursuant to the terms of this Agreement.</w:t>
      </w:r>
    </w:p>
    <w:p>
      <w:pPr>
        <w:spacing w:after="0" w:line="107"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N</w:t>
      </w:r>
      <w:r>
        <w:rPr>
          <w:rFonts w:ascii="Times New Roman" w:cs="Times New Roman" w:eastAsia="Times New Roman" w:hAnsi="Times New Roman"/>
          <w:sz w:val="13"/>
          <w:szCs w:val="13"/>
          <w:color w:val="auto"/>
        </w:rPr>
        <w:t>ow</w:t>
      </w:r>
      <w:r>
        <w:rPr>
          <w:rFonts w:ascii="Times New Roman" w:cs="Times New Roman" w:eastAsia="Times New Roman" w:hAnsi="Times New Roman"/>
          <w:sz w:val="20"/>
          <w:szCs w:val="20"/>
          <w:color w:val="auto"/>
        </w:rPr>
        <w:t>, T</w:t>
      </w:r>
      <w:r>
        <w:rPr>
          <w:rFonts w:ascii="Times New Roman" w:cs="Times New Roman" w:eastAsia="Times New Roman" w:hAnsi="Times New Roman"/>
          <w:sz w:val="13"/>
          <w:szCs w:val="13"/>
          <w:color w:val="auto"/>
        </w:rPr>
        <w:t>herefore</w:t>
      </w:r>
      <w:r>
        <w:rPr>
          <w:rFonts w:ascii="Times New Roman" w:cs="Times New Roman" w:eastAsia="Times New Roman" w:hAnsi="Times New Roman"/>
          <w:sz w:val="20"/>
          <w:szCs w:val="20"/>
          <w:color w:val="auto"/>
        </w:rPr>
        <w:t>, for good and valuable consideration, the receipt and sufficiency of which is hereby acknowledged, the parties hereto agree as follows:</w:t>
      </w:r>
    </w:p>
    <w:p>
      <w:pPr>
        <w:spacing w:after="0" w:line="170" w:lineRule="exact"/>
        <w:rPr>
          <w:sz w:val="20"/>
          <w:szCs w:val="20"/>
          <w:color w:val="auto"/>
        </w:rPr>
      </w:pPr>
    </w:p>
    <w:p>
      <w:pPr>
        <w:jc w:val="both"/>
        <w:ind w:firstLine="757"/>
        <w:spacing w:after="0" w:line="255"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Incorporation of Recitals; Defined Terms. </w:t>
      </w:r>
      <w:r>
        <w:rPr>
          <w:rFonts w:ascii="Times New Roman" w:cs="Times New Roman" w:eastAsia="Times New Roman" w:hAnsi="Times New Roman"/>
          <w:sz w:val="20"/>
          <w:szCs w:val="20"/>
          <w:color w:val="auto"/>
        </w:rPr>
        <w:t>The parties hereto acknowledge that the Recitals set forth above are true and correct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 all material respects. The defined terms in the Recitals set forth above are hereby incorporated into this Agreement by reference. All other capitalized terms used herein without definition shall have the same meanings herein as such terms have in the Credit Agreement.</w:t>
      </w:r>
    </w:p>
    <w:p>
      <w:pPr>
        <w:spacing w:after="0" w:line="183" w:lineRule="exact"/>
        <w:rPr>
          <w:rFonts w:ascii="Times New Roman" w:cs="Times New Roman" w:eastAsia="Times New Roman" w:hAnsi="Times New Roman"/>
          <w:sz w:val="20"/>
          <w:szCs w:val="20"/>
          <w:color w:val="auto"/>
        </w:rPr>
      </w:pPr>
    </w:p>
    <w:p>
      <w:pPr>
        <w:jc w:val="both"/>
        <w:ind w:firstLine="757"/>
        <w:spacing w:after="0" w:line="255"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Third Amendment to Existing Credit Agreement</w:t>
      </w:r>
      <w:r>
        <w:rPr>
          <w:rFonts w:ascii="Times New Roman" w:cs="Times New Roman" w:eastAsia="Times New Roman" w:hAnsi="Times New Roman"/>
          <w:sz w:val="20"/>
          <w:szCs w:val="20"/>
          <w:color w:val="auto"/>
        </w:rPr>
        <w:t>. Upon satisfaction of the conditions set forth in Section 5 hereof, the Borrower,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Lenders and the Administrative Agent hereby agree that the Existing Credit Agreement is hereby amended as of the Third Amendment Effective Date as follows:</w:t>
      </w:r>
    </w:p>
    <w:p>
      <w:pPr>
        <w:spacing w:after="0" w:line="187" w:lineRule="exact"/>
        <w:rPr>
          <w:rFonts w:ascii="Times New Roman" w:cs="Times New Roman" w:eastAsia="Times New Roman" w:hAnsi="Times New Roman"/>
          <w:sz w:val="20"/>
          <w:szCs w:val="20"/>
          <w:color w:val="auto"/>
        </w:rPr>
      </w:pPr>
    </w:p>
    <w:p>
      <w:pPr>
        <w:ind w:left="760" w:right="60" w:firstLine="787"/>
        <w:spacing w:after="0" w:line="268" w:lineRule="auto"/>
        <w:tabs>
          <w:tab w:leader="none" w:pos="1946"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“Fee Letter” set forth in Section 1.01 of the Existing Credit Agreement is hereby amended and restated in its entirety to read as follows:</w:t>
      </w:r>
    </w:p>
    <w:p>
      <w:pPr>
        <w:spacing w:after="0" w:line="170" w:lineRule="exact"/>
        <w:rPr>
          <w:sz w:val="20"/>
          <w:szCs w:val="20"/>
          <w:color w:val="auto"/>
        </w:rPr>
      </w:pPr>
    </w:p>
    <w:p>
      <w:pPr>
        <w:jc w:val="both"/>
        <w:ind w:left="760" w:firstLine="1186"/>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Fee Letter</w:t>
      </w:r>
      <w:r>
        <w:rPr>
          <w:rFonts w:ascii="Times New Roman" w:cs="Times New Roman" w:eastAsia="Times New Roman" w:hAnsi="Times New Roman"/>
          <w:sz w:val="20"/>
          <w:szCs w:val="20"/>
          <w:color w:val="auto"/>
        </w:rPr>
        <w:t>’ means that certain Fee Letter, originally dated as of the Closing Date, among the Obligors, the Lenders and the Administrative Agent, as amended and restated on the First Amendment Effective Date, as amended and restated on the Second Amendment Effective Date, as amended and restated on February 29, 2024, and as may be further amended from time to time.”</w:t>
      </w:r>
    </w:p>
    <w:p>
      <w:pPr>
        <w:spacing w:after="0" w:line="188" w:lineRule="exact"/>
        <w:rPr>
          <w:sz w:val="20"/>
          <w:szCs w:val="20"/>
          <w:color w:val="auto"/>
        </w:rPr>
      </w:pPr>
    </w:p>
    <w:p>
      <w:pPr>
        <w:jc w:val="both"/>
        <w:ind w:firstLine="757"/>
        <w:spacing w:after="0" w:line="255" w:lineRule="auto"/>
        <w:tabs>
          <w:tab w:leader="none" w:pos="101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Acknowledgement of Liens</w:t>
      </w:r>
      <w:r>
        <w:rPr>
          <w:rFonts w:ascii="Times New Roman" w:cs="Times New Roman" w:eastAsia="Times New Roman" w:hAnsi="Times New Roman"/>
          <w:sz w:val="20"/>
          <w:szCs w:val="20"/>
          <w:color w:val="auto"/>
        </w:rPr>
        <w:t>. The Borrower hereby acknowledges and agrees that the Obligations owing to the Administrative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Agent and the Lenders arising out of or in any manner relating to the Loan Documents shall continue to be secured by the Liens granted as security therefor in the Loan Documents, to the extent provided for in the Loan Documents heretofore executed and delivered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39" w:name="page140"/>
    <w:bookmarkEnd w:id="139"/>
    <w:p>
      <w:pPr>
        <w:spacing w:after="0" w:line="268" w:lineRule="auto"/>
        <w:rPr>
          <w:sz w:val="20"/>
          <w:szCs w:val="20"/>
          <w:color w:val="auto"/>
        </w:rPr>
      </w:pPr>
      <w:r>
        <w:rPr>
          <w:rFonts w:ascii="Times New Roman" w:cs="Times New Roman" w:eastAsia="Times New Roman" w:hAnsi="Times New Roman"/>
          <w:sz w:val="20"/>
          <w:szCs w:val="20"/>
          <w:color w:val="auto"/>
        </w:rPr>
        <w:t>Borrower; and nothing herein contained shall in any manner affect or impair the priority of the Liens created and provided for thereby as to the indebtedness, obligations, and liabilities which would be secured thereby prior to giving effect to this Agreement.</w:t>
      </w:r>
    </w:p>
    <w:p>
      <w:pPr>
        <w:spacing w:after="0" w:line="170" w:lineRule="exact"/>
        <w:rPr>
          <w:sz w:val="20"/>
          <w:szCs w:val="20"/>
          <w:color w:val="auto"/>
        </w:rPr>
      </w:pPr>
    </w:p>
    <w:p>
      <w:pPr>
        <w:ind w:firstLine="757"/>
        <w:spacing w:after="0" w:line="272" w:lineRule="auto"/>
        <w:tabs>
          <w:tab w:leader="none" w:pos="101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Representations And Warranties. </w:t>
      </w:r>
      <w:r>
        <w:rPr>
          <w:rFonts w:ascii="Times New Roman" w:cs="Times New Roman" w:eastAsia="Times New Roman" w:hAnsi="Times New Roman"/>
          <w:sz w:val="20"/>
          <w:szCs w:val="20"/>
          <w:color w:val="auto"/>
        </w:rPr>
        <w:t>In order to induce the Administrative Agent and the Lenders to enter into this Agreement,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Borrower hereby represents and warrants to the Administrative Agent and the Lenders as follows:</w:t>
      </w:r>
    </w:p>
    <w:p>
      <w:pPr>
        <w:spacing w:after="0" w:line="49" w:lineRule="exact"/>
        <w:rPr>
          <w:rFonts w:ascii="Times New Roman" w:cs="Times New Roman" w:eastAsia="Times New Roman" w:hAnsi="Times New Roman"/>
          <w:sz w:val="20"/>
          <w:szCs w:val="20"/>
          <w:color w:val="auto"/>
        </w:rPr>
      </w:pPr>
    </w:p>
    <w:p>
      <w:pPr>
        <w:jc w:val="both"/>
        <w:ind w:left="660" w:firstLine="981"/>
        <w:spacing w:after="0" w:line="245" w:lineRule="auto"/>
        <w:tabs>
          <w:tab w:leader="none" w:pos="2037"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this Agreement, the representations and warranties of the Borrower contained in Article 7 of the Credit Agreement and in each other Loan Document shall be true and correct in all material respects on and as of the date hereof;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(after giving effect to any qualification therein) in all respects on such respective dates.</w:t>
      </w:r>
    </w:p>
    <w:p>
      <w:pPr>
        <w:spacing w:after="0" w:line="74" w:lineRule="exact"/>
        <w:rPr>
          <w:rFonts w:ascii="Times New Roman" w:cs="Times New Roman" w:eastAsia="Times New Roman" w:hAnsi="Times New Roman"/>
          <w:sz w:val="20"/>
          <w:szCs w:val="20"/>
          <w:color w:val="auto"/>
        </w:rPr>
      </w:pPr>
    </w:p>
    <w:p>
      <w:pPr>
        <w:ind w:left="660" w:firstLine="981"/>
        <w:spacing w:after="0" w:line="268" w:lineRule="auto"/>
        <w:tabs>
          <w:tab w:leader="none" w:pos="2037"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has been duly authorized by all necessary corporate action on the part of, and duly executed and delivered by, the Borrower.</w:t>
      </w:r>
    </w:p>
    <w:p>
      <w:pPr>
        <w:spacing w:after="0" w:line="52" w:lineRule="exact"/>
        <w:rPr>
          <w:rFonts w:ascii="Times New Roman" w:cs="Times New Roman" w:eastAsia="Times New Roman" w:hAnsi="Times New Roman"/>
          <w:sz w:val="20"/>
          <w:szCs w:val="20"/>
          <w:color w:val="auto"/>
        </w:rPr>
      </w:pPr>
    </w:p>
    <w:p>
      <w:pPr>
        <w:ind w:left="660" w:right="20" w:firstLine="981"/>
        <w:spacing w:after="0" w:line="268" w:lineRule="auto"/>
        <w:tabs>
          <w:tab w:leader="none" w:pos="2037"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or shall occur and be continuing immediately after giving effect to this Agreement.</w:t>
      </w:r>
    </w:p>
    <w:p>
      <w:pPr>
        <w:spacing w:after="0" w:line="17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Conditions Precedent. </w:t>
      </w:r>
      <w:r>
        <w:rPr>
          <w:rFonts w:ascii="Times New Roman" w:cs="Times New Roman" w:eastAsia="Times New Roman" w:hAnsi="Times New Roman"/>
          <w:sz w:val="20"/>
          <w:szCs w:val="20"/>
          <w:color w:val="auto"/>
        </w:rPr>
        <w:t>The effectiveness of this Agreement is subject to the satisfaction of the following conditions precedent:</w:t>
      </w:r>
    </w:p>
    <w:p>
      <w:pPr>
        <w:spacing w:after="0" w:line="111" w:lineRule="exact"/>
        <w:rPr>
          <w:rFonts w:ascii="Times New Roman" w:cs="Times New Roman" w:eastAsia="Times New Roman" w:hAnsi="Times New Roman"/>
          <w:sz w:val="20"/>
          <w:szCs w:val="20"/>
          <w:color w:val="auto"/>
        </w:rPr>
      </w:pPr>
    </w:p>
    <w:p>
      <w:pPr>
        <w:jc w:val="both"/>
        <w:ind w:left="660" w:firstLine="981"/>
        <w:spacing w:after="0" w:line="253" w:lineRule="auto"/>
        <w:tabs>
          <w:tab w:leader="none" w:pos="2037"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and the Lenders shall have received executed counterparts of this Agreement and the Third Amended and Restated Fee Letter, dated as of the Third Amendment Effective Date, in each case, duly executed and delivered by the Borrower.</w:t>
      </w:r>
    </w:p>
    <w:p>
      <w:pPr>
        <w:spacing w:after="0" w:line="18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Reference to and Effect on the Loan Documents; No Novation.</w:t>
      </w:r>
    </w:p>
    <w:p>
      <w:pPr>
        <w:spacing w:after="0" w:line="111" w:lineRule="exact"/>
        <w:rPr>
          <w:rFonts w:ascii="Times New Roman" w:cs="Times New Roman" w:eastAsia="Times New Roman" w:hAnsi="Times New Roman"/>
          <w:sz w:val="20"/>
          <w:szCs w:val="20"/>
          <w:color w:val="auto"/>
        </w:rPr>
      </w:pPr>
    </w:p>
    <w:p>
      <w:pPr>
        <w:jc w:val="both"/>
        <w:ind w:left="660" w:firstLine="981"/>
        <w:spacing w:after="0" w:line="249" w:lineRule="auto"/>
        <w:tabs>
          <w:tab w:leader="none" w:pos="2037"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a Loan Document. On and after the date hereof, words of like import referring to the Credit Agreement, and each reference in the other Loan Documents to the “Credit Agreement”, “thereunder”, “thereof” or words of like import referring to the Credit Agreement shall mean and be a reference to the Credit Agreement after giving effect to this Agreement.</w:t>
      </w:r>
    </w:p>
    <w:p>
      <w:pPr>
        <w:spacing w:after="0" w:line="70" w:lineRule="exact"/>
        <w:rPr>
          <w:rFonts w:ascii="Times New Roman" w:cs="Times New Roman" w:eastAsia="Times New Roman" w:hAnsi="Times New Roman"/>
          <w:sz w:val="20"/>
          <w:szCs w:val="20"/>
          <w:color w:val="auto"/>
        </w:rPr>
      </w:pPr>
    </w:p>
    <w:p>
      <w:pPr>
        <w:ind w:left="660" w:firstLine="951"/>
        <w:spacing w:after="0" w:line="268" w:lineRule="auto"/>
        <w:tabs>
          <w:tab w:leader="none" w:pos="2037"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set forth in this Agreement, the Credit Agreement and the other Loan Documents shall remain in full force and effect and are hereby ratified and confirmed.</w:t>
      </w:r>
    </w:p>
    <w:p>
      <w:pPr>
        <w:spacing w:after="0" w:line="52" w:lineRule="exact"/>
        <w:rPr>
          <w:rFonts w:ascii="Times New Roman" w:cs="Times New Roman" w:eastAsia="Times New Roman" w:hAnsi="Times New Roman"/>
          <w:sz w:val="20"/>
          <w:szCs w:val="20"/>
          <w:color w:val="auto"/>
        </w:rPr>
      </w:pPr>
    </w:p>
    <w:p>
      <w:pPr>
        <w:jc w:val="both"/>
        <w:ind w:left="660" w:firstLine="981"/>
        <w:spacing w:after="0" w:line="242" w:lineRule="auto"/>
        <w:tabs>
          <w:tab w:leader="none" w:pos="2037" w:val="left"/>
        </w:tabs>
        <w:numPr>
          <w:ilvl w:val="2"/>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in this Agreement, the Loan Documents and all of the obligations of the Loan Parties thereunder and the rights and benefits of the Administrative Agent and the Lenders thereunder remain in full force and effect. This Agreement is not a novation nor is it to be construed as a release, waiver or modification of any of the terms, conditions, representations, warranties, covenants, rights or remedies set forth in the Loan Documents, except as specifically set forth herein. Without limiting the foregoing, the Loan Parties agree to comply with all of the terms, conditions, and provisions of the Loan Documents except to the extent such compliance is irreconcilably inconsistent with the express provisions of this Agreement. This Agreement may not be amended, supplemented, or otherwise modified except by a written agreement entered into in accordance with Section 13.04 of the Credit Agreement. THIS AGREEMENT, THE CREDIT AGREEMENT AND THE OTHER LOAN DOCUMENTS REPRESENTS THE ENTIRE AGREEMENT AMONG THE PARTIES WITH RESPECT TO THE SUBJECT MATTER</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0" w:name="page141"/>
    <w:bookmarkEnd w:id="140"/>
    <w:p>
      <w:pPr>
        <w:spacing w:after="0" w:line="80" w:lineRule="exact"/>
        <w:rPr>
          <w:sz w:val="20"/>
          <w:szCs w:val="20"/>
          <w:color w:val="auto"/>
        </w:rPr>
      </w:pPr>
    </w:p>
    <w:p>
      <w:pPr>
        <w:ind w:left="660"/>
        <w:spacing w:after="0" w:line="268" w:lineRule="auto"/>
        <w:rPr>
          <w:sz w:val="20"/>
          <w:szCs w:val="20"/>
          <w:color w:val="auto"/>
        </w:rPr>
      </w:pPr>
      <w:r>
        <w:rPr>
          <w:rFonts w:ascii="Times New Roman" w:cs="Times New Roman" w:eastAsia="Times New Roman" w:hAnsi="Times New Roman"/>
          <w:sz w:val="20"/>
          <w:szCs w:val="20"/>
          <w:color w:val="auto"/>
        </w:rPr>
        <w:t>HEREOF AND THEREOF AND SUPERSEDE ANY AND ALL PREVIOUS AGREEMENTS AND UNDERSTANDINGS, ORAL OR WRITTEN, RELATING TO THE SUBJECT MATTER HEREOF.</w:t>
      </w:r>
    </w:p>
    <w:p>
      <w:pPr>
        <w:spacing w:after="0" w:line="170" w:lineRule="exact"/>
        <w:rPr>
          <w:sz w:val="20"/>
          <w:szCs w:val="20"/>
          <w:color w:val="auto"/>
        </w:rPr>
      </w:pPr>
    </w:p>
    <w:p>
      <w:pPr>
        <w:ind w:right="20" w:firstLine="757"/>
        <w:spacing w:after="0" w:line="272" w:lineRule="auto"/>
        <w:tabs>
          <w:tab w:leader="none" w:pos="10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Headings</w:t>
      </w:r>
      <w:r>
        <w:rPr>
          <w:rFonts w:ascii="Times New Roman" w:cs="Times New Roman" w:eastAsia="Times New Roman" w:hAnsi="Times New Roman"/>
          <w:sz w:val="20"/>
          <w:szCs w:val="20"/>
          <w:color w:val="auto"/>
        </w:rPr>
        <w:t>. The headings in this Agreement are included solely for convenience of reference and are not intended to affect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interpretation of any provision of this Agreement.</w:t>
      </w:r>
    </w:p>
    <w:p>
      <w:pPr>
        <w:spacing w:after="0" w:line="166" w:lineRule="exact"/>
        <w:rPr>
          <w:rFonts w:ascii="Times New Roman" w:cs="Times New Roman" w:eastAsia="Times New Roman" w:hAnsi="Times New Roman"/>
          <w:sz w:val="20"/>
          <w:szCs w:val="20"/>
          <w:color w:val="auto"/>
        </w:rPr>
      </w:pPr>
    </w:p>
    <w:p>
      <w:pPr>
        <w:jc w:val="both"/>
        <w:ind w:firstLine="757"/>
        <w:spacing w:after="0" w:line="247" w:lineRule="auto"/>
        <w:tabs>
          <w:tab w:leader="none" w:pos="10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THIS AGREEMENT, THE RIGHTS AND OBLIGATIONS OF THE PARTIES HEREUNDER, AND ALL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CLAIMS, DISPUTES AND MATTERS ARISING HEREUNDER OR RELATED 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spacing w:after="0" w:line="191" w:lineRule="exact"/>
        <w:rPr>
          <w:rFonts w:ascii="Times New Roman" w:cs="Times New Roman" w:eastAsia="Times New Roman" w:hAnsi="Times New Roman"/>
          <w:sz w:val="20"/>
          <w:szCs w:val="20"/>
          <w:color w:val="auto"/>
        </w:rPr>
      </w:pPr>
    </w:p>
    <w:p>
      <w:pPr>
        <w:ind w:firstLine="757"/>
        <w:spacing w:after="0" w:line="272" w:lineRule="auto"/>
        <w:tabs>
          <w:tab w:leader="none" w:pos="1085"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Incorporation of Sections 13.10 and 13.11 of the Credit Agreement</w:t>
      </w:r>
      <w:r>
        <w:rPr>
          <w:rFonts w:ascii="Times New Roman" w:cs="Times New Roman" w:eastAsia="Times New Roman" w:hAnsi="Times New Roman"/>
          <w:sz w:val="20"/>
          <w:szCs w:val="20"/>
          <w:color w:val="auto"/>
        </w:rPr>
        <w:t>. The provisions set forth in Sections 13.10 (Jurisdiction,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Service of Process and Venue) and 13.11 (Waiver of Jury Trial) of the Credit Agreement shall apply to this Agreement in all respects.</w:t>
      </w:r>
    </w:p>
    <w:p>
      <w:pPr>
        <w:spacing w:after="0" w:line="166"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0"/>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Counterparts</w:t>
      </w:r>
      <w:r>
        <w:rPr>
          <w:rFonts w:ascii="Times New Roman" w:cs="Times New Roman" w:eastAsia="Times New Roman" w:hAnsi="Times New Roman"/>
          <w:sz w:val="19"/>
          <w:szCs w:val="19"/>
          <w:color w:val="auto"/>
        </w:rPr>
        <w:t>. This Agreement may be executed in any number of counterparts, all of which taken together shall constitute one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4" w:lineRule="exact"/>
        <w:rPr>
          <w:rFonts w:ascii="Times New Roman" w:cs="Times New Roman" w:eastAsia="Times New Roman" w:hAnsi="Times New Roman"/>
          <w:sz w:val="19"/>
          <w:szCs w:val="19"/>
          <w:color w:val="auto"/>
        </w:rPr>
      </w:pPr>
    </w:p>
    <w:p>
      <w:pPr>
        <w:jc w:val="both"/>
        <w:ind w:firstLine="757"/>
        <w:spacing w:after="0" w:line="255" w:lineRule="auto"/>
        <w:tabs>
          <w:tab w:leader="none" w:pos="10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Severability</w:t>
      </w:r>
      <w:r>
        <w:rPr>
          <w:rFonts w:ascii="Times New Roman" w:cs="Times New Roman" w:eastAsia="Times New Roman" w:hAnsi="Times New Roman"/>
          <w:sz w:val="20"/>
          <w:szCs w:val="20"/>
          <w:color w:val="auto"/>
        </w:rPr>
        <w:t>. If any provision hereof is found by a court to be invalid or unenforceable, to the fullest extent permitted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applicable Law the parties agree that such invalidity or unenforceability shall not impair the validity or enforceability of any other provision hereof.</w:t>
      </w:r>
    </w:p>
    <w:p>
      <w:pPr>
        <w:spacing w:after="0" w:line="183" w:lineRule="exact"/>
        <w:rPr>
          <w:rFonts w:ascii="Times New Roman" w:cs="Times New Roman" w:eastAsia="Times New Roman" w:hAnsi="Times New Roman"/>
          <w:sz w:val="20"/>
          <w:szCs w:val="20"/>
          <w:color w:val="auto"/>
        </w:rPr>
      </w:pPr>
    </w:p>
    <w:p>
      <w:pPr>
        <w:ind w:right="20" w:firstLine="757"/>
        <w:spacing w:after="0" w:line="272" w:lineRule="auto"/>
        <w:tabs>
          <w:tab w:leader="none" w:pos="101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Binding Effect</w:t>
      </w:r>
      <w:r>
        <w:rPr>
          <w:rFonts w:ascii="Times New Roman" w:cs="Times New Roman" w:eastAsia="Times New Roman" w:hAnsi="Times New Roman"/>
          <w:sz w:val="20"/>
          <w:szCs w:val="20"/>
          <w:color w:val="auto"/>
        </w:rPr>
        <w:t>. This Agreement will be binding upon and inure to the benefit of and is enforceable by the respective successors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permitted assigns of the parties hereto.</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ages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28"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officers thereunto duly authorized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Biodesix, INC., as Borrower</w:t>
      </w:r>
    </w:p>
    <w:p>
      <w:pPr>
        <w:spacing w:after="0" w:line="255" w:lineRule="exact"/>
        <w:rPr>
          <w:sz w:val="20"/>
          <w:szCs w:val="20"/>
          <w:color w:val="auto"/>
        </w:rPr>
      </w:pPr>
    </w:p>
    <w:tbl>
      <w:tblPr>
        <w:tblLayout w:type="fixed"/>
        <w:tblInd w:w="4780" w:type="dxa"/>
        <w:tblCellMar>
          <w:top w:w="0" w:type="dxa"/>
          <w:left w:w="0" w:type="dxa"/>
          <w:bottom w:w="0" w:type="dxa"/>
          <w:right w:w="0" w:type="dxa"/>
        </w:tblCellMar>
      </w:tblPr>
      <w:tr>
        <w:trPr>
          <w:trHeight w:val="259"/>
        </w:trPr>
        <w:tc>
          <w:tcPr>
            <w:tcW w:w="10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ROBIN HARPER COWIE</w:t>
            </w:r>
          </w:p>
        </w:tc>
      </w:tr>
      <w:tr>
        <w:trPr>
          <w:trHeight w:val="220"/>
        </w:trPr>
        <w:tc>
          <w:tcPr>
            <w:tcW w:w="1060" w:type="dxa"/>
            <w:vAlign w:val="bottom"/>
          </w:tcPr>
          <w:p>
            <w:pPr>
              <w:ind w:left="180"/>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0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Robin Harper Cowie</w:t>
            </w:r>
          </w:p>
        </w:tc>
      </w:tr>
      <w:tr>
        <w:trPr>
          <w:trHeight w:val="258"/>
        </w:trPr>
        <w:tc>
          <w:tcPr>
            <w:tcW w:w="10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Title:</w:t>
            </w:r>
          </w:p>
        </w:tc>
        <w:tc>
          <w:tcPr>
            <w:tcW w:w="4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ADMINISTRATIVE AGENT AND LENDERS</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CONSTITUTING MAJORITY LENDERS:</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PERCEPTIVE CREDIT HOLDINGS IV, LP,</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as Agent and Lender</w:t>
      </w:r>
    </w:p>
    <w:p>
      <w:pPr>
        <w:spacing w:after="0" w:line="233"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Perceptive Credit Opportunities GP, LLC,</w:t>
            </w:r>
          </w:p>
        </w:tc>
      </w:tr>
      <w:tr>
        <w:trPr>
          <w:trHeight w:val="258"/>
        </w:trPr>
        <w:tc>
          <w:tcPr>
            <w:tcW w:w="1320" w:type="dxa"/>
            <w:vAlign w:val="bottom"/>
          </w:tcPr>
          <w:p>
            <w:pPr>
              <w:spacing w:after="0"/>
              <w:rPr>
                <w:sz w:val="22"/>
                <w:szCs w:val="22"/>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its general partner</w:t>
            </w:r>
          </w:p>
        </w:tc>
      </w:tr>
      <w:tr>
        <w:trPr>
          <w:trHeight w:val="486"/>
        </w:trPr>
        <w:tc>
          <w:tcPr>
            <w:tcW w:w="13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SANDEEP DIXIT</w:t>
            </w:r>
          </w:p>
        </w:tc>
      </w:tr>
      <w:tr>
        <w:trPr>
          <w:trHeight w:val="220"/>
        </w:trPr>
        <w:tc>
          <w:tcPr>
            <w:tcW w:w="1320" w:type="dxa"/>
            <w:vAlign w:val="bottom"/>
          </w:tcPr>
          <w:p>
            <w:pPr>
              <w:ind w:left="440"/>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8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Sandeep Dixit</w:t>
            </w:r>
          </w:p>
        </w:tc>
      </w:tr>
      <w:tr>
        <w:trPr>
          <w:trHeight w:val="258"/>
        </w:trPr>
        <w:tc>
          <w:tcPr>
            <w:tcW w:w="13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Credit Officer</w:t>
            </w:r>
          </w:p>
        </w:tc>
      </w:tr>
      <w:tr>
        <w:trPr>
          <w:trHeight w:val="486"/>
        </w:trPr>
        <w:tc>
          <w:tcPr>
            <w:tcW w:w="13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SAM CHAWLA</w:t>
            </w:r>
          </w:p>
        </w:tc>
      </w:tr>
      <w:tr>
        <w:trPr>
          <w:trHeight w:val="220"/>
        </w:trPr>
        <w:tc>
          <w:tcPr>
            <w:tcW w:w="1320" w:type="dxa"/>
            <w:vAlign w:val="bottom"/>
          </w:tcPr>
          <w:p>
            <w:pPr>
              <w:ind w:left="440"/>
              <w:spacing w:after="0" w:line="220" w:lineRule="exact"/>
              <w:rPr>
                <w:sz w:val="20"/>
                <w:szCs w:val="20"/>
                <w:color w:val="auto"/>
              </w:rPr>
            </w:pPr>
            <w:r>
              <w:rPr>
                <w:rFonts w:ascii="Times New Roman" w:cs="Times New Roman" w:eastAsia="Times New Roman" w:hAnsi="Times New Roman"/>
                <w:sz w:val="20"/>
                <w:szCs w:val="20"/>
                <w:color w:val="auto"/>
              </w:rPr>
              <w:t>Name:</w:t>
            </w:r>
          </w:p>
        </w:tc>
        <w:tc>
          <w:tcPr>
            <w:tcW w:w="484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Sam Chawla</w:t>
            </w:r>
          </w:p>
        </w:tc>
      </w:tr>
      <w:tr>
        <w:trPr>
          <w:trHeight w:val="258"/>
        </w:trPr>
        <w:tc>
          <w:tcPr>
            <w:tcW w:w="132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Portfolio Manager</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Third Amendment to Credit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333-265445, No. 333-269536, No. 333-249805, and No. 333-276842) on Form S-8 and (No. 333-265448 and No. 333-261095) on Form S-3 of our report dated March 1, 2024, with respect to the financial statements of Biodesix, Inc.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883285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Hutton, certify that:</w:t>
      </w:r>
    </w:p>
    <w:p>
      <w:pPr>
        <w:spacing w:after="0" w:line="225" w:lineRule="exact"/>
        <w:rPr>
          <w:sz w:val="20"/>
          <w:szCs w:val="20"/>
          <w:color w:val="auto"/>
        </w:rPr>
      </w:pPr>
    </w:p>
    <w:p>
      <w:pPr>
        <w:ind w:left="760" w:hanging="752"/>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Biodesix, Inc.;</w:t>
      </w:r>
    </w:p>
    <w:p>
      <w:pPr>
        <w:spacing w:after="0" w:line="224" w:lineRule="exact"/>
        <w:rPr>
          <w:rFonts w:ascii="Times New Roman" w:cs="Times New Roman" w:eastAsia="Times New Roman" w:hAnsi="Times New Roman"/>
          <w:sz w:val="18"/>
          <w:szCs w:val="18"/>
          <w:color w:val="auto"/>
        </w:rPr>
      </w:pPr>
    </w:p>
    <w:p>
      <w:pPr>
        <w:jc w:val="both"/>
        <w:ind w:left="760" w:hanging="752"/>
        <w:spacing w:after="0" w:line="265"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hanging="752"/>
        <w:spacing w:after="0" w:line="281"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760" w:hanging="752"/>
        <w:spacing w:after="0" w:line="265"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500" w:hanging="743"/>
        <w:spacing w:after="0" w:line="281" w:lineRule="auto"/>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hanging="752"/>
        <w:spacing w:after="0" w:line="281" w:lineRule="auto"/>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tabs>
          <w:tab w:leader="none" w:pos="4960" w:val="left"/>
          <w:tab w:leader="none" w:pos="752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26035</wp:posOffset>
            </wp:positionV>
            <wp:extent cx="37077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5">
                      <a:extLst>
                        <a:ext uri="{28A0092B-C50C-407E-A947-70E740481C1C}"/>
                      </a:extLst>
                    </a:blip>
                    <a:srcRect/>
                    <a:stretch>
                      <a:fillRect/>
                    </a:stretch>
                  </pic:blipFill>
                  <pic:spPr bwMode="auto">
                    <a:xfrm>
                      <a:off x="0" y="0"/>
                      <a:ext cx="3707765" cy="8255"/>
                    </a:xfrm>
                    <a:prstGeom prst="rect">
                      <a:avLst/>
                    </a:prstGeom>
                    <a:noFill/>
                  </pic:spPr>
                </pic:pic>
              </a:graphicData>
            </a:graphic>
          </wp:anchor>
        </w:drawing>
      </w:r>
    </w:p>
    <w:p>
      <w:pPr>
        <w:spacing w:after="0" w:line="2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color w:val="auto"/>
        </w:rPr>
        <w:t>Scott Hutton</w:t>
      </w:r>
    </w:p>
    <w:p>
      <w:pPr>
        <w:spacing w:after="0" w:line="36"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Robin Harper Cowie, certify that:</w:t>
      </w:r>
    </w:p>
    <w:p>
      <w:pPr>
        <w:spacing w:after="0" w:line="225" w:lineRule="exact"/>
        <w:rPr>
          <w:sz w:val="20"/>
          <w:szCs w:val="20"/>
          <w:color w:val="auto"/>
        </w:rPr>
      </w:pPr>
    </w:p>
    <w:p>
      <w:pPr>
        <w:ind w:left="760" w:hanging="752"/>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Biodesix, Inc.;</w:t>
      </w:r>
    </w:p>
    <w:p>
      <w:pPr>
        <w:spacing w:after="0" w:line="224" w:lineRule="exact"/>
        <w:rPr>
          <w:rFonts w:ascii="Times New Roman" w:cs="Times New Roman" w:eastAsia="Times New Roman" w:hAnsi="Times New Roman"/>
          <w:sz w:val="18"/>
          <w:szCs w:val="18"/>
          <w:color w:val="auto"/>
        </w:rPr>
      </w:pPr>
    </w:p>
    <w:p>
      <w:pPr>
        <w:jc w:val="both"/>
        <w:ind w:left="760" w:hanging="752"/>
        <w:spacing w:after="0" w:line="265"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760" w:hanging="752"/>
        <w:spacing w:after="0" w:line="281"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760" w:hanging="752"/>
        <w:spacing w:after="0" w:line="265"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500" w:hanging="743"/>
        <w:spacing w:after="0" w:line="281"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jc w:val="both"/>
        <w:ind w:left="1500" w:hanging="743"/>
        <w:spacing w:after="0" w:line="265"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760" w:hanging="752"/>
        <w:spacing w:after="0" w:line="281"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180" w:val="left"/>
          <w:tab w:leader="none" w:pos="736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3609975</wp:posOffset>
            </wp:positionH>
            <wp:positionV relativeFrom="paragraph">
              <wp:posOffset>26035</wp:posOffset>
            </wp:positionV>
            <wp:extent cx="35274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7">
                      <a:extLst>
                        <a:ext uri="{28A0092B-C50C-407E-A947-70E740481C1C}"/>
                      </a:extLst>
                    </a:blip>
                    <a:srcRect/>
                    <a:stretch>
                      <a:fillRect/>
                    </a:stretch>
                  </pic:blipFill>
                  <pic:spPr bwMode="auto">
                    <a:xfrm>
                      <a:off x="0" y="0"/>
                      <a:ext cx="3527425" cy="8255"/>
                    </a:xfrm>
                    <a:prstGeom prst="rect">
                      <a:avLst/>
                    </a:prstGeom>
                    <a:noFill/>
                  </pic:spPr>
                </pic:pic>
              </a:graphicData>
            </a:graphic>
          </wp:anchor>
        </w:drawing>
      </w:r>
    </w:p>
    <w:p>
      <w:pPr>
        <w:spacing w:after="0" w:line="29"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36" w:lineRule="exact"/>
        <w:rPr>
          <w:sz w:val="20"/>
          <w:szCs w:val="20"/>
          <w:color w:val="auto"/>
        </w:rPr>
      </w:pPr>
    </w:p>
    <w:p>
      <w:pPr>
        <w:jc w:val="center"/>
        <w:ind w:left="56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Biodesix, Inc. (the “Company”) on Form 10-K for the year ending December 31, 2023 as filed with the Securities and Exchange Commission on the date hereof (the “Report”), I certify, pursuant to 18 U.S.C. § 1350, as adopted pursuant to § 906 of the Sarbanes-Oxley Act of 2002, that, to my knowledge:</w:t>
      </w:r>
    </w:p>
    <w:p>
      <w:pPr>
        <w:spacing w:after="0" w:line="177" w:lineRule="exact"/>
        <w:rPr>
          <w:sz w:val="20"/>
          <w:szCs w:val="20"/>
          <w:color w:val="auto"/>
        </w:rPr>
      </w:pPr>
    </w:p>
    <w:p>
      <w:pPr>
        <w:ind w:left="1500" w:hanging="743"/>
        <w:spacing w:after="0"/>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20"/>
        <w:spacing w:after="0"/>
        <w:tabs>
          <w:tab w:leader="none" w:pos="5780" w:val="left"/>
          <w:tab w:leader="none" w:pos="792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26035</wp:posOffset>
            </wp:positionV>
            <wp:extent cx="319405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9">
                      <a:extLst>
                        <a:ext uri="{28A0092B-C50C-407E-A947-70E740481C1C}"/>
                      </a:extLst>
                    </a:blip>
                    <a:srcRect/>
                    <a:stretch>
                      <a:fillRect/>
                    </a:stretch>
                  </pic:blipFill>
                  <pic:spPr bwMode="auto">
                    <a:xfrm>
                      <a:off x="0" y="0"/>
                      <a:ext cx="3194050" cy="8255"/>
                    </a:xfrm>
                    <a:prstGeom prst="rect">
                      <a:avLst/>
                    </a:prstGeom>
                    <a:noFill/>
                  </pic:spPr>
                </pic:pic>
              </a:graphicData>
            </a:graphic>
          </wp:anchor>
        </w:drawing>
      </w:r>
    </w:p>
    <w:p>
      <w:pPr>
        <w:spacing w:after="0" w:line="2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Scott Hutton</w:t>
      </w:r>
    </w:p>
    <w:p>
      <w:pPr>
        <w:spacing w:after="0" w:line="36"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Biodesix, Inc. (the “Company”) on Form 10-K for the year ending December 31, 2023 as filed with the Securities and Exchange Commission on the date hereof (the “Report”), I certify, pursuant to 18 U.S.C. § 1350, as adopted pursuant to § 906 of the Sarbanes-Oxley Act of 2002, that, to my knowledge:</w:t>
      </w:r>
    </w:p>
    <w:p>
      <w:pPr>
        <w:spacing w:after="0" w:line="177" w:lineRule="exact"/>
        <w:rPr>
          <w:sz w:val="20"/>
          <w:szCs w:val="20"/>
          <w:color w:val="auto"/>
        </w:rPr>
      </w:pPr>
    </w:p>
    <w:p>
      <w:pPr>
        <w:ind w:left="1500" w:hanging="743"/>
        <w:spacing w:after="0"/>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500" w:hanging="743"/>
        <w:spacing w:after="0" w:line="281" w:lineRule="auto"/>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ind w:left="20"/>
        <w:spacing w:after="0"/>
        <w:tabs>
          <w:tab w:leader="none" w:pos="5780" w:val="left"/>
          <w:tab w:leader="none" w:pos="7620" w:val="left"/>
        </w:tabs>
        <w:rPr>
          <w:sz w:val="20"/>
          <w:szCs w:val="20"/>
          <w:color w:val="auto"/>
        </w:rPr>
      </w:pPr>
      <w:r>
        <w:rPr>
          <w:rFonts w:ascii="Times New Roman" w:cs="Times New Roman" w:eastAsia="Times New Roman" w:hAnsi="Times New Roman"/>
          <w:sz w:val="18"/>
          <w:szCs w:val="18"/>
          <w:color w:val="auto"/>
        </w:rPr>
        <w:t>Date: March 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26035</wp:posOffset>
            </wp:positionV>
            <wp:extent cx="319405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81">
                      <a:extLst>
                        <a:ext uri="{28A0092B-C50C-407E-A947-70E740481C1C}"/>
                      </a:extLst>
                    </a:blip>
                    <a:srcRect/>
                    <a:stretch>
                      <a:fillRect/>
                    </a:stretch>
                  </pic:blipFill>
                  <pic:spPr bwMode="auto">
                    <a:xfrm>
                      <a:off x="0" y="0"/>
                      <a:ext cx="3194050" cy="8255"/>
                    </a:xfrm>
                    <a:prstGeom prst="rect">
                      <a:avLst/>
                    </a:prstGeom>
                    <a:noFill/>
                  </pic:spPr>
                </pic:pic>
              </a:graphicData>
            </a:graphic>
          </wp:anchor>
        </w:drawing>
      </w:r>
    </w:p>
    <w:p>
      <w:pPr>
        <w:spacing w:after="0" w:line="29"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Robin Harper Cowie</w:t>
      </w:r>
    </w:p>
    <w:p>
      <w:pPr>
        <w:spacing w:after="0" w:line="36"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BIODESIX,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ON RECOUPMENT OF INCENTIVE COMPENSATION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Introduction</w:t>
      </w:r>
    </w:p>
    <w:p>
      <w:pPr>
        <w:spacing w:after="0" w:line="2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Compensation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Biodesix,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has adopted this Policy on Recoupment of Incentive Compensation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provides for the recoupment of compensation in certain circumstances in the event of a restatement of financial results by the Company. This Policy shall be interpreted to comply with the requirements of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rules and Nasdaq Stock Market (“</w:t>
      </w:r>
      <w:r>
        <w:rPr>
          <w:rFonts w:ascii="Times New Roman" w:cs="Times New Roman" w:eastAsia="Times New Roman" w:hAnsi="Times New Roman"/>
          <w:sz w:val="22"/>
          <w:szCs w:val="22"/>
          <w:u w:val="single" w:color="auto"/>
          <w:color w:val="auto"/>
        </w:rPr>
        <w:t>Nasdaq</w:t>
      </w:r>
      <w:r>
        <w:rPr>
          <w:rFonts w:ascii="Times New Roman" w:cs="Times New Roman" w:eastAsia="Times New Roman" w:hAnsi="Times New Roman"/>
          <w:sz w:val="22"/>
          <w:szCs w:val="22"/>
          <w:color w:val="auto"/>
        </w:rPr>
        <w:t>”) listing standards implementing Section 954 of the Dodd-Frank Wall Street Reform and Consumer Protection Act of 2010 (the “</w:t>
      </w:r>
      <w:r>
        <w:rPr>
          <w:rFonts w:ascii="Times New Roman" w:cs="Times New Roman" w:eastAsia="Times New Roman" w:hAnsi="Times New Roman"/>
          <w:sz w:val="22"/>
          <w:szCs w:val="22"/>
          <w:u w:val="single" w:color="auto"/>
          <w:color w:val="auto"/>
        </w:rPr>
        <w:t>Dodd-Frank Act</w:t>
      </w:r>
      <w:r>
        <w:rPr>
          <w:rFonts w:ascii="Times New Roman" w:cs="Times New Roman" w:eastAsia="Times New Roman" w:hAnsi="Times New Roman"/>
          <w:sz w:val="22"/>
          <w:szCs w:val="22"/>
          <w:color w:val="auto"/>
        </w:rPr>
        <w:t>”) and, to the extent this Policy is in any manner deemed inconsistent with such rules, this Policy shall be treated as retroactively amended to be compliant with such rules.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Policy shall be administered by the Committee. Any determinations made by the Committee shall be final and binding on all affected individuals. The Committee is authorized to interpret and construe this Policy and to make all determinations necessary, appropriate or advisable for the administration of this Policy, in all cases consistent with the Dodd-Frank Act.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or the Committee may amend this Policy from time to time in its discretion.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Covered Executives</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This Policy applies to any current or former “executive officer,” within the meaning of Rule 10D-1 under the Securities Exchange Act of 1934, as amended, of the Company or a subsidiary of the Company (each such individual, an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This Policy shall be binding and enforceable against all Executives and their beneficiaries, executors, administrators, and other legal representatives.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Upon Financial Restatement</w:t>
      </w:r>
    </w:p>
    <w:p>
      <w:pPr>
        <w:spacing w:after="0" w:line="2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2"/>
          <w:szCs w:val="22"/>
          <w:u w:val="single" w:color="auto"/>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Committee shall cause the Company to recoup from each Executive, as promptly as reasonably possible, any erroneously awarded Incentive-Based Compensation,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1625600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22"/>
          <w:szCs w:val="22"/>
          <w:b w:val="1"/>
          <w:bCs w:val="1"/>
          <w:u w:val="single" w:color="auto"/>
          <w:color w:val="auto"/>
        </w:rPr>
        <w:t>No-Fault Recovery</w:t>
      </w:r>
    </w:p>
    <w:p>
      <w:pPr>
        <w:spacing w:after="0" w:line="23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Recoupment under this Policy shall be required regardless of whether the Executive or any other person was at fault or responsible for accounting errors that contributed to the need for the Financial Restatement or engaged in any misconduct.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Subject to Recovery; Enforcement</w:t>
      </w: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Policy applies to all compensation granted, earned or vested based wholly or in part upon the attainment of any financial reporting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including but not limited to performance-based cash, stock, options or other equity-based awards paid or granted to the Executive (“</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Compensation that is granted, vests or is earned based solely upon the occurrence of non-financial events, such as base salary, restricted stock or options with time-based vesting, or a bonus awarded solely at the discretion of the Board or the Committee and not based on the attainment of any financial measure, is not subject to this Policy.</w:t>
      </w:r>
    </w:p>
    <w:p>
      <w:pPr>
        <w:spacing w:after="0" w:line="18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purposes of this Policy, “</w:t>
      </w:r>
      <w:r>
        <w:rPr>
          <w:rFonts w:ascii="Times New Roman" w:cs="Times New Roman" w:eastAsia="Times New Roman" w:hAnsi="Times New Roman"/>
          <w:sz w:val="22"/>
          <w:szCs w:val="22"/>
          <w:u w:val="single" w:color="auto"/>
          <w:color w:val="auto"/>
        </w:rPr>
        <w:t>Recovery Period</w:t>
      </w:r>
      <w:r>
        <w:rPr>
          <w:rFonts w:ascii="Times New Roman" w:cs="Times New Roman" w:eastAsia="Times New Roman" w:hAnsi="Times New Roman"/>
          <w:sz w:val="22"/>
          <w:szCs w:val="22"/>
          <w:color w:val="auto"/>
        </w:rPr>
        <w:t>” means the three completed fiscal years immediately preceding the date on which the Company is required to prepare the Financial Restatement, as determined in accordance with the last sentence of this paragraph, or any transition period that results from a change in the Company’s fiscal year (as set forth in Section 5608(b)(i)(D) of the Nasdaq Listing Rules).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spacing w:after="0" w:line="21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For Incentive-Based Compensation based on stock price or TSR, where the amount of erroneously awarded compensation is not subject to mathematical recalculation directly from the information in the Financial Restatement, then the Compensation Committee shall determine the amount to be recovered based on a reasonable estimate of the effect of the Financial Restatement on the stock price or TSR upon which the Incentive-Based Compensation was received and the Company shall document the determination of that estimate and provide it to Nasdaq.</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Incentive-Based Compensation is considered to have been received by an Executive in the fiscal year during which the applicable financial reporting measure was attained or purportedly attained,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22"/>
          <w:szCs w:val="22"/>
          <w:color w:val="auto"/>
        </w:rPr>
        <w:t>even if the payment or grant of such Incentive-Based Compensation occurs after the end of that period.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may use any legal or equitable remedies that are available to the Company to</w:t>
      </w:r>
    </w:p>
    <w:p>
      <w:pPr>
        <w:spacing w:after="0" w:line="1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recoup any erroneously awarded Incentive-Based Compensation, including but not limited to by collecting from the Executive cash payments or shares of Company common stock from or by forfeiting any amounts that the Company owes to the Executive. Executives shall be solely responsible for any tax consequences to them that result from the recoupment or recovery of any amount pursuant to this Policy, and the Company shall have no obligation to administer the Policy in a manner that avoids or minimizes any such tax consequences.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2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shall not indemnify any Executive or pay or reimburse the premium for any insurance policy to cover any losses incurred by such Executive under this Policy or any claims relating to the Company’s enforcement of rights under this Policy.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Exceptions</w:t>
      </w:r>
    </w:p>
    <w:p>
      <w:pPr>
        <w:spacing w:after="0" w:line="2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compensation recouped under this Policy shall not include Incentive-Based Compensation received by an Executive (i) prior to beginning service as an Executive or (ii) if he or she did not serve as an Executive at any time during the performance period applicable to the Incentive-Based Compensation in question. The Compensation Committee (or a majority of independent directors serving on the Board)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 (C) recovery would likely cause the Company’s 401(k) plan or any other tax-qualified retirement plan to fail to meet the requirements of Section 401(a)(13) or Section 411(a) of the Internal Revenue Code of 1986, as amended, and the regulations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Remedies Not Precluded</w:t>
      </w:r>
    </w:p>
    <w:p>
      <w:pPr>
        <w:spacing w:after="0" w:line="2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exercise by the Compensation Committee of any rights pursuant to this Policy shall be without prejudice to any other rights or remedies that the Company, the Board or the Compensation Committee may have with respect to any Executive subject to this Policy, whether arising under applicable law (including pursuant to Section 304 of the Sarbanes-Oxley Act of 2002), regulation or pursuant to the terms of any other policy of the Company, employment agreement, equity award, cash incentive award or other agreement applicable to an Executive. Notwithstanding the foregoing, there shall be no duplication of recovery of the same Incentive-Based Compensation under this Policy and any other such rights or remedies.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2"/>
          <w:szCs w:val="22"/>
          <w:b w:val="1"/>
          <w:bCs w:val="1"/>
          <w:u w:val="single" w:color="auto"/>
          <w:color w:val="auto"/>
        </w:rPr>
        <w:t>Acknowledgment</w:t>
      </w:r>
    </w:p>
    <w:p>
      <w:pPr>
        <w:spacing w:after="0" w:line="2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the extent required by the Compensation Committee, each Executive shall be required to sign and return to the Company the acknowledgement form attached hereto as Exhibit A pursuant to which such Executive will agree to be bound by the terms of, and comply with, this Policy. For the avoidance of doubt, each Executive shall be fully bound by, and must comply with, the Policy, whether or not such Executive has executed and returned such acknowledgment form to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Effective Date and Applicability</w:t>
      </w:r>
    </w:p>
    <w:p>
      <w:pPr>
        <w:spacing w:after="0" w:line="23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Policy has been adopted by the Board on October 9, 2023, and shall apply to any Incentive-Based Compensation that is received by an Executive on or after October 2, 2023.</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655320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51" w:name="page152"/>
    <w:bookmarkEnd w:id="1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lvl w:ilvl="1">
      <w:lvlJc w:val="left"/>
      <w:lvlText w:val="o"/>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o"/>
      <w:numFmt w:val="bullet"/>
      <w:start w:val="1"/>
    </w:lvl>
  </w:abstractNum>
  <w:abstractNum w:abstractNumId="19">
    <w:nsid w:val="12E685FB"/>
    <w:multiLevelType w:val="hybridMultilevel"/>
    <w:lvl w:ilvl="0">
      <w:lvlJc w:val="left"/>
      <w:lvlText w:val="•"/>
      <w:numFmt w:val="bullet"/>
      <w:start w:val="1"/>
    </w:lvl>
    <w:lvl w:ilvl="1">
      <w:lvlJc w:val="left"/>
      <w:lvlText w:val="o"/>
      <w:numFmt w:val="bullet"/>
      <w:start w:val="1"/>
    </w:lvl>
  </w:abstractNum>
  <w:abstractNum w:abstractNumId="20">
    <w:nsid w:val="70C6A529"/>
    <w:multiLevelType w:val="hybridMultilevel"/>
    <w:lvl w:ilvl="0">
      <w:lvlJc w:val="left"/>
      <w:lvlText w:val="%1)"/>
      <w:numFmt w:val="decimal"/>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1"/>
      <w:numFmt w:val="upperLetter"/>
      <w:start w:val="35"/>
    </w:lvl>
  </w:abstractNum>
  <w:abstractNum w:abstractNumId="23">
    <w:nsid w:val="4F4EF005"/>
    <w:multiLevelType w:val="hybridMultilevel"/>
    <w:lvl w:ilvl="0">
      <w:lvlJc w:val="left"/>
      <w:lvlText w:val="(%1)"/>
      <w:numFmt w:val="decimal"/>
      <w:start w:val="3"/>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o"/>
      <w:numFmt w:val="bullet"/>
      <w:start w:val="1"/>
    </w:lvl>
  </w:abstractNum>
  <w:abstractNum w:abstractNumId="54">
    <w:nsid w:val="5F5E7FD0"/>
    <w:multiLevelType w:val="hybridMultilevel"/>
    <w:lvl w:ilvl="0">
      <w:lvlJc w:val="left"/>
      <w:lvlText w:val="•"/>
      <w:numFmt w:val="bullet"/>
      <w:start w:val="1"/>
    </w:lvl>
    <w:lvl w:ilvl="1">
      <w:lvlJc w:val="left"/>
      <w:lvlText w:val="o"/>
      <w:numFmt w:val="bullet"/>
      <w:start w:val="1"/>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1)"/>
      <w:numFmt w:val="decimal"/>
      <w:start w:val="1"/>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1."/>
      <w:numFmt w:val="decimal"/>
      <w:start w:val="2"/>
    </w:lvl>
  </w:abstractNum>
  <w:abstractNum w:abstractNumId="60">
    <w:nsid w:val="1EBA5D23"/>
    <w:multiLevelType w:val="hybridMultilevel"/>
    <w:lvl w:ilvl="0">
      <w:lvlJc w:val="left"/>
      <w:lvlText w:val="(%1)"/>
      <w:numFmt w:val="lowerLetter"/>
      <w:start w:val="2"/>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bullet"/>
      <w:start w:val="1"/>
    </w:lvl>
  </w:abstractNum>
  <w:abstractNum w:abstractNumId="69">
    <w:nsid w:val="42963E5A"/>
    <w:multiLevelType w:val="hybridMultilevel"/>
    <w:lvl w:ilvl="0">
      <w:lvlJc w:val="left"/>
      <w:lvlText w:val="2"/>
      <w:numFmt w:val="bullet"/>
      <w:start w:val="1"/>
    </w:lvl>
  </w:abstractNum>
  <w:abstractNum w:abstractNumId="70">
    <w:nsid w:val="A0382C5"/>
    <w:multiLevelType w:val="hybridMultilevel"/>
    <w:lvl w:ilvl="0">
      <w:lvlJc w:val="left"/>
      <w:lvlText w:val="3"/>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1)"/>
      <w:numFmt w:val="lowerLetter"/>
      <w:start w:val="1"/>
    </w:lvl>
  </w:abstractNum>
  <w:abstractNum w:abstractNumId="73">
    <w:nsid w:val="3B0FD379"/>
    <w:multiLevelType w:val="hybridMultilevel"/>
    <w:lvl w:ilvl="0">
      <w:lvlJc w:val="left"/>
      <w:lvlText w:val="(%1)"/>
      <w:numFmt w:val="lowerLetter"/>
      <w:start w:val="1"/>
    </w:lvl>
  </w:abstractNum>
  <w:abstractNum w:abstractNumId="74">
    <w:nsid w:val="68EB2F63"/>
    <w:multiLevelType w:val="hybridMultilevel"/>
    <w:lvl w:ilvl="0">
      <w:lvlJc w:val="left"/>
      <w:lvlText w:val="(%1)"/>
      <w:numFmt w:val="lowerLetter"/>
      <w:start w:val="2"/>
    </w:lvl>
  </w:abstractNum>
  <w:abstractNum w:abstractNumId="75">
    <w:nsid w:val="4962813B"/>
    <w:multiLevelType w:val="hybridMultilevel"/>
    <w:lvl w:ilvl="0">
      <w:lvlJc w:val="left"/>
      <w:lvlText w:val="%1."/>
      <w:numFmt w:val="upperLetter"/>
      <w:start w:val="1"/>
    </w:lvl>
  </w:abstractNum>
  <w:abstractNum w:abstractNumId="76">
    <w:nsid w:val="60B6DF70"/>
    <w:multiLevelType w:val="hybridMultilevel"/>
    <w:lvl w:ilvl="0">
      <w:lvlJc w:val="left"/>
      <w:lvlText w:val="%1."/>
      <w:numFmt w:val="decimal"/>
      <w:start w:val="1"/>
    </w:lvl>
    <w:lvl w:ilvl="1">
      <w:lvlJc w:val="left"/>
      <w:lvlText w:val="(%2)"/>
      <w:numFmt w:val="upperLetter"/>
      <w:start w:val="1"/>
    </w:lvl>
  </w:abstractNum>
  <w:abstractNum w:abstractNumId="77">
    <w:nsid w:val="6A5EE64"/>
    <w:multiLevelType w:val="hybridMultilevel"/>
    <w:lvl w:ilvl="0">
      <w:lvlJc w:val="left"/>
      <w:lvlText w:val="%1."/>
      <w:numFmt w:val="decimal"/>
      <w:start w:val="3"/>
    </w:lvl>
  </w:abstractNum>
  <w:abstractNum w:abstractNumId="78">
    <w:nsid w:val="14330624"/>
    <w:multiLevelType w:val="hybridMultilevel"/>
    <w:lvl w:ilvl="0">
      <w:lvlJc w:val="left"/>
      <w:lvlText w:val="%1."/>
      <w:numFmt w:val="decimal"/>
      <w:start w:val="4"/>
    </w:lvl>
    <w:lvl w:ilvl="1">
      <w:lvlJc w:val="left"/>
      <w:lvlText w:val="(%2)"/>
      <w:numFmt w:val="upperLetter"/>
      <w:start w:val="1"/>
    </w:lvl>
    <w:lvl w:ilvl="2">
      <w:lvlJc w:val="left"/>
      <w:lvlText w:val="(%3)"/>
      <w:numFmt w:val="upperLetter"/>
      <w:start w:val="1"/>
    </w:lvl>
  </w:abstractNum>
  <w:abstractNum w:abstractNumId="79">
    <w:nsid w:val="7FFFCA11"/>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
    </w:lvl>
  </w:abstractNum>
  <w:abstractNum w:abstractNumId="80">
    <w:nsid w:val="1A27709E"/>
    <w:multiLevelType w:val="hybridMultilevel"/>
    <w:lvl w:ilvl="0">
      <w:lvlJc w:val="left"/>
      <w:lvlText w:val="%1."/>
      <w:numFmt w:val="decimal"/>
      <w:start w:val="7"/>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202" Type="http://schemas.openxmlformats.org/officeDocument/2006/relationships/image" Target="media/image143.png"/><Relationship Id="rId203" Type="http://schemas.openxmlformats.org/officeDocument/2006/relationships/image" Target="media/image144.png"/><Relationship Id="rId212" Type="http://schemas.openxmlformats.org/officeDocument/2006/relationships/image" Target="media/image145.png"/><Relationship Id="rId213" Type="http://schemas.openxmlformats.org/officeDocument/2006/relationships/image" Target="media/image146.png"/><Relationship Id="rId214" Type="http://schemas.openxmlformats.org/officeDocument/2006/relationships/image" Target="media/image147.png"/><Relationship Id="rId215" Type="http://schemas.openxmlformats.org/officeDocument/2006/relationships/image" Target="media/image148.png"/><Relationship Id="rId216" Type="http://schemas.openxmlformats.org/officeDocument/2006/relationships/image" Target="media/image149.png"/><Relationship Id="rId217" Type="http://schemas.openxmlformats.org/officeDocument/2006/relationships/image" Target="media/image150.png"/><Relationship Id="rId21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1" Type="http://schemas.openxmlformats.org/officeDocument/2006/relationships/image" Target="media/image154.png"/><Relationship Id="rId222" Type="http://schemas.openxmlformats.org/officeDocument/2006/relationships/image" Target="media/image155.png"/><Relationship Id="rId223" Type="http://schemas.openxmlformats.org/officeDocument/2006/relationships/image" Target="media/image156.png"/><Relationship Id="rId224" Type="http://schemas.openxmlformats.org/officeDocument/2006/relationships/image" Target="media/image157.png"/><Relationship Id="rId225" Type="http://schemas.openxmlformats.org/officeDocument/2006/relationships/image" Target="media/image158.png"/><Relationship Id="rId226" Type="http://schemas.openxmlformats.org/officeDocument/2006/relationships/image" Target="media/image159.png"/><Relationship Id="rId227" Type="http://schemas.openxmlformats.org/officeDocument/2006/relationships/image" Target="media/image160.png"/><Relationship Id="rId228" Type="http://schemas.openxmlformats.org/officeDocument/2006/relationships/image" Target="media/image161.png"/><Relationship Id="rId229" Type="http://schemas.openxmlformats.org/officeDocument/2006/relationships/image" Target="media/image162.png"/><Relationship Id="rId230" Type="http://schemas.openxmlformats.org/officeDocument/2006/relationships/image" Target="media/image163.png"/><Relationship Id="rId231" Type="http://schemas.openxmlformats.org/officeDocument/2006/relationships/image" Target="media/image164.png"/><Relationship Id="rId232" Type="http://schemas.openxmlformats.org/officeDocument/2006/relationships/image" Target="media/image165.png"/><Relationship Id="rId233" Type="http://schemas.openxmlformats.org/officeDocument/2006/relationships/image" Target="media/image166.png"/><Relationship Id="rId234" Type="http://schemas.openxmlformats.org/officeDocument/2006/relationships/image" Target="media/image167.png"/><Relationship Id="rId235" Type="http://schemas.openxmlformats.org/officeDocument/2006/relationships/image" Target="media/image168.png"/><Relationship Id="rId236" Type="http://schemas.openxmlformats.org/officeDocument/2006/relationships/image" Target="media/image169.png"/><Relationship Id="rId237" Type="http://schemas.openxmlformats.org/officeDocument/2006/relationships/image" Target="media/image170.png"/><Relationship Id="rId238" Type="http://schemas.openxmlformats.org/officeDocument/2006/relationships/image" Target="media/image171.png"/><Relationship Id="rId239" Type="http://schemas.openxmlformats.org/officeDocument/2006/relationships/image" Target="media/image172.png"/><Relationship Id="rId240" Type="http://schemas.openxmlformats.org/officeDocument/2006/relationships/image" Target="media/image173.png"/><Relationship Id="rId241" Type="http://schemas.openxmlformats.org/officeDocument/2006/relationships/image" Target="media/image174.png"/><Relationship Id="rId242" Type="http://schemas.openxmlformats.org/officeDocument/2006/relationships/image" Target="media/image175.png"/><Relationship Id="rId243" Type="http://schemas.openxmlformats.org/officeDocument/2006/relationships/image" Target="media/image176.png"/><Relationship Id="rId244" Type="http://schemas.openxmlformats.org/officeDocument/2006/relationships/image" Target="media/image177.png"/><Relationship Id="rId245" Type="http://schemas.openxmlformats.org/officeDocument/2006/relationships/image" Target="media/image178.png"/><Relationship Id="rId246" Type="http://schemas.openxmlformats.org/officeDocument/2006/relationships/image" Target="media/image179.png"/><Relationship Id="rId247" Type="http://schemas.openxmlformats.org/officeDocument/2006/relationships/image" Target="media/image180.png"/><Relationship Id="rId248" Type="http://schemas.openxmlformats.org/officeDocument/2006/relationships/image" Target="media/image181.png"/><Relationship Id="rId249" Type="http://schemas.openxmlformats.org/officeDocument/2006/relationships/image" Target="media/image182.png"/><Relationship Id="rId250" Type="http://schemas.openxmlformats.org/officeDocument/2006/relationships/image" Target="media/image183.png"/><Relationship Id="rId251" Type="http://schemas.openxmlformats.org/officeDocument/2006/relationships/image" Target="media/image184.png"/><Relationship Id="rId252" Type="http://schemas.openxmlformats.org/officeDocument/2006/relationships/image" Target="media/image185.png"/><Relationship Id="rId253" Type="http://schemas.openxmlformats.org/officeDocument/2006/relationships/image" Target="media/image186.png"/><Relationship Id="rId254" Type="http://schemas.openxmlformats.org/officeDocument/2006/relationships/image" Target="media/image187.png"/><Relationship Id="rId255" Type="http://schemas.openxmlformats.org/officeDocument/2006/relationships/image" Target="media/image188.png"/><Relationship Id="rId256" Type="http://schemas.openxmlformats.org/officeDocument/2006/relationships/image" Target="media/image189.png"/><Relationship Id="rId257" Type="http://schemas.openxmlformats.org/officeDocument/2006/relationships/image" Target="media/image190.png"/><Relationship Id="rId258" Type="http://schemas.openxmlformats.org/officeDocument/2006/relationships/image" Target="media/image191.png"/><Relationship Id="rId259" Type="http://schemas.openxmlformats.org/officeDocument/2006/relationships/image" Target="media/image192.png"/><Relationship Id="rId260" Type="http://schemas.openxmlformats.org/officeDocument/2006/relationships/image" Target="media/image193.png"/><Relationship Id="rId261" Type="http://schemas.openxmlformats.org/officeDocument/2006/relationships/image" Target="media/image194.png"/><Relationship Id="rId262" Type="http://schemas.openxmlformats.org/officeDocument/2006/relationships/image" Target="media/image195.png"/><Relationship Id="rId263" Type="http://schemas.openxmlformats.org/officeDocument/2006/relationships/image" Target="media/image196.png"/><Relationship Id="rId264" Type="http://schemas.openxmlformats.org/officeDocument/2006/relationships/image" Target="media/image197.png"/><Relationship Id="rId265" Type="http://schemas.openxmlformats.org/officeDocument/2006/relationships/image" Target="media/image198.png"/><Relationship Id="rId266" Type="http://schemas.openxmlformats.org/officeDocument/2006/relationships/image" Target="media/image199.png"/><Relationship Id="rId267" Type="http://schemas.openxmlformats.org/officeDocument/2006/relationships/image" Target="media/image200.png"/><Relationship Id="rId268" Type="http://schemas.openxmlformats.org/officeDocument/2006/relationships/image" Target="media/image201.png"/><Relationship Id="rId269" Type="http://schemas.openxmlformats.org/officeDocument/2006/relationships/image" Target="media/image202.png"/><Relationship Id="rId270" Type="http://schemas.openxmlformats.org/officeDocument/2006/relationships/image" Target="media/image203.png"/><Relationship Id="rId271" Type="http://schemas.openxmlformats.org/officeDocument/2006/relationships/image" Target="media/image204.png"/><Relationship Id="rId272" Type="http://schemas.openxmlformats.org/officeDocument/2006/relationships/image" Target="media/image205.png"/><Relationship Id="rId273" Type="http://schemas.openxmlformats.org/officeDocument/2006/relationships/image" Target="media/image206.png"/><Relationship Id="rId274" Type="http://schemas.openxmlformats.org/officeDocument/2006/relationships/image" Target="media/image207.png"/><Relationship Id="rId275" Type="http://schemas.openxmlformats.org/officeDocument/2006/relationships/image" Target="media/image208.png"/><Relationship Id="rId276" Type="http://schemas.openxmlformats.org/officeDocument/2006/relationships/image" Target="media/image209.png"/><Relationship Id="rId277" Type="http://schemas.openxmlformats.org/officeDocument/2006/relationships/image" Target="media/image210.png"/><Relationship Id="rId278" Type="http://schemas.openxmlformats.org/officeDocument/2006/relationships/image" Target="media/image211.png"/><Relationship Id="rId279" Type="http://schemas.openxmlformats.org/officeDocument/2006/relationships/image" Target="media/image212.png"/><Relationship Id="rId280" Type="http://schemas.openxmlformats.org/officeDocument/2006/relationships/image" Target="media/image213.png"/><Relationship Id="rId281" Type="http://schemas.openxmlformats.org/officeDocument/2006/relationships/image" Target="media/image214.png"/><Relationship Id="rId282" Type="http://schemas.openxmlformats.org/officeDocument/2006/relationships/image" Target="media/image215.png"/><Relationship Id="rId283" Type="http://schemas.openxmlformats.org/officeDocument/2006/relationships/image" Target="media/image216.png"/><Relationship Id="rId284" Type="http://schemas.openxmlformats.org/officeDocument/2006/relationships/image" Target="media/image217.png"/><Relationship Id="rId285" Type="http://schemas.openxmlformats.org/officeDocument/2006/relationships/image" Target="media/image218.png"/><Relationship Id="rId286" Type="http://schemas.openxmlformats.org/officeDocument/2006/relationships/image" Target="media/image219.png"/><Relationship Id="rId287" Type="http://schemas.openxmlformats.org/officeDocument/2006/relationships/image" Target="media/image220.png"/><Relationship Id="rId288" Type="http://schemas.openxmlformats.org/officeDocument/2006/relationships/image" Target="media/image221.png"/><Relationship Id="rId289" Type="http://schemas.openxmlformats.org/officeDocument/2006/relationships/image" Target="media/image222.png"/><Relationship Id="rId290" Type="http://schemas.openxmlformats.org/officeDocument/2006/relationships/image" Target="media/image223.png"/><Relationship Id="rId291" Type="http://schemas.openxmlformats.org/officeDocument/2006/relationships/image" Target="media/image224.png"/><Relationship Id="rId292" Type="http://schemas.openxmlformats.org/officeDocument/2006/relationships/image" Target="media/image225.png"/><Relationship Id="rId293" Type="http://schemas.openxmlformats.org/officeDocument/2006/relationships/image" Target="media/image226.png"/><Relationship Id="rId294" Type="http://schemas.openxmlformats.org/officeDocument/2006/relationships/image" Target="media/image227.png"/><Relationship Id="rId295" Type="http://schemas.openxmlformats.org/officeDocument/2006/relationships/image" Target="media/image228.png"/><Relationship Id="rId296" Type="http://schemas.openxmlformats.org/officeDocument/2006/relationships/image" Target="media/image229.png"/><Relationship Id="rId297" Type="http://schemas.openxmlformats.org/officeDocument/2006/relationships/image" Target="media/image230.png"/><Relationship Id="rId298" Type="http://schemas.openxmlformats.org/officeDocument/2006/relationships/image" Target="media/image231.png"/><Relationship Id="rId299" Type="http://schemas.openxmlformats.org/officeDocument/2006/relationships/image" Target="media/image232.png"/><Relationship Id="rId300" Type="http://schemas.openxmlformats.org/officeDocument/2006/relationships/image" Target="media/image233.png"/><Relationship Id="rId301" Type="http://schemas.openxmlformats.org/officeDocument/2006/relationships/image" Target="media/image234.png"/><Relationship Id="rId302" Type="http://schemas.openxmlformats.org/officeDocument/2006/relationships/image" Target="media/image235.png"/><Relationship Id="rId303" Type="http://schemas.openxmlformats.org/officeDocument/2006/relationships/image" Target="media/image236.png"/><Relationship Id="rId304" Type="http://schemas.openxmlformats.org/officeDocument/2006/relationships/image" Target="media/image237.png"/><Relationship Id="rId305" Type="http://schemas.openxmlformats.org/officeDocument/2006/relationships/image" Target="media/image238.png"/><Relationship Id="rId306" Type="http://schemas.openxmlformats.org/officeDocument/2006/relationships/image" Target="media/image239.png"/><Relationship Id="rId307" Type="http://schemas.openxmlformats.org/officeDocument/2006/relationships/image" Target="media/image240.png"/><Relationship Id="rId308" Type="http://schemas.openxmlformats.org/officeDocument/2006/relationships/image" Target="media/image241.png"/><Relationship Id="rId309" Type="http://schemas.openxmlformats.org/officeDocument/2006/relationships/image" Target="media/image242.png"/><Relationship Id="rId310" Type="http://schemas.openxmlformats.org/officeDocument/2006/relationships/image" Target="media/image243.png"/><Relationship Id="rId311" Type="http://schemas.openxmlformats.org/officeDocument/2006/relationships/image" Target="media/image244.png"/><Relationship Id="rId312" Type="http://schemas.openxmlformats.org/officeDocument/2006/relationships/image" Target="media/image245.png"/><Relationship Id="rId313" Type="http://schemas.openxmlformats.org/officeDocument/2006/relationships/image" Target="media/image246.png"/><Relationship Id="rId314" Type="http://schemas.openxmlformats.org/officeDocument/2006/relationships/image" Target="media/image247.png"/><Relationship Id="rId315" Type="http://schemas.openxmlformats.org/officeDocument/2006/relationships/image" Target="media/image248.png"/><Relationship Id="rId316" Type="http://schemas.openxmlformats.org/officeDocument/2006/relationships/image" Target="media/image249.png"/><Relationship Id="rId317" Type="http://schemas.openxmlformats.org/officeDocument/2006/relationships/image" Target="media/image250.png"/><Relationship Id="rId318" Type="http://schemas.openxmlformats.org/officeDocument/2006/relationships/image" Target="media/image251.png"/><Relationship Id="rId319" Type="http://schemas.openxmlformats.org/officeDocument/2006/relationships/image" Target="media/image252.png"/><Relationship Id="rId320" Type="http://schemas.openxmlformats.org/officeDocument/2006/relationships/image" Target="media/image253.png"/><Relationship Id="rId321" Type="http://schemas.openxmlformats.org/officeDocument/2006/relationships/image" Target="media/image254.png"/><Relationship Id="rId322" Type="http://schemas.openxmlformats.org/officeDocument/2006/relationships/image" Target="media/image255.png"/><Relationship Id="rId323" Type="http://schemas.openxmlformats.org/officeDocument/2006/relationships/image" Target="media/image256.png"/><Relationship Id="rId324" Type="http://schemas.openxmlformats.org/officeDocument/2006/relationships/image" Target="media/image257.png"/><Relationship Id="rId325" Type="http://schemas.openxmlformats.org/officeDocument/2006/relationships/image" Target="media/image258.png"/><Relationship Id="rId326" Type="http://schemas.openxmlformats.org/officeDocument/2006/relationships/image" Target="media/image259.png"/><Relationship Id="rId327" Type="http://schemas.openxmlformats.org/officeDocument/2006/relationships/image" Target="media/image260.png"/><Relationship Id="rId328" Type="http://schemas.openxmlformats.org/officeDocument/2006/relationships/image" Target="media/image261.png"/><Relationship Id="rId329" Type="http://schemas.openxmlformats.org/officeDocument/2006/relationships/image" Target="media/image262.png"/><Relationship Id="rId330" Type="http://schemas.openxmlformats.org/officeDocument/2006/relationships/image" Target="media/image263.png"/><Relationship Id="rId331" Type="http://schemas.openxmlformats.org/officeDocument/2006/relationships/image" Target="media/image264.png"/><Relationship Id="rId332" Type="http://schemas.openxmlformats.org/officeDocument/2006/relationships/image" Target="media/image265.png"/><Relationship Id="rId333" Type="http://schemas.openxmlformats.org/officeDocument/2006/relationships/image" Target="media/image266.png"/><Relationship Id="rId334" Type="http://schemas.openxmlformats.org/officeDocument/2006/relationships/image" Target="media/image267.png"/><Relationship Id="rId335" Type="http://schemas.openxmlformats.org/officeDocument/2006/relationships/image" Target="media/image268.png"/><Relationship Id="rId336" Type="http://schemas.openxmlformats.org/officeDocument/2006/relationships/image" Target="media/image269.png"/><Relationship Id="rId337" Type="http://schemas.openxmlformats.org/officeDocument/2006/relationships/image" Target="media/image270.png"/><Relationship Id="rId338" Type="http://schemas.openxmlformats.org/officeDocument/2006/relationships/image" Target="media/image271.png"/><Relationship Id="rId339" Type="http://schemas.openxmlformats.org/officeDocument/2006/relationships/image" Target="media/image272.png"/><Relationship Id="rId340" Type="http://schemas.openxmlformats.org/officeDocument/2006/relationships/image" Target="media/image273.png"/><Relationship Id="rId341" Type="http://schemas.openxmlformats.org/officeDocument/2006/relationships/image" Target="media/image274.png"/><Relationship Id="rId342" Type="http://schemas.openxmlformats.org/officeDocument/2006/relationships/image" Target="media/image275.png"/><Relationship Id="rId343" Type="http://schemas.openxmlformats.org/officeDocument/2006/relationships/image" Target="media/image276.png"/><Relationship Id="rId344" Type="http://schemas.openxmlformats.org/officeDocument/2006/relationships/image" Target="media/image277.png"/><Relationship Id="rId345" Type="http://schemas.openxmlformats.org/officeDocument/2006/relationships/image" Target="media/image278.png"/><Relationship Id="rId346" Type="http://schemas.openxmlformats.org/officeDocument/2006/relationships/image" Target="media/image279.png"/><Relationship Id="rId347" Type="http://schemas.openxmlformats.org/officeDocument/2006/relationships/image" Target="media/image280.png"/><Relationship Id="rId348" Type="http://schemas.openxmlformats.org/officeDocument/2006/relationships/image" Target="media/image281.png"/><Relationship Id="rId349" Type="http://schemas.openxmlformats.org/officeDocument/2006/relationships/image" Target="media/image282.png"/><Relationship Id="rId350" Type="http://schemas.openxmlformats.org/officeDocument/2006/relationships/image" Target="media/image283.png"/><Relationship Id="rId351" Type="http://schemas.openxmlformats.org/officeDocument/2006/relationships/image" Target="media/image284.png"/><Relationship Id="rId352" Type="http://schemas.openxmlformats.org/officeDocument/2006/relationships/image" Target="media/image285.png"/><Relationship Id="rId353" Type="http://schemas.openxmlformats.org/officeDocument/2006/relationships/image" Target="media/image286.png"/><Relationship Id="rId354" Type="http://schemas.openxmlformats.org/officeDocument/2006/relationships/image" Target="media/image287.png"/><Relationship Id="rId355" Type="http://schemas.openxmlformats.org/officeDocument/2006/relationships/image" Target="media/image288.png"/><Relationship Id="rId356" Type="http://schemas.openxmlformats.org/officeDocument/2006/relationships/image" Target="media/image289.png"/><Relationship Id="rId357" Type="http://schemas.openxmlformats.org/officeDocument/2006/relationships/image" Target="media/image290.png"/><Relationship Id="rId358" Type="http://schemas.openxmlformats.org/officeDocument/2006/relationships/image" Target="media/image291.png"/><Relationship Id="rId359" Type="http://schemas.openxmlformats.org/officeDocument/2006/relationships/image" Target="media/image292.png"/><Relationship Id="rId360" Type="http://schemas.openxmlformats.org/officeDocument/2006/relationships/image" Target="media/image293.png"/><Relationship Id="rId361" Type="http://schemas.openxmlformats.org/officeDocument/2006/relationships/image" Target="media/image294.png"/><Relationship Id="rId362" Type="http://schemas.openxmlformats.org/officeDocument/2006/relationships/image" Target="media/image295.png"/><Relationship Id="rId363" Type="http://schemas.openxmlformats.org/officeDocument/2006/relationships/image" Target="media/image296.png"/><Relationship Id="rId364" Type="http://schemas.openxmlformats.org/officeDocument/2006/relationships/image" Target="media/image297.png"/><Relationship Id="rId365" Type="http://schemas.openxmlformats.org/officeDocument/2006/relationships/image" Target="media/image298.png"/><Relationship Id="rId366" Type="http://schemas.openxmlformats.org/officeDocument/2006/relationships/image" Target="media/image299.png"/><Relationship Id="rId367" Type="http://schemas.openxmlformats.org/officeDocument/2006/relationships/image" Target="media/image300.png"/><Relationship Id="rId368" Type="http://schemas.openxmlformats.org/officeDocument/2006/relationships/image" Target="media/image301.png"/><Relationship Id="rId369" Type="http://schemas.openxmlformats.org/officeDocument/2006/relationships/image" Target="media/image302.png"/><Relationship Id="rId370" Type="http://schemas.openxmlformats.org/officeDocument/2006/relationships/image" Target="media/image303.png"/><Relationship Id="rId371" Type="http://schemas.openxmlformats.org/officeDocument/2006/relationships/image" Target="media/image304.png"/><Relationship Id="rId372" Type="http://schemas.openxmlformats.org/officeDocument/2006/relationships/image" Target="media/image305.png"/><Relationship Id="rId373" Type="http://schemas.openxmlformats.org/officeDocument/2006/relationships/image" Target="media/image306.png"/><Relationship Id="rId374" Type="http://schemas.openxmlformats.org/officeDocument/2006/relationships/image" Target="media/image307.png"/><Relationship Id="rId375" Type="http://schemas.openxmlformats.org/officeDocument/2006/relationships/image" Target="media/image308.png"/><Relationship Id="rId376" Type="http://schemas.openxmlformats.org/officeDocument/2006/relationships/image" Target="media/image309.png"/><Relationship Id="rId377" Type="http://schemas.openxmlformats.org/officeDocument/2006/relationships/image" Target="media/image310.png"/><Relationship Id="rId378" Type="http://schemas.openxmlformats.org/officeDocument/2006/relationships/image" Target="media/image311.png"/><Relationship Id="rId379" Type="http://schemas.openxmlformats.org/officeDocument/2006/relationships/image" Target="media/image312.png"/><Relationship Id="rId380" Type="http://schemas.openxmlformats.org/officeDocument/2006/relationships/image" Target="media/image313.png"/><Relationship Id="rId381" Type="http://schemas.openxmlformats.org/officeDocument/2006/relationships/image" Target="media/image314.png"/><Relationship Id="rId382" Type="http://schemas.openxmlformats.org/officeDocument/2006/relationships/image" Target="media/image315.png"/><Relationship Id="rId383" Type="http://schemas.openxmlformats.org/officeDocument/2006/relationships/image" Target="media/image316.png"/><Relationship Id="rId384" Type="http://schemas.openxmlformats.org/officeDocument/2006/relationships/image" Target="media/image317.png"/><Relationship Id="rId385" Type="http://schemas.openxmlformats.org/officeDocument/2006/relationships/image" Target="media/image318.png"/><Relationship Id="rId386" Type="http://schemas.openxmlformats.org/officeDocument/2006/relationships/image" Target="media/image319.png"/><Relationship Id="rId146" Type="http://schemas.openxmlformats.org/officeDocument/2006/relationships/hyperlink" Target="https://www.sec.gov/Archives/edgar/data/1439725/000156459020056735/bdsx-ex31_716.htm" TargetMode="External"/><Relationship Id="rId147" Type="http://schemas.openxmlformats.org/officeDocument/2006/relationships/hyperlink" Target="https://www.sec.gov/Archives/edgar/data/1439725/000156459020056735/bdsx-ex32_717.htm" TargetMode="External"/><Relationship Id="rId148" Type="http://schemas.openxmlformats.org/officeDocument/2006/relationships/hyperlink" Target="https://www.sec.gov/Archives/edgar/data/1439725/000119312520273369/d937421dex41.htm" TargetMode="External"/><Relationship Id="rId149" Type="http://schemas.openxmlformats.org/officeDocument/2006/relationships/hyperlink" Target="https://www.sec.gov/Archives/edgar/data/1439725/000119312520262422/d937421dex42.htm" TargetMode="External"/><Relationship Id="rId150" Type="http://schemas.openxmlformats.org/officeDocument/2006/relationships/hyperlink" Target="https://www.sec.gov/Archives/edgar/data/1439725/000119312520262422/d937421dex43.htm" TargetMode="External"/><Relationship Id="rId151" Type="http://schemas.openxmlformats.org/officeDocument/2006/relationships/hyperlink" Target="https://www.sec.gov/Archives/edgar/data/1439725/000156459021013512/bdsx-ex45_270.htm" TargetMode="External"/><Relationship Id="rId152" Type="http://schemas.openxmlformats.org/officeDocument/2006/relationships/hyperlink" Target="https://www.sec.gov/Archives/edgar/data/1439725/000095017022025530/bdsx-ex10_1.htm" TargetMode="External"/><Relationship Id="rId153" Type="http://schemas.openxmlformats.org/officeDocument/2006/relationships/hyperlink" Target="https://www.sec.gov/Archives/edgar/data/1439725/000095017022025530/bdsx-ex4_2.htm" TargetMode="External"/><Relationship Id="rId154" Type="http://schemas.openxmlformats.org/officeDocument/2006/relationships/hyperlink" Target="https://www.sec.gov/Archives/edgar/data/1439725/000095017023021238/bdsx-ex4_1.htm" TargetMode="External"/><Relationship Id="rId155" Type="http://schemas.openxmlformats.org/officeDocument/2006/relationships/hyperlink" Target="https://www.sec.gov/Archives/edgar/data/1439725/000119312520266992/d937421dex101.htm" TargetMode="External"/><Relationship Id="rId156" Type="http://schemas.openxmlformats.org/officeDocument/2006/relationships/hyperlink" Target="https://www.sec.gov/Archives/edgar/data/1439725/000119312520266992/d937421dex1021.htm" TargetMode="External"/><Relationship Id="rId157" Type="http://schemas.openxmlformats.org/officeDocument/2006/relationships/hyperlink" Target="https://www.sec.gov/Archives/edgar/data/1439725/000119312520266992/d937421dex1022.htm" TargetMode="External"/><Relationship Id="rId158" Type="http://schemas.openxmlformats.org/officeDocument/2006/relationships/hyperlink" Target="https://www.sec.gov/Archives/edgar/data/1439725/000119312520266992/d937421dex1023.htm" TargetMode="External"/><Relationship Id="rId159" Type="http://schemas.openxmlformats.org/officeDocument/2006/relationships/hyperlink" Target="https://www.sec.gov/Archives/edgar/data/1439725/000119312520262422/d937421dex103.htm" TargetMode="External"/><Relationship Id="rId160" Type="http://schemas.openxmlformats.org/officeDocument/2006/relationships/hyperlink" Target="https://www.sec.gov/Archives/edgar/data/1439725/000119312520266992/d937421dex1041.htm" TargetMode="External"/><Relationship Id="rId161" Type="http://schemas.openxmlformats.org/officeDocument/2006/relationships/hyperlink" Target="https://www.sec.gov/Archives/edgar/data/1439725/000119312520266992/d937421dex1042.htm" TargetMode="External"/><Relationship Id="rId162" Type="http://schemas.openxmlformats.org/officeDocument/2006/relationships/hyperlink" Target="https://www.sec.gov/Archives/edgar/data/1439725/000119312520266992/d937421dex1043.htm" TargetMode="External"/><Relationship Id="rId165" Type="http://schemas.openxmlformats.org/officeDocument/2006/relationships/hyperlink" Target="https://www.sec.gov/Archives/edgar/data/1439725/000119312520275630/d937421dex105.htm" TargetMode="External"/><Relationship Id="rId166" Type="http://schemas.openxmlformats.org/officeDocument/2006/relationships/hyperlink" Target="https://www.sec.gov/Archives/edgar/data/1439725/000156459021013512/bdsx-ex1051_388.htm" TargetMode="External"/><Relationship Id="rId167" Type="http://schemas.openxmlformats.org/officeDocument/2006/relationships/hyperlink" Target="https://www.sec.gov/Archives/edgar/data/1439725/000156459021043081/bdsx-ex1052_236.htm" TargetMode="External"/><Relationship Id="rId168" Type="http://schemas.openxmlformats.org/officeDocument/2006/relationships/hyperlink" Target="https://www.sec.gov/Archives/edgar/data/1439725/000119312520275630/d937421dex106.htm" TargetMode="External"/><Relationship Id="rId169" Type="http://schemas.openxmlformats.org/officeDocument/2006/relationships/hyperlink" Target="https://www.sec.gov/Archives/edgar/data/1439725/000119312520262422/d937421dex1051.htm" TargetMode="External"/><Relationship Id="rId170" Type="http://schemas.openxmlformats.org/officeDocument/2006/relationships/hyperlink" Target="https://www.sec.gov/Archives/edgar/data/1439725/000119312520262422/d937421dex1052.htm" TargetMode="External"/><Relationship Id="rId171" Type="http://schemas.openxmlformats.org/officeDocument/2006/relationships/hyperlink" Target="https://www.sec.gov/Archives/edgar/data/1439725/000119312520262422/d937421dex1053.htm" TargetMode="External"/><Relationship Id="rId172" Type="http://schemas.openxmlformats.org/officeDocument/2006/relationships/hyperlink" Target="https://www.sec.gov/Archives/edgar/data/1439725/000095017022014433/bdsx-ex10_1.htm" TargetMode="External"/><Relationship Id="rId173" Type="http://schemas.openxmlformats.org/officeDocument/2006/relationships/hyperlink" Target="https://www.sec.gov/Archives/edgar/data/1439725/000095017022014433/bdsx-ex10_2.htm" TargetMode="External"/><Relationship Id="rId174" Type="http://schemas.openxmlformats.org/officeDocument/2006/relationships/hyperlink" Target="https://www.sec.gov/Archives/edgar/data/1439725/000095017023006092/bdsx-ex10_83.htm" TargetMode="External"/><Relationship Id="rId175" Type="http://schemas.openxmlformats.org/officeDocument/2006/relationships/hyperlink" Target="https://www.sec.gov/Archives/edgar/data/1439725/000119312520266992/d937421dex1061.htm" TargetMode="External"/><Relationship Id="rId176" Type="http://schemas.openxmlformats.org/officeDocument/2006/relationships/hyperlink" Target="https://www.sec.gov/Archives/edgar/data/1439725/000119312520266992/d937421dex1062.htm" TargetMode="External"/><Relationship Id="rId177" Type="http://schemas.openxmlformats.org/officeDocument/2006/relationships/hyperlink" Target="https://www.sec.gov/Archives/edgar/data/1439725/000119312520268763/d937421dex107.htm" TargetMode="External"/><Relationship Id="rId178" Type="http://schemas.openxmlformats.org/officeDocument/2006/relationships/hyperlink" Target="https://www.sec.gov/Archives/edgar/data/1439725/000119312520262422/d937421dex1092.htm" TargetMode="External"/><Relationship Id="rId179" Type="http://schemas.openxmlformats.org/officeDocument/2006/relationships/hyperlink" Target="https://www.sec.gov/Archives/edgar/data/1439725/000119312520262422/d937421dex10102.htm" TargetMode="External"/><Relationship Id="rId180" Type="http://schemas.openxmlformats.org/officeDocument/2006/relationships/hyperlink" Target="https://www.sec.gov/Archives/edgar/data/1439725/000119312520266992/d937421dex1011.htm" TargetMode="External"/><Relationship Id="rId181" Type="http://schemas.openxmlformats.org/officeDocument/2006/relationships/hyperlink" Target="https://www.sec.gov/Archives/edgar/data/1439725/000095017022003495/bdsx-ex10_132.htm" TargetMode="External"/><Relationship Id="rId182" Type="http://schemas.openxmlformats.org/officeDocument/2006/relationships/hyperlink" Target="https://www.sec.gov/Archives/edgar/data/1439725/000119312520262422/d937421dex1013.htm" TargetMode="External"/><Relationship Id="rId185" Type="http://schemas.openxmlformats.org/officeDocument/2006/relationships/hyperlink" Target="https://www.sec.gov/Archives/edgar/data/1439725/000095017023021238/bdsx-ex10_2.htm" TargetMode="External"/><Relationship Id="rId186" Type="http://schemas.openxmlformats.org/officeDocument/2006/relationships/hyperlink" Target="https://www.sec.gov/Archives/edgar/data/1439725/000095017022009126/bdsx-ex10_1.htm" TargetMode="External"/><Relationship Id="rId187" Type="http://schemas.openxmlformats.org/officeDocument/2006/relationships/hyperlink" Target="https://www.sec.gov/Archives/edgar/data/1439725/000095017022009126/bdsx-ex10_2.htm" TargetMode="External"/><Relationship Id="rId188" Type="http://schemas.openxmlformats.org/officeDocument/2006/relationships/hyperlink" Target="https://www.sec.gov/Archives/edgar/data/1439725/000119312520262422/d937421dex1015.htm" TargetMode="External"/><Relationship Id="rId189" Type="http://schemas.openxmlformats.org/officeDocument/2006/relationships/hyperlink" Target="https://www.sec.gov/Archives/edgar/data/1439725/000119312520266992/d937421dex1015.htm" TargetMode="External"/><Relationship Id="rId190" Type="http://schemas.openxmlformats.org/officeDocument/2006/relationships/hyperlink" Target="https://www.sec.gov/Archives/edgar/data/1439725/000119312520266992/d937421dex1016.htm" TargetMode="External"/><Relationship Id="rId191" Type="http://schemas.openxmlformats.org/officeDocument/2006/relationships/hyperlink" Target="https://www.sec.gov/Archives/edgar/data/1439725/000119312520266992/d937421dex1017.htm" TargetMode="External"/><Relationship Id="rId192" Type="http://schemas.openxmlformats.org/officeDocument/2006/relationships/hyperlink" Target="https://www.sec.gov/Archives/edgar/data/1439725/000119312520266992/d937421dex1018.htm" TargetMode="External"/><Relationship Id="rId193" Type="http://schemas.openxmlformats.org/officeDocument/2006/relationships/hyperlink" Target="https://www.sec.gov/Archives/edgar/data/1439725/000119312520266992/d937421dex1019.htm" TargetMode="External"/><Relationship Id="rId194" Type="http://schemas.openxmlformats.org/officeDocument/2006/relationships/hyperlink" Target="https://www.sec.gov/Archives/edgar/data/1439725/000119312520266992/d937421dex1020.htm" TargetMode="External"/><Relationship Id="rId195" Type="http://schemas.openxmlformats.org/officeDocument/2006/relationships/hyperlink" Target="https://www.sec.gov/Archives/edgar/data/1439725/000119312520262422/d937421dex1023.htm" TargetMode="External"/><Relationship Id="rId196" Type="http://schemas.openxmlformats.org/officeDocument/2006/relationships/hyperlink" Target="https://www.sec.gov/Archives/edgar/data/1439725/000156459021043081/bdsx-ex1038_489.htm" TargetMode="External"/><Relationship Id="rId197" Type="http://schemas.openxmlformats.org/officeDocument/2006/relationships/hyperlink" Target="https://www.sec.gov/Archives/edgar/data/1439725/000095017022009126/bdsx-ex10_6.htm" TargetMode="External"/><Relationship Id="rId198" Type="http://schemas.openxmlformats.org/officeDocument/2006/relationships/hyperlink" Target="https://www.sec.gov/Archives/edgar/data/1439725/000119312520262422/d937421dex1024.htm" TargetMode="External"/><Relationship Id="rId199" Type="http://schemas.openxmlformats.org/officeDocument/2006/relationships/hyperlink" Target="https://www.sec.gov/Archives/edgar/data/1439725/000156459021043081/bdsx-ex1037_47.htm" TargetMode="External"/><Relationship Id="rId200" Type="http://schemas.openxmlformats.org/officeDocument/2006/relationships/hyperlink" Target="https://www.sec.gov/Archives/edgar/data/1439725/000095017022003002/bdsx-ex10_1.htm" TargetMode="External"/><Relationship Id="rId201" Type="http://schemas.openxmlformats.org/officeDocument/2006/relationships/hyperlink" Target="https://www.sec.gov/Archives/edgar/data/1439725/000095017022003002/bdsx-ex10_2.htm" TargetMode="External"/><Relationship Id="rId204" Type="http://schemas.openxmlformats.org/officeDocument/2006/relationships/hyperlink" Target="https://www.sec.gov/Archives/edgar/data/1439725/000095017022005536/bdsx-ex10_1.htm" TargetMode="External"/><Relationship Id="rId205" Type="http://schemas.openxmlformats.org/officeDocument/2006/relationships/hyperlink" Target="https://www.sec.gov/Archives/edgar/data/1439725/000095017022005536/bdsx-ex10_2.htm" TargetMode="External"/><Relationship Id="rId206" Type="http://schemas.openxmlformats.org/officeDocument/2006/relationships/hyperlink" Target="https://www.sec.gov/Archives/edgar/data/1439725/000095017023021238/bdsx-ex10_1.htm" TargetMode="External"/><Relationship Id="rId207" Type="http://schemas.openxmlformats.org/officeDocument/2006/relationships/hyperlink" Target="https://www.sec.gov/Archives/edgar/data/1439725/000095017023021238/bdsx-ex10_3.htm" TargetMode="External"/><Relationship Id="rId208" Type="http://schemas.openxmlformats.org/officeDocument/2006/relationships/hyperlink" Target="https://www.sec.gov/Archives/edgar/data/1439725/000095017023039073/bdsx-ex10_2.htm" TargetMode="External"/><Relationship Id="rId209" Type="http://schemas.openxmlformats.org/officeDocument/2006/relationships/hyperlink" Target="https://www.sec.gov/Archives/edgar/data/1439725/000095017022025530/bdsx-ex10_2.htm" TargetMode="External"/><Relationship Id="rId210" Type="http://schemas.openxmlformats.org/officeDocument/2006/relationships/hyperlink" Target="https://www.sec.gov/Archives/edgar/data/1439725/000095017022025530/bdsx-ex10_3.htm" TargetMode="External"/><Relationship Id="rId211" Type="http://schemas.openxmlformats.org/officeDocument/2006/relationships/hyperlink" Target="https://www.sec.gov/Archives/edgar/data/1439725/000095017023039073/bds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2024-03-01T05:27:02Z</dcterms:created>
  <dcterms:modified xsi:type="dcterms:W3CDTF">2024-03-01T05:27:02Z</dcterms:modified>
</cp:coreProperties>
</file>