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9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74930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1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4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480" w:right="760" w:hanging="459"/>
        <w:spacing w:after="0"/>
        <w:tabs>
          <w:tab w:leader="none" w:pos="480" w:val="left"/>
        </w:tabs>
        <w:numPr>
          <w:ilvl w:val="0"/>
          <w:numId w:val="2"/>
        </w:numPr>
        <w:rPr>
          <w:rFonts w:ascii="MS PGothic" w:cs="MS PGothic" w:eastAsia="MS PGothic" w:hAnsi="MS PGothic"/>
          <w:sz w:val="29"/>
          <w:szCs w:val="29"/>
          <w:color w:val="auto"/>
          <w:highlight w:val="black"/>
          <w:vertAlign w:val="subscript"/>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ectPr>
          <w:pgSz w:w="11900" w:h="16838" w:orient="portrait"/>
          <w:cols w:equalWidth="0" w:num="1">
            <w:col w:w="11240"/>
          </w:cols>
          <w:pgMar w:left="320" w:top="620" w:right="339" w:bottom="1440" w:gutter="0" w:footer="0" w:header="0"/>
        </w:sectPr>
      </w:pPr>
    </w:p>
    <w:p>
      <w:pPr>
        <w:spacing w:after="0" w:line="6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76835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8" w:lineRule="exact"/>
        <w:rPr>
          <w:sz w:val="24"/>
          <w:szCs w:val="24"/>
          <w:color w:val="auto"/>
        </w:rPr>
      </w:pPr>
    </w:p>
    <w:p>
      <w:pPr>
        <w:jc w:val="center"/>
        <w:ind w:left="3620"/>
        <w:spacing w:after="0"/>
        <w:rPr>
          <w:sz w:val="20"/>
          <w:szCs w:val="20"/>
          <w:color w:val="auto"/>
        </w:rPr>
      </w:pPr>
      <w:r>
        <w:rPr>
          <w:rFonts w:ascii="Arial" w:cs="Arial" w:eastAsia="Arial" w:hAnsi="Arial"/>
          <w:sz w:val="40"/>
          <w:szCs w:val="40"/>
          <w:b w:val="1"/>
          <w:bCs w:val="1"/>
          <w:color w:val="auto"/>
        </w:rPr>
        <w:t>Biodesix, Inc.</w:t>
      </w:r>
    </w:p>
    <w:p>
      <w:pPr>
        <w:spacing w:after="0" w:line="3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55880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4"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Delaware</w:t>
      </w:r>
    </w:p>
    <w:p>
      <w:pPr>
        <w:spacing w:after="0" w:line="35"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line="237" w:lineRule="auto"/>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20-3986492</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19" w:lineRule="exact"/>
        <w:rPr>
          <w:sz w:val="24"/>
          <w:szCs w:val="24"/>
          <w:color w:val="auto"/>
        </w:rPr>
      </w:pPr>
    </w:p>
    <w:p>
      <w:pPr>
        <w:sectPr>
          <w:pgSz w:w="11900" w:h="16838" w:orient="portrait"/>
          <w:cols w:equalWidth="0" w:num="2">
            <w:col w:w="7640" w:space="300"/>
            <w:col w:w="3300"/>
          </w:cols>
          <w:pgMar w:left="320" w:top="620" w:right="339" w:bottom="1440" w:gutter="0" w:footer="0" w:header="0"/>
          <w:type w:val="continuous"/>
        </w:sectPr>
      </w:pPr>
    </w:p>
    <w:p>
      <w:pPr>
        <w:spacing w:after="0" w:line="43" w:lineRule="exact"/>
        <w:rPr>
          <w:sz w:val="24"/>
          <w:szCs w:val="24"/>
          <w:color w:val="auto"/>
        </w:rPr>
      </w:pPr>
    </w:p>
    <w:tbl>
      <w:tblPr>
        <w:tblLayout w:type="fixed"/>
        <w:tblInd w:w="1560" w:type="dxa"/>
        <w:tblCellMar>
          <w:top w:w="0" w:type="dxa"/>
          <w:left w:w="0" w:type="dxa"/>
          <w:bottom w:w="0" w:type="dxa"/>
          <w:right w:w="0" w:type="dxa"/>
        </w:tblCellMar>
      </w:tblPr>
      <w:tr>
        <w:trPr>
          <w:trHeight w:val="229"/>
        </w:trPr>
        <w:tc>
          <w:tcPr>
            <w:tcW w:w="4540" w:type="dxa"/>
            <w:vAlign w:val="bottom"/>
          </w:tcPr>
          <w:p>
            <w:pPr>
              <w:jc w:val="center"/>
              <w:ind w:right="1939"/>
              <w:spacing w:after="0"/>
              <w:rPr>
                <w:sz w:val="20"/>
                <w:szCs w:val="20"/>
                <w:color w:val="auto"/>
              </w:rPr>
            </w:pPr>
            <w:r>
              <w:rPr>
                <w:rFonts w:ascii="Arial" w:cs="Arial" w:eastAsia="Arial" w:hAnsi="Arial"/>
                <w:sz w:val="18"/>
                <w:szCs w:val="18"/>
                <w:b w:val="1"/>
                <w:bCs w:val="1"/>
                <w:color w:val="auto"/>
                <w:w w:val="89"/>
              </w:rPr>
              <w:t>2970 Wilderness Place, Suite 100</w:t>
            </w:r>
          </w:p>
        </w:tc>
        <w:tc>
          <w:tcPr>
            <w:tcW w:w="2620" w:type="dxa"/>
            <w:vAlign w:val="bottom"/>
          </w:tcPr>
          <w:p>
            <w:pPr>
              <w:spacing w:after="0"/>
              <w:rPr>
                <w:sz w:val="19"/>
                <w:szCs w:val="19"/>
                <w:color w:val="auto"/>
              </w:rPr>
            </w:pPr>
          </w:p>
        </w:tc>
      </w:tr>
      <w:tr>
        <w:trPr>
          <w:trHeight w:val="248"/>
        </w:trPr>
        <w:tc>
          <w:tcPr>
            <w:tcW w:w="4540" w:type="dxa"/>
            <w:vAlign w:val="bottom"/>
          </w:tcPr>
          <w:p>
            <w:pPr>
              <w:jc w:val="center"/>
              <w:ind w:right="1939"/>
              <w:spacing w:after="0"/>
              <w:rPr>
                <w:sz w:val="20"/>
                <w:szCs w:val="20"/>
                <w:color w:val="auto"/>
              </w:rPr>
            </w:pPr>
            <w:r>
              <w:rPr>
                <w:rFonts w:ascii="Arial" w:cs="Arial" w:eastAsia="Arial" w:hAnsi="Arial"/>
                <w:sz w:val="18"/>
                <w:szCs w:val="18"/>
                <w:b w:val="1"/>
                <w:bCs w:val="1"/>
                <w:color w:val="auto"/>
                <w:w w:val="91"/>
              </w:rPr>
              <w:t>Boulder, CO</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80301</w:t>
            </w:r>
          </w:p>
        </w:tc>
      </w:tr>
      <w:tr>
        <w:trPr>
          <w:trHeight w:val="171"/>
        </w:trPr>
        <w:tc>
          <w:tcPr>
            <w:tcW w:w="4540" w:type="dxa"/>
            <w:vAlign w:val="bottom"/>
          </w:tcPr>
          <w:p>
            <w:pPr>
              <w:jc w:val="center"/>
              <w:ind w:right="193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620" w:type="dxa"/>
            <w:vAlign w:val="bottom"/>
          </w:tcPr>
          <w:p>
            <w:pPr>
              <w:jc w:val="center"/>
              <w:ind w:left="1964"/>
              <w:spacing w:after="0"/>
              <w:rPr>
                <w:sz w:val="20"/>
                <w:szCs w:val="20"/>
                <w:color w:val="auto"/>
              </w:rPr>
            </w:pPr>
            <w:r>
              <w:rPr>
                <w:rFonts w:ascii="Arial" w:cs="Arial" w:eastAsia="Arial" w:hAnsi="Arial"/>
                <w:sz w:val="13"/>
                <w:szCs w:val="13"/>
                <w:b w:val="1"/>
                <w:bCs w:val="1"/>
                <w:color w:val="auto"/>
                <w:w w:val="90"/>
              </w:rPr>
              <w:t>(Zip Code)</w:t>
            </w:r>
          </w:p>
        </w:tc>
      </w:tr>
    </w:tbl>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(303) 417-0500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76835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4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0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6"/>
                <w:szCs w:val="16"/>
                <w:color w:val="auto"/>
              </w:rPr>
            </w:pPr>
          </w:p>
        </w:tc>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20" w:type="dxa"/>
            <w:vAlign w:val="bottom"/>
          </w:tcPr>
          <w:p>
            <w:pPr>
              <w:spacing w:after="0"/>
              <w:rPr>
                <w:sz w:val="16"/>
                <w:szCs w:val="16"/>
                <w:color w:val="auto"/>
              </w:rPr>
            </w:pPr>
          </w:p>
        </w:tc>
        <w:tc>
          <w:tcPr>
            <w:tcW w:w="4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20"/>
              <w:spacing w:after="0"/>
              <w:rPr>
                <w:sz w:val="20"/>
                <w:szCs w:val="20"/>
                <w:color w:val="auto"/>
              </w:rPr>
            </w:pPr>
            <w:r>
              <w:rPr>
                <w:rFonts w:ascii="Arial" w:cs="Arial" w:eastAsia="Arial" w:hAnsi="Arial"/>
                <w:sz w:val="18"/>
                <w:szCs w:val="18"/>
                <w:color w:val="auto"/>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BDSX</w:t>
            </w:r>
          </w:p>
        </w:tc>
        <w:tc>
          <w:tcPr>
            <w:tcW w:w="12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4"/>
              </w:rPr>
              <w:t>The NASDAQ Global Market</w:t>
            </w:r>
          </w:p>
        </w:tc>
        <w:tc>
          <w:tcPr>
            <w:tcW w:w="0" w:type="dxa"/>
            <w:vAlign w:val="bottom"/>
          </w:tcPr>
          <w:p>
            <w:pPr>
              <w:spacing w:after="0"/>
              <w:rPr>
                <w:sz w:val="1"/>
                <w:szCs w:val="1"/>
                <w:color w:val="auto"/>
              </w:rPr>
            </w:pPr>
          </w:p>
        </w:tc>
      </w:tr>
    </w:tbl>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60" w:lineRule="exact"/>
        <w:rPr>
          <w:sz w:val="24"/>
          <w:szCs w:val="24"/>
          <w:color w:val="auto"/>
        </w:rPr>
      </w:pPr>
    </w:p>
    <w:p>
      <w:pPr>
        <w:ind w:right="2580"/>
        <w:spacing w:after="0" w:line="26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color w:val="auto"/>
        </w:rPr>
        <w:t>☐</w:t>
      </w:r>
    </w:p>
    <w:p>
      <w:pPr>
        <w:spacing w:after="0" w:line="60" w:lineRule="exact"/>
        <w:rPr>
          <w:sz w:val="24"/>
          <w:szCs w:val="24"/>
          <w:color w:val="auto"/>
        </w:rPr>
      </w:pPr>
    </w:p>
    <w:p>
      <w:pPr>
        <w:ind w:right="3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46" w:lineRule="exact"/>
        <w:rPr>
          <w:sz w:val="24"/>
          <w:szCs w:val="24"/>
          <w:color w:val="auto"/>
        </w:rPr>
      </w:pPr>
    </w:p>
    <w:p>
      <w:pPr>
        <w:ind w:right="360"/>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color w:val="auto"/>
        </w:rPr>
        <w:t>☐</w:t>
      </w:r>
    </w:p>
    <w:p>
      <w:pPr>
        <w:spacing w:after="0" w:line="46" w:lineRule="exact"/>
        <w:rPr>
          <w:sz w:val="24"/>
          <w:szCs w:val="24"/>
          <w:color w:val="auto"/>
        </w:rPr>
      </w:pPr>
    </w:p>
    <w:p>
      <w:pPr>
        <w:ind w:right="1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472"/>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472"/>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72" w:lineRule="exact"/>
        <w:rPr>
          <w:sz w:val="24"/>
          <w:szCs w:val="24"/>
          <w:color w:val="auto"/>
        </w:rPr>
      </w:pPr>
    </w:p>
    <w:p>
      <w:pPr>
        <w:ind w:right="60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47" w:lineRule="exact"/>
        <w:rPr>
          <w:sz w:val="24"/>
          <w:szCs w:val="24"/>
          <w:color w:val="auto"/>
        </w:rPr>
      </w:pPr>
    </w:p>
    <w:p>
      <w:pPr>
        <w:ind w:right="220"/>
        <w:spacing w:after="0" w:line="21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46" w:lineRule="exact"/>
        <w:rPr>
          <w:sz w:val="24"/>
          <w:szCs w:val="24"/>
          <w:color w:val="auto"/>
        </w:rPr>
      </w:pPr>
    </w:p>
    <w:p>
      <w:pPr>
        <w:ind w:right="320"/>
        <w:spacing w:after="0" w:line="21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pacing w:after="0" w:line="47" w:lineRule="exact"/>
        <w:rPr>
          <w:sz w:val="24"/>
          <w:szCs w:val="24"/>
          <w:color w:val="auto"/>
        </w:rPr>
      </w:pPr>
    </w:p>
    <w:p>
      <w:pPr>
        <w:ind w:right="340"/>
        <w:spacing w:after="0" w:line="213" w:lineRule="exact"/>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Arial" w:cs="Arial" w:eastAsia="Arial" w:hAnsi="Arial"/>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31" w:lineRule="exact"/>
        <w:rPr>
          <w:sz w:val="24"/>
          <w:szCs w:val="24"/>
          <w:color w:val="auto"/>
        </w:rPr>
      </w:pPr>
    </w:p>
    <w:p>
      <w:pPr>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85" w:lineRule="exact"/>
        <w:rPr>
          <w:sz w:val="24"/>
          <w:szCs w:val="24"/>
          <w:color w:val="auto"/>
        </w:rPr>
      </w:pPr>
    </w:p>
    <w:p>
      <w:pPr>
        <w:ind w:right="40"/>
        <w:spacing w:after="0" w:line="292" w:lineRule="auto"/>
        <w:rPr>
          <w:sz w:val="20"/>
          <w:szCs w:val="20"/>
          <w:color w:val="auto"/>
        </w:rPr>
      </w:pPr>
      <w:r>
        <w:rPr>
          <w:rFonts w:ascii="Arial" w:cs="Arial" w:eastAsia="Arial" w:hAnsi="Arial"/>
          <w:sz w:val="16"/>
          <w:szCs w:val="16"/>
          <w:color w:val="auto"/>
        </w:rPr>
        <w:t>As of June 30, 2022, the aggregate market value of common stock held by non-affiliates of the Registrant was $34.1 million, based on the closing price of the common stock as reported on the NASDAQ Global Market for that date.</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Common Stock outstanding as of March 2, 2023 was 77,974,861.</w:t>
      </w:r>
    </w:p>
    <w:p>
      <w:pPr>
        <w:spacing w:after="0" w:line="99"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DOCUMENTS INCORPORATED BY REFERENCE</w:t>
      </w:r>
    </w:p>
    <w:p>
      <w:pPr>
        <w:spacing w:after="0" w:line="86" w:lineRule="exact"/>
        <w:rPr>
          <w:sz w:val="24"/>
          <w:szCs w:val="24"/>
          <w:color w:val="auto"/>
        </w:rPr>
      </w:pPr>
    </w:p>
    <w:p>
      <w:pPr>
        <w:ind w:right="100"/>
        <w:spacing w:after="0" w:line="292" w:lineRule="auto"/>
        <w:rPr>
          <w:sz w:val="20"/>
          <w:szCs w:val="20"/>
          <w:color w:val="auto"/>
        </w:rPr>
      </w:pPr>
      <w:r>
        <w:rPr>
          <w:rFonts w:ascii="Arial" w:cs="Arial" w:eastAsia="Arial" w:hAnsi="Arial"/>
          <w:sz w:val="16"/>
          <w:szCs w:val="16"/>
          <w:color w:val="auto"/>
        </w:rPr>
        <w:t>Portions of the Company’s definitive Proxy Statement for its 2023 Annual Meeting of Shareholders are to be incorporated by reference into Part III, as specifically set forth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60" w:type="dxa"/>
            <w:vAlign w:val="bottom"/>
            <w:gridSpan w:val="9"/>
          </w:tcPr>
          <w:p>
            <w:pPr>
              <w:ind w:left="42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8"/>
        </w:trPr>
        <w:tc>
          <w:tcPr>
            <w:tcW w:w="11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89" w:lineRule="exact"/>
              <w:rPr>
                <w:sz w:val="20"/>
                <w:szCs w:val="20"/>
                <w:color w:val="auto"/>
              </w:rPr>
            </w:pPr>
            <w:r>
              <w:rPr>
                <w:rFonts w:ascii="Arial" w:cs="Arial" w:eastAsia="Arial" w:hAnsi="Arial"/>
                <w:sz w:val="18"/>
                <w:szCs w:val="18"/>
                <w:color w:val="auto"/>
              </w:rPr>
              <w:t>Item 1.</w:t>
            </w:r>
          </w:p>
        </w:tc>
        <w:tc>
          <w:tcPr>
            <w:tcW w:w="9320" w:type="dxa"/>
            <w:vAlign w:val="bottom"/>
            <w:gridSpan w:val="27"/>
          </w:tcPr>
          <w:p>
            <w:pPr>
              <w:spacing w:after="0" w:line="189" w:lineRule="exact"/>
              <w:rPr>
                <w:sz w:val="20"/>
                <w:szCs w:val="20"/>
                <w:color w:val="auto"/>
              </w:rPr>
            </w:pPr>
            <w:r>
              <w:rPr>
                <w:rFonts w:ascii="Arial" w:cs="Arial" w:eastAsia="Arial" w:hAnsi="Arial"/>
                <w:sz w:val="18"/>
                <w:szCs w:val="18"/>
                <w:color w:val="0000FF"/>
              </w:rPr>
              <w:t>Business</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bottom w:val="single" w:sz="8" w:color="0000EE"/>
            </w:tcBorders>
          </w:tcPr>
          <w:p>
            <w:pPr>
              <w:spacing w:after="0"/>
              <w:rPr>
                <w:sz w:val="18"/>
                <w:szCs w:val="18"/>
                <w:color w:val="auto"/>
              </w:rPr>
            </w:pPr>
          </w:p>
        </w:tc>
        <w:tc>
          <w:tcPr>
            <w:tcW w:w="8380" w:type="dxa"/>
            <w:vAlign w:val="bottom"/>
            <w:gridSpan w:val="20"/>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Unresolved Staff Comments</w:t>
            </w:r>
          </w:p>
        </w:tc>
        <w:tc>
          <w:tcPr>
            <w:tcW w:w="7260" w:type="dxa"/>
            <w:vAlign w:val="bottom"/>
            <w:gridSpan w:val="13"/>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Properties</w:t>
            </w:r>
          </w:p>
        </w:tc>
        <w:tc>
          <w:tcPr>
            <w:tcW w:w="20" w:type="dxa"/>
            <w:vAlign w:val="bottom"/>
            <w:tcBorders>
              <w:bottom w:val="single" w:sz="8" w:color="0000EE"/>
            </w:tcBorders>
          </w:tcPr>
          <w:p>
            <w:pPr>
              <w:spacing w:after="0"/>
              <w:rPr>
                <w:sz w:val="18"/>
                <w:szCs w:val="18"/>
                <w:color w:val="auto"/>
              </w:rPr>
            </w:pPr>
          </w:p>
        </w:tc>
        <w:tc>
          <w:tcPr>
            <w:tcW w:w="8560" w:type="dxa"/>
            <w:vAlign w:val="bottom"/>
            <w:gridSpan w:val="24"/>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Legal Proceedings</w:t>
            </w:r>
          </w:p>
        </w:tc>
        <w:tc>
          <w:tcPr>
            <w:tcW w:w="20" w:type="dxa"/>
            <w:vAlign w:val="bottom"/>
            <w:tcBorders>
              <w:bottom w:val="single" w:sz="8" w:color="0000EE"/>
            </w:tcBorders>
          </w:tcPr>
          <w:p>
            <w:pPr>
              <w:spacing w:after="0"/>
              <w:rPr>
                <w:sz w:val="18"/>
                <w:szCs w:val="18"/>
                <w:color w:val="auto"/>
              </w:rPr>
            </w:pPr>
          </w:p>
        </w:tc>
        <w:tc>
          <w:tcPr>
            <w:tcW w:w="7960" w:type="dxa"/>
            <w:vAlign w:val="bottom"/>
            <w:gridSpan w:val="17"/>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4.</w:t>
            </w:r>
          </w:p>
        </w:tc>
        <w:tc>
          <w:tcPr>
            <w:tcW w:w="9320" w:type="dxa"/>
            <w:vAlign w:val="bottom"/>
            <w:gridSpan w:val="27"/>
          </w:tcPr>
          <w:p>
            <w:pPr>
              <w:spacing w:after="0"/>
              <w:rPr>
                <w:sz w:val="20"/>
                <w:szCs w:val="20"/>
                <w:color w:val="auto"/>
              </w:rPr>
            </w:pPr>
            <w:r>
              <w:rPr>
                <w:rFonts w:ascii="Arial" w:cs="Arial" w:eastAsia="Arial" w:hAnsi="Arial"/>
                <w:sz w:val="18"/>
                <w:szCs w:val="18"/>
                <w:color w:val="0000FF"/>
              </w:rPr>
              <w:t>Mine Safety Disclosures</w:t>
            </w: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47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89"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FF"/>
            </w:tcBorders>
            <w:gridSpan w:val="26"/>
          </w:tcPr>
          <w:p>
            <w:pPr>
              <w:spacing w:after="0" w:line="189" w:lineRule="exact"/>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124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[Reserved]</w:t>
            </w:r>
          </w:p>
        </w:tc>
        <w:tc>
          <w:tcPr>
            <w:tcW w:w="20" w:type="dxa"/>
            <w:vAlign w:val="bottom"/>
            <w:tcBorders>
              <w:bottom w:val="single" w:sz="8" w:color="0000EE"/>
            </w:tcBorders>
          </w:tcPr>
          <w:p>
            <w:pPr>
              <w:spacing w:after="0"/>
              <w:rPr>
                <w:sz w:val="18"/>
                <w:szCs w:val="18"/>
                <w:color w:val="auto"/>
              </w:rPr>
            </w:pPr>
          </w:p>
        </w:tc>
        <w:tc>
          <w:tcPr>
            <w:tcW w:w="8500" w:type="dxa"/>
            <w:vAlign w:val="bottom"/>
            <w:gridSpan w:val="22"/>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60" w:type="dxa"/>
            <w:vAlign w:val="bottom"/>
            <w:gridSpan w:val="4"/>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960" w:type="dxa"/>
            <w:vAlign w:val="bottom"/>
            <w:gridSpan w:val="7"/>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20" w:type="dxa"/>
            <w:vAlign w:val="bottom"/>
            <w:tcBorders>
              <w:bottom w:val="single" w:sz="8" w:color="0000EE"/>
            </w:tcBorders>
          </w:tcPr>
          <w:p>
            <w:pPr>
              <w:spacing w:after="0"/>
              <w:rPr>
                <w:sz w:val="18"/>
                <w:szCs w:val="18"/>
                <w:color w:val="auto"/>
              </w:rPr>
            </w:pPr>
          </w:p>
        </w:tc>
        <w:tc>
          <w:tcPr>
            <w:tcW w:w="5960" w:type="dxa"/>
            <w:vAlign w:val="bottom"/>
            <w:gridSpan w:val="9"/>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2840" w:type="dxa"/>
            <w:vAlign w:val="bottom"/>
            <w:gridSpan w:val="3"/>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8"/>
              </w:rPr>
              <w:t>Controls and Procedures</w:t>
            </w:r>
          </w:p>
        </w:tc>
        <w:tc>
          <w:tcPr>
            <w:tcW w:w="7540" w:type="dxa"/>
            <w:vAlign w:val="bottom"/>
            <w:gridSpan w:val="15"/>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2"/>
              </w:rPr>
              <w:t>Other Information</w:t>
            </w:r>
          </w:p>
        </w:tc>
        <w:tc>
          <w:tcPr>
            <w:tcW w:w="20" w:type="dxa"/>
            <w:vAlign w:val="bottom"/>
            <w:tcBorders>
              <w:bottom w:val="single" w:sz="8" w:color="0000EE"/>
            </w:tcBorders>
          </w:tcPr>
          <w:p>
            <w:pPr>
              <w:spacing w:after="0"/>
              <w:rPr>
                <w:sz w:val="18"/>
                <w:szCs w:val="18"/>
                <w:color w:val="auto"/>
              </w:rPr>
            </w:pPr>
          </w:p>
        </w:tc>
        <w:tc>
          <w:tcPr>
            <w:tcW w:w="7980" w:type="dxa"/>
            <w:vAlign w:val="bottom"/>
            <w:gridSpan w:val="18"/>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9C.</w:t>
            </w:r>
          </w:p>
        </w:tc>
        <w:tc>
          <w:tcPr>
            <w:tcW w:w="9320" w:type="dxa"/>
            <w:vAlign w:val="bottom"/>
            <w:gridSpan w:val="27"/>
          </w:tcPr>
          <w:p>
            <w:pPr>
              <w:spacing w:after="0"/>
              <w:rPr>
                <w:sz w:val="20"/>
                <w:szCs w:val="20"/>
                <w:color w:val="auto"/>
              </w:rPr>
            </w:pPr>
            <w:r>
              <w:rPr>
                <w:rFonts w:ascii="Arial" w:cs="Arial" w:eastAsia="Arial" w:hAnsi="Arial"/>
                <w:sz w:val="18"/>
                <w:szCs w:val="18"/>
                <w:color w:val="0000FF"/>
              </w:rPr>
              <w:t>Disclosures Regarding Foreign Jurisdictions that Prevent Inspections</w:t>
            </w: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47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89"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9"/>
          </w:tcPr>
          <w:p>
            <w:pPr>
              <w:spacing w:after="0" w:line="189" w:lineRule="exact"/>
              <w:rPr>
                <w:sz w:val="20"/>
                <w:szCs w:val="20"/>
                <w:color w:val="auto"/>
              </w:rPr>
            </w:pPr>
            <w:r>
              <w:rPr>
                <w:rFonts w:ascii="Arial" w:cs="Arial" w:eastAsia="Arial" w:hAnsi="Arial"/>
                <w:sz w:val="18"/>
                <w:szCs w:val="18"/>
                <w:color w:val="0000FF"/>
                <w:w w:val="90"/>
              </w:rPr>
              <w:t>Directors, Executive Officers and Corporate Governance</w:t>
            </w:r>
          </w:p>
        </w:tc>
        <w:tc>
          <w:tcPr>
            <w:tcW w:w="5220" w:type="dxa"/>
            <w:vAlign w:val="bottom"/>
            <w:gridSpan w:val="8"/>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11.</w:t>
            </w:r>
          </w:p>
        </w:tc>
        <w:tc>
          <w:tcPr>
            <w:tcW w:w="9320" w:type="dxa"/>
            <w:vAlign w:val="bottom"/>
            <w:gridSpan w:val="27"/>
          </w:tcPr>
          <w:p>
            <w:pPr>
              <w:spacing w:after="0"/>
              <w:rPr>
                <w:sz w:val="20"/>
                <w:szCs w:val="20"/>
                <w:color w:val="auto"/>
              </w:rPr>
            </w:pPr>
            <w:r>
              <w:rPr>
                <w:rFonts w:ascii="Arial" w:cs="Arial" w:eastAsia="Arial" w:hAnsi="Arial"/>
                <w:sz w:val="18"/>
                <w:szCs w:val="18"/>
                <w:color w:val="0000FF"/>
              </w:rPr>
              <w:t>Executive Compensation</w:t>
            </w: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11"/>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12.</w:t>
            </w:r>
          </w:p>
        </w:tc>
        <w:tc>
          <w:tcPr>
            <w:tcW w:w="9320" w:type="dxa"/>
            <w:vAlign w:val="bottom"/>
            <w:gridSpan w:val="27"/>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13.</w:t>
            </w:r>
          </w:p>
        </w:tc>
        <w:tc>
          <w:tcPr>
            <w:tcW w:w="5460" w:type="dxa"/>
            <w:vAlign w:val="bottom"/>
            <w:tcBorders>
              <w:top w:val="single" w:sz="8" w:color="0000FF"/>
              <w:bottom w:val="single" w:sz="8" w:color="0000FF"/>
            </w:tcBorders>
            <w:gridSpan w:val="22"/>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1820" w:type="dxa"/>
            <w:vAlign w:val="bottom"/>
            <w:tcBorders>
              <w:top w:val="single" w:sz="8" w:color="0000FF"/>
            </w:tcBorders>
            <w:gridSpan w:val="3"/>
          </w:tcPr>
          <w:p>
            <w:pPr>
              <w:spacing w:after="0"/>
              <w:rPr>
                <w:sz w:val="18"/>
                <w:szCs w:val="18"/>
                <w:color w:val="auto"/>
              </w:rPr>
            </w:pPr>
          </w:p>
        </w:tc>
        <w:tc>
          <w:tcPr>
            <w:tcW w:w="2040" w:type="dxa"/>
            <w:vAlign w:val="bottom"/>
            <w:gridSpan w:val="2"/>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14.</w:t>
            </w:r>
          </w:p>
        </w:tc>
        <w:tc>
          <w:tcPr>
            <w:tcW w:w="9320" w:type="dxa"/>
            <w:vAlign w:val="bottom"/>
            <w:gridSpan w:val="27"/>
          </w:tcPr>
          <w:p>
            <w:pPr>
              <w:spacing w:after="0"/>
              <w:rPr>
                <w:sz w:val="20"/>
                <w:szCs w:val="20"/>
                <w:color w:val="auto"/>
              </w:rPr>
            </w:pPr>
            <w:r>
              <w:rPr>
                <w:rFonts w:ascii="Arial" w:cs="Arial" w:eastAsia="Arial" w:hAnsi="Arial"/>
                <w:sz w:val="18"/>
                <w:szCs w:val="18"/>
                <w:color w:val="0000FF"/>
              </w:rPr>
              <w:t>Principal Accountant Fees and Services</w:t>
            </w: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47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89" w:lineRule="exact"/>
              <w:rPr>
                <w:sz w:val="20"/>
                <w:szCs w:val="20"/>
                <w:color w:val="auto"/>
              </w:rPr>
            </w:pPr>
            <w:r>
              <w:rPr>
                <w:rFonts w:ascii="Arial" w:cs="Arial" w:eastAsia="Arial" w:hAnsi="Arial"/>
                <w:sz w:val="18"/>
                <w:szCs w:val="18"/>
                <w:color w:val="auto"/>
              </w:rPr>
              <w:t>Item 15.</w:t>
            </w:r>
          </w:p>
        </w:tc>
        <w:tc>
          <w:tcPr>
            <w:tcW w:w="9320" w:type="dxa"/>
            <w:vAlign w:val="bottom"/>
            <w:gridSpan w:val="27"/>
          </w:tcPr>
          <w:p>
            <w:pPr>
              <w:spacing w:after="0" w:line="189" w:lineRule="exact"/>
              <w:rPr>
                <w:sz w:val="20"/>
                <w:szCs w:val="20"/>
                <w:color w:val="auto"/>
              </w:rPr>
            </w:pPr>
            <w:r>
              <w:rPr>
                <w:rFonts w:ascii="Arial" w:cs="Arial" w:eastAsia="Arial" w:hAnsi="Arial"/>
                <w:sz w:val="18"/>
                <w:szCs w:val="18"/>
                <w:color w:val="0000FF"/>
              </w:rPr>
              <w:t>Exhibits, Financial Statement Schedules</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2"/>
              </w:rPr>
              <w:t>Form 10-K Summary</w:t>
            </w:r>
          </w:p>
        </w:tc>
        <w:tc>
          <w:tcPr>
            <w:tcW w:w="1340" w:type="dxa"/>
            <w:vAlign w:val="bottom"/>
            <w:tcBorders>
              <w:top w:val="single" w:sz="8" w:color="0000FF"/>
            </w:tcBorders>
            <w:gridSpan w:val="5"/>
          </w:tcPr>
          <w:p>
            <w:pPr>
              <w:spacing w:after="0"/>
              <w:rPr>
                <w:sz w:val="18"/>
                <w:szCs w:val="18"/>
                <w:color w:val="auto"/>
              </w:rPr>
            </w:pPr>
          </w:p>
        </w:tc>
        <w:tc>
          <w:tcPr>
            <w:tcW w:w="6420" w:type="dxa"/>
            <w:vAlign w:val="bottom"/>
            <w:gridSpan w:val="11"/>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annual Report on Form 10-K, regarding, among other things:</w:t>
      </w:r>
    </w:p>
    <w:p>
      <w:pPr>
        <w:spacing w:after="0" w:line="77" w:lineRule="exact"/>
        <w:rPr>
          <w:sz w:val="20"/>
          <w:szCs w:val="20"/>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audited financial statements include a statement that there is a substantial doubt about our ability to continue as a going concern and a continuation of negative financial trends could result in our inability to continue as a going concern.</w:t>
      </w:r>
    </w:p>
    <w:p>
      <w:pPr>
        <w:spacing w:after="0" w:line="61"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fluctuation in our operating results, causing our operating results to fall below expectations or any guidance we provide;</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our COVID-19 and antibody testing program and our ability to meet such demand;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116"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suppliers, including courier services, contract manufacturers and single source suppliers; making us vulnerable to supply problems and price fluctuations;</w:t>
      </w:r>
    </w:p>
    <w:p>
      <w:pPr>
        <w:spacing w:after="0" w:line="61"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(U.S.) or worldwide, including the COVID-19 pandemic on our business;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natural or man-made disasters and other similar events negatively impacting our business, financial condition, and results of operations;</w:t>
      </w:r>
    </w:p>
    <w:p>
      <w:pPr>
        <w:spacing w:after="0" w:line="128" w:lineRule="exact"/>
        <w:rPr>
          <w:rFonts w:ascii="Arial" w:cs="Arial" w:eastAsia="Arial" w:hAnsi="Arial"/>
          <w:sz w:val="17"/>
          <w:szCs w:val="17"/>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incurrence of substantial liabilities and limiting or halting the marketing and sale of our diagnostic tests due to product liability lawsuits;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left="900" w:right="20" w:hanging="383"/>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61"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116"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uncertainties and factors, including those set forth under Risk Factors.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risks are not exhaustive. Other sections of this Annual Report on Form 10-K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Annual Report on Form 10-K or to conform these statements to actual results or to changes in our expectations.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read this Annual Report on Form 10-K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mission</w:t>
      </w:r>
      <w:r>
        <w:rPr>
          <w:rFonts w:ascii="Arial" w:cs="Arial" w:eastAsia="Arial" w:hAnsi="Arial"/>
          <w:sz w:val="16"/>
          <w:szCs w:val="16"/>
          <w:color w:val="auto"/>
        </w:rPr>
        <w:t xml:space="preserve"> is to unite biopharma, physicians, and patients to transform the standard of care and improve outcomes with personalized diagnostics.</w:t>
      </w:r>
    </w:p>
    <w:p>
      <w:pPr>
        <w:spacing w:after="0" w:line="140" w:lineRule="exact"/>
        <w:rPr>
          <w:sz w:val="20"/>
          <w:szCs w:val="20"/>
          <w:color w:val="auto"/>
        </w:rPr>
      </w:pPr>
    </w:p>
    <w:p>
      <w:pPr>
        <w:ind w:left="3800" w:right="140" w:hanging="3183"/>
        <w:spacing w:after="0" w:line="281"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vision</w:t>
      </w:r>
      <w:r>
        <w:rPr>
          <w:rFonts w:ascii="Arial" w:cs="Arial" w:eastAsia="Arial" w:hAnsi="Arial"/>
          <w:sz w:val="18"/>
          <w:szCs w:val="18"/>
          <w:color w:val="auto"/>
        </w:rPr>
        <w:t xml:space="preserve"> is a world where all critical diseases are diagnosed early and treated quickly with the guidance of personalized diagnostic solutions, so humanity can thrive without the burden of disease.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Biodesix, Inc. (“Biodesix”, “we,” “us,” “our” or the “Company”) is a leading data-driven diagnostic solutions company leveraging state of the art technologies with our proprietary artificial intelligence (AI) platform to discover, develop, and commercialize testing solutions for clinical unmet needs, with a primary focus in lung disease. By combining a multi-omic approach with a holistic view of the patient’s disease state, we believe our testing solutions provide physicians with greater insights to help personalize their patient’s care and meaningfully improve disease detection, evaluation, and treatment. Our unique approach to precision medicine provides timely and actionable clinical information, which we believe improves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Because of this approach, we believe we are unique in the diagnostics market as this approach allows for a broader and more holistic understanding of each patient’s disease state. Our data-driven and multi-omic approach is designed to enable us to discover diagnostic tests that answer critical clinical questions faced by physicians, patients, researchers, and biopharmaceutical companies.</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operate in a single segment and derive our revenue from two sources: (i) providing diagnostic testing services associated with (a) blood-based lung tests and (b) Coronavirus Disease 2019 (COVID-19) tests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We derived 90% of our total revenues for fiscal 2022 and 2021 from our diagnostic testing business.</w:t>
      </w:r>
    </w:p>
    <w:p>
      <w:pPr>
        <w:spacing w:after="0" w:line="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dedicated to continuously publishing and presenting new data on the clinical validation and utility of our diagnostic tests. Since our inception, we have performed over 550,000 tests and continue to generate a large and growing body of clinical evidence. We have participated in 27 clinical studies, four of which are ongoing, and have published over 300 clinical and scientific peer-reviewed publications, presentations, and abstracts. We have a variety of samples with associated data in our biobank, including tumor profiles and immune profiles, which are used for both internal and external research and development initiatives.</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commercialized eight diagnostic tests which are currently on market and we perform over 30 assays for research use as part of our laboratory services that have been used by over 60 biopharmaceutical customers and academic partners.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Blood-Based Lung Tests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five diagnostic blood-based tests across the lung cancer continuum of care, which generated $29.3 million and $18.7 million in revenue for fiscal 2022 and 2021, respectively, an annual growth rate of 57%.</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Diagnosis</w:t>
      </w:r>
    </w:p>
    <w:p>
      <w:pPr>
        <w:spacing w:after="0" w:line="117" w:lineRule="exact"/>
        <w:rPr>
          <w:sz w:val="20"/>
          <w:szCs w:val="20"/>
          <w:color w:val="auto"/>
        </w:rPr>
      </w:pPr>
    </w:p>
    <w:p>
      <w:pPr>
        <w:jc w:val="both"/>
        <w:ind w:left="900" w:hanging="383"/>
        <w:spacing w:after="0" w:line="286"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Nodify XL2® </w:t>
      </w:r>
      <w:r>
        <w:rPr>
          <w:rFonts w:ascii="Arial" w:cs="Arial" w:eastAsia="Arial" w:hAnsi="Arial"/>
          <w:sz w:val="17"/>
          <w:szCs w:val="17"/>
          <w:color w:val="auto"/>
        </w:rPr>
        <w:t>and</w:t>
      </w:r>
      <w:r>
        <w:rPr>
          <w:rFonts w:ascii="Arial" w:cs="Arial" w:eastAsia="Arial" w:hAnsi="Arial"/>
          <w:sz w:val="17"/>
          <w:szCs w:val="17"/>
          <w:i w:val="1"/>
          <w:iCs w:val="1"/>
          <w:color w:val="auto"/>
        </w:rPr>
        <w:t xml:space="preserve"> Nodify CDT</w:t>
      </w:r>
      <w:r>
        <w:rPr>
          <w:rFonts w:ascii="Arial" w:cs="Arial" w:eastAsia="Arial" w:hAnsi="Arial"/>
          <w:sz w:val="17"/>
          <w:szCs w:val="17"/>
          <w:color w:val="auto"/>
        </w:rPr>
        <w:t>® tests, together marketed as part of our Nodify Lung</w:t>
      </w:r>
      <w:r>
        <w:rPr>
          <w:rFonts w:ascii="Arial" w:cs="Arial" w:eastAsia="Arial" w:hAnsi="Arial"/>
          <w:sz w:val="17"/>
          <w:szCs w:val="17"/>
          <w:i w:val="1"/>
          <w:iCs w:val="1"/>
          <w:color w:val="auto"/>
        </w:rPr>
        <w:t xml:space="preserve">® </w:t>
      </w:r>
      <w:r>
        <w:rPr>
          <w:rFonts w:ascii="Arial" w:cs="Arial" w:eastAsia="Arial" w:hAnsi="Arial"/>
          <w:sz w:val="17"/>
          <w:szCs w:val="17"/>
          <w:color w:val="auto"/>
        </w:rPr>
        <w:t>Nodule Risk Assessment testing strategy, assess a</w:t>
      </w:r>
      <w:r>
        <w:rPr>
          <w:rFonts w:ascii="Arial" w:cs="Arial" w:eastAsia="Arial" w:hAnsi="Arial"/>
          <w:sz w:val="17"/>
          <w:szCs w:val="17"/>
          <w:i w:val="1"/>
          <w:iCs w:val="1"/>
          <w:color w:val="auto"/>
        </w:rPr>
        <w:t xml:space="preserve"> </w:t>
      </w:r>
      <w:r>
        <w:rPr>
          <w:rFonts w:ascii="Arial" w:cs="Arial" w:eastAsia="Arial" w:hAnsi="Arial"/>
          <w:sz w:val="17"/>
          <w:szCs w:val="17"/>
          <w:color w:val="auto"/>
        </w:rPr>
        <w:t>suspicious lung nodule's risk of lung cancer to help identify the most appropriate treatment pathway. We believe we are the only company to offer two commercial blood-based tests to help physicians reclassify risk of malignancy in patients with suspicious lung nodules.</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Treatment &amp; Monitoring</w:t>
      </w:r>
    </w:p>
    <w:p>
      <w:pPr>
        <w:spacing w:after="0" w:line="117" w:lineRule="exact"/>
        <w:rPr>
          <w:sz w:val="20"/>
          <w:szCs w:val="20"/>
          <w:color w:val="auto"/>
        </w:rPr>
      </w:pPr>
    </w:p>
    <w:p>
      <w:pPr>
        <w:jc w:val="both"/>
        <w:ind w:left="900" w:hanging="383"/>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GeneStrat® ddPCR </w:t>
      </w:r>
      <w:r>
        <w:rPr>
          <w:rFonts w:ascii="Arial" w:cs="Arial" w:eastAsia="Arial" w:hAnsi="Arial"/>
          <w:sz w:val="18"/>
          <w:szCs w:val="18"/>
          <w:color w:val="auto"/>
        </w:rPr>
        <w:t>and</w:t>
      </w:r>
      <w:r>
        <w:rPr>
          <w:rFonts w:ascii="Arial" w:cs="Arial" w:eastAsia="Arial" w:hAnsi="Arial"/>
          <w:sz w:val="18"/>
          <w:szCs w:val="18"/>
          <w:i w:val="1"/>
          <w:iCs w:val="1"/>
          <w:color w:val="auto"/>
        </w:rPr>
        <w:t xml:space="preserve"> VeriStrat® </w:t>
      </w:r>
      <w:r>
        <w:rPr>
          <w:rFonts w:ascii="Arial" w:cs="Arial" w:eastAsia="Arial" w:hAnsi="Arial"/>
          <w:sz w:val="18"/>
          <w:szCs w:val="18"/>
          <w:color w:val="auto"/>
        </w:rPr>
        <w:t>tests, marketed as part of our IQLung™ testing strategy, are used following diagnosis of lung cancer to</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the presence of mutations in the tumor and the state of the patient’s immune system to establish the patient’s prognosis and help guide treatment decisions. The GeneStrat ddPCR tumor profiling test and the VeriStrat immune profiling test have a turnaround time of two business days, providing physicians with timely results to facilitate treatment decisions.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left="900" w:hanging="383"/>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GeneStrat NGS™ (NGS) </w:t>
      </w:r>
      <w:r>
        <w:rPr>
          <w:rFonts w:ascii="Arial" w:cs="Arial" w:eastAsia="Arial" w:hAnsi="Arial"/>
          <w:sz w:val="18"/>
          <w:szCs w:val="18"/>
          <w:color w:val="auto"/>
        </w:rPr>
        <w:t>test, also marketed as part of our IQLung testing strategy, is our blood-based NGS test with results in three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days. The NGS test was launched in November 2021 to a select group of physicians, with national launch in January 2022. The 52-gene panel includes guideline recommended mutations to help physicians treating advanced-stage lung cancer patients identify targeted therapy mutations in genes, such as EGFR, ALK, KRAS, MET, NTRK, ERBB2, and others, and delivers them in an expedited timeframe so patient treatment can begin sooner.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Tests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response to the COVID-19 pandemic, through our partnership with Bio-Rad, we commercialized the Biodesix WorkSafe™ testing program. We generated $5.2 million and $30.2 million in revenue from COVID-19 testing during fiscal 2022 and 2021, respectively. Our scientific diagnostic expertise, technologies, and existing commercial infrastructure enabled us to rapidly commercialize two United States Food and Drug Administration (FDA) Emergency Use Authorization (EUA)-authorized tests, a part of our customizable WorkSafe program. Both diagnostic tests are owned and were developed by Bio-Rad and Bio-Rad has granted us permission to utilize both tests for commercial diagnostic services.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Bio-Rad SARS-CoV-2 Droplet Digital™ polymerase chain reaction (ddPCR) test and the Platelia SARS-CoV-2 Total Ab test have been granted FDA EUA pursuant to the current emergency declaration. The Bio-Rad SARS-CoV-2 ddPCR test was FDA EUA authorized on May 1, 2020, authorizing performance of the test in laboratories certified under the Clinical Laboratory Improvement Amendments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Prior to using the Bio-Rad SARS-CoV-2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Beginning in second quarter 2021, we began partnering with GenScript Biotech Corporation to commercialize the blood-based cPass</w:t>
      </w:r>
      <w:r>
        <w:rPr>
          <w:rFonts w:ascii="Arial" w:cs="Arial" w:eastAsia="Arial" w:hAnsi="Arial"/>
          <w:sz w:val="16"/>
          <w:szCs w:val="16"/>
          <w:i w:val="1"/>
          <w:iCs w:val="1"/>
          <w:color w:val="auto"/>
        </w:rPr>
        <w:t>™</w:t>
      </w:r>
      <w:r>
        <w:rPr>
          <w:rFonts w:ascii="Arial" w:cs="Arial" w:eastAsia="Arial" w:hAnsi="Arial"/>
          <w:sz w:val="16"/>
          <w:szCs w:val="16"/>
          <w:color w:val="auto"/>
        </w:rPr>
        <w:t xml:space="preserve"> SARS-CoV-2 Neutralizing Antibody testing as a service. The test is the first surrogate neutralizing antibody test with FDA EUA and uses ELISA technology to qualitatively detect circulating neutralizing antibodies to the receptor binding domain (RBD) in the spike protein of SARS-CoV-2 that are produced in response to a previous SARS-CoV-2 infection.</w:t>
      </w:r>
    </w:p>
    <w:p>
      <w:pPr>
        <w:spacing w:after="0" w:line="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The EUA declaration under Section 564 of the FDCA is distinct from and independent of the declaration by the Secretary of HHS of a public health emergency under Section 319 of the Public Health Service Act (the PHS Act). On January 30, 2023, the White House issued a Statement of Administration Policy announcing the President’s intention to allow the Public Health Emergency declaration under Section 319 to expire on May 11, 2023. Because the EUA declaration from the FDA is distinct from the declaration under Section 319 of the PHS Act, the FDA EUA may remain in effect beyond the duration of the Section 319 declaration. We cannot predict how long the EUAs for the SARS-CoV-2 tests will remain in place.</w:t>
      </w:r>
    </w:p>
    <w:p>
      <w:pPr>
        <w:spacing w:after="0" w:line="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announced multiple partnerships for COVID-19 testing, and maintained an agreement with the State of Colorado to be one of the diagnostic companies to support widespread COVID-19 testing for the State which expired on August 31, 2022. Additionally, we oversaw and managed onsite testing and validating testing for the Big Ten Conference athletic competitions through the term of our contract which expired on June 30,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disrupted, and may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(CDC). Employees who can perform their duties remotely have the option to work from home. Our sales, marketing and business development efforts may be constrained by our operational response to future COVID-19 variant outbreaks. We will continue to adjust our operational norms, as needed, to help slow the spread of COVID-19, including complying with government directives and guidelines as they are modified and supplemented.</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pandemic and the surge associated with multiple variants have negatively affected our lung diagnostic testing-related revenue and our clinical studies.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We do not anticipate the need for COVID-19 testing to be commensurate with the peak demand experienced during the first quarter 2021 and instead expect the demand to substantially decline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jc w:val="both"/>
        <w:spacing w:after="0" w:line="301" w:lineRule="auto"/>
        <w:rPr>
          <w:sz w:val="20"/>
          <w:szCs w:val="20"/>
          <w:color w:val="auto"/>
        </w:rPr>
      </w:pPr>
      <w:r>
        <w:rPr>
          <w:rFonts w:ascii="Arial" w:cs="Arial" w:eastAsia="Arial" w:hAnsi="Arial"/>
          <w:sz w:val="16"/>
          <w:szCs w:val="16"/>
          <w:color w:val="auto"/>
        </w:rPr>
        <w:t>as our society adapts to a post-pandemic era. There is no assurance that our COVID-19 testing program will continue to be accepted by the market or that other diagnostic tests will become more accepted, produce quicker results or are more accurate. Further, the longevity and extent of the COVID-19 pandemic is uncertain and the need for COVID-19 testing may vary, which could have a significant effect on our results of operations and profitability. As a result, increases in revenue, if any, due to any increase in demand for these diagnostic tests may not be indicative of our future revenue.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See “Risk Factors” for a description of how the COVID-19 pandemic may adversely affect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Results for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2022, compared to the prior year:</w:t>
      </w:r>
    </w:p>
    <w:p>
      <w:pPr>
        <w:spacing w:after="0" w:line="117" w:lineRule="exact"/>
        <w:rPr>
          <w:sz w:val="20"/>
          <w:szCs w:val="20"/>
          <w:color w:val="auto"/>
        </w:rPr>
      </w:pPr>
    </w:p>
    <w:p>
      <w:pPr>
        <w:ind w:left="760" w:right="1240" w:hanging="243"/>
        <w:spacing w:after="0" w:line="375"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$38.2 million, a decrease of 30% primarily driven by the expected decline in COVID-19 diagnostic testing;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 </w:t>
      </w:r>
      <w:r>
        <w:rPr>
          <w:rFonts w:ascii="Arial" w:cs="Arial" w:eastAsia="Arial" w:hAnsi="Arial"/>
          <w:sz w:val="18"/>
          <w:szCs w:val="18"/>
          <w:i w:val="1"/>
          <w:iCs w:val="1"/>
          <w:color w:val="auto"/>
        </w:rPr>
        <w:t>Lung Diagnostic Revenue of $29.3 million, an increase of 57%</w:t>
      </w:r>
    </w:p>
    <w:p>
      <w:pPr>
        <w:ind w:left="1200" w:hanging="443"/>
        <w:spacing w:after="0"/>
        <w:tabs>
          <w:tab w:leader="none" w:pos="1200"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Services Revenue of $3.7 million, a decrease of 34%</w:t>
      </w:r>
    </w:p>
    <w:p>
      <w:pPr>
        <w:spacing w:after="0" w:line="116" w:lineRule="exact"/>
        <w:rPr>
          <w:rFonts w:ascii="Arial" w:cs="Arial" w:eastAsia="Arial" w:hAnsi="Arial"/>
          <w:sz w:val="18"/>
          <w:szCs w:val="18"/>
          <w:color w:val="auto"/>
        </w:rPr>
      </w:pPr>
    </w:p>
    <w:p>
      <w:pPr>
        <w:ind w:left="1200" w:hanging="443"/>
        <w:spacing w:after="0"/>
        <w:tabs>
          <w:tab w:leader="none" w:pos="1200"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COVID-19 Revenue of $5.2 million, a decrease of 83%</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$24.1 million resulting in a 63% overall gross margin percentage as compared to 44% in the prior year;</w:t>
      </w:r>
    </w:p>
    <w:p>
      <w:pPr>
        <w:spacing w:after="0" w:line="116" w:lineRule="exact"/>
        <w:rPr>
          <w:rFonts w:ascii="Arial" w:cs="Arial" w:eastAsia="Arial" w:hAnsi="Arial"/>
          <w:sz w:val="18"/>
          <w:szCs w:val="18"/>
          <w:color w:val="auto"/>
        </w:rPr>
      </w:pPr>
    </w:p>
    <w:p>
      <w:pPr>
        <w:ind w:left="900" w:right="680" w:hanging="383"/>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Direct costs and expenses, </w:t>
      </w:r>
      <w:r>
        <w:rPr>
          <w:rFonts w:ascii="Arial" w:cs="Arial" w:eastAsia="Arial" w:hAnsi="Arial"/>
          <w:sz w:val="18"/>
          <w:szCs w:val="18"/>
          <w:color w:val="auto"/>
        </w:rPr>
        <w:t>were $74.6 million, an increase of 15% and including non-cash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of $6.0 million as compared to $4.9 million in the prior year;</w:t>
      </w:r>
    </w:p>
    <w:p>
      <w:pPr>
        <w:spacing w:after="0" w:line="61" w:lineRule="exact"/>
        <w:rPr>
          <w:rFonts w:ascii="Arial" w:cs="Arial" w:eastAsia="Arial" w:hAnsi="Arial"/>
          <w:sz w:val="18"/>
          <w:szCs w:val="18"/>
          <w:color w:val="auto"/>
        </w:rPr>
      </w:pPr>
    </w:p>
    <w:p>
      <w:pPr>
        <w:ind w:left="900" w:right="700" w:hanging="383"/>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was $65.4 million, an increase of 52%, which includes approximately $7.0 million of loss on debt extinguishment in 2022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gain on debt modification of $2.3 million in the prior year;</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$1.55;</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by Operating Activities </w:t>
      </w:r>
      <w:r>
        <w:rPr>
          <w:rFonts w:ascii="Arial" w:cs="Arial" w:eastAsia="Arial" w:hAnsi="Arial"/>
          <w:sz w:val="18"/>
          <w:szCs w:val="18"/>
          <w:color w:val="auto"/>
        </w:rPr>
        <w:t>was $45.0 million, compared to $28.2 million used in the prior year; and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$43.1 million as of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Testing Market Size and Opportunity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Despite significant advances over the last decade, lung cancer is still the deadliest type of cancer in both men and women in the United States. While diagnostic testing has become routinely used at certain points in the lung cancer continuum of care (diagnosis, treatment and monitoring), we believe there is substantial need for novel, advanced testing to improve on the current standard of care. We estimate that in the United States, the lung cancer continuum of care currently represents over 10 million annual testing opportunities and is over a $27 billion market annually for testing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116840</wp:posOffset>
            </wp:positionV>
            <wp:extent cx="5214620" cy="1524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4620" cy="152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Over the last two decades, the use of biomarker testing in clinical trials has increased, with 15% of oncology trials involving the use of biomarker testing in 2000, compared to 55% in 2018. We believe the field of biomarker discovery and companion diagnostic development for biopharmaceutical therapeutics is set to continue growing as biopharmaceutical companies seek to de-risk their research and development pipelines and increase chances of drug development success. We estimate that biopharmaceutical partnering and research opportunities represents over a $2 billion market annually.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Lung Cancer Continuum of Care – Clinical Unmet Needs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Standards of care in lung cancer have evolved rapidly over the past decade, along with our understanding of the disease. With the introduction of numerous treatment options, physicians need an ever-increasing amount of information in order to select the best treatment plan for each individual patient. We believe that the lung cancer continuum of care has a variety of clinical unmet needs ranging from initial diagnosis of lung cancer after discovery of a lung nodule to treatment guidance for early and advanced stage disease, and monitoring for disease progression.</w:t>
      </w:r>
    </w:p>
    <w:p>
      <w:pPr>
        <w:spacing w:after="0" w:line="58" w:lineRule="exact"/>
        <w:rPr>
          <w:sz w:val="20"/>
          <w:szCs w:val="20"/>
          <w:color w:val="auto"/>
        </w:rPr>
      </w:pPr>
    </w:p>
    <w:p>
      <w:pPr>
        <w:jc w:val="both"/>
        <w:ind w:left="900" w:hanging="383"/>
        <w:spacing w:after="0" w:line="269"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Diagnosis</w:t>
      </w:r>
      <w:r>
        <w:rPr>
          <w:rFonts w:ascii="Arial" w:cs="Arial" w:eastAsia="Arial" w:hAnsi="Arial"/>
          <w:sz w:val="17"/>
          <w:szCs w:val="17"/>
          <w:color w:val="auto"/>
        </w:rPr>
        <w:t>: We estimate approximately 1.6 million new incidental lung nodules and potentially 4 million lung nodules from the adoption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screening could be identified annually in the United States. Following initial discovery of a nodule, patients are typically evaluated by a pulmonologist for risk of lung cancer before an invasive procedure is carried out to obtain a tissue sample to confirm diagnosis. This risk assessment is based on clinical factors such as the patient’s smoking history and age, and radiological features such as the size and location of the nodule, obtained from a computed tomography (CT) scan. On initial assessment, we estimate that approximately 80% of patients are identified as low to moderate risk (5-65%) where guideline recommendations for their care plan are unclear, often resulting in either </w:t>
      </w:r>
      <w:r>
        <w:rPr>
          <w:rFonts w:ascii="Arial" w:cs="Arial" w:eastAsia="Arial" w:hAnsi="Arial"/>
          <w:sz w:val="17"/>
          <w:szCs w:val="17"/>
          <w:i w:val="1"/>
          <w:iCs w:val="1"/>
          <w:color w:val="auto"/>
        </w:rPr>
        <w:t xml:space="preserve">overtreatment </w:t>
      </w:r>
      <w:r>
        <w:rPr>
          <w:rFonts w:ascii="Arial" w:cs="Arial" w:eastAsia="Arial" w:hAnsi="Arial"/>
          <w:sz w:val="17"/>
          <w:szCs w:val="17"/>
          <w:color w:val="auto"/>
        </w:rPr>
        <w:t>of patients with benign nodules or</w:t>
      </w:r>
      <w:r>
        <w:rPr>
          <w:rFonts w:ascii="Arial" w:cs="Arial" w:eastAsia="Arial" w:hAnsi="Arial"/>
          <w:sz w:val="17"/>
          <w:szCs w:val="17"/>
          <w:i w:val="1"/>
          <w:iCs w:val="1"/>
          <w:color w:val="auto"/>
        </w:rPr>
        <w:t xml:space="preserve"> undertreatment </w:t>
      </w:r>
      <w:r>
        <w:rPr>
          <w:rFonts w:ascii="Arial" w:cs="Arial" w:eastAsia="Arial" w:hAnsi="Arial"/>
          <w:sz w:val="17"/>
          <w:szCs w:val="17"/>
          <w:color w:val="auto"/>
        </w:rPr>
        <w:t>in patients with cancer. An estimated 17% of patients with malignant nodules</w:t>
      </w:r>
      <w:r>
        <w:rPr>
          <w:rFonts w:ascii="Arial" w:cs="Arial" w:eastAsia="Arial" w:hAnsi="Arial"/>
          <w:sz w:val="17"/>
          <w:szCs w:val="17"/>
          <w:i w:val="1"/>
          <w:iCs w:val="1"/>
          <w:color w:val="auto"/>
        </w:rPr>
        <w:t xml:space="preserve"> </w:t>
      </w:r>
      <w:r>
        <w:rPr>
          <w:rFonts w:ascii="Arial" w:cs="Arial" w:eastAsia="Arial" w:hAnsi="Arial"/>
          <w:sz w:val="17"/>
          <w:szCs w:val="17"/>
          <w:color w:val="auto"/>
        </w:rPr>
        <w:t>are initially sent to watchful waiting, where a follow-up CT scan is scheduled in three to six months, potentially delaying their diagnosis. Conversely, we estimate that 62% of biopsies and 35% of surgeries performed on lung nodules find benign disease, representing a significant overtreatment that incurs both risk and cost to the patient and their providers. We therefore believe that there is a clear clinical need for blood-based diagnostic testing to help improve the initial risk assessment of pulmonary nodules, helping direct patients to the relevant treatment pathway, and ultimately improving patient outcomes and saving costs to the system.</w:t>
      </w:r>
    </w:p>
    <w:p>
      <w:pPr>
        <w:spacing w:after="0" w:line="67" w:lineRule="exact"/>
        <w:rPr>
          <w:rFonts w:ascii="Arial" w:cs="Arial" w:eastAsia="Arial" w:hAnsi="Arial"/>
          <w:sz w:val="17"/>
          <w:szCs w:val="17"/>
          <w:color w:val="auto"/>
        </w:rPr>
      </w:pPr>
    </w:p>
    <w:p>
      <w:pPr>
        <w:jc w:val="both"/>
        <w:ind w:left="900" w:hanging="383"/>
        <w:spacing w:after="0" w:line="269"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Treatment Guidance – Early Stage</w:t>
      </w:r>
      <w:r>
        <w:rPr>
          <w:rFonts w:ascii="Arial" w:cs="Arial" w:eastAsia="Arial" w:hAnsi="Arial"/>
          <w:sz w:val="17"/>
          <w:szCs w:val="17"/>
          <w:color w:val="auto"/>
        </w:rPr>
        <w:t>: We estimate that there are over 700,000 testing opportunities annually in the United States in early-stage</w:t>
      </w:r>
      <w:r>
        <w:rPr>
          <w:rFonts w:ascii="Arial" w:cs="Arial" w:eastAsia="Arial" w:hAnsi="Arial"/>
          <w:sz w:val="17"/>
          <w:szCs w:val="17"/>
          <w:b w:val="1"/>
          <w:bCs w:val="1"/>
          <w:color w:val="auto"/>
        </w:rPr>
        <w:t xml:space="preserve"> </w:t>
      </w:r>
      <w:r>
        <w:rPr>
          <w:rFonts w:ascii="Arial" w:cs="Arial" w:eastAsia="Arial" w:hAnsi="Arial"/>
          <w:sz w:val="17"/>
          <w:szCs w:val="17"/>
          <w:color w:val="auto"/>
        </w:rPr>
        <w:t>lung cancer to assess a patient’s risk of recurrence following curative-intent surgery, and to detect potential target mutations for therapeutics. Depending on a patient’s risk of recurrence,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do still recur within five years following surgery, representing a sub-group of patients who may have benefited from more intensive treatment protocol. We believe there is a clear clinical need for blood-based diagnostic testing prior to surgery to identify stage I patients who may benefit from a more intensive treatment protocol and we also believe there is the need for identifying stage II and IIIA patients where low risk patients may benefit from a less intensive treatment protocol. There have also been recent advances in the use of targeted therapies in early-stage lung disease. These therapies typically target specific genomic mutations or alterations found in some tumors. We believe there is therefore an emerging need for testing designed specifically for mutation detection in early-stage disease.</w:t>
      </w:r>
    </w:p>
    <w:p>
      <w:pPr>
        <w:spacing w:after="0" w:line="71" w:lineRule="exact"/>
        <w:rPr>
          <w:rFonts w:ascii="Arial" w:cs="Arial" w:eastAsia="Arial" w:hAnsi="Arial"/>
          <w:sz w:val="17"/>
          <w:szCs w:val="17"/>
          <w:color w:val="auto"/>
        </w:rPr>
      </w:pPr>
    </w:p>
    <w:p>
      <w:pPr>
        <w:jc w:val="both"/>
        <w:ind w:left="900" w:hanging="383"/>
        <w:spacing w:after="0" w:line="289"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Treatment Guidance – Advanced Stage: </w:t>
      </w:r>
      <w:r>
        <w:rPr>
          <w:rFonts w:ascii="Arial" w:cs="Arial" w:eastAsia="Arial" w:hAnsi="Arial"/>
          <w:sz w:val="16"/>
          <w:szCs w:val="16"/>
          <w:color w:val="auto"/>
        </w:rPr>
        <w:t>We estimate that there are over three million diagnostic testing opportunities annually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to guide advanced stage lung cancer treatment decisions. With nearly 50 FDA-approved systemic treatment regimens listed in national treatment guidelines for non-small cell lung cancer (NSCLC), there is an elevated need for personalized biomarkers to help physicians identify the right patient for the right treatment. Multiple tissue-based diagnostic tests have been approved to identify patients eligible for targeted therapies and immunotherapy; however, about 50% of patients do not have sufficient tissue collected following diagnosis to facilitate testing. To compound the issue, different molecular tests take varying amounts of time (days versus weeks) to report results back to the ordering physician, which often leads to treatment decisions being made on incomplete information. Therefore, we believe there is an imminent need for a blood-based testing solution that measures tumor mutations and the patient’s immune profile, to provide physicians with more comprehensive and timely information to assess the overall prognosis of the patient and personalize treatment.</w:t>
      </w:r>
    </w:p>
    <w:p>
      <w:pPr>
        <w:spacing w:after="0" w:line="55" w:lineRule="exact"/>
        <w:rPr>
          <w:rFonts w:ascii="Arial" w:cs="Arial" w:eastAsia="Arial" w:hAnsi="Arial"/>
          <w:sz w:val="16"/>
          <w:szCs w:val="16"/>
          <w:color w:val="auto"/>
        </w:rPr>
      </w:pPr>
    </w:p>
    <w:p>
      <w:pPr>
        <w:jc w:val="both"/>
        <w:ind w:left="900" w:hanging="383"/>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Monitoring</w:t>
      </w:r>
      <w:r>
        <w:rPr>
          <w:rFonts w:ascii="Arial" w:cs="Arial" w:eastAsia="Arial" w:hAnsi="Arial"/>
          <w:sz w:val="18"/>
          <w:szCs w:val="18"/>
          <w:color w:val="auto"/>
        </w:rPr>
        <w:t>: We estimate that there are over 800,000 testing opportunities in the United States for blood-based tumor and immune profiling to</w:t>
      </w:r>
      <w:r>
        <w:rPr>
          <w:rFonts w:ascii="Arial" w:cs="Arial" w:eastAsia="Arial" w:hAnsi="Arial"/>
          <w:sz w:val="18"/>
          <w:szCs w:val="18"/>
          <w:b w:val="1"/>
          <w:bCs w:val="1"/>
          <w:color w:val="auto"/>
        </w:rPr>
        <w:t xml:space="preserve"> </w:t>
      </w:r>
      <w:r>
        <w:rPr>
          <w:rFonts w:ascii="Arial" w:cs="Arial" w:eastAsia="Arial" w:hAnsi="Arial"/>
          <w:sz w:val="18"/>
          <w:szCs w:val="18"/>
          <w:color w:val="auto"/>
        </w:rPr>
        <w:t>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Limitations in Biomarker Discovery and Companion Diagnostics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estimate that the biopharmaceutical biomarker testing and companion diagnostic market opportunity represents a $2 billion market annually</w:t>
      </w:r>
      <w:r>
        <w:rPr>
          <w:rFonts w:ascii="Arial" w:cs="Arial" w:eastAsia="Arial" w:hAnsi="Arial"/>
          <w:sz w:val="18"/>
          <w:szCs w:val="18"/>
          <w:i w:val="1"/>
          <w:iCs w:val="1"/>
          <w:color w:val="auto"/>
        </w:rPr>
        <w:t>.</w:t>
      </w:r>
      <w:r>
        <w:rPr>
          <w:rFonts w:ascii="Arial" w:cs="Arial" w:eastAsia="Arial" w:hAnsi="Arial"/>
          <w:sz w:val="18"/>
          <w:szCs w:val="18"/>
          <w:color w:val="auto"/>
        </w:rPr>
        <w:t xml:space="preserve"> Over the last two decades, the use of biomarker testing in clinical trials has increased, with 15% of oncology trials involving the use of biomarker testing in 2000 compared to 55% in 2018. From 2005 to 2015, a study identified that incorporating biomarkers into clinical development programs increased their probability of therapeutic success rate from phase 1 to FDA-approval by 570%, representing an increase from 1.6% without biomarkers to 10.7% with biomarkers. We believe the field of biomarker discovery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companion diagnostic development for biopharmaceutical therapeutics is set to continue growing as biopharmaceutical companies seek to de-risk their product development efforts and increase chances of drug development success. However, we believe as the market continues to advance, inherent limitations of both biomarker discovery and companion diagnostic development have become more apparent.</w:t>
      </w:r>
    </w:p>
    <w:p>
      <w:pPr>
        <w:spacing w:after="0" w:line="7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Biomarker Discovery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many limitations with biomarker discovery in biopharmaceutical drug development, including:</w:t>
      </w:r>
    </w:p>
    <w:p>
      <w:pPr>
        <w:spacing w:after="0" w:line="121" w:lineRule="exact"/>
        <w:rPr>
          <w:sz w:val="20"/>
          <w:szCs w:val="20"/>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Biomarkers with clinical utility are difficult to discover and validate in independent datasets.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Classical statistical approaches to biomarker discovery are limited. Single-omic tests fail to see the whole biological picture.</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Tissue biopsies are limited by the amount of a sample that can be collected: longitudinal testing is difficult and the biology is only from the profile of the tumor (host response is not accounted for).</w:t>
      </w:r>
    </w:p>
    <w:p>
      <w:pPr>
        <w:spacing w:after="0" w:line="61"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trials are expensive and take a long period of time. It is often difficult to meet enrollment goals for clinical trials with slow diagnostic testing turnaround times.</w:t>
      </w:r>
    </w:p>
    <w:p>
      <w:pPr>
        <w:spacing w:after="0" w:line="58" w:lineRule="exact"/>
        <w:rPr>
          <w:sz w:val="20"/>
          <w:szCs w:val="20"/>
          <w:color w:val="auto"/>
        </w:rPr>
      </w:pPr>
    </w:p>
    <w:p>
      <w:pPr>
        <w:jc w:val="both"/>
        <w:ind w:left="520"/>
        <w:spacing w:after="0" w:line="265" w:lineRule="auto"/>
        <w:rPr>
          <w:sz w:val="20"/>
          <w:szCs w:val="20"/>
          <w:color w:val="auto"/>
        </w:rPr>
      </w:pPr>
      <w:r>
        <w:rPr>
          <w:rFonts w:ascii="Arial" w:cs="Arial" w:eastAsia="Arial" w:hAnsi="Arial"/>
          <w:sz w:val="18"/>
          <w:szCs w:val="18"/>
          <w:b w:val="1"/>
          <w:bCs w:val="1"/>
          <w:color w:val="auto"/>
        </w:rPr>
        <w:t xml:space="preserve">Companion Diagnostics (CDx): </w:t>
      </w:r>
      <w:r>
        <w:rPr>
          <w:rFonts w:ascii="Arial" w:cs="Arial" w:eastAsia="Arial" w:hAnsi="Arial"/>
          <w:sz w:val="18"/>
          <w:szCs w:val="18"/>
          <w:color w:val="auto"/>
        </w:rPr>
        <w:t>While developing companion diagnostics is critical to precision medicine, the promise of companion diagnostics</w:t>
      </w:r>
      <w:r>
        <w:rPr>
          <w:rFonts w:ascii="Arial" w:cs="Arial" w:eastAsia="Arial" w:hAnsi="Arial"/>
          <w:sz w:val="18"/>
          <w:szCs w:val="18"/>
          <w:b w:val="1"/>
          <w:bCs w:val="1"/>
          <w:color w:val="auto"/>
        </w:rPr>
        <w:t xml:space="preserve"> </w:t>
      </w:r>
      <w:r>
        <w:rPr>
          <w:rFonts w:ascii="Arial" w:cs="Arial" w:eastAsia="Arial" w:hAnsi="Arial"/>
          <w:sz w:val="18"/>
          <w:szCs w:val="18"/>
          <w:color w:val="auto"/>
        </w:rPr>
        <w:t>has not been fully realized and there are multiple limitations that still need resolution. The path to co-develop a successful companion diagnostic with a corresponding drug has several challenges, including:</w:t>
      </w:r>
    </w:p>
    <w:p>
      <w:pPr>
        <w:spacing w:after="0" w:line="73" w:lineRule="exact"/>
        <w:rPr>
          <w:sz w:val="20"/>
          <w:szCs w:val="20"/>
          <w:color w:val="auto"/>
        </w:rPr>
      </w:pPr>
    </w:p>
    <w:p>
      <w:pPr>
        <w:ind w:left="900" w:hanging="38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Traditional companion diagnostic agreements may fail to realize the full value of a testing opportunity, leading to difficulty in funding appropriate commercialization.</w:t>
      </w:r>
    </w:p>
    <w:p>
      <w:pPr>
        <w:spacing w:after="0" w:line="61"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Drug development is a lengthy, complex and costly process. There can be a financial impact to a pharmaceutical company to have a drug selected by a test.</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diagnostic reimbursement policies may not always support the coverage and payment of new companion diagnostics.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agencies continue to work on defining the co-development process, but the environment is continually changing.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Diagnostic Cortex - Our Proprietary Artificial Intelligence (AI) Platform</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We focus on developing technologies that are capable of single and multi-omic research and development.</w:t>
      </w:r>
    </w:p>
    <w:p>
      <w:pPr>
        <w:spacing w:after="0" w:line="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Diagnostic Cortex is an extensively validated deep learning platform optimized for the discovery of clinical diagnostic tests, which we believe overcomes standard machine learning challenges faced in life sciences research. Researchers commonly encounter issues with machine learning-based biological discoveries that cannot be repeated or validated when assessed in additional specimen cohorts. This challenge, commonly referred to as overfitting, occurs when the machine identifies a perfect pattern in an initial training dataset but is unable to identify the same pattern in a new dataset. For over 15 years we have focused on developing our platform to overcome this challenge through proprietary computational techniques to ensure each diagnostic test that is discovered can be further developed to perform consistently in the clinical testing environment.</w:t>
      </w:r>
    </w:p>
    <w:p>
      <w:pPr>
        <w:spacing w:after="0" w:line="68"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We are able to combine blood-based biological information related to the tumor, immune system, and host-status with clinical and radiomic data through our proprietary AI platform, which enables us to interpret the holistic disease state of each patient or clinical dataset we encounter.</w:t>
      </w:r>
    </w:p>
    <w:p>
      <w:pPr>
        <w:spacing w:after="0" w:line="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continuously evolve and improve the Diagnostic Cortex platform. These improvements range from basic code optimization to complex improvements such as the incorporation of novel computational methods for the optimization of multi-omic diagnostic tests. Any AI platform is inherently limited without the highest quality data inputs. Therefore, all of the technologies that we employ have been chosen and developed to provide high-quality data to enable our Diagnostic Cortex platform. We feel that this level of data integrity is crucial for the development of diagnostic tests that require the advanced pattern matching abilities of deep learning algorithms.</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continuously incorporate new market insights and patient data to enhance our platform through a data-driven learning loop. We regularly engage our customers, key opinion leaders, and scientific experts to stay ahead of the rapidly evolving diagnostic and therapeutic landscape and learn about biological discoveries that are clinically meaningful. Additionally, we incorporate clinical and molecular profiling data aggregated through our commercial clinical testing, research studies, clinical trials, and biopharmaceutical customers or academic partnerships, into our platform. We have a variety of samples with associated data in our biobank, including tumor profiles and immune profiles, which are used for both internal and external research and development initiatives. With our data-driven and multi-omic approach as data inputs into the Diagnostic Cortex, we are able to discover diagnostic tests that answer critical clinical questions faced by physicians, researchers, and biopharmaceutical companies.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The following is a diagram outlining our innovative diagnostic test discovery, development and commercialization infrastructure as outlined in the text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116840</wp:posOffset>
            </wp:positionV>
            <wp:extent cx="6165215" cy="2696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65215" cy="269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employ multiple technologies, as illustrated below, including genomics, proteomics, transcriptomics, and radiomics, generated by different assay techniques, including ddPCR, NGS, LC-MS, ELISA, and our proprietary DeepMALDI mass spectrometry platform for the blood-based molecular analysis of the tumor, immune system, and host-status of each patient and/or clinical dataset. Through our learning loop, we continuously revisit our technology strategy and roadmap to integrate new technologies into our evolving platform, which ultimately support the addition of new service and product revenue offerings. We focus on developing technologies that are capable of single and multi-omic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-16510</wp:posOffset>
            </wp:positionV>
            <wp:extent cx="6070600" cy="3150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0600" cy="3150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Most diagnostic companies focus their strategy on using a single technology to discover biomarkers for a broad range of clinical questions. We believe that no single technology can interrogate the complexity of the human disease state to help solve all clinical questions. For that reason, we employ a multi-omic approach to solving diagnostic challenges leveraging our proprietary transparent AI</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jc w:val="both"/>
        <w:ind w:right="20"/>
        <w:spacing w:after="0" w:line="277" w:lineRule="auto"/>
        <w:rPr>
          <w:sz w:val="20"/>
          <w:szCs w:val="20"/>
          <w:color w:val="auto"/>
        </w:rPr>
      </w:pPr>
      <w:r>
        <w:rPr>
          <w:rFonts w:ascii="Arial" w:cs="Arial" w:eastAsia="Arial" w:hAnsi="Arial"/>
          <w:sz w:val="18"/>
          <w:szCs w:val="18"/>
          <w:color w:val="auto"/>
        </w:rPr>
        <w:t>platform, the Diagnostic Cortex. Because of this approach, we believe we are unique in the diagnostics market, allowing for a broader and more holistic understanding of each patient’s disease state.</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experts in many technologies, but we are a true market leader with over 15 years of experience in the field of clinical proteomics. For over 10 years, we have been discovering and developing proteomic-based diagnostic tests and have a deep understanding of how to incorporate technologies that can be applied to blood samples in order to extract important protein-based biological information in the form of diagnostic tests, which can aid clinicians and scientists in understanding the dynamic biology of their system of interest, such as a patient with cancer.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suite of technologies that assist us in discovery, development and commercialization of novel diagnostic tests includes: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DeepMALDI Mass Spectrometry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developed DeepMALDI, a proprietary high-density matrix-assisted laser desorption/ionization time-of-flight (MALDI-ToF) mass spectrometry (MS) technology, to produce blood-based proteomic data for disease diagnosis, personalized health care, precision medicine for direct treatment options, and disease screening in lung and other disease states. DeepMALDI overcomes the limitations of conventional MALDI and other mass spectrometry methods to produce highly sensitive, stable, and reproducible data by: (1) utilizing optimized signal-to-noise reduction and signal processing algorithms; and (2) novel batch correction methods and spectral alignment methods. The combination of these improvements yields substantially higher quality data content and is thereby much better suited for the discovery of biomarkers with clinical utility.</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current DeepMALDI methods allow us to achieve finer mass resolution, greater sensitivity, and 20-times faster imaging speeds than other instruments. Additionally, we believe recent enhancements to our DeepMALDI methods and MALDI-ToF technology evolution now allows us to measure more than 2,000 proteins, an improvement from the previously estimated 900 proteins. We intend to maintain our leadership role in the discovery of proteomics-based diagnostic tests. We utilize our DeepMALDI and MALDI-ToF technologies in our discovery and development efforts and as part of our collaborations with our biopharmaceutical customers and academic partners.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 Chromatography Mass Spectrometry MS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Multiple Reaction Monitoring (MRM) MS with triple quadrupole mass spectrometers and up-front liquid chromatography (LC) sample injection in the Nodify XL2 test. This mass spectrometry method offers highly sensitive, specific, and cost-effective analysis for simultaneous quantitation of hundreds to several thousands of targeted peptides in a single experiment. We have since included the MRM technologies as part of our services for discovery and development with our biopharmaceutical customers and academic partners.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Enzyme-Linked Immunosorbent Assay (ELISA)</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ELISA is the most widely used ligand binding assay platform within and outside the pharmaceutical industry. Formats include direct, indirect and sandwich assays and are typically run in manually or semi-automated modes. We use a semi-automated implementation of ELISA in clinical testing for the Nodify CDT test and the Platelia SARS-CoV-2 Total Ab test, and the cPASS neutralizing antibody test for COVID-19. The acquisition of Oncimmune USA in 2019 expanded our ability to conduct very high throughput and cost-effective ELISAs in our clinical testing laboratory. We have now included the ELISA technologies for research and development both internally and externally with our biopharmaceutical customers and academic partners.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Droplet Digital Polymerase Chain Reaction Technology (ddPCR)</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 the ddPCR technology for multiplexed, semi-automated nucleic acid detection. This allows high sensitivity, fast turn-around times, flexibility in our laboratory workflows, rapid scaling from low to moderate anolyte complexity, and high-volume scalability. ddPCR is an absolute quantitation method based on the partitioning of circulating nucleic acids into up to 20,000 droplets per reaction and is used for the GeneStrat ddPCR test and Bio-Rad SARS-CoV-2 ddPCR test for COVID-19. We have included the ddPCR technologies for research and development both internally and externally with our biopharmaceutical customers and academic partners.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 Generation Sequencing Technology (NGS)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use an NGS technology for broad genomic sequencing of clinical specimens. Our strategy with NGS relies on a menu of off-the-shelf and custom research use assays, which we develop and make available as a part of our commercial pipeline and biopharmaceutical test services. The NGS technology integrates automated systems to yield high sensitivity results with a rapid turnaround time. Since adoption of this technology, we have included the NGS technologies for research and product development both internally and externally with our biopharmaceutical customers and academic partners.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Products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help address the current limitations with standard of care in lung cancer diagnosis, treatment, and monitoring, we use combinations of tumor, immune and host profiling, radiological imaging, patient clinical profiling, and our proprietary AI platform to provide a holistic view of each patient’s dynamic disease state.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We have five blood-based diagnostic tests across the lung cancer continuum of care to help address clinical unmet needs by physicians.</w:t>
      </w:r>
    </w:p>
    <w:p>
      <w:pPr>
        <w:spacing w:after="0" w:line="113" w:lineRule="exact"/>
        <w:rPr>
          <w:sz w:val="20"/>
          <w:szCs w:val="20"/>
          <w:color w:val="auto"/>
        </w:rPr>
      </w:pPr>
    </w:p>
    <w:p>
      <w:pPr>
        <w:jc w:val="both"/>
        <w:ind w:left="900" w:hanging="383"/>
        <w:spacing w:after="0" w:line="25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Diagnosis</w:t>
      </w:r>
      <w:r>
        <w:rPr>
          <w:rFonts w:ascii="Arial" w:cs="Arial" w:eastAsia="Arial" w:hAnsi="Arial"/>
          <w:sz w:val="18"/>
          <w:szCs w:val="18"/>
          <w:color w:val="auto"/>
        </w:rPr>
        <w:t>: We believe there is a clinical need to help physicians reclassify risk of malignancy in patients presenting with suspicious lung</w:t>
      </w:r>
      <w:r>
        <w:rPr>
          <w:rFonts w:ascii="Arial" w:cs="Arial" w:eastAsia="Arial" w:hAnsi="Arial"/>
          <w:sz w:val="18"/>
          <w:szCs w:val="18"/>
          <w:b w:val="1"/>
          <w:bCs w:val="1"/>
          <w:color w:val="auto"/>
        </w:rPr>
        <w:t xml:space="preserve"> </w:t>
      </w:r>
      <w:r>
        <w:rPr>
          <w:rFonts w:ascii="Arial" w:cs="Arial" w:eastAsia="Arial" w:hAnsi="Arial"/>
          <w:sz w:val="18"/>
          <w:szCs w:val="18"/>
          <w:color w:val="auto"/>
        </w:rPr>
        <w:t>nodules. We offer the blood-based Nodify Lung Nodule Risk Assessment testing strategy to aid physicians in stratifying patients into distinct nodule management treatment pathways: diagnostic procedure or imaging surveillance. Nodify Lung consists of two blood-based proteomic tests: the Nodify CDT test helps identify patients with lung nodules that are likely malignant and the Nodify XL2 test conversely helps identify those that are likely benign.</w:t>
      </w:r>
    </w:p>
    <w:p>
      <w:pPr>
        <w:spacing w:after="0" w:line="74" w:lineRule="exact"/>
        <w:rPr>
          <w:rFonts w:ascii="Arial" w:cs="Arial" w:eastAsia="Arial" w:hAnsi="Arial"/>
          <w:sz w:val="18"/>
          <w:szCs w:val="18"/>
          <w:color w:val="auto"/>
        </w:rPr>
      </w:pPr>
    </w:p>
    <w:p>
      <w:pPr>
        <w:jc w:val="both"/>
        <w:ind w:left="900" w:hanging="383"/>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Treatment Guidance</w:t>
      </w:r>
      <w:r>
        <w:rPr>
          <w:rFonts w:ascii="Arial" w:cs="Arial" w:eastAsia="Arial" w:hAnsi="Arial"/>
          <w:sz w:val="18"/>
          <w:szCs w:val="18"/>
          <w:color w:val="auto"/>
        </w:rPr>
        <w:t>: We believe there is an imminent need for a blood-based testing solution that measures tumor-specific mutations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immune profile to provide physicians with more comprehensive information to assess the overall prognosis of the patient and personalize treatment plans. We offer the blood-based IQLung testing strategy, which consists of the GeneStrat ddPCR and GeneStrat NGS tumor profiling tests and the VeriStrat immune profiling test for patients diagnosed with NSCLC. With an average turnaround time of three business days, we are able to quickly provide critical diagnostic information to physicians to facilitate personalized treatment decisions for their patients.</w:t>
      </w:r>
    </w:p>
    <w:p>
      <w:pPr>
        <w:spacing w:after="0" w:line="77" w:lineRule="exact"/>
        <w:rPr>
          <w:rFonts w:ascii="Arial" w:cs="Arial" w:eastAsia="Arial" w:hAnsi="Arial"/>
          <w:sz w:val="18"/>
          <w:szCs w:val="18"/>
          <w:color w:val="auto"/>
        </w:rPr>
      </w:pPr>
    </w:p>
    <w:p>
      <w:pPr>
        <w:jc w:val="both"/>
        <w:ind w:left="900" w:hanging="383"/>
        <w:spacing w:after="0" w:line="26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Monitoring</w:t>
      </w:r>
      <w:r>
        <w:rPr>
          <w:rFonts w:ascii="Arial" w:cs="Arial" w:eastAsia="Arial" w:hAnsi="Arial"/>
          <w:sz w:val="18"/>
          <w:szCs w:val="18"/>
          <w:color w:val="auto"/>
        </w:rPr>
        <w:t>: We believe longitudinally monitoring advanced NSCLC patients for the dynamic evolution of their tumor and immune profile</w:t>
      </w:r>
      <w:r>
        <w:rPr>
          <w:rFonts w:ascii="Arial" w:cs="Arial" w:eastAsia="Arial" w:hAnsi="Arial"/>
          <w:sz w:val="18"/>
          <w:szCs w:val="18"/>
          <w:b w:val="1"/>
          <w:bCs w:val="1"/>
          <w:color w:val="auto"/>
        </w:rPr>
        <w:t xml:space="preserve"> </w:t>
      </w:r>
      <w:r>
        <w:rPr>
          <w:rFonts w:ascii="Arial" w:cs="Arial" w:eastAsia="Arial" w:hAnsi="Arial"/>
          <w:sz w:val="18"/>
          <w:szCs w:val="18"/>
          <w:color w:val="auto"/>
        </w:rPr>
        <w:t>while on treatment can provide an earlier indication of treatment resistance and/or disease progression. We offer the IQLung testing strategy as a blood-based monitoring tool for physicians to track their patients’ disease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158750</wp:posOffset>
            </wp:positionV>
            <wp:extent cx="6165215" cy="1567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65215" cy="156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Diagnosis – Nodule Management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we are the only company to offer two commercial blood-based tests to help physicians reclassify risk of malignancy in patients with suspicious lung nodules. Our blood-based nodule management offering, Nodify Lung Nodule Risk Assessment assists physicians in reclassifying a patient’s risk of lung cancer by incorporating their protein biomarker results with radiographic imaging and clinical characteristics. Nodify Lung consists of the Nodify CDT and Nodify XL2 proteomic tests, which can be ordered separately or together from a single blood draw to help reclassify risk of cancer to aid physicians in stratifying patients into distinct nodule management pathways: intervention or surveillance.</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Nodify CDT test is used to help identify lung nodules that are likely malignant and the Nodify XL2 test helps identify lung nodules that are likely benign. Nodify Lung is available for patients 40 years or older, with nodules between 8 and 30mm, and less than 65% pre-test risk of lung cancer. The testing strategy starts with the Nodify CDT test to determine if a nodule is likely malignant or at a higher risk of lung cancer. The Nodify CDT test helps physicians identify cancer more quickly by prioritizing patients with a higher risk of malignancy for a diagnostic procedure, such as biopsy or surgery. If the nodule is not identified as having a high risk of malignancy by the Nodify CDT test, then the Nodify XL2 test is performed to help determine if the patient’s nodule is likely benign or has a reduced risk of lung cancer and may be a candidate for CT imaging surveillance. The Nodify Lung testing strategy is represented graphically in the image below starting with the patient’s pre-test risk of malignancy and ending with the guideline-recommended diagnostic procedure for each risk category.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721995</wp:posOffset>
            </wp:positionH>
            <wp:positionV relativeFrom="page">
              <wp:posOffset>277495</wp:posOffset>
            </wp:positionV>
            <wp:extent cx="6070600" cy="2594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070600" cy="2594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launched the Nodify Lung combined offering of the Nodify CDT and Nodify XL2 tests in March 2020. However, the Nodify XL2 test has been available to all physicians since September 2019 and has been available to a select group of physicians since October 2018. We acquired the Nodify XL2 test from Integrated Diagnostics (Indi) in July 2018 and acquired the Nodify CDT test from Oncimmune USA in October 2019.</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Nodify CDT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Nodify CDT test is a blood-based proteomic test that helps identify patients who have a suspicious lung nodule that is likely malignant or at a higher risk of being cancerous. Results allow physicians to identify patients who may be better candidates for timely invasive diagnostic procedures such as bronchoscopy, transthoracic needle biopsy, or surgical resection, with the hope of catching cancer earlier. The Nodify CDT test enhances lung nodule risk assessment to facilitate compliance with clinical treatment guidelines such as those of the American College of Chest Physicians (ACCP). The Nodify CDT test is intended for use in patients who are 40 years or older, have nodules between 8 and 30mm, and pre-test risk of lung cancer of less than 65%.</w:t>
      </w:r>
    </w:p>
    <w:p>
      <w:pPr>
        <w:spacing w:after="0" w:line="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test measures the levels of seven circulating autoantibodies (P53, NY-ESO-1, CAGE, GBU4-5, SOX2, HuD, and MAGE A4) associated with lung cancer, combined with an algorithm to report out three potential results: High Level, Moderate Level, or No Significant Levels of Antibodies Detected (NSLAD). The seven autoantibodies have shown to be elevated for all types of lung cancer, and from the earliest stage of the disease.</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Unlike the tumor antigens themselves, the autoantibody levels can be measured accurately through a blood sample, based upon the signal amplification generated by the immune response to cancer. This mechanism of action likely reflects very early events in a tumor’s evolution; as the immune system initiates a response to the cancer, it can also trigger an expansion of self-reactive antibodies that can be measured in circulation.</w:t>
      </w:r>
    </w:p>
    <w:p>
      <w:pPr>
        <w:spacing w:after="0" w:line="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test result of High Level, Moderate Level, or NSLAD, each test report includes the patient’s pre-test risk of malignancy as calculated by the Solitary Pulmonary Nodule (SPN) Risk Assessment calculator, and their post-test risk of cancer incorporating the result of the test. The SPN Risk Assessment calculator was developed by Stephen Swensen, M.D., of the Mayo Clinic and is designed to provide a risk of malignancy for a patient with a newly discovered incidental nodule. The model incorporates six clinical and radiologic factors into the equation: age, nodule size, smoking status, nodule location, spiculation (nodule edge characteristic), and previous history of lung cancer. Incorporating the autoantibody levels with the risk model provides physicians with a more accurate assessment of risk. The test has been studied in 14 peer reviewed published studies and presentations.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Nodify XL2</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Nodify XL2 test is a blood-based proteomic test that helps identify patients who have a suspicious lung nodule that is likely benign or at a reduced risk of being cancerous. Results allow physicians to identify patients who may be better candidates for routine CT surveillance to monitor for growth or shrinkage of the nodule over time instead of an invasive diagnostic procedure. The Nodify XL2 test is used for patients who are 40 years or older, have nodules between 8 and 30mm, and have a pre-test risk of lung cancer of less than or equal to 50%.</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Nodify XL2 test integrates peptides measured by LC-MS with clinical and radiological characteristics that are combined by an algorithm to report out three potential results: Likely Benign, Reduced Risk, or Indeterminate. Specifically, the Nodify XL2 test measures the relative abundance of two peptides (LG3BP and C163A) in circulation in the patient’s blood. The native proteins from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which the peptides are derived have been associated with an inflammatory response to cancer. The clinical factors are patient age and smoking status, and radiological factors are nodule size, location, and edge characteristics.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test result of Likely Benign, Reduced Risk, or Indeterminate, each test report includes the patient’s pre-test risk of lung cancer as calculated by the SPN Risk Assessment calculator, and their post-Nodify XL2 risk of malignancy incorporating the result of the test. Incorporating the peptide levels with the risk model provides physicians with a revised assessment of risk incorporating the patient’s biology.</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summary, the inclusion of the Nodify Lung testing strategy into clinical practice helps physicians reclassify risk of malignancy of low to moderate risk lung nodules by incorporating the patient’s own biology into the assessment. The Nodify CDT test helps physicians identify patients with a high-risk lung nodule who may benefit from timely intervention, which can ultimately help identify lung cancer earlier. The Nodify XL2 test helps physicians identify patients with a very low risk lung nodule who may benefit from CT surveillance and could avoid unnecessary invasive procedures.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Blood samples for the Nodify XL2 and Nodify CDT tests can be collected in the physician’s office, laboratory, or at home through use of mobile phlebotomy. Mobile phlebotomy options facilitate testing for patients even if they are not seen in person by the physician and instead are seen through telehealth visits. This benefits the patient as scheduling can be conveniently fit to their needs and can keep them away from a physician’s office or hospital for safety concerns. Additionally, mobile phlebotomy benefits the physician as the logistics around a blood draw or tissue sampling are out of their hands. We have a national network of contracted Nurses and Phlebotomists to support at-home or mobile blood collection.</w:t>
      </w:r>
    </w:p>
    <w:p>
      <w:pPr>
        <w:spacing w:after="0" w:line="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Both tests require a single blood sample shipped at ambient temperature to our certified, high-complexity clinical laboratory in De Soto, Kansas. Nodify CDT testing requires whole blood and Nodify XL2 testing requires either a whole blood K2EDTA tube, or whole blood spotted onto our proprietary Blood Collection Device (BCD). The introduction of the BCD and now the stand-alone whole blood tube as qualified specimen collection methods for use with the Nodify XL2 test alleviated the need for serum separation processing steps by phlebotomists at blood draw sites such as centrifugation, and cold chain (dry ice) shipments, which has increased the market access to our proteomic-based tests. Results for the Nodify CDT test alone are typically available within one day. If both tests are ordered for the patient and Nodify CDT returns a result of NSLAD, then both test results are typically available within four to five business days. All results are available through secure communication methods, including a portal, fax, hard copy, or mobile device.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Guidance and Monitoring</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Profiling the tumor through blood-based testing can help identify mutations in genes that may be driving growth of the tumor and may be targets for therapeutics. However, tumors also suppress intrinsic mechanisms that prevent the patient’s immune system from identifying and eliminating the cancer cells. Profiling the immune system can show if the patient’s immune system may have been subverted and therefore, is less likely to be responsive to immunotherapies. Our blood-based IQLung testing strategy consists of the GeneStrat ddPCR and GeneStrat NGS tumor profiling tests and the VeriStrat immune profiling test, which can be ordered together or separately for patients with NSCLC. Together, the tests typically have an average turnaround time of three business days, providing physicians with timely results to facilitate treatment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120650</wp:posOffset>
            </wp:positionV>
            <wp:extent cx="4932045" cy="22517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32045" cy="2251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GeneStrat ddPCR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GeneStrat test is a blood-based tumor profiling test that detects the guideline recommended, actionable mutations in lung cancer: </w:t>
      </w:r>
      <w:r>
        <w:rPr>
          <w:rFonts w:ascii="Arial" w:cs="Arial" w:eastAsia="Arial" w:hAnsi="Arial"/>
          <w:sz w:val="18"/>
          <w:szCs w:val="18"/>
          <w:i w:val="1"/>
          <w:iCs w:val="1"/>
          <w:color w:val="auto"/>
        </w:rPr>
        <w:t>EGFR, KRAS, BRAF,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EML4-ALK, ROS-1, </w:t>
      </w:r>
      <w:r>
        <w:rPr>
          <w:rFonts w:ascii="Arial" w:cs="Arial" w:eastAsia="Arial" w:hAnsi="Arial"/>
          <w:sz w:val="18"/>
          <w:szCs w:val="18"/>
          <w:color w:val="auto"/>
        </w:rPr>
        <w:t>and</w:t>
      </w:r>
      <w:r>
        <w:rPr>
          <w:rFonts w:ascii="Arial" w:cs="Arial" w:eastAsia="Arial" w:hAnsi="Arial"/>
          <w:sz w:val="18"/>
          <w:szCs w:val="18"/>
          <w:i w:val="1"/>
          <w:iCs w:val="1"/>
          <w:color w:val="auto"/>
        </w:rPr>
        <w:t xml:space="preserve"> RET. </w:t>
      </w:r>
      <w:r>
        <w:rPr>
          <w:rFonts w:ascii="Arial" w:cs="Arial" w:eastAsia="Arial" w:hAnsi="Arial"/>
          <w:sz w:val="18"/>
          <w:szCs w:val="18"/>
          <w:color w:val="auto"/>
        </w:rPr>
        <w:t>Physicians can order one or any combination of the gene tests, whichever they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deem medically necessary for the individual patient. The presence of a mutation in one of the genes could indicate the patient is a candidate for the associated guideline-recommended targeted therapy. The GeneStrat test performance and potential clinical utility have been published in three peer reviewed studies.</w:t>
      </w:r>
    </w:p>
    <w:p>
      <w:pPr>
        <w:spacing w:after="0" w:line="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GeneStrat test results are typically available within two business days from our receipt of the sample in our Boulder, Colorado clinical laboratory. In a study at Eastern Carolina University, it was observed that blood-based testing was up to three weeks faster than tissue-based testing, with tissue-based testing taking a median of 26 days from sample collection. With GeneStrat testing, results are typically available in time for the patients first oncology visit, allowing the patient to start front-line treatment as quickly as possible. In the same study, it was observed that only 4% of patients had tissue-based molecular test results prior to start of front-line treatment. Meanwhile, after integrating Biodesix testing at the institution, 72% of patients had molecular test results available. Testing with the GeneStrat test can help physicians identify driver mutations quickly to help speed up time to treatment.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GeneStrat NGS Test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GeneStrat NGS test is a blood-based 52-gene tumor profiling test panel that detects the guideline recommended, actionable mutations in lung cancer including five gene classes (SNV, INDELS, CNA, fusions, and exon-skipping). Specific variants of relevance to NSCLC include EGFR, KRAS, BRAF, EML4-ALK, ROS-1, RET, MET, NTRK. The GeneStrat NGS test is used for late-stage, metastatic NSCLC and Physicians can order one or any combination of the IQLung tests, whichever they deem medically necessary for the individual patient. The presence of a mutation in one of the genes could indicate the patient is a candidate for the associated guideline-recommended targeted therapy. The GeneStrat NGS test performance and potential clinical utility have been published in two published studies.</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GeneStrat NGS test results are typically available within three business days from the start of processing of the sample in our Boulder, Colorado clinical laboratory.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48260</wp:posOffset>
            </wp:positionV>
            <wp:extent cx="6165215" cy="2491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65215" cy="2491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rapid, blood-based tumor profiling with the GeneStrat ddPCR and GeneStrat NGS tests can be complementary to both targeted tissue-based testing (including PD-L1) and tissue-based broad genomic sequencing. Testing with GeneStrat ddPCR and GeneStrat NGS tests at diagnosis can help quickly identify patients who are eligible for targeted therapies. Additionally, blood-based testing upfront can help save valuable tissue for diagnostic evaluation, PD-L1 testing and broad genomic profiling for rare mutations to enroll in clinical trials.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VeriStrat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VeriStrat test is a blood-based proteomic test that provides a personalized view of each patient’s immune response to their lung cancer. Results help inform physicians whether their patient has a more aggressive cancer and can help with treatment planning. The VeriStrat test profiles the patient’s immune system by measuring eight protein features measured by mass spectrometry and interpreted by a proprietary machine learning-based algorithm to produce either a VeriStrat Good or VeriStrat Poor test result.</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presence of a VeriStrat Poor result indicates the presence of chronic inflammation and a chronic acute phase immune response. A chronic acute phase immune response can trigger the immune system to provide growth factors to the tumor to increase blood flow and tumor growth. The test has been studied in over 85 peer-reviewed and published clinical studies across many different types of therapies such as chemotherapy, targeted therapies, immune therapies, and combinations. The results consistently show the test to be predictive of outcomes, independent of other prognostic factors including PD-L1 expression and performance status. Patients who test as VeriStrat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jc w:val="both"/>
        <w:spacing w:after="0" w:line="279" w:lineRule="auto"/>
        <w:rPr>
          <w:sz w:val="20"/>
          <w:szCs w:val="20"/>
          <w:color w:val="auto"/>
        </w:rPr>
      </w:pPr>
      <w:r>
        <w:rPr>
          <w:rFonts w:ascii="Arial" w:cs="Arial" w:eastAsia="Arial" w:hAnsi="Arial"/>
          <w:sz w:val="17"/>
          <w:szCs w:val="17"/>
          <w:color w:val="auto"/>
        </w:rPr>
        <w:t>Poor, on average, have an overall survival that is less than half of those who test as VeriStrat Good, independent of treatment type, demonstrating that the test is strongly prognostic. Conversely, patients with a VeriStrat Good test result typically respond better to standard of care treatments than those patients that test as VeriStrat Poor. By using the VeriStrat test for immune profiling, physicians can help identify the patients with an immune status associated with generally poor prognosis who should be treated with alternate therapies or in clinical trials.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GeneStrat ddPCR testing is performed using PCR technology, GeneStrat NGS testing is performed using NGS technology, and the protein features in VeriStrat are measured using MALDI-ToF mass spectrometry. Results are typically available within three business days through secure communication methods, including a portal, fax, hard copy, or mobile device.</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GeneStrat ddPCR and GeneStrat NGS tests require whole blood specimen collection tubes, and VeriStrat requires a whole blood sample spotted onto our proprietary BCD. Both sample types are shipped at ambient temperature and testing is performed in our certified, high-complexity clinical laboratory in Boulder, Colorado.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Biodesix WorkSafe COVID-19 Testing Program</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response to the COVID-19 pandemic, through our partnership with Bio-Rad, we commercialized the Biodesix WorkSafe testing program. Our scientific diagnostic expertise, technologies, and existing commercial infrastructure enabled us to rapidly commercialize two FDA EUA authorized tests, a part of our customizable program. Both diagnostic tests are owned and were developed by Bio-Rad and Bio-Rad has granted us permission to utilize both tests for commercial diagnostic services. The Bio-Rad SARS-CoV-2 ddPCR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Prior to using the Bio-Rad SARS-CoV-2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Beginning in second quarter 2021, we began partnering with GenScript Biotech Corporation to commercialize the blood-based cPass SARS-CoV-2 Neutralizing Antibody testing as a service. The test is the first surrogate neutralizing antibody test with FDA EUA and uses ELISA technology to qualitatively detect circulating neutralizing antibodies to the RBD in the spike protein of SARS-CoV-2 that are produced in response to a previous SARS-CoV-2 infection.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Bio-Rad SARS-CoV-2 ddPCR Test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Bio-Rad SARS-CoV-2 ddPCR test, also known as a molecular or viral test, is intended for the qualitative detection of nucleic acid from SARS-CoV-2, the virus that causes COVID-19. The test targets detection of the nucleic acid from SARS-CoV-2 (not from any other viruses or pathogens) in respiratory specimens to identify and isolate infected individuals. Recent studies have shown that ddPCR-based testing is more sensitive than qPCR for detecting SARS-CoV-2, specifically in the reduction of false negative results. In one study, the ddPCR test demonstrated 95% accuracy vs. 47% for other “bulk” RT-PCR technologies used in other molecular tests. Specimens are shipped at ambient temperature or dry ice depending on the viral transport media (VTM) used, and testing is performed using ddPCR in our certified, high-complexity clinical laboratory in Boulder, Colorado. Results are typically available through secure communication methods, including fax, hard copy, or encrypted email within 24 to 48 hours on average from receipt of the sample.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Platelia SARS-CoV-2 Total Ab Test</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Platelia SARS-CoV-2 Total Ab test (also known as a serology or antibody test) is intended for use as an aid in identifying individuals who have developed an adaptive immune response to the SARS-CoV-2 virus, indicating recent or prior infection. The test uses whole blood to detect circulating antibodies against the virus. The sensitivity is 98% and specificity is 99% eight days after the onset of symptoms. At this time, it is not known how long antibodies persist following infection and if the presence of antibodies confers protective immunity. The test is intended for the qualitative detection of total anti-SARS-CoV-2 nucleocapsid antibodies (IgG, IgM and IgA) in human serum or plasma specimens. The test requires a 3 mL blood draw, and samples are shipped at ambient temperature. Testing is conducted using semi-automated ELISA technology in our certified, high-complexity clinical laboratory in De Soto, Kansas. Results are typically available within 24 to 48 hours from receipt of the sample through secure communication methods, including fax, hard copy, or encrypted email.</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cPass SARS-CoV-2 Neutralization Antibody Test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cPass SARS-CoV-2 Neutralization Antibody Test is the first blood-based surrogate neutralizing antibody test with FDA EUA and uses ELISA technology to qualitatively detect circulating neutralizing antibodies to the RBD in the spike protein of SARS-CoV-2 that are produced in response to a previous SARS-CoV-2 infection. This test was commercially introduced in partnership with GenScript Biotech Corporation.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Biopharmaceutical Diagnostic Discovery, Development and Testing Services Business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leadership in clinical proteomics and our multi-omic approach to probe the cancer disease state provides our customers with a clear and distinct advantage over other diagnostic service providers who solely focus on either genomics or proteomics. Similar to our commercial clinical testing business, our biopharmaceutical diagnostic discovery, development and testing services business leverages the Diagnostic Cortex to provide an extensively validated and deep learning approach to discovering new biomarkers, which in turn helps drive the clinical development of therapeutics. We recognize each clinical development program is complex, which is why we offer end-to-end diagnostic solutions, ranging from initial biomarker discovery and feasibility projects to commercialization of companion diagnostics.</w:t>
      </w:r>
    </w:p>
    <w:p>
      <w:pPr>
        <w:spacing w:after="0" w:line="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address the increasing complexity of disease biology and new drug mechanisms of action, we employ a range of genomic and proteomic technologies to uncover insights about the tumor biology and patient’s immune response to cancer for therapeutics in clinical development. With our broad technology and service offering, including the performance of over 30 assays for research use as part of our laboratory services (see diagram below), we are able to provide the depth and breadth of biomarker tools for our partners for multi-omic analyses across their product development efforts. Although we recognize the importance of a multi-omic, approach in translational research, we are experts in discovering and developing proteomic-based diagnostic tests to help interrogate the immune profile and host disease state of patients on particular therapeutics. Traditionally, oncology biomarkers have been discovered from tumor tissue, but with the increased trend in the number of programs featuring immuno-oncology agents in therapeutic development, we believe there is a clinical unmet need for blood-based tumor markers and host/immune biomarkers to complement information obtained from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113030</wp:posOffset>
            </wp:positionV>
            <wp:extent cx="5848350" cy="2165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8350" cy="216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we provide benefit to our biopharmaceutical customers as they integrate strategies for increasing the probability of success for pivotal clinical trials. Specifically, our diagnostic testing services may help enable quicker enrollment rates for patients in prospective clinical trials, ranging from phase 1 to phase 3, and could help identify patient populations who may experience the greatest benefit from new therapeutics. Ultimately, our goal is to help biopharmaceutical customers realize greater efficiency in their clinical development programs. Additionally, we have the ability to access and leverage our large sample and data biobank for our partners’ data mining needs, including new test discovery.</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our biopharmaceutical discovery, diagnostic development and testing revenue continues to grow, it is important to note that we benefit greatly from these partnerships in many ways that expand beyond revenue. We are continuously expanding our knowledge and biological understanding of multiple diseases and the rapidly evolving treatment landscape, while our Diagnostic Cortex continues to be powered through these biomarker analyses. Additionally, our sample and data biobank continue to grow and can be further leveraged for internal test development and external partnering. Importantly, we look to supplement our product development efforts with companion diagnostics as they are developed.</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we have over 60 biopharmaceutical customers and academic partners who have utilized our diagnostic tests and services. The following are a few case studies of early-stage biomarker discovery and development with our biopharmaceutical customers.</w:t>
      </w:r>
    </w:p>
    <w:p>
      <w:pPr>
        <w:spacing w:after="0" w:line="58" w:lineRule="exact"/>
        <w:rPr>
          <w:sz w:val="20"/>
          <w:szCs w:val="20"/>
          <w:color w:val="auto"/>
        </w:rPr>
      </w:pPr>
    </w:p>
    <w:p>
      <w:pPr>
        <w:jc w:val="both"/>
        <w:ind w:left="900" w:hanging="383"/>
        <w:spacing w:after="0" w:line="274"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AstraZeneca: </w:t>
      </w:r>
      <w:r>
        <w:rPr>
          <w:rFonts w:ascii="Arial" w:cs="Arial" w:eastAsia="Arial" w:hAnsi="Arial"/>
          <w:sz w:val="17"/>
          <w:szCs w:val="17"/>
          <w:color w:val="auto"/>
        </w:rPr>
        <w:t>We provided services to AstraZeneca to retrospectively analyze samples from the FLAURA clinical trial (NCT02296125). The</w:t>
      </w:r>
      <w:r>
        <w:rPr>
          <w:rFonts w:ascii="Arial" w:cs="Arial" w:eastAsia="Arial" w:hAnsi="Arial"/>
          <w:sz w:val="17"/>
          <w:szCs w:val="17"/>
          <w:b w:val="1"/>
          <w:bCs w:val="1"/>
          <w:color w:val="auto"/>
        </w:rPr>
        <w:t xml:space="preserve"> </w:t>
      </w:r>
      <w:r>
        <w:rPr>
          <w:rFonts w:ascii="Arial" w:cs="Arial" w:eastAsia="Arial" w:hAnsi="Arial"/>
          <w:sz w:val="17"/>
          <w:szCs w:val="17"/>
          <w:color w:val="auto"/>
        </w:rPr>
        <w:t>goal of this analysis was to interpret and establish the clinical utility of blood-based longitudinal monitoring of EGFR sensitizing and resistance mutations by ddPCR in advanced NSCLC patients treated with osimertinib. The data demonstrated that these circulating DNA mutations could be tracked in blood to interpret the patient’s prognosis, and could help AstraZeneca to identify disease progression three months (median) in advance of standard imaging. We have used our ddPCR assay to monitor EGFR sensitizing and resistance mutations in clinical trial samples from seven different clinical trials for Tagrisso.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jc w:val="both"/>
        <w:ind w:left="900" w:hanging="383"/>
        <w:spacing w:after="0" w:line="290"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Genentech: </w:t>
      </w:r>
      <w:r>
        <w:rPr>
          <w:rFonts w:ascii="Arial" w:cs="Arial" w:eastAsia="Arial" w:hAnsi="Arial"/>
          <w:sz w:val="16"/>
          <w:szCs w:val="16"/>
          <w:color w:val="auto"/>
        </w:rPr>
        <w:t>We partnered with Genentech to discover a novel proteomic classifier for advanced NSCLC patients treated with atezolizumab.</w:t>
      </w:r>
      <w:r>
        <w:rPr>
          <w:rFonts w:ascii="Arial" w:cs="Arial" w:eastAsia="Arial" w:hAnsi="Arial"/>
          <w:sz w:val="16"/>
          <w:szCs w:val="16"/>
          <w:b w:val="1"/>
          <w:bCs w:val="1"/>
          <w:color w:val="auto"/>
        </w:rPr>
        <w:t xml:space="preserve"> </w:t>
      </w:r>
      <w:r>
        <w:rPr>
          <w:rFonts w:ascii="Arial" w:cs="Arial" w:eastAsia="Arial" w:hAnsi="Arial"/>
          <w:sz w:val="16"/>
          <w:szCs w:val="16"/>
          <w:color w:val="auto"/>
        </w:rPr>
        <w:t>The test was discovered on a small clinical cohort (n=77) and was independently validated on blinded samples (n=270) from the POPLAR clinical trial (NCT01903993). The validation revealed that the proteomic test was predictive of progression free survival and overall survival for atezolizumab versus the control arm docetaxel. Additionally, an analysis compared the correlation between our proteomic classifier with standard of care biomarkers (PD-L1 expression status and tumor mutation burden), which revealed there was no significant correlation. We published additional work on the Genentech classifier with three posters presented at the society of immunotherapy conference (SITC). This data reinforces that our classifier provides unique and valuable information in the treatment of patients with advanced NSCLC. It is our belief that Genentech could use this strategy to identify patients that could derive a longer progression free survival from atezolizumab.</w:t>
      </w:r>
    </w:p>
    <w:p>
      <w:pPr>
        <w:spacing w:after="0" w:line="55" w:lineRule="exact"/>
        <w:rPr>
          <w:rFonts w:ascii="Arial" w:cs="Arial" w:eastAsia="Arial" w:hAnsi="Arial"/>
          <w:sz w:val="16"/>
          <w:szCs w:val="16"/>
          <w:color w:val="auto"/>
        </w:rPr>
      </w:pPr>
    </w:p>
    <w:p>
      <w:pPr>
        <w:jc w:val="both"/>
        <w:ind w:left="900" w:hanging="383"/>
        <w:spacing w:after="0" w:line="26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HiberCell: </w:t>
      </w:r>
      <w:r>
        <w:rPr>
          <w:rFonts w:ascii="Arial" w:cs="Arial" w:eastAsia="Arial" w:hAnsi="Arial"/>
          <w:sz w:val="18"/>
          <w:szCs w:val="18"/>
          <w:color w:val="auto"/>
        </w:rPr>
        <w:t>In January 2021, we announced a broad collaboration with HiberCell for companion diagnostic discovery,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The agreement initially focuses on the further development of an ELISA as a companion diagnostic in future registrational trials for Imprime PGG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are our key competitive advantages:</w:t>
      </w:r>
    </w:p>
    <w:p>
      <w:pPr>
        <w:spacing w:after="0" w:line="113" w:lineRule="exact"/>
        <w:rPr>
          <w:sz w:val="20"/>
          <w:szCs w:val="20"/>
          <w:color w:val="auto"/>
        </w:rPr>
      </w:pPr>
    </w:p>
    <w:p>
      <w:pPr>
        <w:jc w:val="both"/>
        <w:ind w:left="900" w:hanging="383"/>
        <w:spacing w:after="0" w:line="25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Our proprietary extensively validated deep learning platform, which is tailored to discover diagnostic tests that address clinical unmet needs. </w:t>
      </w:r>
      <w:r>
        <w:rPr>
          <w:rFonts w:ascii="Arial" w:cs="Arial" w:eastAsia="Arial" w:hAnsi="Arial"/>
          <w:sz w:val="18"/>
          <w:szCs w:val="18"/>
          <w:color w:val="auto"/>
        </w:rPr>
        <w:t>Our platform is an extensively validated deep learning platform optimized for discovery of diagnostic tests. By combining our data-driven and multi-omic approach with deep learning techniques, we believe we have overcome many standard machine learning challenges. This has enabled us to develop commercial tests for clinical unmet needs and collaborate with our biopharmaceutical customers and academic partners.</w:t>
      </w:r>
    </w:p>
    <w:p>
      <w:pPr>
        <w:spacing w:after="0" w:line="74" w:lineRule="exact"/>
        <w:rPr>
          <w:rFonts w:ascii="Arial" w:cs="Arial" w:eastAsia="Arial" w:hAnsi="Arial"/>
          <w:sz w:val="18"/>
          <w:szCs w:val="18"/>
          <w:color w:val="auto"/>
        </w:rPr>
      </w:pPr>
    </w:p>
    <w:p>
      <w:pPr>
        <w:jc w:val="both"/>
        <w:ind w:left="900" w:hanging="383"/>
        <w:spacing w:after="0" w:line="297"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Our data-driven approach to precision medicine combined with our biobank, which enables us to accelerate development of new tests. </w:t>
      </w:r>
      <w:r>
        <w:rPr>
          <w:rFonts w:ascii="Arial" w:cs="Arial" w:eastAsia="Arial" w:hAnsi="Arial"/>
          <w:sz w:val="16"/>
          <w:szCs w:val="16"/>
          <w:color w:val="auto"/>
        </w:rPr>
        <w:t>We have a variety of samples with associated data in our biobank, including tumor profiles and immune profiles, which are used for both internal and external research and development initiatives. Our biobank, clinical trials, commercial testing and other partnerships provide an ongoing source of new data that further enhances our proprietary AI platform. We are continuously identifying and incorporating new market insights and input from our customers, key opinion leaders, and scientific experts to leverage this data in developing our diagnostic tests.</w:t>
      </w:r>
    </w:p>
    <w:p>
      <w:pPr>
        <w:spacing w:after="0" w:line="48" w:lineRule="exact"/>
        <w:rPr>
          <w:rFonts w:ascii="Arial" w:cs="Arial" w:eastAsia="Arial" w:hAnsi="Arial"/>
          <w:sz w:val="16"/>
          <w:szCs w:val="16"/>
          <w:color w:val="auto"/>
        </w:rPr>
      </w:pPr>
    </w:p>
    <w:p>
      <w:pPr>
        <w:jc w:val="both"/>
        <w:ind w:left="900" w:hanging="383"/>
        <w:spacing w:after="0" w:line="26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Our leadership in clinical proteomics, demonstrated research, development, and scientific expertise, combined with our intellectual property portfolio. </w:t>
      </w:r>
      <w:r>
        <w:rPr>
          <w:rFonts w:ascii="Arial" w:cs="Arial" w:eastAsia="Arial" w:hAnsi="Arial"/>
          <w:sz w:val="18"/>
          <w:szCs w:val="18"/>
          <w:color w:val="auto"/>
        </w:rPr>
        <w:t>Our leadership in clinical proteomics and our multi-omic approach, we believe provides us with a distinct advantage over</w:t>
      </w:r>
      <w:r>
        <w:rPr>
          <w:rFonts w:ascii="Arial" w:cs="Arial" w:eastAsia="Arial" w:hAnsi="Arial"/>
          <w:sz w:val="18"/>
          <w:szCs w:val="18"/>
          <w:b w:val="1"/>
          <w:bCs w:val="1"/>
          <w:color w:val="auto"/>
        </w:rPr>
        <w:t xml:space="preserve"> </w:t>
      </w:r>
      <w:r>
        <w:rPr>
          <w:rFonts w:ascii="Arial" w:cs="Arial" w:eastAsia="Arial" w:hAnsi="Arial"/>
          <w:sz w:val="18"/>
          <w:szCs w:val="18"/>
          <w:color w:val="auto"/>
        </w:rPr>
        <w:t>our competitors, who focus on any single technology, such as genomics or proteomics. Our certified, high-complexity laboratories offer significant advantages in development of commercial tests.</w:t>
      </w:r>
    </w:p>
    <w:p>
      <w:pPr>
        <w:spacing w:after="0" w:line="73" w:lineRule="exact"/>
        <w:rPr>
          <w:rFonts w:ascii="Arial" w:cs="Arial" w:eastAsia="Arial" w:hAnsi="Arial"/>
          <w:sz w:val="18"/>
          <w:szCs w:val="18"/>
          <w:color w:val="auto"/>
        </w:rPr>
      </w:pPr>
    </w:p>
    <w:p>
      <w:pPr>
        <w:jc w:val="both"/>
        <w:ind w:left="900" w:hanging="383"/>
        <w:spacing w:after="0" w:line="280"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Our proprietary technologies and processes are protected by a portfolio of approximately 122 issued patents in the United States and internationally, and 22 uniquely registered United States trademarks. </w:t>
      </w:r>
      <w:r>
        <w:rPr>
          <w:rFonts w:ascii="Arial" w:cs="Arial" w:eastAsia="Arial" w:hAnsi="Arial"/>
          <w:sz w:val="17"/>
          <w:szCs w:val="17"/>
          <w:color w:val="auto"/>
        </w:rPr>
        <w:t>We take efforts to protect our proprietary position using a variety of</w:t>
      </w:r>
      <w:r>
        <w:rPr>
          <w:rFonts w:ascii="Arial" w:cs="Arial" w:eastAsia="Arial" w:hAnsi="Arial"/>
          <w:sz w:val="17"/>
          <w:szCs w:val="17"/>
          <w:b w:val="1"/>
          <w:bCs w:val="1"/>
          <w:color w:val="auto"/>
        </w:rPr>
        <w:t xml:space="preserve"> </w:t>
      </w:r>
      <w:r>
        <w:rPr>
          <w:rFonts w:ascii="Arial" w:cs="Arial" w:eastAsia="Arial" w:hAnsi="Arial"/>
          <w:sz w:val="17"/>
          <w:szCs w:val="17"/>
          <w:color w:val="auto"/>
        </w:rPr>
        <w:t>methods, such as a pursuit of United States and foreign patent applications related to our proprietary technology, use of trade secrets, trademarks, know-how, continuing technological innovation and potential in-licensing and acquisition opportunities.</w:t>
      </w:r>
    </w:p>
    <w:p>
      <w:pPr>
        <w:spacing w:after="0" w:line="58" w:lineRule="exact"/>
        <w:rPr>
          <w:rFonts w:ascii="Arial" w:cs="Arial" w:eastAsia="Arial" w:hAnsi="Arial"/>
          <w:sz w:val="17"/>
          <w:szCs w:val="17"/>
          <w:color w:val="auto"/>
        </w:rPr>
      </w:pPr>
    </w:p>
    <w:p>
      <w:pPr>
        <w:jc w:val="both"/>
        <w:ind w:left="900" w:hanging="383"/>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Our demonstrated success commercializing diagnostic tests in lung disease as well as unprecedented turnaround times. </w:t>
      </w:r>
      <w:r>
        <w:rPr>
          <w:rFonts w:ascii="Arial" w:cs="Arial" w:eastAsia="Arial" w:hAnsi="Arial"/>
          <w:sz w:val="18"/>
          <w:szCs w:val="18"/>
          <w:color w:val="auto"/>
        </w:rPr>
        <w:t>With eight</w:t>
      </w:r>
      <w:r>
        <w:rPr>
          <w:rFonts w:ascii="Arial" w:cs="Arial" w:eastAsia="Arial" w:hAnsi="Arial"/>
          <w:sz w:val="18"/>
          <w:szCs w:val="18"/>
          <w:b w:val="1"/>
          <w:bCs w:val="1"/>
          <w:color w:val="auto"/>
        </w:rPr>
        <w:t xml:space="preserve"> </w:t>
      </w:r>
      <w:r>
        <w:rPr>
          <w:rFonts w:ascii="Arial" w:cs="Arial" w:eastAsia="Arial" w:hAnsi="Arial"/>
          <w:sz w:val="18"/>
          <w:szCs w:val="18"/>
          <w:color w:val="auto"/>
        </w:rPr>
        <w:t>diagnostic tests launched and three currently in development, our commercial portfolio of blood-based solutions currently addresses clinical unmet needs within diagnosis, treatment and monitoring of lung cancer. Our diagnostic tests provide rapid, actionable, and holistic diagnostic information to help inform physicians on the next steps in a patient’s care plan. For example, the blood based IQLung strategy for lung cancer patients integrates the GeneStrat ddPCR test, the GeneStrat NGS test and the VeriStrat test to support treatment decisions across all stages of lung cancer with results in an unprecedented two to three business days, expediting time to treatment. We have displayed agility in our R&amp;D and commercial launch efforts and within a month of initiating a development collaboration, launched three diagnostic tests for COVID-19 for commercial use.</w:t>
      </w:r>
    </w:p>
    <w:p>
      <w:pPr>
        <w:spacing w:after="0" w:line="81" w:lineRule="exact"/>
        <w:rPr>
          <w:rFonts w:ascii="Arial" w:cs="Arial" w:eastAsia="Arial" w:hAnsi="Arial"/>
          <w:sz w:val="18"/>
          <w:szCs w:val="18"/>
          <w:color w:val="auto"/>
        </w:rPr>
      </w:pPr>
    </w:p>
    <w:p>
      <w:pPr>
        <w:jc w:val="both"/>
        <w:ind w:left="900" w:hanging="383"/>
        <w:spacing w:after="0" w:line="297"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Our depth and breadth of point of care access to physicians allows us to drive adoption of our diagnostic tests while incorporating real-life feedback to inform new product development. </w:t>
      </w:r>
      <w:r>
        <w:rPr>
          <w:rFonts w:ascii="Arial" w:cs="Arial" w:eastAsia="Arial" w:hAnsi="Arial"/>
          <w:sz w:val="16"/>
          <w:szCs w:val="16"/>
          <w:color w:val="auto"/>
        </w:rPr>
        <w:t>Our commercial team’s primary focus is to articulate the scientific and clinical evidence</w:t>
      </w:r>
      <w:r>
        <w:rPr>
          <w:rFonts w:ascii="Arial" w:cs="Arial" w:eastAsia="Arial" w:hAnsi="Arial"/>
          <w:sz w:val="16"/>
          <w:szCs w:val="16"/>
          <w:b w:val="1"/>
          <w:bCs w:val="1"/>
          <w:color w:val="auto"/>
        </w:rPr>
        <w:t xml:space="preserve"> </w:t>
      </w:r>
      <w:r>
        <w:rPr>
          <w:rFonts w:ascii="Arial" w:cs="Arial" w:eastAsia="Arial" w:hAnsi="Arial"/>
          <w:sz w:val="16"/>
          <w:szCs w:val="16"/>
          <w:color w:val="auto"/>
        </w:rPr>
        <w:t>behind our tests, how they impact clinical care and can ultimately help to improve patient outcomes. Our demonstrated scientific expertise, leadership in clinical proteomics and breadth of data, including peer-reviewed publications, presentations and clinical studies, forms the basis of our relationships with major hospitals and physician networks across the United States.</w:t>
      </w:r>
    </w:p>
    <w:p>
      <w:pPr>
        <w:spacing w:after="0" w:line="48" w:lineRule="exact"/>
        <w:rPr>
          <w:rFonts w:ascii="Arial" w:cs="Arial" w:eastAsia="Arial" w:hAnsi="Arial"/>
          <w:sz w:val="16"/>
          <w:szCs w:val="16"/>
          <w:color w:val="auto"/>
        </w:rPr>
      </w:pPr>
    </w:p>
    <w:p>
      <w:pPr>
        <w:jc w:val="both"/>
        <w:ind w:left="900" w:hanging="383"/>
        <w:spacing w:after="0" w:line="26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Our commercial infrastructure, which includes our extensive knowledge and experience in sales, marketing, reimbursement and operations, provides us with the ability to launch, scale and drive revenue. </w:t>
      </w:r>
      <w:r>
        <w:rPr>
          <w:rFonts w:ascii="Arial" w:cs="Arial" w:eastAsia="Arial" w:hAnsi="Arial"/>
          <w:sz w:val="18"/>
          <w:szCs w:val="18"/>
          <w:color w:val="auto"/>
        </w:rPr>
        <w:t>We believe our commitment to commercial excellence helps us</w:t>
      </w:r>
      <w:r>
        <w:rPr>
          <w:rFonts w:ascii="Arial" w:cs="Arial" w:eastAsia="Arial" w:hAnsi="Arial"/>
          <w:sz w:val="18"/>
          <w:szCs w:val="18"/>
          <w:b w:val="1"/>
          <w:bCs w:val="1"/>
          <w:color w:val="auto"/>
        </w:rPr>
        <w:t xml:space="preserve"> </w:t>
      </w:r>
      <w:r>
        <w:rPr>
          <w:rFonts w:ascii="Arial" w:cs="Arial" w:eastAsia="Arial" w:hAnsi="Arial"/>
          <w:sz w:val="18"/>
          <w:szCs w:val="18"/>
          <w:color w:val="auto"/>
        </w:rPr>
        <w:t>to leverage insights, operational excellence and proven approaches to deliver revenue growth and enhance the brand of our company and products. We are able to deploy rapid clinical testing turnaround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ind w:left="900"/>
        <w:spacing w:after="0" w:line="277" w:lineRule="auto"/>
        <w:rPr>
          <w:sz w:val="20"/>
          <w:szCs w:val="20"/>
          <w:color w:val="auto"/>
        </w:rPr>
      </w:pPr>
      <w:r>
        <w:rPr>
          <w:rFonts w:ascii="Arial" w:cs="Arial" w:eastAsia="Arial" w:hAnsi="Arial"/>
          <w:sz w:val="18"/>
          <w:szCs w:val="18"/>
          <w:color w:val="auto"/>
        </w:rPr>
        <w:t>times and develop commercial tests at scale. Scaling of our test capacity to meet volumes is then achieved by adding instrumentation and qualified personnel to our quality systems.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58" w:lineRule="exact"/>
        <w:rPr>
          <w:sz w:val="20"/>
          <w:szCs w:val="20"/>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Drive increased awareness, adoption, and reimbursement coverage of our diagnostic tests by:</w:t>
      </w:r>
    </w:p>
    <w:p>
      <w:pPr>
        <w:spacing w:after="0" w:line="121" w:lineRule="exact"/>
        <w:rPr>
          <w:sz w:val="20"/>
          <w:szCs w:val="20"/>
          <w:color w:val="auto"/>
        </w:rPr>
      </w:pPr>
    </w:p>
    <w:p>
      <w:pPr>
        <w:ind w:left="1200" w:hanging="443"/>
        <w:spacing w:after="0" w:line="277"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continuously educating physicians, key opinion leaders, hospital systems, advocacy groups, patients, payers, academic research organizations, and technology assessment and guideline organizations on the clinical data and benefits of our tests;</w:t>
      </w:r>
    </w:p>
    <w:p>
      <w:pPr>
        <w:spacing w:after="0" w:line="61" w:lineRule="exact"/>
        <w:rPr>
          <w:rFonts w:ascii="Arial" w:cs="Arial" w:eastAsia="Arial" w:hAnsi="Arial"/>
          <w:sz w:val="18"/>
          <w:szCs w:val="18"/>
          <w:color w:val="auto"/>
        </w:rPr>
      </w:pPr>
    </w:p>
    <w:p>
      <w:pPr>
        <w:jc w:val="both"/>
        <w:ind w:left="1200" w:hanging="443"/>
        <w:spacing w:after="0" w:line="263"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utilizing our pulmonology- and oncology-focused sales force and commercial reach with targeted awareness campaigns to employ highly targeted sales and marketing tactics in pulmonology clinics specializing in the management of lung nodules and the diagnosis of lung cancer;</w:t>
      </w:r>
    </w:p>
    <w:p>
      <w:pPr>
        <w:spacing w:after="0" w:line="74" w:lineRule="exact"/>
        <w:rPr>
          <w:rFonts w:ascii="Arial" w:cs="Arial" w:eastAsia="Arial" w:hAnsi="Arial"/>
          <w:sz w:val="18"/>
          <w:szCs w:val="18"/>
          <w:color w:val="auto"/>
        </w:rPr>
      </w:pPr>
    </w:p>
    <w:p>
      <w:pPr>
        <w:ind w:left="1200" w:hanging="443"/>
        <w:spacing w:after="0"/>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continuing to invest in the expansion of our sales force and commercial support team;</w:t>
      </w:r>
    </w:p>
    <w:p>
      <w:pPr>
        <w:spacing w:after="0" w:line="116" w:lineRule="exact"/>
        <w:rPr>
          <w:rFonts w:ascii="Arial" w:cs="Arial" w:eastAsia="Arial" w:hAnsi="Arial"/>
          <w:sz w:val="18"/>
          <w:szCs w:val="18"/>
          <w:color w:val="auto"/>
        </w:rPr>
      </w:pPr>
    </w:p>
    <w:p>
      <w:pPr>
        <w:ind w:left="1200" w:hanging="443"/>
        <w:spacing w:after="0" w:line="277"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incorporating our testing services into diagnostic pathways and protocols via a top-down strategy that introduces our diagnostic tests to the largest United States health systems; and</w:t>
      </w:r>
    </w:p>
    <w:p>
      <w:pPr>
        <w:spacing w:after="0" w:line="61" w:lineRule="exact"/>
        <w:rPr>
          <w:rFonts w:ascii="Arial" w:cs="Arial" w:eastAsia="Arial" w:hAnsi="Arial"/>
          <w:sz w:val="18"/>
          <w:szCs w:val="18"/>
          <w:color w:val="auto"/>
        </w:rPr>
      </w:pPr>
    </w:p>
    <w:p>
      <w:pPr>
        <w:ind w:left="1200" w:hanging="443"/>
        <w:spacing w:after="0"/>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leveraging our clinical data to gain broad coverage from public and private payers for our tests.</w:t>
      </w:r>
    </w:p>
    <w:p>
      <w:pPr>
        <w:spacing w:after="0" w:line="112"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Deepen our relationships with current biopharmaceutical customers and establish new customer opportunities by:</w:t>
      </w:r>
    </w:p>
    <w:p>
      <w:pPr>
        <w:spacing w:after="0" w:line="120" w:lineRule="exact"/>
        <w:rPr>
          <w:rFonts w:ascii="Arial" w:cs="Arial" w:eastAsia="Arial" w:hAnsi="Arial"/>
          <w:sz w:val="18"/>
          <w:szCs w:val="18"/>
          <w:color w:val="auto"/>
        </w:rPr>
      </w:pPr>
    </w:p>
    <w:p>
      <w:pPr>
        <w:ind w:left="1200" w:hanging="443"/>
        <w:spacing w:after="0"/>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selling our complete offering of tests and services to biopharmaceutical companies in the United States and internationally;</w:t>
      </w:r>
    </w:p>
    <w:p>
      <w:pPr>
        <w:spacing w:after="0" w:line="116" w:lineRule="exact"/>
        <w:rPr>
          <w:rFonts w:ascii="Arial" w:cs="Arial" w:eastAsia="Arial" w:hAnsi="Arial"/>
          <w:sz w:val="18"/>
          <w:szCs w:val="18"/>
          <w:color w:val="auto"/>
        </w:rPr>
      </w:pPr>
    </w:p>
    <w:p>
      <w:pPr>
        <w:ind w:left="1200" w:hanging="443"/>
        <w:spacing w:after="0"/>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leveraging existing projects and relationships to expand sales with our current biopharmaceutical customers; and</w:t>
      </w:r>
    </w:p>
    <w:p>
      <w:pPr>
        <w:spacing w:after="0" w:line="116" w:lineRule="exact"/>
        <w:rPr>
          <w:rFonts w:ascii="Arial" w:cs="Arial" w:eastAsia="Arial" w:hAnsi="Arial"/>
          <w:sz w:val="18"/>
          <w:szCs w:val="18"/>
          <w:color w:val="auto"/>
        </w:rPr>
      </w:pPr>
    </w:p>
    <w:p>
      <w:pPr>
        <w:ind w:left="1200" w:hanging="443"/>
        <w:spacing w:after="0" w:line="277"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targeting companies developing novel companion diagnostic strategies and drug development projects best suited to our platform for new test discovery, development and commercialization.</w:t>
      </w:r>
    </w:p>
    <w:p>
      <w:pPr>
        <w:spacing w:after="0" w:line="57"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Further demonstrate the clinical utility and health economic benefits of our diagnostic tests by:</w:t>
      </w:r>
    </w:p>
    <w:p>
      <w:pPr>
        <w:spacing w:after="0" w:line="120" w:lineRule="exact"/>
        <w:rPr>
          <w:rFonts w:ascii="Arial" w:cs="Arial" w:eastAsia="Arial" w:hAnsi="Arial"/>
          <w:sz w:val="18"/>
          <w:szCs w:val="18"/>
          <w:color w:val="auto"/>
        </w:rPr>
      </w:pPr>
    </w:p>
    <w:p>
      <w:pPr>
        <w:ind w:left="1200" w:hanging="443"/>
        <w:spacing w:after="0"/>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investing in commercial clinical testing, research studies and clinical trials to further demonstrate the clinical utility of our tests;</w:t>
      </w:r>
    </w:p>
    <w:p>
      <w:pPr>
        <w:spacing w:after="0" w:line="116" w:lineRule="exact"/>
        <w:rPr>
          <w:rFonts w:ascii="Arial" w:cs="Arial" w:eastAsia="Arial" w:hAnsi="Arial"/>
          <w:sz w:val="18"/>
          <w:szCs w:val="18"/>
          <w:color w:val="auto"/>
        </w:rPr>
      </w:pPr>
    </w:p>
    <w:p>
      <w:pPr>
        <w:ind w:left="1200" w:hanging="443"/>
        <w:spacing w:after="0"/>
        <w:tabs>
          <w:tab w:leader="none" w:pos="12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providing rapid, actionable, and holistic diagnostic information to help inform physicians on the next steps in a patient’s care plan; and</w:t>
      </w:r>
    </w:p>
    <w:p>
      <w:pPr>
        <w:spacing w:after="0" w:line="128" w:lineRule="exact"/>
        <w:rPr>
          <w:rFonts w:ascii="Arial" w:cs="Arial" w:eastAsia="Arial" w:hAnsi="Arial"/>
          <w:sz w:val="17"/>
          <w:szCs w:val="17"/>
          <w:color w:val="auto"/>
        </w:rPr>
      </w:pPr>
    </w:p>
    <w:p>
      <w:pPr>
        <w:ind w:left="1200" w:hanging="443"/>
        <w:spacing w:after="0"/>
        <w:tabs>
          <w:tab w:leader="none" w:pos="12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providing timely and actionable clinical information to help improve overall patient outcomes and lower the overall healthcare cost.</w:t>
      </w:r>
    </w:p>
    <w:p>
      <w:pPr>
        <w:spacing w:after="0" w:line="124" w:lineRule="exact"/>
        <w:rPr>
          <w:rFonts w:ascii="Arial" w:cs="Arial" w:eastAsia="Arial" w:hAnsi="Arial"/>
          <w:sz w:val="17"/>
          <w:szCs w:val="17"/>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Introduce new diagnostic tests in lung disease by:</w:t>
      </w:r>
    </w:p>
    <w:p>
      <w:pPr>
        <w:spacing w:after="0" w:line="120" w:lineRule="exact"/>
        <w:rPr>
          <w:rFonts w:ascii="Arial" w:cs="Arial" w:eastAsia="Arial" w:hAnsi="Arial"/>
          <w:sz w:val="18"/>
          <w:szCs w:val="18"/>
          <w:color w:val="auto"/>
        </w:rPr>
      </w:pPr>
    </w:p>
    <w:p>
      <w:pPr>
        <w:ind w:left="1200" w:hanging="443"/>
        <w:spacing w:after="0" w:line="277"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engaging with our customers, key opinion leaders, and scientific experts to stay ahead of the rapidly evolving diagnostic and therapeutic landscape and to identify additional clinical unmet needs;</w:t>
      </w:r>
    </w:p>
    <w:p>
      <w:pPr>
        <w:spacing w:after="0" w:line="61" w:lineRule="exact"/>
        <w:rPr>
          <w:rFonts w:ascii="Arial" w:cs="Arial" w:eastAsia="Arial" w:hAnsi="Arial"/>
          <w:sz w:val="18"/>
          <w:szCs w:val="18"/>
          <w:color w:val="auto"/>
        </w:rPr>
      </w:pPr>
    </w:p>
    <w:p>
      <w:pPr>
        <w:ind w:left="1200" w:hanging="443"/>
        <w:spacing w:after="0" w:line="277"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entering strategic partnerships with biopharmaceutical companies, academic research organizations, technology providers, and other diagnostic companies; and</w:t>
      </w:r>
    </w:p>
    <w:p>
      <w:pPr>
        <w:spacing w:after="0" w:line="61" w:lineRule="exact"/>
        <w:rPr>
          <w:rFonts w:ascii="Arial" w:cs="Arial" w:eastAsia="Arial" w:hAnsi="Arial"/>
          <w:sz w:val="18"/>
          <w:szCs w:val="18"/>
          <w:color w:val="auto"/>
        </w:rPr>
      </w:pPr>
    </w:p>
    <w:p>
      <w:pPr>
        <w:ind w:left="1200" w:right="20" w:hanging="443"/>
        <w:spacing w:after="0" w:line="277"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developing companion diagnostic tests to support the therapeutics’ regulatory approval and adoption process for our biopharmaceutical customers.</w:t>
      </w:r>
    </w:p>
    <w:p>
      <w:pPr>
        <w:spacing w:after="0" w:line="57"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Enhance our proprietary AI platform and expand our technology portfolio by:</w:t>
      </w:r>
    </w:p>
    <w:p>
      <w:pPr>
        <w:spacing w:after="0" w:line="120" w:lineRule="exact"/>
        <w:rPr>
          <w:rFonts w:ascii="Arial" w:cs="Arial" w:eastAsia="Arial" w:hAnsi="Arial"/>
          <w:sz w:val="18"/>
          <w:szCs w:val="18"/>
          <w:color w:val="auto"/>
        </w:rPr>
      </w:pPr>
    </w:p>
    <w:p>
      <w:pPr>
        <w:ind w:left="1200" w:hanging="443"/>
        <w:spacing w:after="0"/>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continuing to invest in R&amp;D capabilities to foster innovation in test discovery and development;</w:t>
      </w:r>
    </w:p>
    <w:p>
      <w:pPr>
        <w:spacing w:after="0" w:line="116" w:lineRule="exact"/>
        <w:rPr>
          <w:rFonts w:ascii="Arial" w:cs="Arial" w:eastAsia="Arial" w:hAnsi="Arial"/>
          <w:sz w:val="18"/>
          <w:szCs w:val="18"/>
          <w:color w:val="auto"/>
        </w:rPr>
      </w:pPr>
    </w:p>
    <w:p>
      <w:pPr>
        <w:ind w:left="1200" w:hanging="443"/>
        <w:spacing w:after="0"/>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identifying, acquiring technologies and integrating new data types into our proprietary AI platform;</w:t>
      </w:r>
    </w:p>
    <w:p>
      <w:pPr>
        <w:spacing w:after="0" w:line="116" w:lineRule="exact"/>
        <w:rPr>
          <w:rFonts w:ascii="Arial" w:cs="Arial" w:eastAsia="Arial" w:hAnsi="Arial"/>
          <w:sz w:val="18"/>
          <w:szCs w:val="18"/>
          <w:color w:val="auto"/>
        </w:rPr>
      </w:pPr>
    </w:p>
    <w:p>
      <w:pPr>
        <w:ind w:left="1200" w:hanging="443"/>
        <w:spacing w:after="0" w:line="277"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entering strategic partnerships across our commercial product portfolio and product development efforts in order to further our development capabilities, accelerate launch of commercial products, or expand our service offering; and</w:t>
      </w:r>
    </w:p>
    <w:p>
      <w:pPr>
        <w:spacing w:after="0" w:line="61" w:lineRule="exact"/>
        <w:rPr>
          <w:rFonts w:ascii="Arial" w:cs="Arial" w:eastAsia="Arial" w:hAnsi="Arial"/>
          <w:sz w:val="18"/>
          <w:szCs w:val="18"/>
          <w:color w:val="auto"/>
        </w:rPr>
      </w:pPr>
    </w:p>
    <w:p>
      <w:pPr>
        <w:ind w:left="1200" w:hanging="443"/>
        <w:spacing w:after="0" w:line="277"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achieving “Explainable AI” by developing and incorporating computational tools that determine how the Diagnostic Cortex makes decisions for patient classification and outcome prediction.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Continue to expand and leverage our biobank by:</w:t>
      </w:r>
    </w:p>
    <w:p>
      <w:pPr>
        <w:spacing w:after="0" w:line="121" w:lineRule="exact"/>
        <w:rPr>
          <w:sz w:val="20"/>
          <w:szCs w:val="20"/>
          <w:color w:val="auto"/>
        </w:rPr>
      </w:pPr>
    </w:p>
    <w:p>
      <w:pPr>
        <w:ind w:left="1200" w:hanging="443"/>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expanding and enhancing the robustness of our samples and the data set, including through our collaborations and partnerships;</w:t>
      </w:r>
    </w:p>
    <w:p>
      <w:pPr>
        <w:spacing w:after="0" w:line="128" w:lineRule="exact"/>
        <w:rPr>
          <w:rFonts w:ascii="Arial" w:cs="Arial" w:eastAsia="Arial" w:hAnsi="Arial"/>
          <w:sz w:val="17"/>
          <w:szCs w:val="17"/>
          <w:color w:val="auto"/>
        </w:rPr>
      </w:pPr>
    </w:p>
    <w:p>
      <w:pPr>
        <w:ind w:left="1200" w:right="20" w:hanging="443"/>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pursuing commercial opportunities with companies and researchers who are interested in utilizing our biobank for their own discovery and development efforts; and</w:t>
      </w:r>
    </w:p>
    <w:p>
      <w:pPr>
        <w:spacing w:after="0" w:line="61" w:lineRule="exact"/>
        <w:rPr>
          <w:rFonts w:ascii="Arial" w:cs="Arial" w:eastAsia="Arial" w:hAnsi="Arial"/>
          <w:sz w:val="18"/>
          <w:szCs w:val="18"/>
          <w:color w:val="auto"/>
        </w:rPr>
      </w:pPr>
    </w:p>
    <w:p>
      <w:pPr>
        <w:ind w:left="1200" w:hanging="443"/>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monetizing these commercial opportunities.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Diagnostic Tests in Development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goal of finding solutions for clinical unmet needs related to diagnosis, treatment and monitoring in lung disease, our diagnostic tests in development include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Early-Stage NSCLC—Risk of Recurrence (ROR)</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Currently, surgical resection of the tumor without systemic or radiation therapy is standard of care for stage I NSCLC patients. However, 20 to 40% of surgically treated patients will suffer a recurrence within five years after surgery. From market research with pulmonologists, thoracic surgeons, and medical oncologists, we identified a significant clinical unmet need for a blood-based test to help identify stage I NSCLC patients who are at a higher risk of recurrence and may benefit from a more aggressive surgical procedure, or from neoadjuvant or adjuvant systemic treatment. Based on this unmet diagnostic need, we discovered the Risk of Recurrence (ROR) test, which is a pre-surgery blood-based proteomic test, designed with the Diagnostic Cortex to predict whether a stage I NSCLC patient has a higher risk of recurrence post-surgical resection. Knowing this information early and before surgery may change the surgical plan and/or support treatment decisions such as neoadjuvant or adjuvant therapy, which have the potential to reduce tumor volume and address micro-metastatic disease as early as possible. Our ROR test validated in an independent sample set, and we are currently working with major academic institutions across the United States to further validate the test.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Late-Stage NSCLC—Immunotherapy Treatment Guidance (PIR)</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2015, the first immunotherapy-based treatment regimen was approved by the FDA for use in lung cancer. Currently, there are 9 immune checkpoint inhibitor (ICI) regimens (single agent or combinations) recommended by the NCCN guidelines for treatment of advanced NSCLC patients. For a portion of patients treated, these drugs can result in significant improvement in overall survival compared with platinum-based chemotherapy options.</w:t>
      </w:r>
    </w:p>
    <w:p>
      <w:pPr>
        <w:spacing w:after="0" w:line="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combination ICI regimens see some improvement in performance over single agent ICI, but side effect profiles are worse, and costs are higher than for single agent ICI. In addition, recent data have shown that a subset of patients experience more rapid disease progression on ICI compared with chemotherapy. We utilized the Diagnostic Cortex platform to discover our Primary Immune Response (PIR) test. PIR is a blood-based proteomic test designed to profile a patient's potential to mount an immune response to their cancer and predict those patients likely to respond to ICI monotherapy treatment, ICI + chemotherapy combination treatment, or who would be highly resistant to ICI therapy. Our PIR test has been validated in multiple independent sample sets for advanced stage NSCLC patients treated with single agent ICI, and we are currently working with major academic institutions across the United States to further validate the test in a prospective study called BEACON-Lung.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 – Progression &amp; Resistance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Blood-based monitoring with our ddPCR technology may offer a feasible method to non-invasively evaluate therapeutic mechanism of action, disease progression, and the emergence of resistance mutations in patients treated with targeted therapies. Our internal validation studies have shown the utility of the GeneStrat </w:t>
      </w:r>
      <w:r>
        <w:rPr>
          <w:rFonts w:ascii="Arial" w:cs="Arial" w:eastAsia="Arial" w:hAnsi="Arial"/>
          <w:sz w:val="18"/>
          <w:szCs w:val="18"/>
          <w:i w:val="1"/>
          <w:iCs w:val="1"/>
          <w:color w:val="auto"/>
        </w:rPr>
        <w:t>EGFR</w:t>
      </w:r>
      <w:r>
        <w:rPr>
          <w:rFonts w:ascii="Arial" w:cs="Arial" w:eastAsia="Arial" w:hAnsi="Arial"/>
          <w:sz w:val="18"/>
          <w:szCs w:val="18"/>
          <w:color w:val="auto"/>
        </w:rPr>
        <w:t xml:space="preserve"> ddPCR test as an example in all three of these indications. The test can identify disease progression up to three months (median) in advance of standard imaging. Using ddPCR for longitudinal blood-based monitoring of EGFR cell-free DNA mutations is a cost-effective testing method while patients are being treated with targeted therapies.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dedicated to continuously publishing and presenting new data on the clinical validation and utility of our diagnostic tests. We have participated in 27 clinical studies, four of which are ongoing, and have published over 300 peer-reviewed publications and presentations. The following are our ongoing clinical studies for our diagnostic testing solutions.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ORACLE Registry Study (NCT03766958)</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ORACLE registry study was designed to develop real-world clinical utility data for Nodify XL2 and is titled “An Observational Registry Study to Evaluate the Performance of the Nodify XL2 Test”. The study objectives are to show a reduction in invasive procedures on patients with benign nodules compared to a historical control obtained from chart review. The first patient enrolled on October 16, 2018. Study enrollment was closed on May 12, 2022, with 494 prospective registry patients enrolled and 348 retrospective chart review patients accrued. As of February 9, 2023, 21 subjects remain in 2-year follow-up.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ALTITUDE Clinical Utility Study (NCT04171492)</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ALTITUDE clinical utility study is designed to evaluate the performance of Nodify Lung (Nodify XL2 and Nodify CDT) in a randomized controlled study (RCT). The study is titled “A Multicenter, Randomized Controlled Trial, Prospectively Evaluating the Clinical Utility of the Nodify XL2 Proteomic Test in Incidentally Discovered Low to Moderate Risk Lung Nodules”. We received central investigational review board (IRB) approval in December 2019 and have an enrollment goal of 2,000 patients. The study objectives are to evaluate how the addition of the Nodify Lung test result impacts the clinical decision making for patients with new, incidentally identified solid lung nodules assessed as low to moderate risk of lung cancer. The trial has an adaptive study design with a blinded standard of care arm and 2:1 randomization for open-label results for Nodify XL2. The study launched in December of 2020. Phase 1 of the study with only Nodify XL2 is expected to enroll 500 patients. Phase 2 of the adaptive study design will include an open-label arm for Nodify CDT, which is aligned with our commercial testing algorithm.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INSIGHT Observational Study (NCT03289780)</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INSIGHT observational study is designed to evaluate the real-world clinical utility and performance of the IQLung (GeneStrat ddPCR, GeneStrat NGS and VeriStrat) testing strategy. The title is “Observational Study Assessing the Clinical Effectiveness of VeriStrat and Validating Immunotherapy Tests in Subjects with Non-Small Cell Lung Cancer (INSIGHT)” and the first patient enrolled on May 11, 2016. To date, we have over 4,700 patients enrolled with a target 5,000 enrollment goal. Final analysis with 3-year follow-up is estimated to be completed by 2026. Results of an interim analysis were presented most recently at AACR 2021. Additionally data on the first 2,000 patients with 1-year follow-up data was published in the Journal for ImmunoTherapy of Cancer in September 2021. The study rationale is to guide the adoption of VeriStrat and inform medical decision making, including treatment choice, and enable the validation of additional mass spectrometry-based proteomic tests. The primary study objective is to describe the impact of the VeriStrat test results on treatment decisions, including but not limited to the percentage change in treatment decision, differences in chosen treatments between patients classified as VeriStrat Good and those classified as VeriStrat Poor, and the percentage of patients receiving systemic therapy or supportive therapies only.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BEACON-Lung Clinical Study (NCT04676386 - Suspended)</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partnership with ALCMI (Addario Lung Cancer Medical Institute), the BEACON-Lung clinical study is intended to evaluate the performance and utility of our proteomic product currently in development, PIR, in advanced stage NSCLC patients who express high PD-L1. The study title is “A Biomarker Analysis in High PD-L1 Expressing NSCLC Patients Treated with An Immune Checkpoint Inhibitor (ICI) With or Without Platinum-Based Chemotherapy.” The study design is an observational, multicenter, open-label study to assess biomarkers (serum, microbiome, radiomics and tissue) as predictive of early progression in 390 treatment-naive patients with advanced stage NSCLC and PD-L1 greater than or equal to 50% treated with two standard of care regimens, triplet therapy (platinum-based chemotherapy plus ICI regimen) and ICI monotherapy (single agent ICI). The objectives are to collect biospecimens and evaluate candidate biomarkers, with a focus on PIR, to detect early progression on ICI monotherapy versus triplet therapy.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lung cancer and nodule management tests, commercial efforts are focused on the promotion of our testing strategies to healthcare professionals actively involved in the diagnosis and treatment of lung cancer. Primarily focusing on pulmonology and oncology, the commercial team, consisting of specialty sales representatives, medical affairs, marketing and customer care representatives, works to educate and inform the entire patient care group consisting of physicians, nurses, office staff, laboratory personnel, and administration as to the appropriate use and value provided by our testing. The team’s goal is to drive test adoption through articulating the scientific and clinical evidence behind our tests, how they impact the clinical care of a patient, and how the tests can ultimately help to improve patient outcomes.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Patients with pulmonary nodules are concentrated in the pulmonology sub-specialty, where additional resources such as lung cancer screening and nodule management clinics may exist to provide an increased level of care. We are also engaging large hospital systems in a “top-down” approach, with a goal of incorporating our tests into system wide pathways and protocols.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After a physician orders our tests, blood is collected either in the physician office or laboratory, third-party “store front” patient service centers, or it can be collected in the patient’s home or workplace. We have contracted with a network of patient service centers and mobile phlebotomy services to be enable collection of blood samples outside of the physician office, at home or work for patients across the United States.</w:t>
      </w:r>
    </w:p>
    <w:p>
      <w:pPr>
        <w:spacing w:after="0" w:line="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our Biodesix WorkSafe testing program, we have a dedicated outreach team that works with the State of Colorado healthcare providers and hospitals, and employers looking to safely return to work across many industries, including food services, oil and gas, biotechnology and pharmaceuticals, sports teams, universities, and many small businesses. We recognize everyone’s COVID-19 situation is unique, which is why we provide end-to-end customized solutions to support testing for our different customers, such as risk assessment tools, physician ordering services, on-site testing, phlebotomy services, shipping logistics, and ongoing client support.</w:t>
      </w:r>
    </w:p>
    <w:p>
      <w:pPr>
        <w:spacing w:after="0" w:line="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 development team is focused on selling our complete offering of tests and services to biopharmaceutical companies in the United States and internationally. We currently hold a medical device establishment license in accordance with the Health Canada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jc w:val="both"/>
        <w:spacing w:after="0" w:line="273" w:lineRule="auto"/>
        <w:rPr>
          <w:sz w:val="20"/>
          <w:szCs w:val="20"/>
          <w:color w:val="auto"/>
        </w:rPr>
      </w:pPr>
      <w:r>
        <w:rPr>
          <w:rFonts w:ascii="Arial" w:cs="Arial" w:eastAsia="Arial" w:hAnsi="Arial"/>
          <w:sz w:val="17"/>
          <w:szCs w:val="17"/>
          <w:color w:val="auto"/>
        </w:rPr>
        <w:t>Medical Devices Regulations of the Food and Drugs Act and successfully passed an international Health Canada inspection in October 2021. Our team consists of customer facing business development associates that work with our biopharmaceutical customers to identify projects, draw up statements of work and negotiate service agreements. Alliance managers help to manage the contractual obligations and scope of the project, whereas our operations team assures the project is managed with adequate resources and delivers on time. We take a two-pronged approach generating business in this segment. Primarily, we leverage existing projects and relationships to expand sales in current accounts. We also actively map ongoing drug development projects in biopharmaceutical companies and target programs best suited to our platform for new test development.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primary source of reimbursement for our tests in the United States is from third-party payers including government payers, such as Medicare, and commercial payers, such as insurance companies. Reimbursement for laboratory tests in the United States is determined by various payers, including private third-party payers, managed care organizations, and state and federal health care programs, such as Medicare and Medicaid. In Medicare, coverage of an item or service depends on whether it is “reasonable and necessary” under the section 1862(a)(1)(A) of the Social Security Act (SSA). For single-source laboratory tests, this determination is typically made by the Medicare Administrative Contractor (MAC) with jurisdiction over the laboratory where the test is performed. Our Boulder, Colorado laboratory is currently under the jurisdiction of Novitas Solutions, Inc. Our De Soto, Kansas laboratory is under the jurisdiction of Wisconsin Physicians Service Insurance Corporation (WPS), which participates in the MolDX program (administered by another MAC, Palmetto GBA) to set coverage policy for molecular diagnostic tests.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Medicare pays for clinical diagnostic laboratory tests (CDLTs), on the Clinical Laboratory Fee Schedule (CLFS). Section 216(a) of the Protecting Access to Medicare Act of 2014 (PAMA) added section 1834A to the SSA, which established the current CLFS rate setting processes and coding provisions for CDLTs, and created a new subcategory of CDLTs called Advanced Diagnostic Laboratory Tests (ADLTs), with separate reporting and payment requirements.</w:t>
      </w:r>
    </w:p>
    <w:p>
      <w:pPr>
        <w:spacing w:after="0" w:line="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section 1834A and its implementing regulations, clinical laboratories that receive the majority of their Medicare revenues from payments made under the CLFS and the Physician Fee Schedule report on a triennial basis (or annually for ADLTs), private payer rates and volumes for their tests with specific billing codes based on final payments made during a set data collection period. The payment rate for a test for the ensuing three-year period (or one year for ADLTs) is set at the weighted median of the rates reported under the specific billing code for that test. Newly established codes for CDLTs are priced until the next private payer rate reporting cycle either based on the payment rate of a comparable code on the CLFS, as determined by CMS ("crosswalking") or at the median of rates submitted by the individual MACs based on statutory and regulatory factors ("gapfilling"). New ADLTs are initially priced at “actual list charge” for a nine-month period, after which they are priced based on private payer rates, with a recoupment provision if actual list charge is more than 130% of the weighted median of private payer rates reported.</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various payers in the United States also determine their own billing rules. In December 2020, Medicare revised its billing rules for clinical laboratory tests to require cancer-related protein-based Multianalyte Assays with Algorithmic Analyses to be billed directly to Medicare by the performing laboratory in most cases when performed on a specimen collected from a hospital outpatient. Molecular pathology tests and most ADLTs are also generally required to be billed directly to Medicare by the laboratory under these circumstances.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our COVID-19 testing program, the primary source of reimbursement is through contracts with hospitals, companies providing wellness testing for their employees, or direct pay from patients. We believe that our lung cancer tests can both improve patient outcomes and help guide cost-effective treatment choices for patients with and at-risk of lung cancer. Achieving broad coverage and adequate reimbursement for each of our tests is a key component of our financial success and will continue to be important over time.</w:t>
      </w:r>
    </w:p>
    <w:p>
      <w:pPr>
        <w:spacing w:after="0" w:line="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Families First Coronavirus Response Act (FFCRA) and Coronavirus Aid, Relief, and Economic Security Act (CARES), Congress has imposed a broad requirement that Medicare fee-for-service, Medicare Advantage, Medicaid, and commercial payers generally cover clinical diagnostic laboratory tests administered during the Public Health Emergency for the detection of SARS-CoV-2 or the diagnosis of the virus that causes COVID-19. Where applicable, the FFCRA and CARES require payers to cover COVID-19 tests without cost sharing or medical management techniques like prior authorization. Medicare fee-for-service does not require cost sharing or prior authorization for any clinical diagnostic laboratory tests.</w:t>
      </w:r>
    </w:p>
    <w:p>
      <w:pPr>
        <w:spacing w:after="0" w:line="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Department of Health &amp; Human Services (HHS) has indicated in guidance that the coverage requirements of the FFCRA and CARES can apply both to infection and serological testing, but that they are only applicable to testing that is “diagnostic,” which “may include testing of individuals with signs or symptoms compatible with COVID-19, as well as asymptomatic individuals with known or suspected recent exposure to SARS-CoV-2.” Testing that is “not primarily intended for individualized diagnosis or treatment of COVID-19 or another health condition,” including “testing conducted to screen for general workplace health and safety,” is beyond the scope of the statutory coverage requirements. We believe these coverage requirements apply to the Bio-Rad SARS-CoV-2 ddPCR test and the Platelia SARS-CoV-2 Total Ab test when performed for diagnostic purposes. In some cases, we submit claims to insurance payers for the Bio-Rad SARS-CoV-2 ddPCR test and/or the Platelia SARS-CoV-2 Total Ab test. In these cases, insurance payers may have 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different position on the scope of mandatory coverage of our tests under the FFCRA and CARES. More commonly, we enter into arrangements with clients under which the client pays us directly for testing.</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Compliance with applicable laws and regulations, as well as internal compliance policies and procedures adds complexity to the billing process. The Centers for Medicare &amp; Medicaid Services (CMS) is responsible for overseeing the establishment of new Healthcare Common Procedure Coding System (HCPCS) codes for billing the Medicare program and other payers. CMS continuously evaluates and implements changes to the Medicare billing, coding, and reimbursement processes. To receive reimbursement from third-party payers, we bill our tests using a variety of HCPCS codes or Current Procedural Terminology (CPT) codes, as defined by the American Medical Association. For some of the tests we conduct, there may not be a specific CPT or HCPCS code, in which case the test may be billed under a miscellaneous code for an unlisted molecular pathology procedure or unlisted multiple anolyte test with algorithmic analysis (MAAA) procedure. Because these miscellaneous codes do not describe a specific service, the third-party payer claim may be examined to determine the service provided, whether the service was appropriate and medically necessary and whether payment should be rendered. This process can result in a delay in processing the claim, a lower reimbursement amount, and/or denial of the claim.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121"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We primarily face competition from lung cancer diagnostic solutions companies in the United States, Europe and Asia seeking to answer clinical questions in the space, all of whom provide cancer-focused diagnostic tests to hospitals, researchers, clinicians, laboratories and other medical facilities.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Diagnosis—Nodule Management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aware of any other company that offers two commercial blood-based tests to help physicians reclassify risk of malignancy in patients with suspicious lung nodules. We are aware of efforts by Veracyte, Inc. to develop and validate a test that may be competitive to the Nodify XL2 and/or Nodify CDT tests in the future. Additionally, Veracyte currently markets a test that is used post-bronchoscopy that is not competitive with our pre-bronchoscopy nodule risk assessment tests.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Prognosis, Treatment Guidance and Monitoring—NSCLC</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unaware of any other diagnostic test available, commercially or in development, that will compete with our VeriStrat immune profiling test. There is substantial interest and activity in tumor profiling through liquid biopsy. Our genomic test offerings, the GeneStrat ddPCR and GeneStrat NGS tests, face competition from academic hospital laboratories, and companies such as Guardant Health and Foundation Medicine. We believe that there are several companies and academic research institutions in the process of developing tests for monitoring patients on or following treatment for recurrence or progression of lung cancer.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Biopharmaceutical Diagnostic Discovery, Development &amp; Testing Services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aware of a number of companies who compete with our diagnostic tests and services, including diagnostic research, clinical trial testing, and the discovery, development, and commercialization of companion diagnostics. From the perspective of tumor profiling, we believe Guardant Health and Foundation Medicine are our most significant competitors. Conversely, in the immune profiling market, we believe Adaptive Biotechnologies and Personalis are our most significant competitors.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Laboratory Operations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perform the VeriStrat, GeneStrat ddPCR, GeneStrat NGS, and COVID-19 ddPCR tests in our Boulder, Colorado high-complexity CLIA certified clinical laboratory. The laboratory is College of American Pathology (CAP) accredited, New York State Department of Health (NYSDOH)—permitted and licensed, ISO 13485:2016 Quality Management Systems—Requirements for Regulatory Purposes for Medical Devices certified, along with all other states that require licensing: California, Maryland, Pennsylvania, and Rhode Island. All aspects of the testing process from receipt of the test requisition form through to delivery of test results are performed in the Boulder, Colorado facility. The proprietary testing methods use semi-automated workflows that facilitate the successful delivery of greater than 90% of our tests within three days, and we believe our existing workflows will continue to successfully deliver our tests within this timeframe.</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Nodify XL2, Nodify CDT, COVID cPASS and COVID-19 total antibody tests are performed in our De Soto, Kansas high-complexity CLIA certified clinical laboratory. This clinical laboratory is also CAP-accredited, NYSDOH—permitted and licensed, ISO 13485:2016 Quality Management Systems— Requirements for Regulatory Purposes for Medical Devices certified and licensed by California, Maryland, Pennsylvania, and Rhode Island. Receipt of requisitions and testing is performed in our De Soto, Kansas clinical laboratory. Delivery of the test results is performed by personnel from our Boulder, Colorado headquarters. The proprietary testing methods use semi-automated workflows that facilitate the successful delivery of greater than 90% of our tests within five days, and we believe our existing workflows will continue to successfully deliver our tests within this timeframe.</w:t>
      </w:r>
    </w:p>
    <w:p>
      <w:pPr>
        <w:spacing w:after="0" w:line="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Personnel in both facilities are responsible for quality assurance oversight, licensing, and regulation compliance and maintenance to ensure data integrity and consistent, validated processes.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as described below, is the sole source supplier for our GeneStrat test, COVID-19, and antibody testing program. Oncimmune is also the sole source supplier for our Nodify CDT tests but there are known secondary suppliers for these materials. We have initiated the second source qualification process for the majority of these critical components.</w:t>
      </w:r>
    </w:p>
    <w:p>
      <w:pPr>
        <w:spacing w:after="0" w:line="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purchase supplies through purchase orders without long-term supply agreements with, or guaranteed commitments from, many of our suppliers, including single source suppliers. Additionally, at present, we have a limited contract with a contract manufacturer for the production of certain of our diagnostic testing kits; however, during 2022 we transitioned the majority of kitting performed outside of the Company to our internal operations team for cost savings and risk management. We depend on our suppliers and contract manufacturers to provide us and our customers with materials in a timely manner that meet our and their quality, quantity and cost requirements.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but these supplies are able to be supplied by known suppliers. A disruption to this supply would negatively impact our ability to perform the GeneStrat tests until alternatives could be validated.</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have initiated the second source qualification process for the majority of these critical components, we may not be successful in securing second sourcing for all of them at all or on a timely basis. A disruption to this supply would negatively impact our ability to perform these tests until an alternative supplier could be validated.</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materials for our VeriStrat test and Nodify XL2 tests have alternative suppliers readily available, and a disruption in any single supplier would not materially impact our ability to deliver the test.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depends, in part, on our ability to obtain and maintain intellectual property and proprietary protection for our products and other know-how, to operate our business without infringing, misappropriating or otherwise violating the intellectual property and proprietary rights of others, and to defend and enforce our intellectual property and proprietary rights. We take efforts to protect our proprietary position using a variety of methods, which include pursuit of United States and foreign patent applications related to our proprietary technology, inventions and improvements that we determine are important to our business. We also may rely on trade secrets, trademarks, know-how, continuing technological innovation and potential in-licensing and acquisition opportunities to develop and maintain our proprietary position. For more information regarding risks relating to intellectual property, please see “Risk Factors—Risks Related to Our Intellectual Property.”</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invested heavily in the protection of our key assets, namely the VeriStrat® and GeneStrat® tests, and we acquired a patent portfolio relating to the Nodify XL2® and Nodify CDT® tests in our acquisitions of Indi in June 2018, and of Oncimmune USA in October 2019 from Oncimmune Limited (Oncimmune). We own patents and patent applications as well as trade secrets relating to our products currently in development, a collection device for whole blood, our business strategy, client lists and business methods. Further, we have expanded our access to key intellectual property through license and co-development agreements, including our Non-Exclusive License Agreement with Bio-Rad (the Bio-Rad License), which allows us to use the Droplet Digital PCR™ technology developed by Bio-Rad and which we employ in our GeneStrat test.</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patent strategy has focused on creating and acquiring protection for our VeriStrat and Nodify XL2 proteomic tests, while utilizing trade secret and some methods patent protection for our genomic test (the GeneStrat ddPCR and GeneStrat NGS™ tests) and ELISA test (the Nodify CDT test). We have entered into a non-exclusive license agreement with Bio-Rad, without the right to grant sublicenses, to utilize certain of Bio-Rad’s intellectual property, machinery, materials, reagents, supplies and know-how necessary for the performance of ddPCR in cancer detection testing for third parties in the United States. Bio-Rad owns patents relating to ddPCR and to which we have a non-exclusive license to utilize for the performance of ddPCR in cancer detection testing for third parties as set forth in the Bio-Rad License Agreement. In addition, we have separately been granted permission by Bio-Rad to use the Bio-Rad SARS-CoV-2 ddPCR test and Platelia SARS-CoV-2 Total Ab test for commercial diagnostic services. We are unaware of patents owned by Bio-Rad relating to its COVID-19 antibody test but acknowledge that Bio-Rad has know-how and trade secrets relating to this test. We have patent protection in the United States and other countries around the world for the primary use of the VeriStrat test for profiling of patients with NSCLC, and various other uses of the VeriStrat test, such as breast cancer, prostate cancer, head and neck cancer have received patent protection. We have also received patent protection relating to our core classifier development program, our Diagnostic Cortex® technologies and our approaches to using MALDI-ToF technology (DeepMALDI® techniques). Additionally, our first device patent was issued in 2019 for our internally designed blood collection device.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both"/>
        <w:spacing w:after="0" w:line="256" w:lineRule="auto"/>
        <w:rPr>
          <w:sz w:val="20"/>
          <w:szCs w:val="20"/>
          <w:color w:val="auto"/>
        </w:rPr>
      </w:pPr>
      <w:r>
        <w:rPr>
          <w:rFonts w:ascii="Arial" w:cs="Arial" w:eastAsia="Arial" w:hAnsi="Arial"/>
          <w:sz w:val="18"/>
          <w:szCs w:val="18"/>
          <w:color w:val="auto"/>
        </w:rPr>
        <w:t>As of December 31, 2022, our patent portfolio includes 53 issued United States patents, 69 issued foreign patents, which includes five European patents that were nationalized in multiple European countries, and 51 pending applications (including 29 foreign patent applications). With regard to our product development efforts, new applications have been filed around developments relating to ARDS and COVID diagnostics, new analytic methodologies using Shapley values and semi-quantitative spectra analysis in MALDI, and national stage applications are now in active prosecution to protect our pipeline ROR and PIR tests.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patent portfolio can be broken down into five major categories:</w:t>
      </w:r>
    </w:p>
    <w:p>
      <w:pPr>
        <w:spacing w:after="0" w:line="117" w:lineRule="exact"/>
        <w:rPr>
          <w:sz w:val="20"/>
          <w:szCs w:val="20"/>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the VeriStrat and Nodify tests and uses of these tests;</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methods for developing classifiers, including using the Diagnostic Cortex and DeepMALDI technologies;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tests currently in development;</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our novel blood collection device; and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tests developed for our third-party partners.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patents relating to the VeriStrat test are scheduled to expire between 2026 and 2032. The patents relating to the Nodify XL2 test are scheduled to expire beginning in 2031 (excluding any patent term extension granted by the United States Patent and Trademark Office (USPTO)), and the patents relating to the Nodify CDT test are scheduled to expire in 2027. The patent related to the blood collection device is scheduled to expire in 2039. Should our current patent applications in prosecution in the United States issue, the resulting patents would be scheduled to have expiration dates between 2036 and 2040 (excluding any patent term extension(s) granted by the USPTO).</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have one pending Patent Cooperation Treaty (PCT) application. PCT patent applications are not eligible to become issued patents until, among other things, we file such PCT applications as national stage patent application(s) within 30 months in the countries in which we seek patent protection. If we do not timely file any national stage patent applications, we may lose our priority date with respect to any such PCT patent applications and any patent protection on the inventions disclosed in such PCT patent applications. Provisional patent applications are not eligible to become issued patents but can become the basis of PCT foreign stage and United States non-provisional patent applications, if such applications are filed within 12 months of filing the related provisional patent application. If we do not timely file any non-provisional patent applications, we will lose our priority date and any patent protection on the inventions disclosed in any such provisional patent application.</w:t>
      </w:r>
    </w:p>
    <w:p>
      <w:pPr>
        <w:spacing w:after="0" w:line="7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the term of individual issued patents depends upon the legal term for patents in the countries in which they are obtained. In most countries in which we have filed, including the United States, the patent term is generally 20 years from the earliest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In the United States, the term of a patent may also be eligible for patent term adjustment for delays within the USPTO. The term of a patent that covers a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 As a result, our owned and licensed patent portfolio may not provide us with sufficient rights to exclude others from commercializing products similar or identical to ours.</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maintain and solidify our proprietary and intellectual property position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branding is as much a part of any intellectual property strategy as patent or trade secret protection we have a number of registered and pending trademarks relating to our company and products. We have received or filed for trademark protection in the United States for our tradename (Biodesix), the names of five of our commercial tests (namely the VeriStrat, GeneStrat ddPCR, GeneStrat NGS, Nodify XL2 and Nodify CDT tests), and a suite of research tests (ImmunoStrat), as well as having trademark protection for our core development and methodological platforms, such as our Diagnostic Cortex and DeepMALDI technologies. In all, as 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December 31, 2022, we have 22 uniquely registered United States trademarks, 11 of which (including Biodesix, VeriStrat, and GeneStrat) have received foreign issuances as well, with three trademarks pending approval from the USPTO. We will continue to pursue protection in the United States and abroad for our branded assets and will continue to use branding to protect products currently in development, key Biodesix developments and non-trade secret methodologies.</w:t>
      </w:r>
    </w:p>
    <w:p>
      <w:pPr>
        <w:spacing w:after="0" w:line="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rely on trade secrets, including know-how, confidential information, unpatented technologies and other proprietary information, to strengthen or enhance our competitive position, protect and maintain aspects of our business that are not amenable to, or that we do not presently consider appropriate for, patent protection, and prevent competitors from reverse engineering or copying our technologies. We have decided that some technologies, such as our laboratory methodologies (including sample preparation and assay development), and some information (such as client and billing information) are best kept as trade secrets. However, trade secrets and confidential know-how are difficult to protect. To avoid inadvertent and improper disclosure of trade secrets, and to avoid the risks of former employees using these trade secrets to future employment, it is our policy to require employees, consultants and independent contractors to assign all rights to intellectual property they develop in connection with their employment with or services for the Company to the Company.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seek to preserve the integrity and confidentiality of our trade secrets and other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pursue additional intellectual property protection to the extent we believe it would advance our business objectives, which may include objectives within and outside the United States. Despite our efforts to protect our intellectual property rights, and despite the breadth of protection that has issued around our key assets, these rights may not be respected in the future or may be circumvented or challenged (and potentially invalidated) in a legal proceeding in any jurisdiction where we have intellectual property rights. In addition, the laws of various foreign countries where we have received intellectual property protection and where we may eventually distribute our products may not afford the same protections or assurances to the same extent as the laws in the United States. See “Risk Factors—Risks Related to Our Intellectual Property” for additional information regarding these and other risks related to our intellectual property portfolio and their potential effect on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Clinical laboratory tests like our diagnostic tests are regulated under CLIA and State law. The FDA regulates medical devices pursuant to the FDCA, including many diagnostic test kits, such as in vitro diagnostic tests (IVDs). However, most Laboratory Developed Tests (LDTs) are not currently subject to the FDA’s regulation (although reagents, instruments, software or components provided by third parties and used to perform LDTs may be subject to such regulation) because the FDA has historically exercised enforcement discretion over LDTs. LDTs are a subset of IVDs that are intended for clinical use and developed, validated, and offered within a single laboratory for use only in that laboratory. FDA’s authority to regulate LDTs has been contested for many years, and there have been several legislative and administrative proposals regarding LDT regulation seeking to end or limit enforcement discretion and to bring LDTs under new or existing FDA regulatory frameworks.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cannot predict the likelihood that Congress will pass legislation or the extent to which such legislation may affect the FDA’s plans to regulate certain LDTs as medical devices or pursuant to a new framework. Until legislation is passed reforming the federal government’s regulation of LDTs, it is unknown how the FDA may regulate our tests in the future and what testing and data may be required to support any required clearance or approval. It is also unclear at this time when or if, the FDA will finalize its plans to end enforcement discretion in the absence of legislation, via notice and comment rulemaking or otherwise. Even if a new framework is not established via legislative or administrative action, the FDA may attempt to regulate and enforce against certain LDTs on a case-by-case basis at any time.</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market our GeneStrat, VeriStrat, Nodify XL2 and Nodify CDT tests as LDTs in the United States. As a result, we believe our diagnostic services are not currently subject to the FDA’s enforcement of its medical device regulations and the applicable FDCA provisions. If the FDA disagrees with the LDT status of any of our tests, the FDA may consider the test to be an unapproved medical device and may subject us to FDA enforcement action, including, without limitation, requiring us to seek clearance, authorization or approval for the laboratory test. If the FDA were to begin enforcement with respect to our LDTs, we could incur substantial costs and delays associated with trying to obtain pre-market clearance or approval and costs associated with complying with post-market requirements.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date, the FDA has not engaged in notice-and-comment rulemaking or released broad-sweeping guidance over LDTs, but it could choose to do so in the future and if pre-market review is required, our business could be negatively impacted as a result of commercial delay that may be caused by the new requirements. The cost of conducting clinical trials and otherwise developing data and information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jc w:val="both"/>
        <w:spacing w:after="0" w:line="269" w:lineRule="auto"/>
        <w:rPr>
          <w:sz w:val="20"/>
          <w:szCs w:val="20"/>
          <w:color w:val="auto"/>
        </w:rPr>
      </w:pPr>
      <w:r>
        <w:rPr>
          <w:rFonts w:ascii="Arial" w:cs="Arial" w:eastAsia="Arial" w:hAnsi="Arial"/>
          <w:sz w:val="17"/>
          <w:szCs w:val="17"/>
          <w:color w:val="auto"/>
        </w:rPr>
        <w:t>to support pre-market applications may be significant. If we are required to submit applications for our currently marketed tests, we may be required to conduct additional studies, which may be time-consuming, costly and could result in our currently-marketed tests being withdrawn from the market. Continued compliance with the FDA’s regulations would increase the cost of conducting our business, and subject us to heightened regulation by the FDA including penalties for failure to comply with these requirements. Failure to comply with applicable regulatory requirements could result in an enforcement action by the FDA, such as fines, product suspensions, warning letters, recalls, injunctions and other civil and criminal sanctions. There are other regulatory and legislative proposals that would increase general FDA oversight of clinical laboratories and LDTs. Until the FDA finalizes its regulatory position regarding LDTs, or the VALID Act or other legislation is passed reforming the federal government’s regulation of LDTs, it is unknown how the FDA may regulate our tests in the future and what testing and data may be required to support any required clearance or approval. The outcome and ultimate impact of such proposals on the business is difficult to predict at this time and we are monitoring developments and anticipate that our products will be able to comply with requirements that may be imposed by the FDA. In the meantime, we maintain our CLIA accreditation, which permits the use of LDTs for diagnostics purposes.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Emergency Use Authorization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564 of the FDCA allows the FDA to authorize the shipment of drugs, biological products, or medical devices that either lack required approval, licensure, or clearance (unapproved products), or are approved but are to be used for unapproved ways to diagnose, treat, or prevent serious diseases or conditions in the event of an emergency declaration by the HHS Secretary. 21 U.S.C. § 360bbb-3(a)(1)-(2).</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31, 2020, HHS Secretary Alex M. Azar II declared a public health emergency for COVID-19, under 21 U.S.C. § 360bbb-3(b)(1), justifying the authorization of emergency use of IVDs for detection and/or diagnosis of COVID-19. This determination was published in the Federal Register on February 7, 2020. 85 Fed. Reg. 7316 (Feb. 7, 2020). The EUA declaration under Section 564 of the FDCA is distinct from and independent of the declaration by the Secretary of HHS of a public health emergency under Section 319 of the Public Health Service Act. On January 30, 2023, the White House issued a Statement of Administration Policy announcing the President’s intention to allow the Public Health Emergency declaration under Section 319 to expire on May 11, 2023. Because the EUA declaration under Section 564 of the FDCA is distinct from the declaration under Section 319 of the PHS Act, an EUA may remain in effect beyond the duration of the Section 319 declaration. Before HHS terminates an EUA declaration, it will publish a notice of termination in the Federal Register.</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emergency declaration for COVID-19 IVDs under Section 564 of the FDCA remains in effect, the FDA may authorize the use of an unapproved product or an unapproved use of an approved product if it concludes that:</w:t>
      </w:r>
    </w:p>
    <w:p>
      <w:pPr>
        <w:spacing w:after="0" w:line="62" w:lineRule="exact"/>
        <w:rPr>
          <w:sz w:val="20"/>
          <w:szCs w:val="20"/>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agent referred to in the emergency declaration could cause a serious or life-threatening disease or condition;</w:t>
      </w:r>
    </w:p>
    <w:p>
      <w:pPr>
        <w:spacing w:after="0" w:line="116" w:lineRule="exact"/>
        <w:rPr>
          <w:rFonts w:ascii="Arial" w:cs="Arial" w:eastAsia="Arial" w:hAnsi="Arial"/>
          <w:sz w:val="18"/>
          <w:szCs w:val="18"/>
          <w:color w:val="auto"/>
        </w:rPr>
      </w:pPr>
    </w:p>
    <w:p>
      <w:pPr>
        <w:ind w:left="900" w:hanging="383"/>
        <w:spacing w:after="0" w:line="307"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it is reasonable to believe that the authorized product may be effective in diagnosing, treating, or preventing that disease or condition or a serious or life-threatening disease or condition caused by an approved product or a product marketed under an EUA;</w:t>
      </w:r>
    </w:p>
    <w:p>
      <w:pPr>
        <w:spacing w:after="0" w:line="39" w:lineRule="exact"/>
        <w:rPr>
          <w:rFonts w:ascii="Arial" w:cs="Arial" w:eastAsia="Arial" w:hAnsi="Arial"/>
          <w:sz w:val="17"/>
          <w:szCs w:val="17"/>
          <w:color w:val="auto"/>
        </w:rPr>
      </w:pPr>
    </w:p>
    <w:p>
      <w:pPr>
        <w:ind w:left="90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known and potential benefits of the authorized product, when used for that disease or condition, outweigh known and potential risks, taking into consideration the material threat of agents identified in the emergency declaration;</w:t>
      </w:r>
    </w:p>
    <w:p>
      <w:pPr>
        <w:spacing w:after="0" w:line="61"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is no adequate, approved, and available alternative to the authorized product for diagnosing, preventing, or treating the relevant disease or condition;</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any other criteria prescribed by the FDA is satisfied. </w:t>
      </w:r>
      <w:r>
        <w:rPr>
          <w:rFonts w:ascii="Arial" w:cs="Arial" w:eastAsia="Arial" w:hAnsi="Arial"/>
          <w:sz w:val="18"/>
          <w:szCs w:val="18"/>
          <w:i w:val="1"/>
          <w:iCs w:val="1"/>
          <w:color w:val="auto"/>
        </w:rPr>
        <w:t>Id.</w:t>
      </w:r>
      <w:r>
        <w:rPr>
          <w:rFonts w:ascii="Arial" w:cs="Arial" w:eastAsia="Arial" w:hAnsi="Arial"/>
          <w:sz w:val="18"/>
          <w:szCs w:val="18"/>
          <w:color w:val="auto"/>
        </w:rPr>
        <w:t xml:space="preserve"> § 360bbb-3(c).</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w:t>
      </w:r>
    </w:p>
    <w:p>
      <w:pPr>
        <w:spacing w:after="0" w:line="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Bio-Rad SARS-CoV-2 ddPCR test, the cPASS neutralization antibody test kit, and the Platelia SARS-CoV-2 Total Ab test have been granted FDA EUA pursuant to the current emergency declaration. We have completed all required performance verification studies to validate the use of the tests in our laboratories in accordance with the FDA Policy for Coronavirus Disease-2019 Tests During the Public Health Emergency, CAP and New York State Clinical Laboratory Standards of Practice (NYS CLEP) requirements. The FDA Policy for COVID-19 tests is a guidance document that explains the FDA’s current thinking on the topic, is subject to change, and does not establish any legally enforceable responsibilities. The FDA does not expect a separate notification or EUA request from high complexity CLIA laboratories that are performing testing for SARS-CoV-2 using only EUA-authorized test kits purchased from commercial manufacturers or their distributors. According to previous versions of the FDA's Policy for COVID-19 tests, a laboratory may make certain modifications to an EUA-authorized test if the modified test is validated using a bridging study without submitting an EUA amendment or formal notification. According to the current FDA Policy for COVID-19 tests (January 12, 2023), a laboratory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that modified an EUA authorized test pursuant to the previous policy for use of a new specimen through a bridging study when the new specimen type had been previously authorized for another test of the same technology may continue to offer the modified test without submitting an EUA amendment or formal notification.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Laboratory Licensing Requirements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Biodesix Boulder, Colorado clinical laboratory is a CAP-accredited clinical laboratory regulated by CMS pursuant to CLIA. CMS has granted CAP deeming authority under CLIA, which allows CAP to inspect laboratories in lieu of CMS. In addition to holding a CLIA Certificate and CAP laboratory accreditation, Biodesix’s Quality Management System (QMS) holds an ISO 13485:2016 certificate (passed recertification audit in December 2021). The Biodesix Boulder, Colorado clinical laboratory has received approval from the NYSDOH, NYS CLEP in Soluble Tumor Markers, and Molecular and Cellular Tumor Markers and Virology as well as holding state permits and licenses in California, Maryland, New York, Pennsylvania, and Rhode Island.</w:t>
      </w:r>
    </w:p>
    <w:p>
      <w:pPr>
        <w:spacing w:after="0" w:line="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CLIA regulations establish standards for proficiency testing; facility administration; general laboratory systems; pre-analytic, analytic systems, post-analytic systems; personnel qualifications and responsibilities; quality control, quality assessment; and specific provisions for laboratories performing moderate to high complexity tests. Our Boulder, Colorado clinical laboratory is inspected biennially as part of its ongoing certification under CLIA certificate of accreditation by CAP. The Boulder, Colorado clinical laboratory most recently passed its CAP inspection in April 2021.</w:t>
      </w:r>
    </w:p>
    <w:p>
      <w:pPr>
        <w:spacing w:after="0" w:line="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Biodesix De Soto, Kansas clinical laboratory is a CAP-accredited clinical laboratory regulated by CMS pursuant to CLIA. CMS has granted CAP deeming authority under CLIA, which allows CAP to inspect laboratories in lieu of CMS. In addition to holding a CLIA Certificate and CAP laboratory accreditation, the De Soto, Kansas clinical laboratory passed its first CAP inspection in June 2021. Biodesix’s QMS holds an ISO 13485:2016 certificate (recently passed surveillance audit in January 2023). The De Soto, Kansas clinical laboratory has received approval from the NYSDOH, NYS CLEP in Soluble Tumor Markers and Diagnostic Immunology as well as holding state permits and licenses in California, Maryland, New York, Pennsylvania, and Rhode Island.</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International Organization for Standardization (ISO) is an independent, non-governmental international organization that defines world-class specifications for products, services and systems, to ensure quality, safety and efficiency. ISO 13485:2016 is a harmonized, international regulatory benchmark for quality management systems that addresses most or all of the QMS requirements in markets including the United States, European Union, Australia, Japan and Canada. The ISO 13485:2016 certificate confirms that an organization operates a QMS that conforms to the standards established by ISO. The FDA has proposed a rule to harmonize and modernize its Quality System Regulation (QSR), which would supplant the existing requirements with ISO 13485:2016. Although this rule has been delayed several times since spring 2018, the Office of Management and Budget (OMB) updated its website (January 2022) to indicate that the FDA’s proposed rule to harmonize the agency’s medical device QSR with the ISO 13485 standard has been finished and is now under review by OMB.</w:t>
      </w:r>
    </w:p>
    <w:p>
      <w:pPr>
        <w:spacing w:after="0" w:line="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renew our CLIA certificate, we are subject to survey and inspection every two years to assess compliance with program standards. Laboratories such as ours, which are performing high complexity testing, are required to meet more stringent CLIA requirements than laboratories performing less complex tests, and therefore our laboratories are also subject to random, unannounced survey and inspection at any time. In addition, a laboratory that is certified as “high complexity” under CLIA may develop, manufacture, validate and use proprietary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5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out-of-state laboratories maintain an in-state laboratory license to perform tests on samples from patients who reside in that state. As a condition of licensure, certain states may require that laboratory personnel meet qualifications, quality control procedures, facility requirements, record maintenance requirements or other state-specific requirements.</w:t>
      </w:r>
    </w:p>
    <w:p>
      <w:pPr>
        <w:spacing w:after="0" w:line="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our Boulder, Colorado clinical laboratory is located in the State of Colorado, we do not need a specific State of Colorado laboratory license, however, we maintain licenses to conduct testing in other states where nonresident laboratories are required to obtain state laboratory licenses. We maintain licenses for our Boulder, Colorado and De Soto, Kansas laboratories with the NYSDOH. We also hold licenses in other states in which we operate, including California, Maryland, Pennsylvania and Rhode Island, that require licensing of out-of-state laboratories under certain circumstances. Other states may currently have or adopt similar licensure requirements in the future, which may require us to modify, delay or stop its operations in those states until such requirements are met.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jc w:val="both"/>
        <w:spacing w:after="0" w:line="286" w:lineRule="auto"/>
        <w:rPr>
          <w:sz w:val="20"/>
          <w:szCs w:val="20"/>
          <w:color w:val="auto"/>
        </w:rPr>
      </w:pPr>
      <w:r>
        <w:rPr>
          <w:rFonts w:ascii="Arial" w:cs="Arial" w:eastAsia="Arial" w:hAnsi="Arial"/>
          <w:sz w:val="17"/>
          <w:szCs w:val="17"/>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56"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color w:val="auto"/>
        </w:rPr>
        <w:t>CLIA and state laws and regulations, operating together, sometimes limit the ability of laboratories to offer consumer-initiated testing, also known as direct access testing. We do not offer direct access testing and instead require that our tests be ordered by licensed healthcare providers.</w:t>
      </w:r>
    </w:p>
    <w:p>
      <w:pPr>
        <w:spacing w:after="0" w:line="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Boulder, Colorado and De Soto, Kansas laboratories are certified and adhere to the NYS CLEP, based on New York State Public Health Law, Article 5 Title 5. NYS CLEP is exempt from CLIA and establishes their own method of laboratory certification and test validation approval. To process New York State patient specimens a laboratory must submit a robust analytical and clinical validation package to demonstrate clinical utility of the test and receive approval prior to offering the test in the state of New York. All of our tests have obtained NYS CLEP approval including GeneStrat ddPCR, GeneStrat NGS, VeriStrat, Nodify XL2 and Nodify CDT tests. NYS CLEP requires semi-annual inspections to ensure the laboratory meets all general and specialty standards. Both Biodesix laboratories passed NYS CLEP inspections in May 2019. Due to the pandemic, routine re-inspections have been delayed by NYS CLEP.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framework for medical devices in the United States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its authority under the FDCA, the FDA has jurisdiction over medical devices, which are defined to include, among other things, IVDs. The FDA regulates the research, design, development, pre-clinical and clinical testing, manufacturing, safety, effectiveness, packaging, labeling, storage, recordkeeping, pre-market clearance or approval, adverse event reporting, marketing, promotion, sales, distribution and import and export of medical devices. It is possible that one of our current, or future, tests will be subject to FDA authority and oversight as either an IVD or a CDx pursuant to the FDA’s authority to regulate medical devices under the FDCA.</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Medical devices are subject to extensive regulation in the United States and elsewhere, including by the FDA and its foreign counterparts. Government regulations specific to medical devices are wide ranging and govern, among other things:</w:t>
      </w:r>
    </w:p>
    <w:p>
      <w:pPr>
        <w:spacing w:after="0" w:line="62" w:lineRule="exact"/>
        <w:rPr>
          <w:sz w:val="20"/>
          <w:szCs w:val="20"/>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design, development, manufacture, and release;</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service operations;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or serious injuries and recalls and correction and removals;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Market access, sales and marketing of medical devices in non-U.S. countries are subject to foreign regulatory requirements that vary widely from country to country. For example, in the European Economic Area (EEA), a medical device must meet the Medical Devices Directive’s (MDD)/In Vitro Medical Devices Directive’s (IVDD) Essential Requirements or, applicable on May 26, 2021, the Medical Devices Regulation’s (MDR) / applicable on May 26, 2022, In Vitro Medical Devices Regulation’s (IVDR) General Safety and Performance Requirements which apply to it, taking into account its intended purpose as defined by the data supplied by the manufacturer on the label, in the instructions for use or in promotional or sales materials or statements and as specified by the manufacturer in the clinical evaluation. Before placing a medical device on the EEA market, the manufacturer must draw up a declaration of conformity, certifying that the device complies with the MDD/IVDD/MDR/IVDR, and must then affix the CE mark. For medium and high-risk devices as well as low risk devices that are placed on the market in sterile condition, have a measuring function, or are reusable surgical instruments, the manufacturer must obtain a CE Certificate from a notified body. The notified body typically audits and examines the device’s technical documentation, including the clinical evaluation, and the quality system for the manufacture, design and final inspection of the relevant device before issuing a CE Certificate. Following the issuance of this CE Certificate, manufacturers may draw up the declaration of conformity and affix the CE mark to the devices covered by this CE Certificate.</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Manufacturers of medical devices must document in a clinical evaluation report (CER) the evaluation of the clinical data related to the device. The CER is part of the device’s technical file. The evaluation shall document that the applicable Essential Requirements/General Safety and Performance Requirements are met and document the evaluation of the undesirable side-effects and the acceptability of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jc w:val="both"/>
        <w:spacing w:after="0" w:line="256" w:lineRule="auto"/>
        <w:rPr>
          <w:sz w:val="20"/>
          <w:szCs w:val="20"/>
          <w:color w:val="auto"/>
        </w:rPr>
      </w:pPr>
      <w:r>
        <w:rPr>
          <w:rFonts w:ascii="Arial" w:cs="Arial" w:eastAsia="Arial" w:hAnsi="Arial"/>
          <w:sz w:val="18"/>
          <w:szCs w:val="18"/>
          <w:color w:val="auto"/>
        </w:rPr>
        <w:t xml:space="preserve">benefit-risk ratio. The CER must be updated based on information from the post-market surveillance and vigilance activities related to the device. The CER shall consist,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of analyzed clinical data collected from a clinical investigation of the device, or the results of other studies on substantially equivalent devices. Reliance on “substantially equivalent” devices is very restrictive and requires, </w:t>
      </w:r>
      <w:r>
        <w:rPr>
          <w:rFonts w:ascii="Arial" w:cs="Arial" w:eastAsia="Arial" w:hAnsi="Arial"/>
          <w:sz w:val="18"/>
          <w:szCs w:val="18"/>
          <w:i w:val="1"/>
          <w:iCs w:val="1"/>
          <w:color w:val="auto"/>
        </w:rPr>
        <w:t>inter alia</w:t>
      </w:r>
      <w:r>
        <w:rPr>
          <w:rFonts w:ascii="Arial" w:cs="Arial" w:eastAsia="Arial" w:hAnsi="Arial"/>
          <w:sz w:val="18"/>
          <w:szCs w:val="18"/>
          <w:color w:val="auto"/>
        </w:rPr>
        <w:t>, that the manufacturer has full access to the technical documentation of the equivalent device on an ongoing basis and, if the “equivalent device” is not its own, that the manufacture has in place a contract with the manufacturer of the “equivalent device.”</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Similar requirements apply in the UK. For access to the UK market, manufacturers must obtain a UKCA Certificate and affix a UKCA mark to their medical devices. However, the CE mark will be accepted in the UK until July 1,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Device classification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FDCA, medical devices are classified into one of three classes: Class I, Class II or Class III, depending on the degree of risk to patients that is associated with each medical device and the amount of oversight needed to provide reasonable assurances with respect to safety and effectiveness of the medical device.</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Class II devices are subject to the General Controls as well as any special controls as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 although some Class II devices are exempt from the 510(k) requirements.</w:t>
      </w:r>
    </w:p>
    <w:p>
      <w:pPr>
        <w:spacing w:after="0" w:line="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Class III devices include devices deemed by the FDA to pose the greatest risk: such as life-supporting or life-sustaining devices, implantable devices, or those deemed novel and not substantially equivalent to a predicate device following the 510(k) process. CDx tests are regularly considered Class III devices.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Premarket submission process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Unless a statutory or regulatory exemption or enforcement discretion policy applies, before a new medical device, or a new intended use of, claim for, or significant modification to an existing device, can be marketed in the United States, the manufacturer must obtain the FDA’s: (1) permission for commercial distribution under section 510(k) of the FDCA (510(k) clearance); or (2) approval of a Premarket Approval (PMA); or (3) de novo classification and authorization. These processes can be resource intensive, expensive, and lengthy, and require payment of significant user fees.</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510(k)-clearance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therefore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Premarket notifications typically include bench, analytical, and preclinical data. Clinical data is sometimes required to support substantial equivalence. If a manufacturer obtains a 510(k) clearance for its device and then makes a modification that could significantly affect the device’s safety or effectiveness or constitutes a major change or modification in the intended use of the device, a new clearance, authorization or approval may be required.</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 If the FDA determines that the device is not “substantially equivalent” to a predicate device, or if the device is automatically classified into Class III, the device sponsor must then fulfill the much more rigorous, costly, and time-consuming PMA approval process or seek reclassification of the device through the De Novo process.</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predicate device is not available, the FDA allows the submission of a direct De 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A De Novo request includes a description of the device, a discussion of the general controls and any specific controls recommended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both"/>
        <w:spacing w:after="0" w:line="279" w:lineRule="auto"/>
        <w:rPr>
          <w:sz w:val="20"/>
          <w:szCs w:val="20"/>
          <w:color w:val="auto"/>
        </w:rPr>
      </w:pPr>
      <w:r>
        <w:rPr>
          <w:rFonts w:ascii="Arial" w:cs="Arial" w:eastAsia="Arial" w:hAnsi="Arial"/>
          <w:sz w:val="17"/>
          <w:szCs w:val="17"/>
          <w:color w:val="auto"/>
        </w:rPr>
        <w:t>provide reasonable assurance of the safety and effectiveness of the device, a description of the probable benefits of the device when compared to the probable risks when the device is used as intended, non-clinical data including bench performance and animal testing, technical information about the device, and clinical data (if applicable). FDA’s goal is to review a De Novo request within 150 review days after receiving the petition. As with a 510(k) submission or PMA, the length of the review can be prolonged if the FDA requests additional information from the applicant.</w:t>
      </w:r>
    </w:p>
    <w:p>
      <w:pPr>
        <w:spacing w:after="0" w:line="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obtain a PMA,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Once filed as a PMA, the FDA has 180 days to review the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4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Prior to approval of a PMA, the FDA may conduct inspections of any clinical trial data and clinical trial sites, as well as inspections of any manufacturing facility and processes. The FDA can delay, limit or deny approval of a PMA application for many reasons, including (1) the device may not be shown safe or effective to the FDA’s satisfaction; (2) the data from pre-clinical studies and/or clinical trials may be found unreliable or insufficient to support approval;</w:t>
      </w:r>
    </w:p>
    <w:p>
      <w:pPr>
        <w:spacing w:after="0" w:line="2" w:lineRule="exact"/>
        <w:rPr>
          <w:sz w:val="20"/>
          <w:szCs w:val="20"/>
          <w:color w:val="auto"/>
        </w:rPr>
      </w:pPr>
    </w:p>
    <w:p>
      <w:pPr>
        <w:ind w:firstLine="8"/>
        <w:spacing w:after="0" w:line="260" w:lineRule="auto"/>
        <w:tabs>
          <w:tab w:leader="none" w:pos="2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manufacturing process or facilities may not meet applicable requirements; and (4) changes in FDA approval policies or adoption of new regulations may require additional data.</w:t>
      </w:r>
    </w:p>
    <w:p>
      <w:pPr>
        <w:spacing w:after="0" w:line="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data is available. The PMA process can be expensive, uncertain and lengthy. A number of devices for which the FDA approval has been sought by other companies have never been approved by the FDA for marketing. New PMA applications or PMA supplements are required for any modifications to the manufacturing process, equipment or facility, quality control procedures, sterilization, packaging, expiration date, labeling, device specifications, ingredients, materials or design of a device that has been approved through the PMA process.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condition of PMA application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510(k), De Novo or PMA processes can be expensive, lengthy and unpredictable. The FDA’s 510(k) clearance process usually takes from three to 12 months, but can last longer. The process of obtaining a PMA is much more costly and uncertain than the 510(k)-clearance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Companion Diagnostics and the Premarket Process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one of our future product candidates may include a companion diagnostic or complementary diagnostic (collectively CDx). CDx’s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The use of the CDx will be stipulated in the labeling of both the CDx and the therapeutic product. The FDA may require an application for the CDx to be separate from the drug approval process, and this could potentially delay the approval of any new drug application or the CDx, or complicate the review process. CDx’s are generally regulated as Class III medical devices by the FDA and are therefore most often subject to the PMA approval process.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issued guidance in July 2016 for the co-development of CDx tests with a therapeutic product and issued another draft guidance in December 2018 specific to oncology CDx tests. The FDA finalized this draft guidance in April 2020 in “Developing and Labeling 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jc w:val="both"/>
        <w:spacing w:after="0" w:line="271" w:lineRule="auto"/>
        <w:rPr>
          <w:sz w:val="20"/>
          <w:szCs w:val="20"/>
          <w:color w:val="auto"/>
        </w:rPr>
      </w:pPr>
      <w:r>
        <w:rPr>
          <w:rFonts w:ascii="Arial" w:cs="Arial" w:eastAsia="Arial" w:hAnsi="Arial"/>
          <w:sz w:val="17"/>
          <w:szCs w:val="17"/>
          <w:color w:val="auto"/>
        </w:rPr>
        <w:t>vitro Companion Diagnostic Devices for a Specific Group of Oncology Therapeutic Products.” The guidance is meant to guide the development of CDx products, which are defined as IVDs that provide information that is essential for the safe and effective use of the therapeutic product. A CDx is often developed and approved or cleared contemporaneously with the therapeutic, and the use of the CDx is stipulated in the labeling of both the CDx and the corresponding therapeutic product. While it supports contemporaneous marketing authorizations, if there are any deficiencies in the submissions, the FDA may place a PMA review of a CDx on hold or request additional testing, which could potentially delay the approval of the corresponding new drug application or the marketing authorization of the CDx, or otherwise complicate the review process. Some oncology CDx tests can be developed in a way that results in labeling for a specific group of oncology therapeutic products, rather than a single therapeutic product.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Post-Market FDA Regulation</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Even if regulatory clearance, authorization or approval of a device is granted, the FDA may impose limitations on the uses and indications for which the device may be labeled and promoted, and the device remains subject to significant regulatory requirements. Medical devices may be marketed only for the uses and indications for which they are cleared, authorized or approved. After a device, including a device exempt from FDA premarket review, is placed on the market, numerous post-market regulatory requirements apply, and the FDA has broad authority to enforce these requirements. Medical device manufacturers are subject to unannounced inspections by the FDA and other state, local and foreign regulatory authorities to assess compliance with the QSR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 civil penalties; unanticipated expenditures, including requirements to repair, replace, and/or refund the cost of the devices, recall or seizure of our products; operating restrictions, partial suspension or total shutdown of production; the FDA’s refusal of our requests for 510(k) clearance, De Novo classification, or PMA of new products, new intended uses or modifications to existing products; the FDA’s refusal to issue certificates to foreign governments needed to export products for sale in other countries; and withdrawing 510(k) clearance or PMAs that have already been granted and criminal prosecution. In the event that a supplier fails to maintain compliance with the FDA’s or our quality requirements, we may have to qualify a new supplier and could experience manufacturing delays as a result.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Fraud and Abuse Laws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federal fraud and abuse laws such as the federal Anti-Kickback Statute (AKS), the federal prohibition against physician self-referral (Stark Law), the Eliminating Kickbacks in Recovery Act (EKRA), and the federal False Claims Act (FCA). We are also subject to similar state and foreign fraud and abuse laws.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AKS (Social Security Act § 1128B(b))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item or service that may be reimbursable, in whole or in part, under a federal healthcare program, such as Medicare or Medicaid. There are a number of statutory exceptions and regulatory safe harbors to the AKS that provide protection from AKS liability to arrangements that fully satisfy the applicable requirements.</w:t>
      </w:r>
    </w:p>
    <w:p>
      <w:pPr>
        <w:spacing w:after="0" w:line="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EKRA (18 USC § 220)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The term “health care benefit program” is broadly defined such that EKRA extends to referrals reimbursed by both governmental and commercial third-party payers. EKRA includes a number of statutory exceptions that provide protection from EKRA liability if the applicable requirements are met.</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Stark Law (Social Security Act § 1877) generally prohibits, among other things, clinical laboratories and other so-called “designated health services” entities from billing Medicare for any designated health services when the physician ordering the service, or any member of such physician’s immediate family, has a financial relationship, such as a direct or indirect investment interest in or compensation arrangement with the billing entity, unless the arrangement meets an exception to the prohibition. The Stark Law also prohibits physicians from making such referrals to a designated health services entity. There are also similar state laws that apply where Medicaid and/or commercial payers are billed.</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FCA (31 USC § 3729) imposes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of $13,508 to $27,018 per false claim or statement for penalties assessed after January 30, 2023, with respect to violations occurring after November 2, 2015.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jc w:val="both"/>
        <w:spacing w:after="0" w:line="291" w:lineRule="auto"/>
        <w:rPr>
          <w:sz w:val="20"/>
          <w:szCs w:val="20"/>
          <w:color w:val="auto"/>
        </w:rPr>
      </w:pPr>
      <w:r>
        <w:rPr>
          <w:rFonts w:ascii="Arial" w:cs="Arial" w:eastAsia="Arial" w:hAnsi="Arial"/>
          <w:sz w:val="16"/>
          <w:szCs w:val="16"/>
          <w:color w:val="auto"/>
        </w:rPr>
        <w:t>Other federal statutes pertaining to healthcare fraud and abuse include the civil monetary penalties statute, which prohibits, among other things, the offer or payment of remuneration to a Medicaid or Medicare beneficiary that the offeror or payer knows or should know is likely to influence the beneficiary to order or receive a reimbursable item or service from a particular provider, practitioner, or supplier, and contracting with an individual or entity that the person knows or should know is excluded from participation in a federal health care program. In addition, federal criminal statutes created by the Health Insurance Portability and Accountability Act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these federal laws, there are often similar state anti-kickback and false claims laws that typically apply to arrangements involving reimbursement by a state-funded Medicaid or other health care program. Often, these laws closely follow the language of their federal law counterparts, although they do not always have the same exceptions or safe harbors. In some states, these anti-kickback laws apply with respect to all payers, including commercial payers.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 care professionals. Some of these laws, referred to as “aggregate spend” or “gift” laws, carry substantial fines if they are violated.</w:t>
      </w:r>
    </w:p>
    <w:p>
      <w:pPr>
        <w:spacing w:after="0" w:line="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and extensive annual trainings for all of our employees and contractors. If our operations are found to be in violation of any of these laws or any other governmental regulations that may apply to us, we may be subject to significant civil, criminal and administrative penalties, damages, fines, imprisonment, exclusion from participation in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of the physicians or other healthcare providers or entities with whom we do business is found to be not in compliance with applicable laws, they may be subject to criminal, civil or administrative sanctions, including exclusions from government-funded healthcare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Foreign Corrupt Practices Act of 1977 (FCPA) and similar international bribery laws make it unlawful for persons or entities to make payments to foreign government officials to assist in obtaining and maintaining business. Specifically, the anti-bribery provisions of the FCPA prohibit any offer, payment, promise to pay, or authorizing the payment of money or anything of value to any person, while knowing that all or a portion of such money or thing of value will be offered, given or promised, directly or indirectly, to a foreign official to do or omit to do an act in violation of his or her duty, or to secure any improper advantage in order to assist in obtaining or retaining business for or with, or directing business, to any person. In addition to the anti-bribery provisions of the FCPA, the statute also contains accounting requirements designed to operate in tandem with the anti-bribery provisions. Covered companies are required to make and keep books and records that accurately and fairly reflect the transactions of the company and devise and maintain an adequate system of internal accounting controls. With our international operations through our third-party partnerships, we could incur significant fines and penalties, as well as criminal liability, if we fail to comply with either the anti-bribery or accounting requirements of the FCPA, or similar international bribery laws. Even an unsuccessful challenge of our compliance with these laws could cause us to incur adverse publicity and significant legal and related costs. We successfully passed our first FCPA compliance review in 2021 with no findings.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Protection Laws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Numerous federal and state laws and regulations, including HIPAA, as amended by the Health Information Technology for Economic and Clinical Health (HITECH) Act, govern the collection, dissemination, security, use and confidentiality of protected health information (PHI) and personal information. In the course of performing our business we obtain personal information, including PHI. Laws and regulations relating to privacy, data protection, and consumer protection are evolving and, in some cases, particularly with regard to newer laws, may be subject to potentially differing interpretations. Under HIPAA and HITECH, the HHS issues regulations that establish uniform standards governing the conduct of certain electronic healthcare transactions and requirements for protecting the privacy and security of PHI, used or disclosed by covered entities (CEs) and their authorized business associates (BAs). Because we are a health care provider that electronically transmits health care information, and we also provide certain services to CEs and receive PHI from them, we are at times either a CE or a BA, as defined by HIPAA. Our subcontractors that create, receive, maintain, transmit or otherwise process PHI on our behalf are HIPAA BAs and must also comply with HIPAA, as applicable.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HIPAA and HITECH include the privacy and security rules, breach notification requirements and electronic transaction standards. The privacy rule governs the use and disclosure of PHI, generally prohibits the use or disclosure of PHI except as permitted under the rule, and mandates certain safeguards to protect the privacy of PHI. The privacy rule also sets forth individual rights, such as the right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jc w:val="both"/>
        <w:spacing w:after="0" w:line="256" w:lineRule="auto"/>
        <w:rPr>
          <w:sz w:val="20"/>
          <w:szCs w:val="20"/>
          <w:color w:val="auto"/>
        </w:rPr>
      </w:pPr>
      <w:r>
        <w:rPr>
          <w:rFonts w:ascii="Arial" w:cs="Arial" w:eastAsia="Arial" w:hAnsi="Arial"/>
          <w:sz w:val="18"/>
          <w:szCs w:val="18"/>
          <w:color w:val="auto"/>
        </w:rPr>
        <w:t>access or amend certain records containing such individual’s PHI, or to request restrictions on the use or disclosure of such individual’s PHI. The security rule requires CEs and BAs to safeguard the confidentiality, integrity, and availability of electronically transmitted or stored PHI (also referred to as ePHI) by implementing administrative, physical and technical safeguards. Under HIPAA’s breach notification rule, a CE must notify individuals, the Secretary of HHS, and in some circumstances, the media of certain breaches of unsecured PHI or ePHI, and similar breach notification provisions apply to certain BAs under the HITECH Act.</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Penalties for failure to comply with a requirement of HIPAA and HITECH vary depending on the number and nature of the violations and any history of prior violations, but can be significant and include civil monetary or criminal penalties. HIPAA is enforced by the Department of Health and Human Services, Office for Civil Rights, and 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in civil court for violations of HIPAA, its standards have been used as the basis for duty of care cases in state civil suits such as those for negligence or recklessness in improper use, access to or disclosure of PHI. In addition, HIPAA mandates that the Secretary of HHS conduct periodic compliance audits of HIPAA CEs, such as us, and their BAs for compliance with the HIPAA privacy and security standards and breach notification rules. It also tasks HHS with establishing a methodology whereby harmed individuals who were the victims of breaches of unsecured PHI may receive a percentage of the civil monetary penalty paid by the violator.</w:t>
      </w:r>
    </w:p>
    <w:p>
      <w:pPr>
        <w:spacing w:after="0" w:line="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addition, we may be subject to state privacy, cybersecurity, and data breach notification laws, which may govern the collection, use, disclosure and protection of health-related and other personal information. California, for example, has enacted the Confidentiality of Medical Information Act, which, in addition to HIPAA and HITECH, sets forth standards with which all California health care providers must abide. Colorado has enacted the Colorado Privacy Act, and Virginia has enacted the Consumer Data Protection Act, both of which also have standards that must be complied with that supplement Federal data protection requirements, State laws may be more stringent, broader in scope or offer greater individual rights with respect to PHI than HIPAA, and state laws may differ from each other in regards to personal information treatment, which may complicate compliance efforts. For instance, the California Consumer Privacy Act (CCPA) became effective on January 1, 2020 and was amended by the passage of the California Privacy Rights Act (CPRA) in November of 2020, which amendments came into force on January 1, 2023. The CCPA, among other things,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The CCPA has been amended from time to time, and it remains unclear what, if any, further modifications will be made to this legislation or how it will be interpreted. Although there are certain exemptions for PHI and clinical trial data, the CCPA’s implementation standards and enforcement practices are likely to remain uncertain for the foreseeable future and the CCPA may increase our compliance costs and potential liability. Additionally, the CPRA imposes additional data protection obligations on companies doing business in California, including additional consumer rights processes and opt outs for certain uses of sensitive data. It also creates a new California data protection agency – the California Privacy Protection Agency – specifically tasked to enforce the law, which would likely result in increased regulatory scrutiny of California businesses in the areas of data protection and security. Similar laws have been proposed in other states and at the federal level, and if passed, such laws may have potentially conflicting requirements that could continue to make compliance challenging and costly.</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the Federal Trade Commission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also be subject to laws and regulations in foreign countries covering data privacy and other protection of health and employee information that may add additional compliance burden and complexity. For example, in the EEA, the collection and use of personal data is governed by the European Union's General Data Protection Regulation (GDPR). In the United Kingdom, the GDPR has been adopted in substantially the same form, however the UK may potentially make revisions in the coming years.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European and United Kingdom data protection authorities may interpret the GDPR and national laws differently and impose additional requirements, which adds to the complexity of processing personal data in or from the EEA or United Kingdom. Guidance on implementation and compliance practices is often updated or otherwise revised. GDPR applies extra-territorially under certain circumstances and imposes stringent requirements on controllers and processors of personal data, including, for example, requirements to ensure a legal bases to process personal information, provide robust disclosures to individuals, facilitate data subject rights, provide data security breach notifications within 72 hours after discovering a breach in certain circumstances, limit retention of personal information and apply enhanced protections to health data and other categories of sensitive personal information. The GDPR also has requirements around international transfers of personal data. Requirements around transfers to the United States and other jurisdictions have increased since a July 2020 decision by the Court of Justice of the European Union invalidated the Privacy Shield as a basis 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jc w:val="both"/>
        <w:spacing w:after="0" w:line="253" w:lineRule="auto"/>
        <w:rPr>
          <w:sz w:val="20"/>
          <w:szCs w:val="20"/>
          <w:color w:val="auto"/>
        </w:rPr>
      </w:pPr>
      <w:r>
        <w:rPr>
          <w:rFonts w:ascii="Arial" w:cs="Arial" w:eastAsia="Arial" w:hAnsi="Arial"/>
          <w:sz w:val="18"/>
          <w:szCs w:val="18"/>
          <w:color w:val="auto"/>
        </w:rPr>
        <w:t>transfer personal data from Europe to the United States, and added requirements for reliance on Standard Contractual Clauses. Regulatory guidance on requirements for international transfers, and other GDPR compliance matters, continues to evolve; for example, the European Commission in December 2022 announced that it was beginning the process of drafting a new adequacy decision that would ease regulatory barriers for data transfers to the United States. However, it is widely expected that the new adequacy decision will itself face scrutiny from the Court of Justice, underscoring that GDPR compliance is an ongoing endeavor. Failure to comply with the requirements of the GDPR may result in fines of up to €20 million or up to 4% of the total worldwide annual turnover of our preceding fiscal year, whichever is higher, and other administrative penalties. To comply with the GDPR and other applicable international data protection laws and regulations, we may be required to put in place additional mechanisms ensuring compliance, which may result in other substantial expenditures.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business relies on secure and continuous processing of information and the availability of our IT networks and IT resources, as well as critical IT vendors that support our technology, research and other data processing operations. While we take steps to protect our systems and data, security incidents, data breaches, computer malware and computer hacking attacks have become more prevalent across industries, including the life sciences sector, and may occur on our systems or those of our third-party service providers. Unauthorized persons may in the future be able to exploit weaknesses in the security systems of our (or our third-party service providers) IT networks and gain access to PHI and other personal information, sensitive trade secrets, or other proprietary information. Any wrongful use or disclosure of PHI, other personal information, trade secrets or other proprietary information by us or our third-party service providers could subject us to regulatory fines or penalties, third-party claims or otherwise could adversely affect our business and results of operations. Although HIPAA and the regulations promulgated thereunder do not provide for a private right of action, failures to adequately protect PHI or our IT systems could be viewed as violations of the HIPAA security rule or violations of other applicable information security laws, regulations, contractual obligations or industry standards, and could further result in costly data breach notification obligations that negatively impact our reputation.</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data security incidents or data breaches, as well as attacks on our IT systems, could result in operational disruptions or data loss or corruption that could adversely impact our business and operations, resulting in substantial investment of resources to investigate, recover and remediate and subject us to heightened regulatory scrutiny.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countries in which we may offer any of our diagnostic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FCPA.</w:t>
      </w:r>
    </w:p>
    <w:p>
      <w:pPr>
        <w:spacing w:after="0" w:line="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Securities and Exchange Commission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standard of intent and knowledge in anti-bribery cases is minimal.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When marketing our diagnostic tests outside of the United States, we may be subject to foreign regulatory requirements governing human clinical testing, prohibitions on the import of tissue necessary for us to perform our diagnostic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Market access, sales and marketing of medical devices in non-U.S. countries are subject to foreign regulatory requirements that vary widely from country to country. For example, in the EEA, a medical device must meet MDDs/IVDD Essential Requirements or, applicable on May 26, 2021, the MDR applicable on May 26, 2022, IVDR General Safety and Performance Requirements which apply to it, taking into account its intended purpose as defined by the data supplied by the manufacturer on the label, in the instructions for use or in promotional or sales materials or statements and as specified by the manufacturer in the clinical evaluation. Before placing 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jc w:val="both"/>
        <w:spacing w:after="0" w:line="273" w:lineRule="auto"/>
        <w:rPr>
          <w:sz w:val="20"/>
          <w:szCs w:val="20"/>
          <w:color w:val="auto"/>
        </w:rPr>
      </w:pPr>
      <w:r>
        <w:rPr>
          <w:rFonts w:ascii="Arial" w:cs="Arial" w:eastAsia="Arial" w:hAnsi="Arial"/>
          <w:sz w:val="17"/>
          <w:szCs w:val="17"/>
          <w:color w:val="auto"/>
        </w:rPr>
        <w:t>medical device on the EEA market, the manufacturer must draw up a declaration of conformity, certifying that the device complies with the MDD/IVDD/MDR/IVDR, and must then affix the CE mark. For medium and high-risk devices as well as low risk devices that are placed on the market in sterile condition, have a measuring function, or are reusable surgical instruments, the manufacturer must obtain a CE Certificate from a notified body. The notified body typically audits and examines the device’s technical documentation, including the clinical evaluation, and the quality system for the manufacture, design and final inspection of the relevant device before issuing a CE Certificate. Following the issuance of this CE Certificate, manufacturers may draw up the declaration of conformity and affix the CE mark to the devices covered by this CE Certificate.</w:t>
      </w:r>
    </w:p>
    <w:p>
      <w:pPr>
        <w:spacing w:after="0" w:line="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Manufacturers of medical devices must document in a CER the evaluation of the clinical data related to the device. The CER is part of the device’s technical file. The evaluation shall document that the applicable Essential Requirements/General Safety and Performance Requirements are met and document the evaluation of the undesirable side-effects and the acceptability of the benefit-risk ratio. The CER must be updated based on information from the post-market surveillance and vigilance activities related to the device. The CER shall consist,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of analyzed clinical data collected from a clinical investigation of the device, or the results of other studies on substantially equivalent devices. Reliance on “substantially equivalent” devices is very restrictive and requires, </w:t>
      </w:r>
      <w:r>
        <w:rPr>
          <w:rFonts w:ascii="Arial" w:cs="Arial" w:eastAsia="Arial" w:hAnsi="Arial"/>
          <w:sz w:val="16"/>
          <w:szCs w:val="16"/>
          <w:i w:val="1"/>
          <w:iCs w:val="1"/>
          <w:color w:val="auto"/>
        </w:rPr>
        <w:t>inter alia</w:t>
      </w:r>
      <w:r>
        <w:rPr>
          <w:rFonts w:ascii="Arial" w:cs="Arial" w:eastAsia="Arial" w:hAnsi="Arial"/>
          <w:sz w:val="16"/>
          <w:szCs w:val="16"/>
          <w:color w:val="auto"/>
        </w:rPr>
        <w:t>, that the manufacturer has full access to the technical documentation of the equivalent device on an ongoing basis and, if the “equivalent device” is not its own, that the manufacture has in place a contract with the manufacturer of the “equivalent device.”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Similar requirements apply in the UK. For access to the UK market, manufacturers must obtain a UKCA Certificate and affix a UKCA mark to their medical devices. However, the CE mark will be accepted in the UK until July 1,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March 2010, the Patient Protection and Affordable Care Act (ACA) was enacted in the United States. The ACA made a number of substantial changes to the way healthcare is financed both by governmental and private insurers. For example, the ACA requires each medical device manufacturer to pay a sales tax equal to 2.3% of the price for which such manufacturer sells its medical devices. The medical device tax was permanently repealed at the end of 2019.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Beginning in 2017, the Trump administration sought to modify, repeal, or otherwise invalidate all, or certain provisions of, the ACA. The Trump administration issued three executive orders and other directives designed to delay the implementation of certain provisions of the ACA or otherwise circumvent some of the requirements for health insurance mandated by the ACA. For example, on December 20, 2019, President Trump signed appropriations legislation for fiscal year 2020 that repealed certain ACA-mandated fees, including the so-called “Cadillac” tax on certain high-cost employer-sponsored insurance plans, for tax years beginning after December 31, 2019; the annual fee imposed on certain health insurance providers based on market share, for calendar years beginning December 31, 2020; and the medical device excise tax on non-exempt medical devices, for sales after December 31, 2019. While Congress did not pass comprehensive legislation that would repeal all or part of the ACA, two bills affecting the implementation of certain taxes under the ACA have been signed into law. Specifically, the Tax Cuts and Jobs Act of 2017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Beginning in 2021, the Biden administration has signaled its intent to pursue policies strengthening the ACA.</w:t>
      </w:r>
    </w:p>
    <w:p>
      <w:pPr>
        <w:spacing w:after="0" w:line="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2030 unless additional Congressional action is taken. In 2020, the CARES Act temporarily suspended the 2% cut in Medicare payments from May 1, 2020 through December 31, 2020, and it extended the sequestration reductions through fiscal year 2030 to offset the cost of such temporary suspension. The Consolidated Appropriations Act of 2021 further extended the temporary suspension through March 31, 2021. On April 14, 2021, Congress enacted legislation that further extended the suspension through December 31, 2021. On December 10, 2021, further legislation was enacted to extend the suspension through March 31, 2022, after which a 1.0% sequestration applied for Medicare payments made between April 1, 2022 and June 30, 2022.</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American Taxpayer Relief Act of 2012 made other changes, including reduced Medicare payments to several types of providers and increased the statute of limitations period for the government to recover overpayments to providers from three to five years. If federal spending is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R&amp;D, manufacturing, and marketing activities, which may delay our ability to develop, market and sell any products we may develop. Additionally, the Biden administration has already indicated a shift in direction from Trump administration policies by issuing orders and other documents rolling back regulations and Executive Orders from the Trump administration, and as noted, indicating that it will pursue policies strengthening the ACA.</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jc w:val="both"/>
        <w:spacing w:after="0" w:line="269" w:lineRule="auto"/>
        <w:rPr>
          <w:sz w:val="20"/>
          <w:szCs w:val="20"/>
          <w:color w:val="auto"/>
        </w:rPr>
      </w:pPr>
      <w:r>
        <w:rPr>
          <w:rFonts w:ascii="Arial" w:cs="Arial" w:eastAsia="Arial" w:hAnsi="Arial"/>
          <w:sz w:val="17"/>
          <w:szCs w:val="17"/>
          <w:color w:val="auto"/>
        </w:rPr>
        <w:t>In December 2020, in its enactment of the Consolidated Appropriations Act, Congress enacted the No Surprises Act. This law, which took effect January 1, 2022, bars an out-of-network providers from billing patients in excess of the in-network cost sharing for services furnished with respect to a visit at certain in-network health 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HHS to apply this exception to certain advanced tests. Regulations and subregulatory guidance were issued by HHS, the Department of Labor, and the Department of the Treasury in 2021 and 2022, with the first set of regulations was issued as an Interim Final Rule on July 1, 2021, a second set issued as an Interim Final Rule on September 30, 2021, and a third set issued as a Final Rule on August 19, 2022. These regulations and subregulatory guidance have provided additional information on the applicability of the No Surprises Act, the rules governing the independent dispute resolution process, and specific provider requirements (including the obligation to furnish a “good faith estimates” of “expected charges” to uninsured or self-pay patients), as well as areas of temporary enforcement discretion.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subject to various federal, state, local, and foreign environmental, health and safety laws and regulations and permitting and licensing requirements. Such laws include those governing laboratory practices, the generation, storage, use, manufacture, handling, transportation, treatment, remediation, release and disposal of, and exposure to, hazardous materials and wastes and worker health and safety. Our operations involve the generation, use, storage and disposal of hazardous materials, and the risk of injury, contamination or non-compliance with environmental, health and safety laws and regulations or permitting or licensing requirements cannot be eliminated. In particular, the introduction of our Bio-Rad SARS-CoV-2 ddPCR and Platelia SARS-CoV-2 Total Ab tests requires that we maintain compliance with applicable and evolving federal and state laws and regulations relating to COVID-19, including the generation, use, storage, and disposal of testing materials and agents. Compliance with environmental laws and regulations has not had a material effect on our capital expenditures, earning or competitive position. Most recently, the Boulder, Colorado clinical laboratory passed an on-site inspection from the CDC in June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We were incorporated in Delaware in 2005 as Elston Technologies, Inc. Our principal executive offices are located at 2970 Wilderness Place, Suite 100, Boulder, Colorado 80301, and our telephone number is (303) 417-0500. On June 20, 2006, we changed our name to Biodesix,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8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our initial public offering (IPO).</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we are a “smaller reporting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as of the end of that year’s second fiscal quarter. To the extent we take advantage of such reduced disclosure obligations, it may also make comparison of our financial statements with other public companies difficult or impossible.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certain risks related to our status as an emerging growth company, see “Risk Factors—General Risk Factors—We are an “emerging growth company” and a “smaller reporting company,” and the reduced disclosure requirements applicable to emerging growth companies and smaller reporting companies may make our common stock less attractive to investors.”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culture is underpinned by our cultural beliefs including an unwavering commitment to inclusion and diversity. We are committed to fostering a diverse and inclusive workplace that attracts and retains exceptional talent offering opportunities for our team members to grow and develop in their careers, supported by a competitive suite of benefits and health and wellness programs. We regularly engage our team members in monthly all-hands meetings to align and focus on the current state of affairs of our business, our partnerships, new products, clinical trials, and other pertinent information about our business. We engage our team members in programs such as peer recognition and recruitment that focuses on recognizing outstanding individual contributions to company performance, cultural fit of new team members and acknowledging the diversity of our team to ensure our team members feel valued and can do their best work. We have a national annual community service initiative, “Biodesix Gives Back” that allows each team member to invest ten hours of paid community service to organizations of their choosing.</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we had approximately 245 full-time and part-time employees, all of whom are located in the United States. Of our 245 full-time and part-time team members, the majority of our team member base is located in proximity to our corporate office and testing facilities located in Boulder, Colorado and our laboratory in De Soto, Kansas.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a diverse employee population, including cultural background, gender, ethnicity, sexual orientation and lived experiences, is critical to our success. Our employees are encouraged to leverage their personal strengths and experiences to continually innovate and contribute to the development of new ideas and process improvements that drive better experiences for our partners.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Engagement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company culture emphasizes the satisfaction and well-being of our team members and a diverse, engaged workforce. We solicit the opinion and views of our team members through surveys and peer focus groups. We have an established and valued Peer Recognition Culture. Teammates recognize other teammates publicly for their support and contributions fostering collaboration, engagement and retention. We regularly review feedback we receive on our current cultural beliefs to determine if any modifications are needed. During 2021, we updated our cultural beliefs to align with our core values that reflect our current focus on Teamwork, Innovation, Making an Impact and Excel. Additionally, the Company annually celebrates our top sales performers through our President’s Club and other top company performers as nominated by fellow team members through our four (4) Performance Excellence Awards that recognize creativity and innovation, an entrepreneurial spirit, a strategic impact on the success of the Company and lastly, embodying the Biodesix cultural beliefs and goes “above and beyond” daily.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invest in our team members career growth and provide team members with a wide range of development opportunities, including face-to-face, virtual, and self-directed learning, mentoring, coaching, and external development.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physical health, financial stability, life balance and mental health of each of our team members is vital to our success. We sponsor several cancer awareness activities in our local communities to bring engagement and awareness of health, safety and wellness to positively impact lives. We provide an Employee Assistance Program to enhance physical, financial, and mental well-being for all our team members. Since the onset of the COVID-19 pandemic, we have successfully transitioned a significant portion of our workforce to a remote working environment and implemented strict safety and social distancing measures in our sites to protect the health and safety of our team members. We also have provided extraordinary safety protocols and standards for all “essential” team members who work in our laboratories and our field sales organization including regularly scheduled serial testing for COVID-19. We also have an active “Friends and Family” COVID-19 testing program for our team members, their families and close friends.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Equity</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main objective of our compensation program is to provide a compensation package that will attract, retain, motivate, and reward superior team members who operate in a highly competitive and technologically challenging environment. We emphasize overall Company performance and provide equity incentives for all team members to align their financial interests with the interests of shareholders. In addition, we offer an employee stock purchase plan to all employees in which participants are eligible to purchase shares at a discount to market. We think like customers and act like owners.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color w:val="auto"/>
        </w:rPr>
        <w:t>Biodesix seeks fairness in total compensation. We benchmark with external comparisons, internal comparisons and look at the relationship between team member roles within the organization. We also review our compensation practices, both in terms of our overall workforce and individual team members, to ensure our pay is fair and equitable. We currently have no pay disparities based on gender, race, or ethnicity.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file with, or furnish to, the SEC reports including our Annual Report on Form 10-K, Quarterly Reports on Form 10-Q, Current Reports on Form 8-K, and amendments to those reports pursuant to Section 13(a) or 15(d) of the Securities Exchange Act of 1934, as amended. These reports are available free of charge on our corporate website (www.biodesix.com) as soon as reasonably practicable after they are electronically filed with or furnished to the SEC. Copies of any materials we file with the SEC can be obtained at www.sec.gov. The information provided on our website (or any other website referred to in this report) is not part of this report and is not incorporated by reference as part of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 This summary does not address all of the risk that we face and should be read in conjunction with the entire Risk Factors section below beginning at “Risks Related to Our Business and Industry” within this Item 1A. Risk Factors.</w:t>
      </w:r>
    </w:p>
    <w:p>
      <w:pPr>
        <w:spacing w:after="0" w:line="75" w:lineRule="exact"/>
        <w:rPr>
          <w:sz w:val="20"/>
          <w:szCs w:val="20"/>
          <w:color w:val="auto"/>
        </w:rPr>
      </w:pPr>
    </w:p>
    <w:p>
      <w:pPr>
        <w:ind w:left="90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a history of net losses, and we expect to continue to incur losses for the foreseeable future. If we achieve profitability, we may not be able to sustain it.</w:t>
      </w:r>
    </w:p>
    <w:p>
      <w:pPr>
        <w:spacing w:after="0" w:line="61"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audited financial statements include a statement that there is a substantial doubt about our ability to continue as a going concern and a continuation of negative financial trends could result in our inability to continue as a going concern.</w:t>
      </w:r>
    </w:p>
    <w:p>
      <w:pPr>
        <w:spacing w:after="0" w:line="61"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commercial success of our current and future diagnostic tests and services depends upon attaining significant market acceptance among payers, providers, clinics, patients, and biopharmaceutical companies.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encounter difficulties in managing our growth, which could disrupt our operations.</w:t>
      </w:r>
    </w:p>
    <w:p>
      <w:pPr>
        <w:spacing w:after="0" w:line="116"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61"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cannot maintain our current relationships, or enter into new relationships, with biopharmaceutical companies, our revenue prospects could be reduced.</w:t>
      </w:r>
    </w:p>
    <w:p>
      <w:pPr>
        <w:spacing w:after="0" w:line="61"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commercial success and revenue growth are highly dependent on the demand for, and increased adoption of, our diagnostic tests, including our COVID-19 testing program, which are subject to a number of risks and uncertainty.</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need to ensure strong product performance and reliability to maintain and grow our business.</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depend upon third-party suppliers, including contract manufacturers and single source suppliers, making us vulnerable to supply problems and price fluctuations.</w:t>
      </w:r>
    </w:p>
    <w:p>
      <w:pPr>
        <w:spacing w:after="0" w:line="61" w:lineRule="exact"/>
        <w:rPr>
          <w:rFonts w:ascii="Arial" w:cs="Arial" w:eastAsia="Arial" w:hAnsi="Arial"/>
          <w:sz w:val="18"/>
          <w:szCs w:val="18"/>
          <w:color w:val="auto"/>
        </w:rPr>
      </w:pPr>
    </w:p>
    <w:p>
      <w:pPr>
        <w:jc w:val="both"/>
        <w:ind w:left="900" w:hanging="383"/>
        <w:spacing w:after="0" w:line="263"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or man-made disasters, pandemics, outbreaks, or other similar events, including a sustained outbreak or future waves of the novel strain of coronavirus disease, COVID-19, could significantly disrupt our business, and negatively impact our business, financial condition and results of operations.</w:t>
      </w:r>
    </w:p>
    <w:p>
      <w:pPr>
        <w:spacing w:after="0" w:line="74" w:lineRule="exact"/>
        <w:rPr>
          <w:rFonts w:ascii="Arial" w:cs="Arial" w:eastAsia="Arial" w:hAnsi="Arial"/>
          <w:sz w:val="18"/>
          <w:szCs w:val="18"/>
          <w:color w:val="auto"/>
        </w:rPr>
      </w:pPr>
    </w:p>
    <w:p>
      <w:pPr>
        <w:ind w:left="900" w:right="20" w:hanging="383"/>
        <w:spacing w:after="0" w:line="341"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industry is highly competitive and subject to rapid change, which could make our diagnostic tests and services obsolete. If we are unable to continue to innovate and expand and enhance our diagnostic tests and service offerings, we could lose customers or market share.</w:t>
      </w:r>
    </w:p>
    <w:p>
      <w:pPr>
        <w:spacing w:after="0" w:line="16" w:lineRule="exact"/>
        <w:rPr>
          <w:rFonts w:ascii="Arial" w:cs="Arial" w:eastAsia="Arial" w:hAnsi="Arial"/>
          <w:sz w:val="16"/>
          <w:szCs w:val="16"/>
          <w:color w:val="auto"/>
        </w:rPr>
      </w:pPr>
    </w:p>
    <w:p>
      <w:pPr>
        <w:jc w:val="both"/>
        <w:ind w:left="900" w:hanging="383"/>
        <w:spacing w:after="0" w:line="263"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74" w:lineRule="exact"/>
        <w:rPr>
          <w:rFonts w:ascii="Arial" w:cs="Arial" w:eastAsia="Arial" w:hAnsi="Arial"/>
          <w:sz w:val="18"/>
          <w:szCs w:val="18"/>
          <w:color w:val="auto"/>
        </w:rPr>
      </w:pPr>
    </w:p>
    <w:p>
      <w:pPr>
        <w:jc w:val="both"/>
        <w:ind w:left="900" w:hanging="383"/>
        <w:spacing w:after="0" w:line="263"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face additional costs, loss of revenue, significant liabilities, harm to our brand, decreased use of our products or services and business disruption if there are disruptions in our information technology systems, including any security or data privacy breaches or other unauthorized or improper access.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Our operations and financial results are subject to various risks and uncertainties that could adversely affect our business, financial condition, and results of operations and cash flows. All of the risks described below should be carefully considered together with the other information contained and incorporated by reference in this report.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history of net losses, and we expect to continue to incur losses for the foreseeable future. If we achieve profitability, we may not be able to sustain it.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incurred losses since our inception and expect to continue to incur losses for the foreseeable future. We reported net losses of $65.4 million and $43.2 million the years ended December 31, 2022 and 2021, respectively. As a result of these losses, as of December 31, 2022, we had an accumulated deficit of approximately $367.4 million.</w:t>
      </w:r>
    </w:p>
    <w:p>
      <w:pPr>
        <w:spacing w:after="0" w:line="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expect that our sales and marketing, research and development, regulatory and other expenses will continue to increase as we expand our marketing efforts for our diagnostic tests and services, expand existing relationships with our customers, obtain regulatory clearances or approvals or certifications for future enhancements to our existing diagnostic tests and services and conduct further clinical trials. In addition, we expect our general and administrative expenses to increase due to the additional costs associated with scaling our business operations and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spread of COVID-19, particularly during 2020 and 2021, and the impact to our business has had, and may continue to have, a material and adverse effect on our ability to generate revenues, maintain compliance with our financial covenants and result in our inability to continue as a going concern. Any such impacts could have a material and adverse effect on the price of our common stock.</w:t>
      </w:r>
    </w:p>
    <w:p>
      <w:pPr>
        <w:spacing w:after="0" w:line="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financial statements as of and for the period ended December 31, 2022 were prepared on the assumption that we would continue as a going concern. These financial statements did not include any adjustments that might result from the outcome of this uncertainty. As of December 31, 2022, we maintained cash and cash equivalents of $43.1 million and we have $30.0 million in principal balance remaining on our Perceptive Term Loan (as defined below). We have incurred significant losses since inception and, as a result, we have funded our operations to date primarily through the sale of common stock in our follow-on underwritten public offering in November 2022, the issuance of notes payable, and from our two primary revenue sources: (i) diagnostic testing, which include lung diagnostic testing and COVID-19 testing, and (ii) providing biopharmaceutical companies with development and testing services. Our ability to meet our obligations as they come due may be impacted by our ability to remain compliant with financial covenants in the Perceptive Term Loan Facility or to obtain waivers or amendments that impact the related covenants. However, due to the continued uncertainty caused by the COVID-19 pandemic and the associated impacts on the recovery of our diagnostic testing and services, significant risks remain with respect to our ability to meet these thresholds and any material adverse effect on our revenues, income and expenses could impact our ability to maintain compliance with these covenants. As a result of the items mentioned above, our management has determined that there is a substantial doubt about our ability to continue as a going concern over the next twelve months from the date these financial statements were issued. Although we have taken steps to improve our liquidity, including through entering into the Perceptive Term Loan Facility and terminating the 2021 Term Loan, and have taken measures to reduce planned capital expenditures and operating expenses, these actions alone may not be sufficient to mitigate our liquidity concerns in the wake of potential impacts to our revenues, operating results and cash flows from the continued uncertainty caused by the COVID-19 pandemic and adjustments to the post-pandemic environment. In addition, if we are not able to improve our operating results, we may need to limit our operations substantially. We will need to raise additional capital in the form of equity or debt to increase our liquidity but there is no assurance that we will be able to secure any such funding in a sufficient amount or on terms that are acceptable to us. If we raise additional capital through debt financing, we may be subject to covenants limiting or restricting our ability to take specific actions, such as incurring additional debt, making capital expenditures or declaring dividends.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Furthermore, the reaction of investors to the inclusion of a going concern statement in this report, and our potential inability to continue as a going concern, could materially adversely affect the price of our common stock.</w:t>
      </w:r>
    </w:p>
    <w:p>
      <w:pPr>
        <w:spacing w:after="0" w:line="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commercial success depends, in part, on the acceptance of our diagnostic tests and services as being safe and relatively simple for medical personnel to learn and use, clinically flexible, operationally versatile and, with respect to providers and payers, cost effective.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spacing w:after="0" w:line="277" w:lineRule="auto"/>
        <w:rPr>
          <w:sz w:val="20"/>
          <w:szCs w:val="20"/>
          <w:color w:val="auto"/>
        </w:rPr>
      </w:pPr>
      <w:r>
        <w:rPr>
          <w:rFonts w:ascii="Arial" w:cs="Arial" w:eastAsia="Arial" w:hAnsi="Arial"/>
          <w:sz w:val="18"/>
          <w:szCs w:val="18"/>
          <w:color w:val="auto"/>
        </w:rPr>
        <w:t>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our current and future diagnostic tests and services depends on a number of factors, including:</w:t>
      </w:r>
    </w:p>
    <w:p>
      <w:pPr>
        <w:spacing w:after="0" w:line="117" w:lineRule="exact"/>
        <w:rPr>
          <w:sz w:val="20"/>
          <w:szCs w:val="20"/>
          <w:color w:val="auto"/>
        </w:rPr>
      </w:pPr>
    </w:p>
    <w:p>
      <w:pPr>
        <w:ind w:left="900" w:hanging="383"/>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there is adequate utilization of our tests by clinicians, biopharmaceutical companies and other target groups based on the potential and perceived advantages of our diagnostic tests over those of our competitors;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convenience and ease of use of our diagnostic tests relative to those currently on the market;</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provide incremental data that show the clinical benefits and cost effectiveness, and operational benefits, of our diagnostic tests;</w:t>
      </w:r>
    </w:p>
    <w:p>
      <w:pPr>
        <w:spacing w:after="0" w:line="139" w:lineRule="exact"/>
        <w:rPr>
          <w:rFonts w:ascii="Arial" w:cs="Arial" w:eastAsia="Arial" w:hAnsi="Arial"/>
          <w:sz w:val="16"/>
          <w:szCs w:val="16"/>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coverage and reimbursement acceptance of our products and services;</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pressure, including from group purchasing organizations (GPOs), seeking to obtain discounts on our diagnostic tests based on the collective bargaining power of the GPO members;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publicity regarding our or our competitors’ diagnostic tests resulting from defects or errors;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accuracy of our tests relative to those of our competitors;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labeling or product insert requirements by the FDA or other regulatory authorities or conformity assessment bodies; and</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cleared or approved by the FDA or other regulatory authorities or conformity assessment bodies.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even if our diagnostic tests achieve widespread market acceptance, they may not maintain that market acceptance over time if competing diagnostic tests or technologies, which are more cost effective or are 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is no assurance that our COVID-19 and antibody testing program will continue to be accepted by the market or that other diagnostic tests will become more accepted, produce quicker results or are more accurate. Further, the longevity and extent of the COVID-19 pandemic is uncertain. On January 30, 2023, the White House issued a Statement of Administration Policy announcing the President’s intention to allow the Public Health Emergency declaration under Section 319 to expire on May 11, 2023. If the pandemic were to dissipate, whether due to a significant decrease in new infections, due to the availability of vaccines, or otherwise, the need for a COVID-19 test could decrease significantly and this could have an adverse effect on our results of operation and profitability.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disrupt our operations.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2022, we had approximately 245 full and part-time employees. Over the next several years, we expect to significantly increase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prospects.</w:t>
      </w:r>
    </w:p>
    <w:p>
      <w:pPr>
        <w:spacing w:after="0" w:line="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inception, we have experienced multiple cycles of growth and anticipate further growth in our business operations. This future growth could create strain on our organizational, administrative and operational 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able to maintain the quality or expected turnaround times of our diagnostic tests and services,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Additionally, if we are required to reduce expenses substantially to sustain our operations, we may not have the human resources to maintain growth in our business operations.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limited experience marketing and selling our diagnostic tests. 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spacing w:after="0" w:line="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order to generate future growth, we plan to continue to expand and leverage our sales and marketing infrastructure. Identifying and recruiting qualified sales and marketing personnel and training them on how to 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cannot maintain our current relationships, or enter into new relationships, with biopharmaceutical companies, our revenue prospects could be reduced.</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collaborate with biopharmaceutical companies to analyze patient samples for multiple applications primarily to support clinical trials, including patient identification, companion or complementary diagnostics and retrospective testing. The revenue attributable to our biopharmaceutical customers may also fluctuate in the future, which could have a material adverse effect on our financial condition and results of operations. In addition, the termination of these relationships could result in a temporary or permanent loss of revenue.</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 and proprietary AI platform.</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quarterly and annual revenue and operating results may fluctuate significantly, which makes it difficult for us to predict our future operating results. Our quarterly and annual operating results may fluctuate as a result of a variety of factors, many of which are outside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t>our control and, as a result, may not fully reflect the underlying performance of our business. These fluctuations may occur due to a variety of factors, including, but not limited to:</w:t>
      </w:r>
    </w:p>
    <w:p>
      <w:pPr>
        <w:spacing w:after="0" w:line="62" w:lineRule="exact"/>
        <w:rPr>
          <w:sz w:val="20"/>
          <w:szCs w:val="20"/>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demand for our diagnostic tests, which may vary significantly;</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cost of manufacturing our diagnostic tests, which may vary depending on the quantity of production and the terms of our agreements with third-party suppliers and manufacturers;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tests and technologies;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pricing pressures;</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 hired salespeople become effective, and the cost and level of investment therein;</w:t>
      </w:r>
    </w:p>
    <w:p>
      <w:pPr>
        <w:spacing w:after="0" w:line="61"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 in the competitive landscape of our industry, including consolidation among our competitors or future partners;</w:t>
      </w:r>
    </w:p>
    <w:p>
      <w:pPr>
        <w:spacing w:after="0" w:line="61"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lung cancer treatment equipment, and potential future diagnostic tests that compete with our diagnostic tests;</w:t>
      </w:r>
    </w:p>
    <w:p>
      <w:pPr>
        <w:spacing w:after="0" w:line="61"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diagnostic tests or any enhancements to such tests we develop or competing diagnostic tests;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positive or negative coverage, or public perception, of our diagnostic tests or those of our competitors or broader industry trends;</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if any, of the spread of COVID-19 and any newly discovered variants, and the resulting effects on the number of patients treated or the demand for our non-COVID-19 tests;</w:t>
      </w:r>
    </w:p>
    <w:p>
      <w:pPr>
        <w:spacing w:after="0" w:line="61" w:lineRule="exact"/>
        <w:rPr>
          <w:rFonts w:ascii="Arial" w:cs="Arial" w:eastAsia="Arial" w:hAnsi="Arial"/>
          <w:sz w:val="18"/>
          <w:szCs w:val="18"/>
          <w:color w:val="auto"/>
        </w:rPr>
      </w:pPr>
    </w:p>
    <w:p>
      <w:pPr>
        <w:jc w:val="both"/>
        <w:ind w:left="900" w:hanging="383"/>
        <w:spacing w:after="0" w:line="263"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licenses, regulatory approval, conformity certification, commercialization activities, acquisitions and other strategic transactions, or other significant events relating to our diagnostic tests, which may change from time to time;</w:t>
      </w:r>
    </w:p>
    <w:p>
      <w:pPr>
        <w:spacing w:after="0" w:line="74"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cost of obtaining regulatory approvals, conformity certifications or clearances for planned or future improvements or enhancements to our diagnostic tests;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requirements or in the status of regulatory approvals or applications or conformity certifications;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 discounts, and incentives for our diagnostic tests;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can provide no assurances that the demand for our COVID-19 and antibody testing program will be sustained, and even if it is, the period of time for which it would be sustained. As vaccines for COVID-19 become more available and widespread in the future, we have seen the demand for our COVID-19 diagnostic and antibody tests decrease. As a result, the increase in revenue, if any, due to any increase in demand for our COVID-19 and antibody testing program is not indicative of results expected for any future period.</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cumulative effects of these factors has resulted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ensure strong product performance and reliability to maintain and grow our business</w:t>
      </w:r>
      <w:r>
        <w:rPr>
          <w:rFonts w:ascii="Arial" w:cs="Arial" w:eastAsia="Arial" w:hAnsi="Arial"/>
          <w:sz w:val="18"/>
          <w:szCs w:val="18"/>
          <w:i w:val="1"/>
          <w:iCs w:val="1"/>
          <w:color w:val="auto"/>
        </w:rPr>
        <w: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need to maintain and continuously improve the performance and reliability of our diagnostic tests, including our Biodesix WorkSafe testing program, the Nodify XL2 and Nodify CDT tests, and the GeneStrat and VeriStrat tests, to achieve our profitability objectives. Poor product performance and reliability could lead to customer dissatisfaction, adversely affect our reputation and revenues, and increase our service and distribution costs and working capital requirements. Our diagnostic tests may contain errors or defects,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while we have made efforts to test them extensively, we cannot assure that our current diagnostic tests, or those developed in the future, will not have performance problems. Performance issues with our diagnostic tests will increase our costs in the near-term and accordingly adversely affect our business, financial condition and results of operations.</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upon third-party suppliers, including contract manufacturers and single source suppliers, making us vulnerable to supply problems and price fluctuations.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Laboratories, as described below, is the sole source supplier for our GeneStrat tests and COVID-19 diagnostic and antibody testing program. Oncimmune is also the sole source supplier for our Nodify CDT tests. While we have initiated the second source qualification process for the majority of these critical components, we may not be successful in securing second sourcing for all of them at all or on a timely basis.</w:t>
      </w:r>
    </w:p>
    <w:p>
      <w:pPr>
        <w:spacing w:after="0" w:line="8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we may purchase supplies through purchase orders and may not have long-term supply agreements with, or guaranteed commitments from, many of our suppliers, including single source suppliers. Additionally, at present, we have a limited contract with a contract manufacturer for the production of certain of our diagnostic testing kits; however, during 2022 we transitioned the majority of kitting performed outside of the Company to our internal operations team for cost savings and risk management. Many of our suppliers and contract manufacturers are not obligated to perform services or supply diagnostic testing materials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In addition, if we fail to effectively manage our relationships with our suppliers and contract manufacturers, we may be required to change suppliers or contract manufacturers.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As further consideration for the non-exclusive license, we agreed to pay a royalty of two and one half percent (2.5%) on net service fees (such fees are defined in the Non-Exclusive License Agreement with Bio-Rad) collected from contracted third parties who receive ddPCR services from us. In addition, we have separately been granted permission by Bio-Rad to use the Bio-Rad SARS-CoV-2 ddPCR test and Platelia SARS-CoV-2 Total Ab test for commercial diagnostic services. On May 24, 2021, we entered into the First Amendment to the Non-Exclusive License Agreement between Bio-Rad Laboratories, Inc., and Biodesix, Inc. which amended the original agreement such that, effective May 1, 2021, we are not required to pay a royalty of two and one half percent (2.5%) on net service fees. For more information regarding this license and supply agreement and the permission granted to us by Bio-Rad with respect to such tests, please see “Business—Material Agreements—Agreements with Bio-Rad” previously filed with our Form S-1 on October 23, 2020 and “First Amendment to the Non-Exclusive License Agreement between Bio-Rad Laboratories, Inc., and Biodesix, Inc., dated May 24, 2021” previously filed with our Form 10-Q on August 10, 2021.</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relationship may require us to incur non-recurring and other charges, increase our near and long-term expenditures, issue securities that dilute our existing stockholders or disrupt our management and business. We cannot be certain that, following the realization of this relationship, we will achieve the revenue or specific net income that justifies our entry into it. Any termination of this relationship,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delays in entering into new strategic partnership agreements with Bio-Rad, could delay our sales and marketing efforts, which would harm our business prospects, financial condition and results of operations.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sufficiently reduce costs in the performance, manufacturing and production of our diagnostic tests to achieve sustainable gross margins.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partner with contract manufacturers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third-party suppliers or contract manufacturing partners.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or worldwide, including the outbreak of the novel strain of coronavirus disease, COVID-19, and its variants could adversely affect our business.</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a pandemic, epidemic or outbreak of an infectious disease occurs in the United States or worldwide, our business may be adversely affected. For much of 2020 and 2021, COVID-19 spread throughout the United States and to most countries globally, creating significant uncertainty and economic disruption. Numerous U.S. state and local jurisdictions chose to impose “shelter-in-place” orders, quarantines, executive orders and similar government orders and restrictions for their residents to control the spread of COVID-19. In March 2020, the Governor of Colorado, where our headquarters are located, issued “stay at home” orders limiting non-essential activities, travel and business operations. Disruptions or potential disruptions due to the orders and restrictions have included, and in the future may continue to include, the inability of our suppliers to manufacture components and parts and to deliver these to us on a timely basis, or at all; disruptions in our production schedule and ability to assemble diagnostic tests; inventory shortages or obsolescence; delays in actions of regulatory bodies;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pandemic also has negatively affected our non-COVID-19 testing-related revenue and our clinical studies. For example, cancer patients have had more limited access to hospitals, healthcare providers and medical resources as they took steps to control the spread of COVID-19. Our biopharmaceutical customers have faced, and are continuing to face, challenges in recruiting patients and in conducting clinical trials to advance their pipelines, for which our tests could be utilized.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COVID-19 pandemic created an opportunity for our diagnostic tests and we have commercialized three diagnostic tests to test for the presence of COVID-19 and antibodies. However, there is no assurance that our COVID-19 diagnostic and antibody testing program will continue to be accepted by the market or that other diagnostic tests will become more accepted, produce quicker results or be accurate. Further, the longevity and extent of the COVID-19 pandemic is uncertain. If the pandemic were to dissipate, whether due to a significant decrease in new infections, due to the availability of vaccines, or otherwise, the need for a COVID-19 test could decrease significantly and this could have an adverse effect on our results of operations and profitability. As a result, the increase in revenue, if any, due to any increase in demand for these diagnostic tests may not be indicative of our future revenue.</w:t>
      </w:r>
    </w:p>
    <w:p>
      <w:pPr>
        <w:spacing w:after="0" w:line="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extent to which the COVID-19 pandemic impacts our business will depend on future developments, which are highly uncertain and cannot be predicted, including new information which may emerge concerning the resurgence of COVID-19 and the actions to contain COVID-19 or treat its impact, among others. Furthermore, there is no assurance that our diagnostic tests will continue to be effective against the virus in the future.</w:t>
      </w:r>
    </w:p>
    <w:p>
      <w:pPr>
        <w:spacing w:after="0" w:line="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and a reduction in our ability to access capital, which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the COVID-19 pandemic adversely affects our business and financial results, it may also have the effect of heightening many of the other risks described in this “Risk Factors” section.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Natural or man-made disasters and other similar events may significantly disrupt our business, and negatively impact our business, financial condition and results of operations.</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significant portion of our employee base, operating facilities and infrastructure are centralized in Boulder, Colorado and we operate a laboratory facility in De Soto, Kansas. Any of our facilities may be harmed or rendered inoperable by natural or man-made disasters, including earthquakes, wildfires, floods, nuclear disasters, riots, acts of terrorism or other criminal activities, infectious disease outbreaks or pandemic events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w:t>
      </w:r>
    </w:p>
    <w:p>
      <w:pPr>
        <w:spacing w:after="0" w:line="63" w:lineRule="exact"/>
        <w:rPr>
          <w:sz w:val="20"/>
          <w:szCs w:val="20"/>
          <w:color w:val="auto"/>
        </w:rPr>
      </w:pPr>
    </w:p>
    <w:p>
      <w:pPr>
        <w:jc w:val="both"/>
        <w:spacing w:after="0" w:line="341" w:lineRule="auto"/>
        <w:rPr>
          <w:sz w:val="20"/>
          <w:szCs w:val="20"/>
          <w:color w:val="auto"/>
        </w:rPr>
      </w:pPr>
      <w:r>
        <w:rPr>
          <w:rFonts w:ascii="Arial" w:cs="Arial" w:eastAsia="Arial" w:hAnsi="Arial"/>
          <w:sz w:val="16"/>
          <w:szCs w:val="16"/>
          <w:b w:val="1"/>
          <w:bCs w:val="1"/>
          <w:i w:val="1"/>
          <w:iCs w:val="1"/>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 maintain high-quality customer support, or a market perception that we do not maintain high-quality customer support, could adversely affect our reputation, our ability to sell our diagnostic tests and services, and in turn our business, financial condition and results of operations.</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sizes of the markets for our diagnostic tests and services and any future diagnostic tests and services may be smaller than we estimate and may decline.</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our estimates of the annual total addressable market for our diagnostic tests and services in different market segments may prove to be incorrect. If the actual number of patients who would benefit from our diagnostic tests, the price at which we can sell them or the annual total addressable market for them is smaller than we have estimated, it may impair our sales growth and negatively affect our business, financial condition and results of operations.</w:t>
      </w:r>
    </w:p>
    <w:p>
      <w:pPr>
        <w:spacing w:after="0" w:line="77" w:lineRule="exact"/>
        <w:rPr>
          <w:sz w:val="20"/>
          <w:szCs w:val="20"/>
          <w:color w:val="auto"/>
        </w:rPr>
      </w:pPr>
    </w:p>
    <w:p>
      <w:pPr>
        <w:jc w:val="both"/>
        <w:spacing w:after="0" w:line="341" w:lineRule="auto"/>
        <w:rPr>
          <w:sz w:val="20"/>
          <w:szCs w:val="20"/>
          <w:color w:val="auto"/>
        </w:rPr>
      </w:pPr>
      <w:r>
        <w:rPr>
          <w:rFonts w:ascii="Arial" w:cs="Arial" w:eastAsia="Arial" w:hAnsi="Arial"/>
          <w:sz w:val="16"/>
          <w:szCs w:val="16"/>
          <w:b w:val="1"/>
          <w:bCs w:val="1"/>
          <w:i w:val="1"/>
          <w:iCs w:val="1"/>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 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w:t>
      </w:r>
    </w:p>
    <w:p>
      <w:pPr>
        <w:spacing w:after="0" w:line="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jc w:val="both"/>
        <w:spacing w:after="0" w:line="311" w:lineRule="auto"/>
        <w:rPr>
          <w:sz w:val="20"/>
          <w:szCs w:val="20"/>
          <w:color w:val="auto"/>
        </w:rPr>
      </w:pPr>
      <w:r>
        <w:rPr>
          <w:rFonts w:ascii="Arial" w:cs="Arial" w:eastAsia="Arial" w:hAnsi="Arial"/>
          <w:sz w:val="16"/>
          <w:szCs w:val="16"/>
          <w:color w:val="auto"/>
        </w:rPr>
        <w:t>could result in significant liability under state, (e.g., state breach notification and privacy laws such as the CCPA) federal (e.g., HIPAA), and the HITECH Act and laws in other jurisdictions (e.g., the GDPR). Such an incident may also cause a material loss of revenue from the potential adverse impact to our reputation and brand, affect our ability to retain or attract new users of our diagnostic tests and services and potentially disrupt our business.</w:t>
      </w:r>
    </w:p>
    <w:p>
      <w:pPr>
        <w:spacing w:after="0" w:line="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Unauthorized disclosure of sensitive or confidential patient or employee data, including personally identifiable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5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third-party providers will be successful in preventing cyber-attacks or successfully mitigating their effects. Recent cyber-attacks purportedly originated by Russian controlled entities have exacerbated in the wake of Russia’s invasion of Ukraine and our systems may be infiltrated by foreign actors. If we are unable to prevent or mitigate the impact of such security breaches, our ability to attract and retain new customers, patients and other partners could be harmed as they may be reluctant to entrust their data to us, and we could be exposed to litigation and governmental investigations, which could lead to a potential disruption to our business or other adverse consequences.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payer concentration, with a limited number of customers accounting for a substantial portion of our revenues.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year ended December 31, 2022, Medicare reimbursed 37% of our diagnostic test revenue to us and one customer accounted for 10% of our total revenue. For the year ended December 31, 2021, Medicare reimbursed 18% of our diagnostic test revenue to us and one customer accounted for 40% of our total revenue.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 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 its relationship with us or our tests are no longer reimbursable by such payer, such termination could negatively affect our revenues and results of operations.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results of operations will be materially harmed if we are unable to accurately forecast customer demand for, and utilization of, our diagnostic tests and manage our inventory.</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 tests,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diagnostic tests, our supply chain, manufacturing partners and/or internal manufacturing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jc w:val="both"/>
        <w:spacing w:after="0" w:line="279" w:lineRule="auto"/>
        <w:rPr>
          <w:sz w:val="20"/>
          <w:szCs w:val="20"/>
          <w:color w:val="auto"/>
        </w:rPr>
      </w:pPr>
      <w:r>
        <w:rPr>
          <w:rFonts w:ascii="Arial" w:cs="Arial" w:eastAsia="Arial" w:hAnsi="Arial"/>
          <w:sz w:val="17"/>
          <w:szCs w:val="17"/>
          <w:color w:val="auto"/>
        </w:rPr>
        <w:t>team may not be able to deliver components and diagnostic tests to meet our requirements, and this could result in damage to our reputation, sales growth and customer relationships. In addition, if we experience a significant increase in demand,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w:t>
      </w:r>
    </w:p>
    <w:p>
      <w:pPr>
        <w:spacing w:after="0" w:line="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face an inherent risk of product liability as a result of the marketing and sale of our diagnostic tests and services. For example, we may be sued if our diagnostic tests or services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medical personnel, care partners and patients collect samples for our diagnostic tests. If these medical personnel, care partners or patients are not properly trained, are negligent or use our diagnostic tests incorrectly, the capabilities of such tests may be diminished or the patient may suffer critical injury. We may also be subject to claims that are caused by the activities of our suppliers, such as those who provide us with components and sub-assemblies for our diagnostic tests.</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w:t>
      </w:r>
    </w:p>
    <w:p>
      <w:pPr>
        <w:spacing w:after="0" w:line="75" w:lineRule="exact"/>
        <w:rPr>
          <w:sz w:val="20"/>
          <w:szCs w:val="20"/>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diagnostic tests and services;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impact on the market price of our common stock;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from many sources, including larger companies, and we may be unable to compete successfully.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w:t>
      </w:r>
    </w:p>
    <w:p>
      <w:pPr>
        <w:spacing w:after="0" w:line="67" w:lineRule="exact"/>
        <w:rPr>
          <w:sz w:val="20"/>
          <w:szCs w:val="20"/>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substantially greater name recognition;</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broader, deeper, or longer-term relations with healthcare professionals, customers, and third-party payers;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more established distribution networks;</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lines of diagnostic tests and the ability to offer rebates or bundle them to offer greater discounts or other incentives to gain a competitive advantage;</w:t>
      </w:r>
    </w:p>
    <w:p>
      <w:pPr>
        <w:spacing w:after="0" w:line="61"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marketing and obtaining regulatory clearance or approval or certification for diagnostic tests; and</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 patent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continued success depends on our ability to:</w:t>
      </w:r>
    </w:p>
    <w:p>
      <w:pPr>
        <w:spacing w:after="0" w:line="117" w:lineRule="exact"/>
        <w:rPr>
          <w:sz w:val="20"/>
          <w:szCs w:val="20"/>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further penetrate the lung disease diagnostic solutions market and increase utilization of our diagnostic tests;</w:t>
      </w:r>
    </w:p>
    <w:p>
      <w:pPr>
        <w:spacing w:after="0" w:line="116"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and widen our technology lead over competitors by continuing to innovate and deliver new product enhancements on a continuous basis; and</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cost-effectively manufacture our diagnostic tests and their component parts as well as drive down the cost of service.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attain greater commercial success, our competitors are likely to develop diagnostic tests that offer features and functionality similar to our diagnostic tests that are currently on the market. Improvements in existing competitive diagnostic tests or the introduction of new competitive diagnostic tests may make it more difficult for us to compete for sales, particularly if those competitive diagnostic tests demonstrate better reliability, convenience or effectiveness or are offered at lower prices.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jc w:val="both"/>
        <w:spacing w:after="0" w:line="279" w:lineRule="auto"/>
        <w:rPr>
          <w:sz w:val="20"/>
          <w:szCs w:val="20"/>
          <w:color w:val="auto"/>
        </w:rPr>
      </w:pPr>
      <w:r>
        <w:rPr>
          <w:rFonts w:ascii="Arial" w:cs="Arial" w:eastAsia="Arial" w:hAnsi="Arial"/>
          <w:sz w:val="17"/>
          <w:szCs w:val="17"/>
          <w:color w:val="auto"/>
        </w:rPr>
        <w:t>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civil unrest and disturbances or other service interruptions affecting delivery or warehousing services we use would adversely affect our ability to process orders for our diagnostic tests on a timely basis.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Boulder,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Cost-containment efforts of our customers, purchasing groups and governmental purchasing organizations could have a material adverse effect on our sales and profitability.</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an effort to reduce costs, many hospitals in the United States have become members of GPOs and Integrated Delivery Networks (IDNs). GPOs and IDNs negotiate pricing arrangements with medical device companies and distributors on behalf of their members, which may include hospitals and other providers.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w:t>
      </w:r>
    </w:p>
    <w:p>
      <w:pPr>
        <w:spacing w:after="0" w:line="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w:t>
      </w:r>
    </w:p>
    <w:p>
      <w:pPr>
        <w:spacing w:after="0" w:line="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Pricing and reimbursement of medical devices is not harmonized at European level, but is the exclusive competence of the EU Member States. In Europe, pricing and reimbursement decisions are generally made by regional or centralized bodies based on an assessment of the efficacy and clinical effectiveness of the devices or broad device types or procedures. There is a general trend for EU Member States to adopt cost containment measures to control public spend on medical devices. Due to the competitive nature of product offers and prices, we may not be able to obtain new, or maintain existing, contract positions with the EU Member States.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diagnostic tests and services, even if the regulatory or legal action is unfounded or not material to our operations.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and financial market conditions may exacerbate our business risks.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such as inflationary pressures currently or potentially affecting the economy of the United States and other parts of the world, customers and distributors may experience serious cash flow problems and other financial difficulties,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decreasing demand for our products. Our customers and distributors may respond to such economic pressures by reducing or deferring their capital spending or reducing staff.</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events in the United States or foreign markets, such as the United Kingdom’s exit from the European Union, the worldwide effects from the spread of COVID-19, Russia's invasion of Ukraine and political and social unrest in various countries around the world, can impact the global economy and capital markets. Additionally, if our customers and distributors are not successful in generating sufficient revenue or are precluded from securing financing, their businesses will suffer, which may materially and adversely affect our business, financial condition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or costs of our Co-Development and Collaboration Agreement with AVEO Oncology.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2014, we entered into a Co-Development and Collaboration Agreement with AVEO Oncology (formerly known as AVEO Pharmaceuticals, Inc.) (AVEO) whereby the two parties agreed to various terms and conditions necessary for the co-development of AVEO’s compound ficlatuzumab (the Collaboration Agreement).</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w:t>
      </w:r>
    </w:p>
    <w:p>
      <w:pPr>
        <w:spacing w:after="0" w:line="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As part of the Collaboration Agreement, unless we or AVEO exercise our right to opt-out of co-development, we equally share in any income received from licensing rights to ficlatuzumab to any third parties. In September 2020, we exercised our opt-out right for the payment of half of the development and regulatory costs for ficlatuzumab. This opt-out was effective as of December 2, 2020 with remaining obligations estimated to be $0.1 million. Following the effective date, we will be entitled to a 10% royalty of net sales of ficlatuzumab and 25% of license income generated from the licensing of ficlatuzumab. Ficlatuzumab is currently being evaluated in squamous cell carcinoma of the head and neck (SCCHN), metastatic pancreatic ductal cancer (PDAC), and acute myeloid leukemia (AML).</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AVEO, could delay our sales and marketing efforts, which would harm our business prospects, financial condition and results of operations.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exposed to significant future payments and other obligations associated with our acquisitions of Integrated Diagnostics and Oncimmune, U.S.A., and may not realize the advantages we expect from these acquisitions.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we purchased select assets and liabilities from Integrated Diagnostics, Inc. and IND Funding, LLC (collectively, the Seller or Indi) which included the CLIA lab in Seattle, Washington, and all rights to the Nodify XL2 test and intellectual property rights related to that test. The purchase was made for total consideration of $27.6 million, consisting of $8.0 million (10,649,604 shares) of our Series G Preferred Stock and contingent consideration with an initial fair market value of $19.6 million.</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acquisition of Indi included a contingent consideration arrangement that requires additional consideration to be paid by us to the Seller based on the milestone of the attainment of a three consecutive month gross margin target of $2 million within a seven-year period. Under the terms of the original agreement, when the gross margin target was achieved, the Company was required to issue 2,520,108 shares of common stock. For the six months following the achievement of the milestone, Indi had the option to require the Company to redeem the common shares for $37.0 million in cash over eight equal installments. If Indi elected not to exercise this option, we had 12 months to repurchase the common stock in two equal quarterly cash installments totaling $37 million.</w:t>
      </w:r>
    </w:p>
    <w:p>
      <w:pPr>
        <w:spacing w:after="0" w:line="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2021, the Company entered into an amendment to the original agreement in which all parties agreed to forgo the issuance of common stock and agreed that the Company would instead make six quarterly installments of approximately $4.6 million each, which began in January 2022, and final payment of approximately $9.3 million in July 2023 for a total of $37.0 million (together, the Milestone Payments). The aggregate amount of payments owed by the Company under this amendment is the same as if Indi had exercised the put right or the Company had exercised the call right provided for in the original agreement.</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7, 2022, the Company entered into Amendment No. 3 to the Indi APA in which the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and commencing January 1, 2024, consent from Perceptive.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In addition, on October 31, 2019 we completed an acquisition of United Kingdom-based Oncimmune, Ltd.’s (Oncimmune) United States operations including its CLIA lab in De Soto, Kansas and its incidental pulmonary nodule (IPN) malignancy test, then marketed in the United States as the EarlyCDT®-Lung. We renamed the test and relaunched the test on February 28, 2020 as the Nodify CDT test and the De Soto, Kansas lab is the sole United States provider of the Nodify CDT test.</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 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w:t>
      </w:r>
    </w:p>
    <w:p>
      <w:pPr>
        <w:spacing w:after="0" w:line="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agreed to a revenue share payment of 8% of recognized revenue for non-screening tests up to an annual minimum volume and 5% thereafter, with an escalating minimum through the first four years of sales. Royalty expenses were $0.9 million and $0.7 million for the years ended December 31, 2022 and 2021, respectively.</w:t>
      </w:r>
    </w:p>
    <w:p>
      <w:pPr>
        <w:spacing w:after="0" w:line="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acquisitions may require us to incur non-recurring and other charges, increase our near and long-term expenditures, or disrupt our management and business. We cannot be certain that, following the realization of these acquisitions, we will achieve the revenue or specific net income that justifies our entry into them. This could delay our sales and marketing efforts, which would harm our business prospects, financial condition and results of operations.</w:t>
      </w:r>
    </w:p>
    <w:p>
      <w:pPr>
        <w:spacing w:after="0" w:line="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research and development programs and laboratory operations depend on our ability to attract and retain highly skilled scientists and technicians.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not be able to attract or retain qualified scientists and technicians in the future due to the competition for qualified personnel among life science businesses, particularly near our headquarters in Boulder,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could lead to disparities of wealth among our employees, which could adversely impact relations among employees and our culture in general. Our anticipated headcount growth may result in a change to our corporate culture, which could harm our business.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research and development credit may be limited.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jc w:val="both"/>
        <w:spacing w:after="0" w:line="290" w:lineRule="auto"/>
        <w:rPr>
          <w:sz w:val="20"/>
          <w:szCs w:val="20"/>
          <w:color w:val="auto"/>
        </w:rPr>
      </w:pPr>
      <w:r>
        <w:rPr>
          <w:rFonts w:ascii="Arial" w:cs="Arial" w:eastAsia="Arial" w:hAnsi="Arial"/>
          <w:sz w:val="16"/>
          <w:szCs w:val="16"/>
          <w:color w:val="auto"/>
        </w:rPr>
        <w:t>credit carryforwards to offset future 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We believe that our NOLs are currently not subject to limitation under these rules. However, if we undergo an ownership change now or in the future, our ability to utilize NOLs and research and development credit carryforwards could be limited by Sections 382 and 383 of the Code. Future changes in stock ownership 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change of control, we may not be able to utilize a material portion of the NOLs, research and development credit carryforwards or disallowed interest expense carryovers, even if we attain profitability.</w:t>
      </w:r>
    </w:p>
    <w:p>
      <w:pPr>
        <w:spacing w:after="0" w:line="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terms of the Perceptive Term Loan Facility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November 16, 2022 (Closing Date), we entered into a credit agreement and guaranty (the Credit Agreement) with Perceptive Credit Holdings IV, LP as the lender and administrative agent (the Lender) that provides for a senior secured delayed draw term loan facility with Perceptive Advisors LLC (Perceptive), in an aggregate principal amount of up to $50.0 million (the Perceptive Term Loan Facility) to refinance long-term debt. The initial funding of the Perceptive Term Loan Facility was subject to a capital raise of at least $30.0 million in gross proceeds from an equity offering of our common stock, and provides for an “interest-only” period during the term of the loan with principal due at the maturity date, which will be November 21, 2027.</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Perceptive Term Loan Facility may be prepaid at any time, subject to a prepayment premium equal to 2% to 10% of the aggregate outstanding principal amount being prepaid, depending on the date of prepayment. The Perceptive Term Loan Facility contains customary affirmative and negative covenants for a loan, requires us to comply with a minimum cash requirement covenant, and has a trailing twelve month net revenue requirement. Failure to comply with the covenants and loan requirements may result in an event of default.</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Perceptive Term Loan Facility contains certain covenants limiting our ability to, among other things, engage in certain corporate changes, make certain restricted payments, repay other certain indebtedness or enter into, amend or terminate any other agreements that have the impact of restricting the our ability to make loan repayments.</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also contains certain customary events of default, the occurrence of which could result in the declaration that all outstanding principal and interest under the Perceptive Term Loan Facility is immediately due and payable in whole or in part, which could have a material adverse effect on our business, financial condition, and results of operations.</w:t>
      </w:r>
    </w:p>
    <w:p>
      <w:pPr>
        <w:spacing w:after="0" w:line="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capital to fund our existing operations, develop our platform, commercialize new diagnostic tests or expand our operations.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need to raise additional capital in the future to expand our business, to pursue strategic investments, to take advantage of financing opportunities or for other reasons, including to:</w:t>
      </w:r>
    </w:p>
    <w:p>
      <w:pPr>
        <w:spacing w:after="0" w:line="62" w:lineRule="exact"/>
        <w:rPr>
          <w:sz w:val="20"/>
          <w:szCs w:val="20"/>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and address competitive developments;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fund development and marketing efforts of our diagnostic tests or any other future diagnostic tests;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 our technologies into other types of cancer management and lung disease detection diagnostic tests;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17" w:lineRule="exact"/>
        <w:rPr>
          <w:sz w:val="20"/>
          <w:szCs w:val="20"/>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rate of progress in establishing payer coverage and reimbursement arrangements with domestic and international commercial third-party payers and government payers;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and reimbursement for our diagnostic tests;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left="900" w:hanging="383"/>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rate of progress in, and cost of research and development activities associated with, diagnostic tests in research and early development;</w:t>
      </w:r>
    </w:p>
    <w:p>
      <w:pPr>
        <w:spacing w:after="0" w:line="139" w:lineRule="exact"/>
        <w:rPr>
          <w:rFonts w:ascii="Arial" w:cs="Arial" w:eastAsia="Arial" w:hAnsi="Arial"/>
          <w:sz w:val="16"/>
          <w:szCs w:val="16"/>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diagnostic tests.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Governmental Regulation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w:t>
      </w:r>
    </w:p>
    <w:p>
      <w:pPr>
        <w:spacing w:after="0" w:line="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w:t>
      </w:r>
    </w:p>
    <w:p>
      <w:pPr>
        <w:spacing w:after="0" w:line="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CMS, an agency within the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authorities or bodies in Europe may be more conservative than CMS. For example, a number of cancer drugs have been approved for reimbursement in the United States and have not been approved for reimbursement, or have been approved under restricted conditions, in certain European countries.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Outside the United States, the reimbursement process and timelines vary significantly. In Europe, pricing and reimbursement of medical devices is the exclusive competence of the European Union (EU) Member States. However, the European Commission is facilitating a voluntary corporation between the EU Member States on health technology assessments (HTA) which consists of a network of the EU Member States’ national authorities and bodies responsible for HTA and a joint action to support cooperation at scientific and technical level between the HTA bodies.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control the healthcare budget by focusing cost-cutting efforts on medicinal products, and to a lesser extent, medical devices, provided under their state-run healthcare systems. These price control efforts have impacted all regions of the world, but have been most prominent in the EU. Additionally, some countries require approval of the sale price of a product before it can be marketed or mandatory discounts or profit caps may be applied. Further, after the 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jc w:val="both"/>
        <w:spacing w:after="0" w:line="270" w:lineRule="auto"/>
        <w:rPr>
          <w:sz w:val="20"/>
          <w:szCs w:val="20"/>
          <w:color w:val="auto"/>
        </w:rPr>
      </w:pPr>
      <w:r>
        <w:rPr>
          <w:rFonts w:ascii="Arial" w:cs="Arial" w:eastAsia="Arial" w:hAnsi="Arial"/>
          <w:sz w:val="17"/>
          <w:szCs w:val="17"/>
          <w:color w:val="auto"/>
        </w:rPr>
        <w:t>Moreover, increasing efforts by governmental and third-party payers, in the United States and abroad, to cap or reduce healthcare costs may cause such organizations to limit both coverage and level of reimbursement for newly cleared, authorized, certified or approved devices and medicines and, as a result, they may not cover or provide adequate payment for our clinical diagnostics to be sold by us or our collaborators. For example, in May 2018 the United States government released a “blueprint,” or plan, to reduce the cost of drugs. This blueprint contains certain measures that HHS has been working to implement, although it is possible that HHS’s regulatory priorities may change under the Biden administration. At the state level, legislatures are increasingly passing legislation and implementing regulations designed to control pharmaceutical and biological pricing, including price or patient reimbursement constraints, discounts, restrictions on certain product access and marketing cost disclosure and transparency measures, which are, in some cases, designed to encourage importation from other countries and bulk purchasing.</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diagnostic tests.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Measures to reduce healthcare costs may hurt our business.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our customers are healthcare providers who depend upon reimbursement by government and commercial insurance payers for lung cancer diagnostic solutions services. With a majority of United States patients with lung cancer covered by Medicare, the Medicare reimbursement rate is an important factor in a customer’s decision to use our diagnostic tests and limits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the commercial success of our diagnostic tests.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United States, there have been, and we expect there will continue to be, a number of legislative and regulatory changes to the healthcare system in ways that may harm our future revenues and profitability and the 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ACA,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have been judicial challenges to certain aspects of the ACA, as well as efforts by the Trump administration and Congress to repeal, replace or alter the implementation of certain aspects of the ACA. For example, as part of the TCJA,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high-cost employer-sponsored insurance plans, the annual fee imposed on certain health insurance providers based on market share (repeal effective in 2021), and the medical device excise tax on non-exempt medical devices.</w:t>
      </w:r>
    </w:p>
    <w:p>
      <w:pPr>
        <w:spacing w:after="0" w:line="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March 31, 2022, and a reduction of the cut to 1% from April 1, 2022 through June 30, 2022.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Biden administration and Congress may continue to pursue significant changes to the current healthcare laws, and the Biden administration has indicated its intent to strengthen the ACA and focus on reducing the cost of healthcare. 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spacing w:after="0" w:line="277"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payers of healthcare services to contain or reduce costs of healthcare may harm:</w:t>
      </w:r>
    </w:p>
    <w:p>
      <w:pPr>
        <w:spacing w:after="0" w:line="62" w:lineRule="exact"/>
        <w:rPr>
          <w:sz w:val="20"/>
          <w:szCs w:val="20"/>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diagnostic tests;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anti-corruption, anti-bribery, anti-money laundering and similar laws.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the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 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healthcare fraud and abuse laws.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 practices, customer support, education and training programs and physician 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Restrictions under applicable United States federal and state healthcare laws and regulations include the following:</w:t>
      </w:r>
    </w:p>
    <w:p>
      <w:pPr>
        <w:spacing w:after="0" w:line="117" w:lineRule="exact"/>
        <w:rPr>
          <w:sz w:val="20"/>
          <w:szCs w:val="20"/>
          <w:color w:val="auto"/>
        </w:rPr>
      </w:pPr>
    </w:p>
    <w:p>
      <w:pPr>
        <w:jc w:val="both"/>
        <w:ind w:left="900" w:hanging="383"/>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jc w:val="both"/>
        <w:ind w:left="900" w:hanging="383"/>
        <w:spacing w:after="0" w:line="263"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w:t>
      </w:r>
    </w:p>
    <w:p>
      <w:pPr>
        <w:spacing w:after="0" w:line="74" w:lineRule="exact"/>
        <w:rPr>
          <w:rFonts w:ascii="Arial" w:cs="Arial" w:eastAsia="Arial" w:hAnsi="Arial"/>
          <w:sz w:val="18"/>
          <w:szCs w:val="18"/>
          <w:color w:val="auto"/>
        </w:rPr>
      </w:pPr>
    </w:p>
    <w:p>
      <w:pPr>
        <w:ind w:left="900" w:hanging="383"/>
        <w:spacing w:after="0" w:line="341"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Beneficiary Inducement Statute, which prohibits any person, organization, or entity from giving anything of value to a federal health care program beneficiary that is likely to induce or influence the beneficiary’s choice of provider, practitioner, or supplier for covered services;</w:t>
      </w:r>
    </w:p>
    <w:p>
      <w:pPr>
        <w:spacing w:after="0" w:line="16" w:lineRule="exact"/>
        <w:rPr>
          <w:rFonts w:ascii="Arial" w:cs="Arial" w:eastAsia="Arial" w:hAnsi="Arial"/>
          <w:sz w:val="16"/>
          <w:szCs w:val="16"/>
          <w:color w:val="auto"/>
        </w:rPr>
      </w:pPr>
    </w:p>
    <w:p>
      <w:pPr>
        <w:jc w:val="both"/>
        <w:ind w:left="900" w:hanging="383"/>
        <w:spacing w:after="0" w:line="29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the federal civil False Claims Act, which may be enforced through civil whistleblower or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52" w:lineRule="exact"/>
        <w:rPr>
          <w:rFonts w:ascii="Arial" w:cs="Arial" w:eastAsia="Arial" w:hAnsi="Arial"/>
          <w:sz w:val="16"/>
          <w:szCs w:val="16"/>
          <w:color w:val="auto"/>
        </w:rPr>
      </w:pPr>
    </w:p>
    <w:p>
      <w:pPr>
        <w:jc w:val="both"/>
        <w:ind w:left="900" w:hanging="383"/>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w:t>
      </w:r>
    </w:p>
    <w:p>
      <w:pPr>
        <w:spacing w:after="0" w:line="77" w:lineRule="exact"/>
        <w:rPr>
          <w:rFonts w:ascii="Arial" w:cs="Arial" w:eastAsia="Arial" w:hAnsi="Arial"/>
          <w:sz w:val="18"/>
          <w:szCs w:val="18"/>
          <w:color w:val="auto"/>
        </w:rPr>
      </w:pPr>
    </w:p>
    <w:p>
      <w:pPr>
        <w:jc w:val="both"/>
        <w:ind w:left="900" w:hanging="383"/>
        <w:spacing w:after="0" w:line="341"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payers, including private insurers.</w:t>
      </w:r>
    </w:p>
    <w:p>
      <w:pPr>
        <w:spacing w:after="0" w:line="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Manufacturers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 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our industry generally or our tests specifically could be disruptive to our business.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payers.</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has recently increased its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marketing such pharmacogenetic tests where the FDA believes the relationship between genetic variations and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medication’s effects has not been established, including a warning letter sent to a laboratory, in part, for failing to obtain premarket review of its test.</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FDA were to determine that our tests are not within the enforcement discretion policy for LDTs for any reason, or if FDA issues new rules, policies, or guidance, due to new legislation or on its own accord, our tests may become subject to FDA requirements, including pre-market review. If this were to happen, it may impact our marketing practices relating to the relevant tests, which in turn may have an adverse impact on our business, financial condition and results of operations.</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SARS-CoV-2 tests we perform are currently the subject of EUAs, which permit the use of unapproved medical products or unapproved uses of medical products to be used in an emergency to diagnose, treat, or prevent serious or life-threatening diseases or conditions when there are no adequate, approved, and available alternatives, as provided under section 564 of the FDCA. EUAs are temporary authorizations that are revoked at the end of the public health emergency, when there is an adequate, approved, or available alternative, or when there are performance or safety concerns. These EUAs also set out conditions for laboratories who are authorized to perform the particular test. Because the EUA declaration under Section 564 of the FDCA is distinct from the declaration under Section 319 of the PHS Act, an EUA may remain in effect beyond the duration of the Section 319 declaration.</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EUA for Bio-Rad’s SARS-CoV-2 ddPCR test provides several conditions for authorized laboratories, including that the test result reports will include Fact Sheets that are authorized as part of the EUA, deviations from the authorized procedures, including specimen types, are not permitted, notification of public health authorities of intent to run the test prior to initiating testing, collection and reporting of performance data to the FDA, including false positives, false negatives, and significant deviations from the established performance characteristics, and appropriate training and protective equipment for laboratory staff. This EUA also states that authorized laboratories must maintain records associated with the EUA and be made available to the FDA for inspection upon request. Printed materials, advertising, and promotion related to use of the test must be consistent with the authorized labeling and Fact Sheets, as well as other terms set forth in the EUA and any applicable requirements under the FDCA and its implementing regulations, and conspicuously bear the following statements:</w:t>
      </w:r>
    </w:p>
    <w:p>
      <w:pPr>
        <w:spacing w:after="0" w:line="88" w:lineRule="exact"/>
        <w:rPr>
          <w:sz w:val="20"/>
          <w:szCs w:val="20"/>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test has not been FDA cleared or approved;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test has been authorized by the FDA under an EUA for use by authorized laboratories;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test has been authorized only for the detection of nucleic acid from SARS-CoV-2, not for any other viruses or pathogens; and</w:t>
      </w:r>
    </w:p>
    <w:p>
      <w:pPr>
        <w:spacing w:after="0" w:line="116" w:lineRule="exact"/>
        <w:rPr>
          <w:rFonts w:ascii="Arial" w:cs="Arial" w:eastAsia="Arial" w:hAnsi="Arial"/>
          <w:sz w:val="18"/>
          <w:szCs w:val="18"/>
          <w:color w:val="auto"/>
        </w:rPr>
      </w:pPr>
    </w:p>
    <w:p>
      <w:pPr>
        <w:jc w:val="both"/>
        <w:ind w:left="900" w:hanging="383"/>
        <w:spacing w:after="0" w:line="263"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statements that appear in advertising and promotional materials must not represent or suggest that this test is safe or effective for the detection of SARS-CoV-2.</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EUA for Bio-Rad’s serological test for the antibodies associated with SARS-CoV-2, also sets out several conditions for authorized laboratories that mirror the conditions for the PCR test described above, except that the printed materials, advertising, and promotion of the test must conspicuously bear the following statements:</w:t>
      </w:r>
    </w:p>
    <w:p>
      <w:pPr>
        <w:spacing w:after="0" w:line="75" w:lineRule="exact"/>
        <w:rPr>
          <w:sz w:val="20"/>
          <w:szCs w:val="20"/>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test has not been FDA cleared or approved;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test has been authorized by the FDA under an EUA for use by authorized laboratories;</w:t>
      </w:r>
    </w:p>
    <w:p>
      <w:pPr>
        <w:spacing w:after="0" w:line="116"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test has been authorized only for the detection of total antibodies, including IgM/IgG/IgA, against SARS-CoV-2, not for any other viruses or pathogens; and</w:t>
      </w:r>
    </w:p>
    <w:p>
      <w:pPr>
        <w:spacing w:after="0" w:line="61" w:lineRule="exact"/>
        <w:rPr>
          <w:rFonts w:ascii="Arial" w:cs="Arial" w:eastAsia="Arial" w:hAnsi="Arial"/>
          <w:sz w:val="18"/>
          <w:szCs w:val="18"/>
          <w:color w:val="auto"/>
        </w:rPr>
      </w:pPr>
    </w:p>
    <w:p>
      <w:pPr>
        <w:jc w:val="both"/>
        <w:ind w:left="900" w:hanging="383"/>
        <w:spacing w:after="0" w:line="263"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diagnostic testing industry is subject to extensive laws and regulations, many of which have not been interpreted by the courts, including the application of the FDA’s EUA authority. As noted above, the EUAs for the COVID-19 tests that are part of our Biodesix WorkSafe testing program set out certain conditions for authorized laboratories using the tests, which have not received premarket clearance, approval, or a De Novo authorization from the FDA. If we fail to meet these conditions, the FDA may take enforcement action, such as issuing a warning letter, seeking an injunction, seizure, fines, or criminal penalties. Moreover, if we or others fail to meet applicable conditions, the FDA may revoke the EUAs for the COVID-19 tests that are part of our Biodesix WorkSafe testing program. Laboratory tests that have already received an EUA to detect the COVID-19 virus were “unaffected” by the announcement. Tests without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jc w:val="both"/>
        <w:spacing w:after="0" w:line="273" w:lineRule="auto"/>
        <w:rPr>
          <w:sz w:val="20"/>
          <w:szCs w:val="20"/>
          <w:color w:val="auto"/>
        </w:rPr>
      </w:pPr>
      <w:r>
        <w:rPr>
          <w:rFonts w:ascii="Arial" w:cs="Arial" w:eastAsia="Arial" w:hAnsi="Arial"/>
          <w:sz w:val="17"/>
          <w:szCs w:val="17"/>
          <w:color w:val="auto"/>
        </w:rPr>
        <w:t>FDA clearance, approval, or authorization would not be considered covered countermeasures under the Public Readiness and Emergency Preparedness Act (PREP Act), which authorizes HHS to provide limited liability immunity protection to certain individuals and entities against a claim of loss under federal and state law “caused by, arising out of, relating to, or resulting from” the manufacture, distribution, administration, or use of a covered medical countermeasure, except for claims involving willful misconduct. Consequently, any violations of applicable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w:t>
      </w:r>
    </w:p>
    <w:p>
      <w:pPr>
        <w:spacing w:after="0" w:line="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w:t>
      </w:r>
    </w:p>
    <w:p>
      <w:pPr>
        <w:spacing w:after="0" w:line="57"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 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Boulder, Colorado and De Soto, Kansas laboratories are both CAP-accredited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 Furthermore, our diagnostic tests are categorized as LDTs and are not currently subject to FDA regulation, although certain components provided by third parties and used to create and/or administer the test may be. LDTs are a subset of IVDs that are intended for clinical use and developed, validated, and offered within a single laboratory for use only in that laboratory. Failure to adhere to any new FDA regulation would result in fines, product suspensions, warning letters, recalls, injunctions and other civil and criminal penalties.</w:t>
      </w:r>
    </w:p>
    <w:p>
      <w:pPr>
        <w:spacing w:after="0" w:line="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current line of diagnostic tests is covered under CLIA and CMS, however, changes in the way that the FDA regulates tests performed by laboratories like ours could result in delay or additional expense in offering our tests and tests that we may develop in the future. In addition, our COVID testing program and select partnerships we may enter may cause us to be subject to additional FDA requirements.</w:t>
      </w:r>
    </w:p>
    <w:p>
      <w:pPr>
        <w:spacing w:after="0" w:line="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jc w:val="both"/>
        <w:spacing w:after="0" w:line="270" w:lineRule="auto"/>
        <w:rPr>
          <w:sz w:val="20"/>
          <w:szCs w:val="20"/>
          <w:color w:val="auto"/>
        </w:rPr>
      </w:pPr>
      <w:r>
        <w:rPr>
          <w:rFonts w:ascii="Arial" w:cs="Arial" w:eastAsia="Arial" w:hAnsi="Arial"/>
          <w:sz w:val="17"/>
          <w:szCs w:val="17"/>
          <w:color w:val="auto"/>
        </w:rPr>
        <w:t>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currently not otherwise regulating most tests developed and performed within a single high complexity CLIA-certified laboratory. Pursuant to this enforcement discretion policy, FDA does not require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has set forth various proposals for a phased-in risk-based regulatory framework that would apply varying levels of FDA oversight to LDTs.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FDA’s policies to date have been articulated through guidance documents, compliance manuals, website statements, and other informal issuances. The FDA could, at any time, engage in notice-and-comment rulemaking, or Congress could take action to amend the law to change the current regulatory framework for in vitro diagnostics and LDTs to require premarket review of LDTs, which could result in delay or additional expense in offering our tests and tests that we may develop in the future.</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our tests, as utilized in our clinical laboratory, are and would be considered LDTs and that as a result, the FDA does not require that we obtain regulatory clearances or approvals for our LDTs or their components pursuant to the FDA’s current policies and guidance. Although we believe that our tests and test components are either exempt from FDA medical device regulations or are subject to an enforcement discretion policy, it is possible that the FDA would not agree with our determinations or that the FDA will change its regulations and policies such that our products become regulated as medical devices.</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contrast with our LDTs, the FDA has regulatory jurisdiction over the three FDA EUA-authorized COVID-19 tests which we offer as part of our Biodesix WorkSafe testing program.</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operations, therefore, are or may become subject to extensive regulation by the FDA in the United States. Government regulations specific to medical devices are wide ranging and govern, among other things:</w:t>
      </w:r>
    </w:p>
    <w:p>
      <w:pPr>
        <w:spacing w:after="0" w:line="62" w:lineRule="exact"/>
        <w:rPr>
          <w:sz w:val="20"/>
          <w:szCs w:val="20"/>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test design, development, manufacture, and release;</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service operations;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or serious injuries and recalls and correction and removals;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premarket submission process for medical devices can be expensive, lengthy and unpredictable. The FDA can delay, limit, or deny clearance or approval of a device for many reasons, including:</w:t>
      </w:r>
    </w:p>
    <w:p>
      <w:pPr>
        <w:spacing w:after="0" w:line="62" w:lineRule="exact"/>
        <w:rPr>
          <w:sz w:val="20"/>
          <w:szCs w:val="20"/>
          <w:color w:val="auto"/>
        </w:rPr>
      </w:pPr>
    </w:p>
    <w:p>
      <w:pPr>
        <w:ind w:left="900" w:right="20" w:hanging="383"/>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regulatory entity or conformity assessment body that the diagnostic tests are safe or effective for their proposed intended uses;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disagreement of the FDA with the design or implementation of our clinical trials or the interpretation of data from clinical trials;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our clinical trials;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where required;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device outweigh the risks;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 and</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spacing w:after="0" w:line="277" w:lineRule="auto"/>
        <w:rPr>
          <w:sz w:val="20"/>
          <w:szCs w:val="20"/>
          <w:color w:val="auto"/>
        </w:rPr>
      </w:pPr>
      <w:r>
        <w:rPr>
          <w:rFonts w:ascii="Arial" w:cs="Arial" w:eastAsia="Arial" w:hAnsi="Arial"/>
          <w:sz w:val="18"/>
          <w:szCs w:val="18"/>
          <w:color w:val="auto"/>
        </w:rPr>
        <w:t>The FDA and state authorities have broad enforcement powers. Our failure to comply with applicable regulatory requirements could result in enforcement action by any such agency, which may include any of the following sanctions:</w:t>
      </w:r>
    </w:p>
    <w:p>
      <w:pPr>
        <w:spacing w:after="0" w:line="62" w:lineRule="exact"/>
        <w:rPr>
          <w:sz w:val="20"/>
          <w:szCs w:val="20"/>
          <w:color w:val="auto"/>
        </w:rPr>
      </w:pPr>
    </w:p>
    <w:p>
      <w:pPr>
        <w:ind w:left="900" w:hanging="383"/>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adverse publicity, warning letters, untitled letters, it has come to our attention letters, fines, injunctions, consent decrees and civil penalties;</w:t>
      </w:r>
    </w:p>
    <w:p>
      <w:pPr>
        <w:spacing w:after="0" w:line="139" w:lineRule="exact"/>
        <w:rPr>
          <w:rFonts w:ascii="Arial" w:cs="Arial" w:eastAsia="Arial" w:hAnsi="Arial"/>
          <w:sz w:val="16"/>
          <w:szCs w:val="16"/>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diagnostic tests;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denial of our requests for regulatory clearance or premarket approval of new diagnostic tests or services, new intended uses, or modifications to existing diagnostic tests or services;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regulatory clearance or premarket approvals that have already been granted; or</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above, we believe that our current line of diagnostic tests and their components are LDTs, which are subject to state licensing requirements and federal regulation by CMS under CLIA, although our COVID-19 testing program and select partnerships we may enter may cause us to be subject to additional FDA regulations discussed above.</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believe that we are currently in material compliance with applicable laws and regulations, it is possible that the FDA, or other regulatory agencies, would not agree with our determinations. If our products became become subject to premarket submission and other FDA requirements, we would need to comply with the applicable regulations or face significant civil and criminal penalties. In addition, IVDs and CDx tests are widely considered to be Class III 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future success depends on our ability to develop, receive regulatory clearance or approval or certification for, and introduce new diagnostic tests or enhancements to existing diagnostic tests that will be accepted by the market in a timely manner. There is no guarantee that the FDA will grant 510(k) clearance, De Novo authorization, or PMA approval of our future diagnostic tests and failure to obtain necessary clearances or approvals for our future diagnostic tests would adversely affect our ability to grow our business.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or certification for enhancements to our existing diagnostic tests, or new diagnostic tests for any number of reasons, including due to the cost associated with certain regulatory approval requirements, or these diagnostic tests may not be accepted by physicians or users.</w:t>
      </w:r>
    </w:p>
    <w:p>
      <w:pPr>
        <w:spacing w:after="0" w:line="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success of any new diagnostic test or enhancement to an existing diagnostic test will depend on a number of factors, including our ability to, among others:</w:t>
      </w:r>
    </w:p>
    <w:p>
      <w:pPr>
        <w:spacing w:after="0" w:line="62" w:lineRule="exact"/>
        <w:rPr>
          <w:sz w:val="20"/>
          <w:szCs w:val="20"/>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 and anticipate physician and patient needs properly;</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 and introduce new diagnostic tests or enhancements to our existing diagnostic tests in a timely manner;</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avoid infringing upon, misappropriating, or violating the intellectual property rights of third parties;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diagnostic tests with data from clinical studies;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obtain the necessary regulatory clearances or approvals or certifications for new diagnostic tests or enhancements to existing diagnostic tests;</w:t>
      </w:r>
    </w:p>
    <w:p>
      <w:pPr>
        <w:spacing w:after="0" w:line="139" w:lineRule="exact"/>
        <w:rPr>
          <w:rFonts w:ascii="Arial" w:cs="Arial" w:eastAsia="Arial" w:hAnsi="Arial"/>
          <w:sz w:val="16"/>
          <w:szCs w:val="16"/>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comply fully with FDA and foreign regulations on marketing of new diagnostic tests or modified diagnostic tests; and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diagnostic tests.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Some of our future diagnostic tests may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De Novo authorization, or premarket approval of new diagnostic tests. Failure to receive clearance or approval for our new diagnostic tests would have an adverse effect on our ability to expand our business.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jc w:val="both"/>
        <w:spacing w:after="0" w:line="277" w:lineRule="auto"/>
        <w:rPr>
          <w:sz w:val="20"/>
          <w:szCs w:val="20"/>
          <w:color w:val="auto"/>
        </w:rPr>
      </w:pPr>
      <w:r>
        <w:rPr>
          <w:rFonts w:ascii="Arial" w:cs="Arial" w:eastAsia="Arial" w:hAnsi="Arial"/>
          <w:sz w:val="18"/>
          <w:szCs w:val="18"/>
          <w:b w:val="1"/>
          <w:bCs w:val="1"/>
          <w:i w:val="1"/>
          <w:iCs w:val="1"/>
          <w:color w:val="auto"/>
        </w:rPr>
        <w:t>Modifications to our marketed tests may require new 510(k) clearances, De Novo authorizations, or PMA approvals, or may require us to cease marketing or recall the modified tests until clearances or approvals are obtained.</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Modifications to our diagnostic tests may require new regulatory approvals or clearances, including 510(k) clearances, De Novo authorizations, or premarket approvals,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submission is necessary. However, the FDA can review a manufacturer’s decision and may disagree. The FDA may also on its own 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us to redesign our diagnostic tests and harm our operating results. In these circumstances, we may be subject to significant enforcement actions.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 we determine that modifications to our diagnostic tests require a new premarket submission, we may not be able to obtain the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diagnostic tests in a timely manner, which in turn would harm our future growth.</w:t>
      </w:r>
    </w:p>
    <w:p>
      <w:pPr>
        <w:spacing w:after="0" w:line="77"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If we or our suppliers fail to comply with ongoing FDA or other domestic and foreign regulatory authority or conformity assessment body requirements, or if we experience unanticipated problems with our diagnostic tests, they could be subject to restrictions or withdrawal from the market.</w:t>
      </w:r>
    </w:p>
    <w:p>
      <w:pPr>
        <w:jc w:val="both"/>
        <w:spacing w:after="0" w:line="269" w:lineRule="auto"/>
        <w:rPr>
          <w:sz w:val="20"/>
          <w:szCs w:val="20"/>
          <w:color w:val="auto"/>
        </w:rPr>
      </w:pPr>
      <w:r>
        <w:rPr>
          <w:rFonts w:ascii="Arial" w:cs="Arial" w:eastAsia="Arial" w:hAnsi="Arial"/>
          <w:sz w:val="17"/>
          <w:szCs w:val="17"/>
          <w:color w:val="auto"/>
        </w:rPr>
        <w:t>Any medical device that we manufacture, including those for which we obtain regulatory clearance or approval or certification, and the manufacturing processes, reporting requirements, post-approval clinical data and promotional activities for such diagnostic test, will be subject to continued regulatory review, oversight, and periodic inspections by the FDA and other domestic and foreign regulatory bodies or conformity assessment bodies. In particular, we and our suppliers may be required to comply with FDA’s QSR (QSR codified at 21 C.F.R. § 820) for medical devices and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and conformity assessment bodies enforce the QSR and other regulations through periodic inspections and audits. The failure by us or one of our suppliers to comply with applicable statutes and regulations administered by the FDA and other regulatory bodies or conformity assessment bodies, or the failure to timely and adequately respond to any adverse inspectional observations or product safety issues, could result in, among other things, one or more of the following enforcement actions:</w:t>
      </w:r>
    </w:p>
    <w:p>
      <w:pPr>
        <w:spacing w:after="0" w:line="74" w:lineRule="exact"/>
        <w:rPr>
          <w:sz w:val="20"/>
          <w:szCs w:val="20"/>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customer notifications for repair, replacement, or refunds;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recall, detention, or seizure of our diagnostic tests;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16"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De Novo authorization, or premarket approval of new diagnostic tests or modified versions of current diagnostic tests;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withdrawing 510(k) clearances, De Novo authorization, or PMA approvals that have already been granted;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revocation of EUAs that have been authorized previously;</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to grant export approval for our diagnostic tests; and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any of these actions were to occur it would harm our reputation and cause our diagnostic test sales and profitability to suffer and may prevent us from generating revenue. Furthermore, our key component suppliers may not currently be or may not continue to be in compliance with all applicable regulatory requirements which could result in our failure to produce our diagnostic tests on a timely basis and in the required quantities, if at all.</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jc w:val="both"/>
        <w:spacing w:after="0" w:line="301" w:lineRule="auto"/>
        <w:rPr>
          <w:sz w:val="20"/>
          <w:szCs w:val="20"/>
          <w:color w:val="auto"/>
        </w:rPr>
      </w:pPr>
      <w:r>
        <w:rPr>
          <w:rFonts w:ascii="Arial" w:cs="Arial" w:eastAsia="Arial" w:hAnsi="Arial"/>
          <w:sz w:val="16"/>
          <w:szCs w:val="16"/>
          <w:color w:val="auto"/>
        </w:rPr>
        <w:t>unanticipated severity or frequency, manufacturing problems, or failure to comply with regulatory requirements such as QSR,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diagnostic tests and services may in the future be subject to product recalls that could harm our reputation, business and financial results.</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 Other jurisdictions have similar recall requirements.</w:t>
      </w:r>
    </w:p>
    <w:p>
      <w:pPr>
        <w:spacing w:after="0" w:line="75"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b w:val="1"/>
          <w:bCs w:val="1"/>
          <w:i w:val="1"/>
          <w:iCs w:val="1"/>
          <w:color w:val="auto"/>
        </w:rPr>
        <w:t>Legislative or regulatory reforms may make it more difficult and costly for us to obtain regulatory clearance or approval or certification of any future diagnostic tests and to manufacture, market and distribute our diagnostic tests after clearance or approval is obtained.</w:t>
      </w:r>
    </w:p>
    <w:p>
      <w:pPr>
        <w:spacing w:after="0" w:line="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recently introduced in Congress would codify into law the term “in vitro clinical test” in order to create a new medical product category separate from medical devices that would include products currently regulated as in vitro diagnostics as well as LDTs.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FDA regulations and guidance are often revised or reinterpreted by the FDA in ways that may significantly affect our business and our diagnostic tests. 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spacing w:after="0" w:line="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w:t>
      </w:r>
    </w:p>
    <w:p>
      <w:pPr>
        <w:spacing w:after="0" w:line="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Initiating and completing clinical trials necessary to support any future PMA applications, De Novo requests,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diagnostic tests or result in the failure of the clinical trial. In addition, despite considerable time and expense invested in our clinical trials, the FDA may not consider our data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adequate to demonstrate safety and efficacy. Such increased costs and delays or failures could adversely affect our business, operating results and prospects.</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the third parties on which we rely to conduct our clinical trials and to assist us with pre-clinical development do not perform as contractually required or expected, we may not be able to obtain regulatory clearance or approval or certification for or commercialize our diagnostic tests and services.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88"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notification obligations or enforcement actions against us, which could result in fines, imprisonment of company officials and public censure,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 and elsewhere, are often uncertain, contradictory and in flux. As a result, implementation standards and enforcement practices are likely to remain uncertain for the foreseeable future.</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w:t>
      </w:r>
    </w:p>
    <w:p>
      <w:pPr>
        <w:spacing w:after="0" w:line="7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Interpretations of the CCPA may continue to evolve with regulatory guidance and the CCPA continue to be amended, including through a ballot initiative, adopted by voters in November 2020, known as the California Privacy Rights Act, or CPRA. The CPRA imposes additional data protection obligations on companies doing business in California, including additional consumer rights, including regarding certain uses of sensitive data. It also creates a new California data protection agency - the California Privacy Protection Agency - specifically tasked to enforce the law, which may likely result in increased regulatory scrutiny of California businesses in the areas of data protection and security. The effects of this legislation potentially are far-reaching, however, and may require us to modify our data processing practices and policies and incur substantial compliance-related costs and expenses. The CCPA and other changes in state and federal laws or regulations relating to privacy, data protection and information security, particularly any new or modified laws or regulations that require enhanced protection of certain types of data or new obligations with regard to data retention, transfer or disclosure, could increase the cost of providing our offerings, require significant changes to our operations or even prevent us from providing certain offerings in jurisdictions in which we currently operate and in which we may operate in the future.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jc w:val="both"/>
        <w:spacing w:after="0" w:line="270" w:lineRule="auto"/>
        <w:rPr>
          <w:sz w:val="20"/>
          <w:szCs w:val="20"/>
          <w:color w:val="auto"/>
        </w:rPr>
      </w:pPr>
      <w:r>
        <w:rPr>
          <w:rFonts w:ascii="Arial" w:cs="Arial" w:eastAsia="Arial" w:hAnsi="Arial"/>
          <w:sz w:val="17"/>
          <w:szCs w:val="17"/>
          <w:color w:val="auto"/>
        </w:rPr>
        <w:t>Because of the breadth of these data protection laws and the narrowness of their exceptions and safe harbors, it is possible that our business or data protection policies could be subject to challenge under one or more of such laws. The scope and enforcement of each of these laws is uncertain and subject to rapid change in the current environment of heightened regulatory focus on data privacy and security issues.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United States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protected health information (as defined in HIPAA, PHI) by health plans, healthcare clearinghouses and certain healthcare providers, referred to as covered entities (CE), and the business associates (BA) with whom such covered entities contract for services. We are a CE under HIPAA when we are conducting our clinical trials. We are a CE with regard to our observational studies and clinical trials, and also a BA under HIPAA for certain other business activities, and we execute BA agreements with our clients.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HIPAA requires CEs and BAs,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HIPAA imposes mandatory penalties for certain violations. Penalties for violations of HIPAA and its implementing regulations start at $119 per violation and are subject to a cap of $1,785,651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HIPAA mandates that the Secretary of HHS conduct periodic compliance audits of HIPAA CEs and BAs. With regard to BAs, those audits assess the business associate’s compliance with the HIPAA Privacy and Security Standards. Such audits are conducted randomly and after an entity experiences a breach affecting more than 500 individuals’ data. Undergoing an audit can be costly, can result in fines or onerous obligations, and can damage a BAs reputation.</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HIPAA, numerous other federal, state, and foreign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changing or differing interpretations, and we expect new laws, rules and regulations regarding privacy, data protection, and information security to be proposed and enacted in the future. HHS is also proposing amendments to the HIPAA Privacy Rule to modernize certain data sharing provisions and enhance patient access to their information. This complex, dynamic legal landscape regarding privacy, data protection,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but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Complying with these various laws and regulations could cause us to incur substantial costs or require us to change our business practices, systems and compliance procedures in a manner adverse to our business.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jc w:val="both"/>
        <w:spacing w:after="0" w:line="255" w:lineRule="auto"/>
        <w:rPr>
          <w:sz w:val="20"/>
          <w:szCs w:val="20"/>
          <w:color w:val="auto"/>
        </w:rPr>
      </w:pPr>
      <w:r>
        <w:rPr>
          <w:rFonts w:ascii="Arial" w:cs="Arial" w:eastAsia="Arial" w:hAnsi="Arial"/>
          <w:sz w:val="18"/>
          <w:szCs w:val="18"/>
          <w:color w:val="auto"/>
        </w:rPr>
        <w:t>We may eventually operate in a number of countries outside of the United States whose laws, including data privacy laws, may in some cases be more stringent than the requirements in the United States. For example, EU and UK data privacy laws have specific requirements relating to cross-border transfers of personal data to certain jurisdictions, including to the United States, have strict requirements relating to personal data collection, use or sharing, and have more stringent requirements relating to organizations’ privacy programs and provide stronger individual rights. Moreover, we may also be subject to evolving international privacy and data security regulations which could result in greater compliance costs and in turn lead to penalties, where such compliance programs are not implemented correctly.</w:t>
      </w:r>
    </w:p>
    <w:p>
      <w:pPr>
        <w:spacing w:after="0" w:line="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of our processing activities are subject to the EU General Data Protection Regulation and the UK General Data Protection Regulation (collectively, the “GDPR”) – including, those involving pseudonymised / key-coded data - as the GDPR applies extra-territorially. The GDPR imposes strict requirements on controllers and processors processing personal data, including, for example, requirements to: (i) identify a legal basis for the processing of personal data, (ii) provide robust disclosures to individuals, (iii) respond to requests from individuals to exercise their data subject rights, (iv) provide personal data breach notifications within 72 hours after discovering the breach, (v) limit the collection and retention of personal data, (vi) impose specific contractual obligations on processors engaged to process personal data on the instructions of the controller, and (vii) apply enhanced protections to health data and other special categories of personal data.</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EU GDPR also provides that EU Member States may make their own further laws and regulations limiting the processing of personal data, including genetic, biometric or health data, which could limit our ability to use and share such personal data and cause our costs to increase and harm our financial condition.</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Failure to comply with the requirements of the GDPR may result in fines of up to €20 million (£17.5 million in the case of the UK GDPR) or up to 4% of the total worldwide annual turnover of our preceding fiscal year, whichever is higher, and other administrative penalties. GDPR compliance may require us to put in place additional mechanisms, which may result in compliance costs and other substantial expenditures. This may be onerous and adversely affect our business, financial condition, results of operations and the profitability of our platform of diagnostic tests. Failure to comply with the GDPR and other countries’ privacy or data security-related laws, rules or regulations could result in material penalties imposed by regulators, affect our compliance with contracts entered into with our collaborators and other third-party payers, and have an adverse effect on our business and financial condition. Currently, the GDPR is only applicable to us as a processor, but as we continue to expand into the European market, the GDPR will have direct applicability to us as a controller.</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GDPR also prohibits the transfer of personal data from the EEA/UK to a country outside of the EEA/UK (e.g., the United States) unless made to a country deemed to have adequate data privacy laws by the European Commission (or UK Government in case of the UK GDPR) or a data transfer mechanism has been put in place. Until recently, one such data transfer mechanism was the EU-US Privacy Shield. However, in July 2020 the Court of Justice of the European Union (CJEU) declared the Privacy Shield to be invalid. Following an executive order on trans-Atlantic data flows issued by President Biden in October 2022, the European Commission in December 2022 announced that it had initiated the process of drafting a new adequacy decision based on a modified data transfer framework that would replace the Privacy Shield. Though adoption of a new adequacy decision may have the effect of making data transfers to the United States easier, it is widely expected that the updated transfer framework and the adequacy decision will also be reviewed by the CJEU. The CJEU also upheld the validity of standard contractual clauses (SCCs) as a legal mechanism to transfer personal data but companies relying on SCCs will need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In turn, the findings of the CJEU will have significant implications for cross-border data flows and may lead to increased transaction, compliance, and technological costs to support international data transfers.</w:t>
      </w:r>
    </w:p>
    <w:p>
      <w:pPr>
        <w:spacing w:after="0" w:line="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Organizations operating in Canada and covered by the Personal Information Protection and Electronic Documents Act (PIPEDA), or equivalent Canadian provincial laws, must obtain an individual’s consent when they collect, use or disclose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w:t>
      </w:r>
    </w:p>
    <w:p>
      <w:pPr>
        <w:spacing w:after="0" w:line="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w:t>
      </w:r>
    </w:p>
    <w:p>
      <w:pPr>
        <w:spacing w:after="0" w:line="75" w:lineRule="exact"/>
        <w:rPr>
          <w:sz w:val="20"/>
          <w:szCs w:val="20"/>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FDA regulations, including those laws requiring the reporting of true, complete, and accurate information to the FDA authorities;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or</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laws that require the true, complete and accurate reporting of financial information or data.</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the HHS Office of Inspector General (OIG) could result in penalties, a loss of business from third parties, and severe reputational harm.</w:t>
      </w:r>
    </w:p>
    <w:p>
      <w:pPr>
        <w:spacing w:after="0" w:line="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adopted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5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or new indications. Clinical studies may need to be conducted in compliance with 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the factors that may cause or lead to a delay in the commencement or completion of clinical trials may also ultimately lead to delay or denial of regulatory clearance or approval or certification.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 We 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 sponsors, principal investigators and trial sites. If we or any third-party contractor fails to comply with applicable GCPs, the clinical data generated in clinical trials may be deemed unreliable and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jc w:val="both"/>
        <w:spacing w:after="0" w:line="275" w:lineRule="auto"/>
        <w:rPr>
          <w:sz w:val="20"/>
          <w:szCs w:val="20"/>
          <w:color w:val="auto"/>
        </w:rPr>
      </w:pPr>
      <w:r>
        <w:rPr>
          <w:rFonts w:ascii="Arial" w:cs="Arial" w:eastAsia="Arial" w:hAnsi="Arial"/>
          <w:sz w:val="17"/>
          <w:szCs w:val="17"/>
          <w:color w:val="auto"/>
        </w:rPr>
        <w:t>FDA or comparable foreign regulatory authorities or conformity assessment bodies may require us to perform additional clinical trials before clearing or approving our marketing applications. A failure to comply with these regulations may require us to repeat clinical trials, which would delay the regulatory clearance or approval or certification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or certification for our tests. In addition, we may not be able to establish or maintain relationships with these parties on favorable terms, if at all. Each of these outcomes would harm our ability to market our tests, or to achieve sustained profitability.</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cannot be certain that the results of our future clinical trials will support our future product claims or that the FDA or comparable foreign regulatory authorities or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w:t>
      </w:r>
    </w:p>
    <w:p>
      <w:pPr>
        <w:spacing w:after="0" w:line="77" w:lineRule="exact"/>
        <w:rPr>
          <w:sz w:val="20"/>
          <w:szCs w:val="20"/>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government healthcare programs, including Medicare and Medicaid, to the extent our tests are covered by such programs;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differences in coverage among payers and the effect of patient co-payments or co-insurance;</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payers;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to codes and coding instructions governing our tests;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revenue and our business.</w:t>
      </w:r>
    </w:p>
    <w:p>
      <w:pPr>
        <w:spacing w:after="0" w:line="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GeneStrat NGS, the test may be billed under an unlisted molecular pathology procedure code or through the use of a combination of single gene CPT codes, depending on the payer. The Protecting Access to Medicare Act of 2014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 Coding System codes to tests that are not already described by a unique CPT code. VeriStrat, Nodify XL2, and Nodify CDT have test specific CPT codes, but the GeneStrat NGS test does not at this time.</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instance where a code used does not describe a specific test, the insurance claim must be examined to determine what test was provided, whether the test was appropriate and medically necessary, and whether payment should be rendered, which may require 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jc w:val="both"/>
        <w:spacing w:after="0" w:line="263" w:lineRule="auto"/>
        <w:rPr>
          <w:sz w:val="20"/>
          <w:szCs w:val="20"/>
          <w:color w:val="auto"/>
        </w:rPr>
      </w:pPr>
      <w:r>
        <w:rPr>
          <w:rFonts w:ascii="Arial" w:cs="Arial" w:eastAsia="Arial" w:hAnsi="Arial"/>
          <w:sz w:val="18"/>
          <w:szCs w:val="18"/>
          <w:color w:val="auto"/>
        </w:rPr>
        <w:t>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third-party manufacturers and suppliers must comply with environmental, health and safety laws and regulations, which can be expensive and restrict how we do, or interrupt our, business.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 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w:t>
      </w:r>
    </w:p>
    <w:p>
      <w:pPr>
        <w:spacing w:after="0" w:line="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cannot eliminate the risk of contamination or injury resulting from such hazardous materials. We also cannot guarantee that the procedures utilized by our third-party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Environmental, health and safety laws and regulations are complex, change frequently and have tended to become more stringent. Compliance with such laws and regulations is expensive, and current or future 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may be impaired if we are unable to obtain, maintain and protect our intellectual property rights.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w:t>
      </w:r>
    </w:p>
    <w:p>
      <w:pPr>
        <w:spacing w:after="0" w:line="77" w:lineRule="exact"/>
        <w:rPr>
          <w:sz w:val="20"/>
          <w:szCs w:val="20"/>
          <w:color w:val="auto"/>
        </w:rPr>
      </w:pPr>
    </w:p>
    <w:p>
      <w:pPr>
        <w:ind w:left="900" w:right="20" w:hanging="383"/>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prevent our competitors from duplicating our diagnostic tests and products, including our COVID-19 testing program and Nodify XL2, Nodify CDT, GeneStrat and VeriStrat tests;</w:t>
      </w:r>
    </w:p>
    <w:p>
      <w:pPr>
        <w:spacing w:after="0" w:line="61" w:lineRule="exact"/>
        <w:rPr>
          <w:rFonts w:ascii="Arial" w:cs="Arial" w:eastAsia="Arial" w:hAnsi="Arial"/>
          <w:sz w:val="18"/>
          <w:szCs w:val="18"/>
          <w:color w:val="auto"/>
        </w:rPr>
      </w:pPr>
    </w:p>
    <w:p>
      <w:pPr>
        <w:ind w:left="900" w:right="20" w:hanging="383"/>
        <w:spacing w:after="0" w:line="307"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prevent our competitors from gaining access to our proprietary information and technology, including the Diagnostic Cortex platform, tech platforms such as the DeepMALDI analysis and intellectual property covering technologies that allow us to develop “test algorithms”; or</w:t>
      </w:r>
    </w:p>
    <w:p>
      <w:pPr>
        <w:spacing w:after="0" w:line="39" w:lineRule="exact"/>
        <w:rPr>
          <w:rFonts w:ascii="Arial" w:cs="Arial" w:eastAsia="Arial" w:hAnsi="Arial"/>
          <w:sz w:val="17"/>
          <w:szCs w:val="17"/>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allow us to gain or maintain a competitive advantage.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treating lung cancer. If these developments were to occur, our diagnostic tests and products may become less competitive and sales may decline.</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filed numerous patent applications seeking protection of diagnostic tests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some of our owned and in-licensed patents and patent applications are, and may in the future be, co-owned with third parties. If we are unable to obtain or maintain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jc w:val="both"/>
        <w:spacing w:after="0" w:line="277" w:lineRule="auto"/>
        <w:rPr>
          <w:sz w:val="20"/>
          <w:szCs w:val="20"/>
          <w:color w:val="auto"/>
        </w:rPr>
      </w:pPr>
      <w:r>
        <w:rPr>
          <w:rFonts w:ascii="Arial" w:cs="Arial" w:eastAsia="Arial" w:hAnsi="Arial"/>
          <w:sz w:val="18"/>
          <w:szCs w:val="18"/>
          <w:color w:val="auto"/>
        </w:rPr>
        <w:t>order to enforce such patents against third parties, and such cooperation may not be provided to us. Any of the foregoing could have a material adverse effect on our competitive position, business, financial condition, results of operations, and prospects.</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patent position of biotechnology companies generally is highly uncertain, involves complex legal and factual questions, and has been the subject of much litigation in recent years.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 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USPTO, the laws and regulations governing patents could change in unpredictable ways that would weaken our and our licensors’ ability to obtain new patents or to enforce our existing owned or in-licensed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owned and licensed patents.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jc w:val="both"/>
        <w:spacing w:after="0" w:line="273"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Many of our employees and consultants were previously employed at or engaged by universities or other medical device, diagnostic,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 competitors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diagnostic tests or products, if such technologies or features are found to incorporate or be derived from the trade secrets or other proprietary information of the former employers.</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inability to incorporate technologies or features that are important or essential to our diagnostic tests or products could have a material adverse effect on our business, financial condition and results of operations, and may prevent us from selling our rights to our COVID-19 testing program, either of the Nodify XL2 and Nodify CDT tests, or the VeriStrat and GeneStrat tests.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w:t>
      </w:r>
    </w:p>
    <w:p>
      <w:pPr>
        <w:spacing w:after="0" w:line="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diagnostic tests, products and services.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8"/>
          <w:szCs w:val="18"/>
          <w:color w:val="auto"/>
        </w:rPr>
        <w:t>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w:t>
      </w:r>
    </w:p>
    <w:p>
      <w:pPr>
        <w:spacing w:after="0" w:line="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75"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other intellectual property rights, which could be expensive, time consuming and unsuccessful.</w:t>
      </w:r>
    </w:p>
    <w:p>
      <w:pPr>
        <w:spacing w:after="0" w:line="6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diagnostic tests, products and services. An adverse result in any litigation or other proceeding could put one or more of our patents at risk of being invalidated or interpreted narrowly. Furthermore, because of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jc w:val="both"/>
        <w:spacing w:after="0" w:line="277" w:lineRule="auto"/>
        <w:rPr>
          <w:sz w:val="20"/>
          <w:szCs w:val="20"/>
          <w:color w:val="auto"/>
        </w:rPr>
      </w:pPr>
      <w:r>
        <w:rPr>
          <w:rFonts w:ascii="Arial" w:cs="Arial" w:eastAsia="Arial" w:hAnsi="Arial"/>
          <w:sz w:val="18"/>
          <w:szCs w:val="18"/>
          <w:color w:val="auto"/>
        </w:rPr>
        <w:t>substantial amount of discovery required in connection with intellectual property litigation, there is a risk that some of our confidential information could be compromised by disclosure during litigation.</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Moreover, some of our owned and in-licensed patents and patent applications are, and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w:t>
      </w:r>
    </w:p>
    <w:p>
      <w:pPr>
        <w:spacing w:after="0" w:line="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Even if resolved in our favor, litigation or other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63" w:lineRule="exact"/>
        <w:rPr>
          <w:sz w:val="20"/>
          <w:szCs w:val="20"/>
          <w:color w:val="auto"/>
        </w:rPr>
      </w:pPr>
    </w:p>
    <w:p>
      <w:pPr>
        <w:jc w:val="both"/>
        <w:spacing w:after="0" w:line="307"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w:t>
      </w:r>
    </w:p>
    <w:p>
      <w:pPr>
        <w:spacing w:after="0" w:line="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w:t>
      </w:r>
    </w:p>
    <w:p>
      <w:pPr>
        <w:spacing w:after="0" w:line="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before the USPTO, and corresponding foreign patent offices. Numerous United States and foreign 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that our diagnostic tests or services infringe their intellectual property rights as part of a business strategy to impede our successful entry into or growth in those markets.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United States patent in federal court, we would need to overcome a presumption of validity. As this burden is 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jc w:val="both"/>
        <w:spacing w:after="0" w:line="277" w:lineRule="auto"/>
        <w:rPr>
          <w:sz w:val="20"/>
          <w:szCs w:val="20"/>
          <w:color w:val="auto"/>
        </w:rPr>
      </w:pPr>
      <w:r>
        <w:rPr>
          <w:rFonts w:ascii="Arial" w:cs="Arial" w:eastAsia="Arial" w:hAnsi="Arial"/>
          <w:sz w:val="18"/>
          <w:szCs w:val="18"/>
          <w:color w:val="auto"/>
        </w:rPr>
        <w:t>high one requiring us to present clear and convincing evidence as to the invalidity of any such United States patent claim, there is no assurance that a court of competent jurisdiction would invalidate the claims of any such United States patent.</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 introductions while we attempt 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priority or inventorship of our patents and other intellectual property rights.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w:t>
      </w:r>
    </w:p>
    <w:p>
      <w:pPr>
        <w:spacing w:after="0" w:line="5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jc w:val="both"/>
        <w:spacing w:after="0" w:line="277" w:lineRule="auto"/>
        <w:rPr>
          <w:sz w:val="20"/>
          <w:szCs w:val="20"/>
          <w:color w:val="auto"/>
        </w:rPr>
      </w:pPr>
      <w:r>
        <w:rPr>
          <w:rFonts w:ascii="Arial" w:cs="Arial" w:eastAsia="Arial" w:hAnsi="Arial"/>
          <w:sz w:val="18"/>
          <w:szCs w:val="18"/>
          <w:b w:val="1"/>
          <w:bCs w:val="1"/>
          <w:i w:val="1"/>
          <w:iCs w:val="1"/>
          <w:color w:val="auto"/>
        </w:rPr>
        <w:t>Issued patents covering our diagnostic tests and any other or future diagnostic tests, products or services could be found invalid or unenforceable if challenged.</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some of our patents or patent applications, including licensed patents, may be challenged, in courts or patent offices in the United States and abroad, in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Additionally, if we and our licensing partners initiate or become involved in legal proceedings against a third party to enforce a patent covering one of our diagnostic tests, products, services or technologies, the defendant could counterclaim that the patent covering our diagnostic tests, products or services is invalid or unenforceable. In patent litigation in the United States, counterclaims alleging invalidity or unenforceability are commonplace. Grounds 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diagnostic tests or any diagnostic tests, products and services that we may develop.</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 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aware of all third-party intellectual property rights potentially relating to our current or future diagnostic tests, products or services.</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licenses from third parties in relation to certain diagnostic tests, products and services and if we lose these licenses then we may be subjected to future litigation.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w:t>
      </w:r>
    </w:p>
    <w:p>
      <w:pPr>
        <w:spacing w:after="0" w:line="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technology that is covered by these agreements. If our license agreements terminate, or we experience a reduction or elimination of licensed rights under these agreements, we may have to negotiate new or reinstated licenses with less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jc w:val="both"/>
        <w:spacing w:after="0" w:line="277" w:lineRule="auto"/>
        <w:rPr>
          <w:sz w:val="20"/>
          <w:szCs w:val="20"/>
          <w:color w:val="auto"/>
        </w:rPr>
      </w:pPr>
      <w:r>
        <w:rPr>
          <w:rFonts w:ascii="Arial" w:cs="Arial" w:eastAsia="Arial" w:hAnsi="Arial"/>
          <w:sz w:val="18"/>
          <w:szCs w:val="18"/>
          <w:color w:val="auto"/>
        </w:rPr>
        <w:t>favorable terms or we may not have sufficient intellectual property rights to operate our business. The occurrence of such events could materially harm our business.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rights we license, other companies might be able to offer substantially identical diagnostic tests for sale, which could adversely affect our competitive business position and harm our business prospects.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Any of the foregoing could have a material adverse effect on our competitive position, business, financial conditions, results of operations and prospects.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disputes may also arise between us and our current or future licensors regarding intellectual property rights subject to a license agreement, including those relating to:</w:t>
      </w:r>
    </w:p>
    <w:p>
      <w:pPr>
        <w:spacing w:after="0" w:line="62" w:lineRule="exact"/>
        <w:rPr>
          <w:sz w:val="20"/>
          <w:szCs w:val="20"/>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and the extent to which, our diagnostic tests, products, services, technology, and processes infringe on intellectual property rights of the licensor that is not subject to the licensing agreement;</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our licensor or its licensor had the right to grant the license agreement;</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third parties are entitled to compensation or equitable relief, such as an injunction, for our use of the intellectual property rights without their authorization;</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involvement in the prosecution of licensed patents and our licensors’ overall patent enforcement strategy;</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rights by our licensors and us and our collaborators; and</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we do not prevail in such disputes, we may lose any or all of our rights under such license agreements.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w:t>
      </w:r>
    </w:p>
    <w:p>
      <w:pPr>
        <w:spacing w:after="0" w:line="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w:t>
      </w:r>
    </w:p>
    <w:p>
      <w:pPr>
        <w:spacing w:after="0" w:line="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w:t>
      </w:r>
    </w:p>
    <w:p>
      <w:pPr>
        <w:spacing w:after="0" w:line="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of the intellectual property that we license may have been developed through the use of United States government funding and therefore may be subject to certain federal regulations. As a result, the United States government may have certain rights to intellectual property embodied in our diagnostic tests, products and services pursuant to the Bayh-Dole Act of 1980 (Bayh-Dole Act). These United States government rights in certain inventions developed under a government-funded program include a non-exclusive, non-transferable, irrevocable worldwide license to use inventions for any governmental purpose. In addition, the United States government has the right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jc w:val="both"/>
        <w:spacing w:after="0" w:line="267" w:lineRule="auto"/>
        <w:rPr>
          <w:sz w:val="20"/>
          <w:szCs w:val="20"/>
          <w:color w:val="auto"/>
        </w:rPr>
      </w:pPr>
      <w:r>
        <w:rPr>
          <w:rFonts w:ascii="Arial" w:cs="Arial" w:eastAsia="Arial" w:hAnsi="Arial"/>
          <w:sz w:val="17"/>
          <w:szCs w:val="17"/>
          <w:color w:val="auto"/>
        </w:rPr>
        <w:t>to require us to grant exclusive, partially exclusive, or non-exclusive licenses to any of these inventions to a third party if it determines that: (i) adequate steps have not been taken to commercialize the invention; government action is necessary to meet public health or safety needs; or (iii) government action is necessary to meet requirements for public use under federal regulations (also referred to as “march-in rights”). To date, none of our commercialized products are subject to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product manufacturers outside of the United 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on our diagnostic tests, products and services for an adequate amount of time.</w:t>
      </w:r>
    </w:p>
    <w:p>
      <w:pPr>
        <w:spacing w:after="0" w:line="140"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w:t>
      </w:r>
    </w:p>
    <w:p>
      <w:pPr>
        <w:spacing w:after="0" w:line="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w:t>
      </w:r>
    </w:p>
    <w:p>
      <w:pPr>
        <w:spacing w:after="0" w:line="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ind w:right="20"/>
        <w:spacing w:after="0" w:line="277" w:lineRule="auto"/>
        <w:rPr>
          <w:sz w:val="20"/>
          <w:szCs w:val="20"/>
          <w:color w:val="auto"/>
        </w:rPr>
      </w:pPr>
      <w:r>
        <w:rPr>
          <w:rFonts w:ascii="Arial" w:cs="Arial" w:eastAsia="Arial" w:hAnsi="Arial"/>
          <w:sz w:val="18"/>
          <w:szCs w:val="18"/>
          <w:color w:val="auto"/>
        </w:rPr>
        <w:t>patents relevant to our business, our competitive position may be impaired, and our business, financial condition and results of operations may be adversely affected.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jc w:val="both"/>
        <w:ind w:left="900" w:right="20" w:hanging="383"/>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be able to make diagnostic tests or products that are similar to our Nodify XL2, Nodify CDT, GeneStrat or VeriStrat tests or the COVID-19 tests that we use in our COVID-19 testing program or utilize similar technology that is not covered by the claims of our patents or that incorporates certain technology in our Nodify XL2, Nodify CDT, GeneStrat or VeriStrat tests or such COVID-19 tests that is in the public domain;</w:t>
      </w:r>
    </w:p>
    <w:p>
      <w:pPr>
        <w:spacing w:after="0" w:line="77"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applicable issued patent or pending patent application that we own or license now or may own or license in the future;</w:t>
      </w:r>
    </w:p>
    <w:p>
      <w:pPr>
        <w:spacing w:after="0" w:line="61"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1"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patent applications will not lead to issued patents;</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1" w:lineRule="exact"/>
        <w:rPr>
          <w:rFonts w:ascii="Arial" w:cs="Arial" w:eastAsia="Arial" w:hAnsi="Arial"/>
          <w:sz w:val="18"/>
          <w:szCs w:val="18"/>
          <w:color w:val="auto"/>
        </w:rPr>
      </w:pPr>
    </w:p>
    <w:p>
      <w:pPr>
        <w:jc w:val="both"/>
        <w:ind w:left="900" w:hanging="383"/>
        <w:spacing w:after="0" w:line="263"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w:t>
      </w:r>
    </w:p>
    <w:p>
      <w:pPr>
        <w:spacing w:after="0" w:line="74"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 rights.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have a material adverse effect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 and you may not be able to sell your shares at or above the price you paid for them.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17" w:lineRule="exact"/>
        <w:rPr>
          <w:sz w:val="20"/>
          <w:szCs w:val="20"/>
          <w:color w:val="auto"/>
        </w:rPr>
      </w:pPr>
    </w:p>
    <w:p>
      <w:pPr>
        <w:ind w:left="900" w:hanging="383"/>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volume and customer mix for our COVID-19, Nodify XL2, Nodify CDT, GeneStrat ddPCR, GeneStrat NGS, and VeriStrat testing;</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introduction of new diagnostic tests or enhancements to such tests by us or others in our industry;</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develop, obtain regulatory clearance or approval or certification for, and market new and enhanced diagnostic tests on a timely basis;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media exposure of our diagnostic tests or of those of others in our industry;</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 or applications;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116"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8" w:name="page79"/>
    <w:bookmarkEnd w:id="78"/>
    <w:p>
      <w:pPr>
        <w:jc w:val="both"/>
        <w:spacing w:after="0" w:line="311" w:lineRule="auto"/>
        <w:rPr>
          <w:sz w:val="20"/>
          <w:szCs w:val="20"/>
          <w:color w:val="auto"/>
        </w:rPr>
      </w:pPr>
      <w:r>
        <w:rPr>
          <w:rFonts w:ascii="Arial" w:cs="Arial" w:eastAsia="Arial" w:hAnsi="Arial"/>
          <w:sz w:val="16"/>
          <w:szCs w:val="16"/>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and you may not realize any return on your investment in us and may lose some or all of your investment.</w:t>
      </w:r>
    </w:p>
    <w:p>
      <w:pPr>
        <w:spacing w:after="0" w:line="4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 trading market for our common stock develops, the trading market will be influenced to some extent by the research and reports that industry or financial analysts publish about us and our business. We do not control these analysts. As a small reporting company and emerging growth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an “emerging growth company,” as defined in the JOBS Act. We may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our IPO.</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also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jc w:val="both"/>
        <w:ind w:right="20"/>
        <w:spacing w:after="0" w:line="375"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principals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officers, directors and principal stockholders each holding more than 5% of our common stock collectively control approximately 61.0% of our outstanding common stock as of December 31, 2022.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as a public company requires us to incur substantial costs and requires substantial management attention.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public company, we have incurred and will continue to incur costs associated with corporate governance requirements that are applicable to us as a public company, including rules and regulations of the SEC, under the Sarbanes-Oxley Act, the Dodd-Frank Wall Street Reform and Consumer Protection Act of 2010, and the Securities Exchange Act of 1934, as amended (the Exchange Act), as well as the rules of NASDAQ. Compliance with these rules and regulations have significantly increased our accounting, legal and financial compliance costs and make some activities more time-consuming. These rules and regulations could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becoming a publicly traded company may adversely affect our business, financial condition and results of operations.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becoming a public company, we are required, under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83"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17" w:lineRule="exact"/>
        <w:rPr>
          <w:sz w:val="20"/>
          <w:szCs w:val="20"/>
          <w:color w:val="auto"/>
        </w:rPr>
      </w:pPr>
    </w:p>
    <w:p>
      <w:pPr>
        <w:ind w:left="760" w:hanging="378"/>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faulty human judgment and simple errors, omissions, or mistakes;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fraudulent action of an individual or collusion of two or more people;</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inappropriate management override of procedures;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possibility that any enhancements to controls and procedures may still not be adequate to assure timely and accurate financial control.</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provide reasonable assurance that information we must disclose in reports we file or submit under the Exchange Act is accumulated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0" w:name="page81"/>
    <w:bookmarkEnd w:id="80"/>
    <w:p>
      <w:pPr>
        <w:jc w:val="both"/>
        <w:spacing w:after="0" w:line="255" w:lineRule="auto"/>
        <w:rPr>
          <w:sz w:val="20"/>
          <w:szCs w:val="20"/>
          <w:color w:val="auto"/>
        </w:rPr>
      </w:pPr>
      <w:r>
        <w:rPr>
          <w:rFonts w:ascii="Arial" w:cs="Arial" w:eastAsia="Arial" w:hAnsi="Arial"/>
          <w:sz w:val="18"/>
          <w:szCs w:val="18"/>
          <w:color w:val="auto"/>
        </w:rPr>
        <w:t>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amended and restated articles of incorporation provide that we will indemnify our directors and officers to the fullest extent permitted by Section 145 of the Delaware General Corporate Law.</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as permitted by the Delaware General Corporate Law, our amended and restated articles of incorporation and our indemnification agreements that we have entered into with our directors and officers provide that:</w:t>
      </w:r>
    </w:p>
    <w:p>
      <w:pPr>
        <w:spacing w:after="0" w:line="62" w:lineRule="exact"/>
        <w:rPr>
          <w:sz w:val="20"/>
          <w:szCs w:val="20"/>
          <w:color w:val="auto"/>
        </w:rPr>
      </w:pPr>
    </w:p>
    <w:p>
      <w:pPr>
        <w:jc w:val="both"/>
        <w:ind w:left="900" w:hanging="383"/>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applicable law. Such law provides that a corporation may indemnify such person if such person acted in good faith and in a manner such person reasonably believed to be in or not opposed to our best interests and, with respect to any criminal proceeding, had no reasonable cause to believe such person’s conduct was unlawful;</w:t>
      </w:r>
    </w:p>
    <w:p>
      <w:pPr>
        <w:spacing w:after="0" w:line="77" w:lineRule="exact"/>
        <w:rPr>
          <w:rFonts w:ascii="Arial" w:cs="Arial" w:eastAsia="Arial" w:hAnsi="Arial"/>
          <w:sz w:val="18"/>
          <w:szCs w:val="18"/>
          <w:color w:val="auto"/>
        </w:rPr>
      </w:pPr>
    </w:p>
    <w:p>
      <w:pPr>
        <w:ind w:left="900" w:hanging="383"/>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may, in our discretion, indemnify employees and agents in those circumstances where indemnification is permitted by applicable law;</w:t>
      </w:r>
    </w:p>
    <w:p>
      <w:pPr>
        <w:spacing w:after="0" w:line="128" w:lineRule="exact"/>
        <w:rPr>
          <w:rFonts w:ascii="Arial" w:cs="Arial" w:eastAsia="Arial" w:hAnsi="Arial"/>
          <w:sz w:val="17"/>
          <w:szCs w:val="17"/>
          <w:color w:val="auto"/>
        </w:rPr>
      </w:pPr>
    </w:p>
    <w:p>
      <w:pPr>
        <w:ind w:left="900" w:hanging="383"/>
        <w:spacing w:after="0" w:line="341"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 w:lineRule="exact"/>
        <w:rPr>
          <w:rFonts w:ascii="Arial" w:cs="Arial" w:eastAsia="Arial" w:hAnsi="Arial"/>
          <w:sz w:val="16"/>
          <w:szCs w:val="16"/>
          <w:color w:val="auto"/>
        </w:rPr>
      </w:pPr>
    </w:p>
    <w:p>
      <w:pPr>
        <w:ind w:left="900" w:hanging="383"/>
        <w:spacing w:after="0" w:line="307"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rights conferred in our amended and restated articles of incorporation are not exclusive, and we are authorized to enter into indemnification agreements with our directors, officers, employees and agents and to obtain insurance to indemnify such persons;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1" w:name="page82"/>
    <w:bookmarkEnd w:id="81"/>
    <w:p>
      <w:pPr>
        <w:ind w:left="383" w:hanging="383"/>
        <w:spacing w:after="0" w:line="277" w:lineRule="auto"/>
        <w:tabs>
          <w:tab w:leader="none" w:pos="3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articles of incorporation provisions to reduce our indemnification obligations to directors, officers, employees and agents.</w:t>
      </w:r>
    </w:p>
    <w:p>
      <w:pPr>
        <w:spacing w:after="0" w:line="169"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headquarters is located in Boulder, Colorado, where we lease office and laboratory space, under an operating lease agreement that expires in January 2024. We also lease office and laboratory space located in De Soto, Kansas, under an operating lease agreement that expires in October 2023, however, we are currently in discussions to extend this lease agreement. A portion of our employees are located outside of Colorado and Kansas, and others work from home. In March 2022, the Company entered into a lease agreement (the CVP Lease) with Centennial Valley Properties I, LLC, a Colorado limited liability company for office and laboratory space in Louisville, Colorado. In August 2022, CVP assigned the lease to CVP I Owner LLC, within the terms allowing for the assignment of the lease. The purpose of the CVP Lease is to replace the Company’s current leased premises in Boulder, Colorado. The Company intends to move its corporate headquarters to Louisville, Colorado (the Leased Premises) by mid-2023.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6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Location</w:t>
            </w:r>
          </w:p>
        </w:tc>
        <w:tc>
          <w:tcPr>
            <w:tcW w:w="20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Use</w:t>
            </w:r>
          </w:p>
        </w:tc>
        <w:tc>
          <w:tcPr>
            <w:tcW w:w="140" w:type="dxa"/>
            <w:vAlign w:val="bottom"/>
          </w:tcPr>
          <w:p>
            <w:pPr>
              <w:spacing w:after="0"/>
              <w:rPr>
                <w:sz w:val="20"/>
                <w:szCs w:val="20"/>
                <w:color w:val="auto"/>
              </w:rPr>
            </w:pPr>
          </w:p>
        </w:tc>
        <w:tc>
          <w:tcPr>
            <w:tcW w:w="1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Square Feet</w:t>
            </w:r>
          </w:p>
        </w:tc>
        <w:tc>
          <w:tcPr>
            <w:tcW w:w="18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Expiration</w:t>
            </w: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Louisville, Colorado</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Office and laboratory</w:t>
            </w:r>
          </w:p>
        </w:tc>
        <w:tc>
          <w:tcPr>
            <w:tcW w:w="1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79,980</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31, 2035</w:t>
            </w:r>
          </w:p>
        </w:tc>
      </w:tr>
      <w:tr>
        <w:trPr>
          <w:trHeight w:val="236"/>
        </w:trPr>
        <w:tc>
          <w:tcPr>
            <w:tcW w:w="3560" w:type="dxa"/>
            <w:vAlign w:val="bottom"/>
          </w:tcPr>
          <w:p>
            <w:pPr>
              <w:ind w:left="20"/>
              <w:spacing w:after="0"/>
              <w:rPr>
                <w:sz w:val="20"/>
                <w:szCs w:val="20"/>
                <w:color w:val="auto"/>
              </w:rPr>
            </w:pPr>
            <w:r>
              <w:rPr>
                <w:rFonts w:ascii="Arial" w:cs="Arial" w:eastAsia="Arial" w:hAnsi="Arial"/>
                <w:sz w:val="18"/>
                <w:szCs w:val="18"/>
                <w:color w:val="auto"/>
              </w:rPr>
              <w:t>Boulder, Colorado</w:t>
            </w:r>
          </w:p>
        </w:tc>
        <w:tc>
          <w:tcPr>
            <w:tcW w:w="200" w:type="dxa"/>
            <w:vAlign w:val="bottom"/>
          </w:tcPr>
          <w:p>
            <w:pPr>
              <w:spacing w:after="0"/>
              <w:rPr>
                <w:sz w:val="20"/>
                <w:szCs w:val="20"/>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w w:val="92"/>
              </w:rPr>
              <w:t>Office and laboratory</w:t>
            </w:r>
          </w:p>
        </w:tc>
        <w:tc>
          <w:tcPr>
            <w:tcW w:w="1940" w:type="dxa"/>
            <w:vAlign w:val="bottom"/>
          </w:tcPr>
          <w:p>
            <w:pPr>
              <w:spacing w:after="0"/>
              <w:rPr>
                <w:sz w:val="20"/>
                <w:szCs w:val="20"/>
                <w:color w:val="auto"/>
              </w:rPr>
            </w:pPr>
          </w:p>
        </w:tc>
        <w:tc>
          <w:tcPr>
            <w:tcW w:w="1940" w:type="dxa"/>
            <w:vAlign w:val="bottom"/>
            <w:gridSpan w:val="2"/>
          </w:tcPr>
          <w:p>
            <w:pPr>
              <w:jc w:val="right"/>
              <w:ind w:right="30"/>
              <w:spacing w:after="0"/>
              <w:rPr>
                <w:sz w:val="20"/>
                <w:szCs w:val="20"/>
                <w:color w:val="auto"/>
              </w:rPr>
            </w:pPr>
            <w:r>
              <w:rPr>
                <w:rFonts w:ascii="Arial" w:cs="Arial" w:eastAsia="Arial" w:hAnsi="Arial"/>
                <w:sz w:val="18"/>
                <w:szCs w:val="18"/>
                <w:color w:val="auto"/>
              </w:rPr>
              <w:t>29,722</w:t>
            </w:r>
          </w:p>
        </w:tc>
        <w:tc>
          <w:tcPr>
            <w:tcW w:w="18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January 14, 2024</w:t>
            </w:r>
          </w:p>
        </w:tc>
      </w:tr>
      <w:tr>
        <w:trPr>
          <w:trHeight w:val="24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 Soto, Kansas</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Office and laboratory</w:t>
            </w:r>
          </w:p>
        </w:tc>
        <w:tc>
          <w:tcPr>
            <w:tcW w:w="194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9,066</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31, 2023</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ind w:left="530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traded on The NASDAQ Global Market under the symbol “BDSX”. The high and low closing prices for our common stock on The NASDAQ Global Market from January 1, 2022 to December 31, 2022 were $5.81 and $0.98,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2, 2023, there were approximately 241 holders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never declared or paid dividends on our common stock and do not expect to pay dividends on our common stock for the foreseeable future. We anticipate that all of our liquidity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term loan restrict our ability to pay dividends on our common stock, and we may also enter into credit agreements or other borrowing arrangements in the future that will further restrict our ability to declare or pay dividends on our common stock.</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21, 2022, the Company entered into subscription agreements (the November 2022 Subscription Agreements) with certain members of management, including the Company’s Chief Executive Officer and Chief Financial Officer, for the issuance and sale by the Company of an aggregate of 235,056 shares of the Company’s common stock at a purchase price (determined in accordance with NASDAQ rules relating to the “Minimum Value” of the Company’s common stock) of $1.15 per share for an aggregate purchase price of approximately $270,000. The November 2022 Subscription Agreements did not include any registration rights and included lock up restrictions in effect during the period ending 90 days subsequent to November 21, 2022.</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used the proceeds to, among other things and in conjunction with a public offering, fund the repayment of the promissory note with Streeterville Capital, LLC (Streeterville), the Loan and Security Agreement with Silicon Valley Bank (SVB), and for general corporate purposes (see – Part II - Item 8, Financial Statements and Supplementary Data).</w:t>
      </w:r>
    </w:p>
    <w:p>
      <w:pPr>
        <w:spacing w:after="0" w:line="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7, 2022, the Company entered into subscription agreements (the April 2022 Subscription Agreements) with a consortium of investors (the April Investors), including three members of our Board of Directors and other existing shareholders of the Company, for the issuance and sale by the Company of an aggregate of 6,508,376 shares of the Company’s common stock at a purchase price (determined in accordance with NASDAQ rules relating to the “Minimum Value” of the Company’s common stock) of $1.79 per share, which is equal to the closing price of the Company’s common stock on April 7, 2022, generating proceeds of $11.7 million. The three members of our Board of Directors acquired an aggregate of 3,631,284 shares pursuant to the form of the April 2022 Subscription Agreements that did not include any registration rights as they are exempt from registration pursuant to Section 4(a)(2) of the Securities Act of 1933, as amended (the Securities Act), and Rule 506 promulgated thereunder. The remaining 2,877,092 shares were acquired by others pursuant to the form of a April 2022 Subscription Agreements whereby we agreed to file, subject to certain exceptions, a shelf registration statement with respect to resales of such shares with the SEC no later than 60 days from April 7, 2022, which the Company filed on June 6, 2022.</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used the proceeds to, among other things, fund the partial repayment of the 2021 Term Loan and for general corporate purposes (see – Part II - Item 8, Financial Statements and Supplementary Data).</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were no sales of unregistered securities for the year ended December 31, 2021. From January 1, 2020 through December 31, 2020, we granted stock options under our 2016 and 2006 Stock Plans to purchase 0.8 million shares of our common stock at exercise prices ranging from $0.77 to $6.83 per share, and issued an aggregate of 0.4 million shares of common stock pursuant to the exercise of stock options with aggregate proceeds of approximately $1.3 million. These issuances were undertaken in reliance upon an exemption from registration under Rule 701 of the Securities Act of 1933.</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Biodesix, Inc. is referred to throughout this Annual Report on Form 10-K for the period ended December 31, 2022 (Form 10-K) as “we”, “us”, “our” or the “Company.”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together with our audited financial statements and related notes and other financial information included elsewhere in this Annual Report on Form 10-K.</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In addition to historical financial information, this discussion and other parts of this report contain forward-looking statements within the meaning of Section 27A of the Securities Act of 1933, as amended, and Section 21E of the Securities Exchange Act of 1934, as amended, based upon current expectations that involve risks and uncertainties. Our actual results could differ materially from those anticipated in these forward-looking statements as a result of various factors, including those set forth in the section titled “Risk Factors” under Part I, Item 1A above. Forward-looking statements are not guarantees of future performance and are subject to risks and uncertainties that could cause actual results and events to differ from those anticipated.</w:t>
      </w:r>
    </w:p>
    <w:p>
      <w:pPr>
        <w:spacing w:after="0" w:line="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we undertake no obligation to update or revise these statements in light of future developments. These statements are inherently uncertain, and investors are cautioned not to unduly rely upon these statements.</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provided to supplement the audited financial statements and the related notes in Part II - Item 8 of this Annual Report on Form10-K. We intend for this discussion to provide you with information that will assist you in understanding our financial statements, the changes in key items in those financial statements from year to year and the primary factors that accounted for those changes. Data for the years ended December 31, 2022 and 2021 has been derived from our audited financial statements included in this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multi-omic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AI-based Diagnostic Cortex® platform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multi-omic approach is designed to enable us to discover diagnostic tests that answer critical clinical questions faced by physicians, researchers, and biopharmaceutical companies.</w:t>
      </w:r>
    </w:p>
    <w:p>
      <w:pPr>
        <w:spacing w:after="0" w:line="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a variety of samples with associated data in our biobank, including tumor profiles and immune profiles, which are used for both internal and external research and development initiatives.</w:t>
      </w:r>
    </w:p>
    <w:p>
      <w:pPr>
        <w:spacing w:after="0" w:line="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commercialized five diagnostic tests for our core lung diagnostic business, each of which have Medicare coverage, which are currently available for use by physicians. Our Nodify XL2 and Nodify CDT tests, marketed as part of the Nodify Lung Nodule Risk Assessment testing strategy, assess the risk of lung cancer to help identify the most appropriate treatment pathway. The Nodify Lung Risk Assessment testing strategy has resulted in a change in the calculated risk of malignancy in 80-85% of the cases. We believe we are the only company to offer two commercial blood-based tests to help physicians reclassify risk of malignancy in patients with suspicious lung nodules. Our GeneStrat ddPCR, GeneStrat NGS, and VeriStrat tests, marketed as the IQLung testing strategy, are used following diagnosis of lung cancer to measure the presence of mutations in the tumor and the state of the patient’s immune system to establish the patient’s prognosis and help guide treatment decisions. The GeneStrat targeted tumor profiling test and the VeriStrat immune profiling test now have a turnaround time of two business days, down from the previous three business day turnaround time,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both"/>
        <w:spacing w:after="0" w:line="301" w:lineRule="auto"/>
        <w:rPr>
          <w:sz w:val="20"/>
          <w:szCs w:val="20"/>
          <w:color w:val="auto"/>
        </w:rPr>
      </w:pPr>
      <w:r>
        <w:rPr>
          <w:rFonts w:ascii="Arial" w:cs="Arial" w:eastAsia="Arial" w:hAnsi="Arial"/>
          <w:sz w:val="16"/>
          <w:szCs w:val="16"/>
          <w:color w:val="auto"/>
        </w:rPr>
        <w:t>providing physicians with timely results to facilitate treatment decisions. The GeneStrat NGS test is our blood-based NGS test with results in three business days, was launched in November 2021 to a select group of physicians, with national launch in January 2022. The 52-gene panel includes guideline recommended mutations to help physicians treating advanced-stage lung cancer patients identify all four major mutation classes and genes, such as EGFR, ALK, KRAS, MET, NTRK, ERBB2, and others, and delivers them in an expedited timeframe so patient treatment can begin sooner.</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response to the COVID-19 pandemic, through our partnership with Bio-Rad, we commercialized the Biodesix WorkSafe™ testing program, which include three commercialized tests. Our scientific diagnostic expertise, technologies, and existing commercial infrastructure enabled us to rapidly commercialize two FDA EUA authorized tests, a part of our customizable program. Both diagnostic tests are owned and were developed by Bio-Rad and Bio-Rad has granted us permission to utilize both tests for commercial diagnostic services. The Bio-Rad SARS-CoV-2 ddPCR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Prior to using the Bio-Rad SARS-CoV-2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Beginning in second quarter 2021, we began partnering with GenScript Biotech Corporation to commercialize the blood-based cPass SARS-CoV-2 Neutralizing Antibody testing as a service. The test is the first surrogate neutralizing antibody test with FDA EUA and uses ELISA technology to qualitatively detect circulating neutralizing antibodies to the RBD in the spike protein of SARS-CoV-2 that are produced in response to a previous SARS-CoV-2 infection.</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The EUA declaration under Section 564 of the FDCA is distinct from and independent of the declaration by the Secretary of HHS of a public health emergency under Section 319 of the Public Health Service Act (the PHS Act). On January 30, 2023, the White House issued a Statement of Administration Policy announcing the President’s intention to allow the Public Health Emergency declaration under Section 319 to expire on May 11, 2023. Because the EUA declaration from the FDA is distinct from the declaration under Section 319 of the PHS Act, the FDA EUA may remain in effect beyond the duration of the Section 319 declaration. We cannot predict how long the EUAs for the SARS-CoV-2 tests will remain in place.</w:t>
      </w:r>
    </w:p>
    <w:p>
      <w:pPr>
        <w:spacing w:after="0" w:line="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tests under the Biodesix WorkSafe testing program are utilized by healthcare providers, including hospitals and nursing homes, and are also offered to businesses and educational systems. We announced multiple partnerships for COVID-19 testing, and maintained an agreement with the State of Colorado to be one of the diagnostic companies to support widespread COVID-19 testing for the State, which expired on August 31, 2022. Additionally, we oversaw and managed onsite testing and validating testing for the Big Ten Conference athletic competitions through the term of our contract which expired on June 30, 2021.</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eight diagnostic tests currently on the market, we perform over 30 assays for research use as part of our laboratory services that have been used by over 60 biopharmaceutical companies and academic partners. All of our diagnostic and services testing is performed at one of our two accredited, high-complexity clinical laboratories in Boulder, Colorado and De Soto, Kansas.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Since our inception, we have performed over 550,000 clinical diagnostic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companies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continues to address our liquidity needs through improvements to our capital structure. During the year ended December 31, 2022,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completed various transactions, including:</w:t>
      </w:r>
    </w:p>
    <w:p>
      <w:pPr>
        <w:spacing w:after="0" w:line="102" w:lineRule="exact"/>
        <w:rPr>
          <w:sz w:val="20"/>
          <w:szCs w:val="20"/>
          <w:color w:val="auto"/>
        </w:rPr>
      </w:pPr>
    </w:p>
    <w:p>
      <w:pPr>
        <w:ind w:left="1020" w:hanging="504"/>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private placement offering that raised approximately $11.7 million in net equity proceeds in April 2022;</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closing of a debt facility with Streeterville in May 2022, raising approximately $12.8 million in net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6" w:name="page87"/>
    <w:bookmarkEnd w:id="86"/>
    <w:p>
      <w:pPr>
        <w:ind w:left="1020" w:hanging="504"/>
        <w:spacing w:after="0" w:line="307" w:lineRule="auto"/>
        <w:tabs>
          <w:tab w:leader="none" w:pos="10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follow-on public equity offering of common stock and a subscription agreement for the issuance of common stock, including to certain members of the Company’s management team and affiliates, raising $37.8 million in net equity proceeds in November 2022;</w:t>
      </w:r>
    </w:p>
    <w:p>
      <w:pPr>
        <w:spacing w:after="0" w:line="39" w:lineRule="exact"/>
        <w:rPr>
          <w:rFonts w:ascii="Arial" w:cs="Arial" w:eastAsia="Arial" w:hAnsi="Arial"/>
          <w:sz w:val="17"/>
          <w:szCs w:val="17"/>
          <w:color w:val="auto"/>
        </w:rPr>
      </w:pPr>
    </w:p>
    <w:p>
      <w:pPr>
        <w:jc w:val="both"/>
        <w:ind w:left="1020" w:hanging="504"/>
        <w:spacing w:after="0" w:line="273" w:lineRule="auto"/>
        <w:tabs>
          <w:tab w:leader="none" w:pos="10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closing of a term loan facility with Perceptive for up to $50.0 million in November 2022. The initial funding of the Perceptive Term Loan included $30.0 million in gross proceeds ($27.9 million in net proceeds) (the Tranche A Loan) and the issuance of a warrant to purchase stock of up to 5,000,000 shares of common stock (the Perceptive Warrant), of which 3,000,000 warrants were issued with a per share exercise price equal to $1.0648. Two additional tranches of $10.0 million each are available for future borrowing (the Tranche B and Tranche C Loans), each subject to certain terms and conditions, including revenue milestones, with each tranche also subject to the issuance of 1,000,000 warrants at a per share exercise price determined at the time of issuance;</w:t>
      </w:r>
    </w:p>
    <w:p>
      <w:pPr>
        <w:spacing w:after="0" w:line="68" w:lineRule="exact"/>
        <w:rPr>
          <w:rFonts w:ascii="Arial" w:cs="Arial" w:eastAsia="Arial" w:hAnsi="Arial"/>
          <w:sz w:val="17"/>
          <w:szCs w:val="17"/>
          <w:color w:val="auto"/>
        </w:rPr>
      </w:pPr>
    </w:p>
    <w:p>
      <w:pPr>
        <w:ind w:left="1020" w:hanging="504"/>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$23.9 million of the net proceeds from the November 2022 transactions were used to extinguish outstanding debt with Streeterville and SVB;</w:t>
      </w:r>
    </w:p>
    <w:p>
      <w:pPr>
        <w:spacing w:after="0" w:line="61"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common stock sales raising $6.8 million in net equity proceeds through our at-the-market (ATM) and Lincoln Park Capital, LLC (LPC) facilities.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these transactions is described in further detail within the notes to our financial statements in Item 8 of this Annual Report on Form 10-K as well as our “Liquidity and Capital Resources” section below.</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funded our operations to date principally from net proceeds from the issuances of our common stock, the sale of convertible preferred stock, revenue from diagnostic testing and services, and the incurrence of indebtedness. We had cash and cash equivalents of $43.1 million and $32.7 million as of December 31, 2022 and 2021,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several important factors that have impacted our operating performance and results of operations, including:</w:t>
      </w:r>
    </w:p>
    <w:p>
      <w:pPr>
        <w:spacing w:after="0" w:line="113" w:lineRule="exact"/>
        <w:rPr>
          <w:sz w:val="20"/>
          <w:szCs w:val="20"/>
          <w:color w:val="auto"/>
        </w:rPr>
      </w:pPr>
    </w:p>
    <w:p>
      <w:pPr>
        <w:jc w:val="both"/>
        <w:ind w:left="900" w:hanging="383"/>
        <w:spacing w:after="0" w:line="270"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 xml:space="preserve">Testing volume and customer mix. </w:t>
      </w:r>
      <w:r>
        <w:rPr>
          <w:rFonts w:ascii="Arial" w:cs="Arial" w:eastAsia="Arial" w:hAnsi="Arial"/>
          <w:sz w:val="17"/>
          <w:szCs w:val="17"/>
          <w:color w:val="auto"/>
        </w:rPr>
        <w:t>Our revenues and costs are affected by the volume of testing and mix of customers from period to period.</w:t>
      </w:r>
      <w:r>
        <w:rPr>
          <w:rFonts w:ascii="Arial" w:cs="Arial" w:eastAsia="Arial" w:hAnsi="Arial"/>
          <w:sz w:val="17"/>
          <w:szCs w:val="17"/>
          <w:b w:val="1"/>
          <w:bCs w:val="1"/>
          <w:color w:val="auto"/>
        </w:rPr>
        <w:t xml:space="preserve"> </w:t>
      </w:r>
      <w:r>
        <w:rPr>
          <w:rFonts w:ascii="Arial" w:cs="Arial" w:eastAsia="Arial" w:hAnsi="Arial"/>
          <w:sz w:val="17"/>
          <w:szCs w:val="17"/>
          <w:color w:val="auto"/>
        </w:rPr>
        <w:t>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spacing w:after="0" w:line="70" w:lineRule="exact"/>
        <w:rPr>
          <w:rFonts w:ascii="Arial" w:cs="Arial" w:eastAsia="Arial" w:hAnsi="Arial"/>
          <w:sz w:val="17"/>
          <w:szCs w:val="17"/>
          <w:color w:val="auto"/>
        </w:rPr>
      </w:pPr>
    </w:p>
    <w:p>
      <w:pPr>
        <w:jc w:val="both"/>
        <w:ind w:left="900" w:hanging="383"/>
        <w:spacing w:after="0" w:line="29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Reimbursement for clinical diagnostic testing. </w:t>
      </w:r>
      <w:r>
        <w:rPr>
          <w:rFonts w:ascii="Arial" w:cs="Arial" w:eastAsia="Arial" w:hAnsi="Arial"/>
          <w:sz w:val="16"/>
          <w:szCs w:val="16"/>
          <w:color w:val="auto"/>
        </w:rPr>
        <w:t>Our revenue depends on achieving broad coverage and reimbursement for our tests from</w:t>
      </w:r>
      <w:r>
        <w:rPr>
          <w:rFonts w:ascii="Arial" w:cs="Arial" w:eastAsia="Arial" w:hAnsi="Arial"/>
          <w:sz w:val="16"/>
          <w:szCs w:val="16"/>
          <w:b w:val="1"/>
          <w:bCs w:val="1"/>
          <w:color w:val="auto"/>
        </w:rPr>
        <w:t xml:space="preserve"> </w:t>
      </w:r>
      <w:r>
        <w:rPr>
          <w:rFonts w:ascii="Arial" w:cs="Arial" w:eastAsia="Arial" w:hAnsi="Arial"/>
          <w:sz w:val="16"/>
          <w:szCs w:val="16"/>
          <w:color w:val="auto"/>
        </w:rPr>
        <w:t>third-party payers, including both commercial and government payers. On June 7, 2022, we announced that WPS Government Health Administrators, the Medicare Administrative Contractor with jurisdiction for Biodesix’s De Soto, Kansas laboratory, has provided coverage for the Nodify CDT lung nodule test. All five Biodesix blood-based lung diagnostic tests within the Nodify Lung Nodule Risk Assessment testing strategy and IQLung strategy for lung cancer patients are now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55" w:lineRule="exact"/>
        <w:rPr>
          <w:rFonts w:ascii="Arial" w:cs="Arial" w:eastAsia="Arial" w:hAnsi="Arial"/>
          <w:sz w:val="16"/>
          <w:szCs w:val="16"/>
          <w:color w:val="auto"/>
        </w:rPr>
      </w:pPr>
    </w:p>
    <w:p>
      <w:pPr>
        <w:jc w:val="both"/>
        <w:ind w:left="900"/>
        <w:spacing w:after="0" w:line="290" w:lineRule="auto"/>
        <w:rPr>
          <w:rFonts w:ascii="Arial" w:cs="Arial" w:eastAsia="Arial" w:hAnsi="Arial"/>
          <w:sz w:val="16"/>
          <w:szCs w:val="16"/>
          <w:color w:val="auto"/>
        </w:rPr>
      </w:pPr>
      <w:r>
        <w:rPr>
          <w:rFonts w:ascii="Arial" w:cs="Arial" w:eastAsia="Arial" w:hAnsi="Arial"/>
          <w:sz w:val="16"/>
          <w:szCs w:val="16"/>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55" w:lineRule="exact"/>
        <w:rPr>
          <w:rFonts w:ascii="Arial" w:cs="Arial" w:eastAsia="Arial" w:hAnsi="Arial"/>
          <w:sz w:val="16"/>
          <w:szCs w:val="16"/>
          <w:color w:val="auto"/>
        </w:rPr>
      </w:pPr>
    </w:p>
    <w:p>
      <w:pPr>
        <w:jc w:val="both"/>
        <w:ind w:left="900"/>
        <w:spacing w:after="0" w:line="263" w:lineRule="auto"/>
        <w:rPr>
          <w:rFonts w:ascii="Arial" w:cs="Arial" w:eastAsia="Arial" w:hAnsi="Arial"/>
          <w:sz w:val="16"/>
          <w:szCs w:val="16"/>
          <w:color w:val="auto"/>
        </w:rPr>
      </w:pPr>
      <w:r>
        <w:rPr>
          <w:rFonts w:ascii="Arial" w:cs="Arial" w:eastAsia="Arial" w:hAnsi="Arial"/>
          <w:sz w:val="18"/>
          <w:szCs w:val="18"/>
          <w:color w:val="auto"/>
        </w:rPr>
        <w:t>On October, 17, 2022, the Company announced that the U.S. Department of Veterans Affairs (the VA), the largest integrated health care system in the United States, has awarded a Federal Supply Schedule Contract for the Company’s entire portfolio of lung cancer diagnostic tests. The VA provides care at 1,298 health care facilities, including 171 VA Medical Centers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7" w:name="page88"/>
    <w:bookmarkEnd w:id="87"/>
    <w:p>
      <w:pPr>
        <w:jc w:val="both"/>
        <w:ind w:left="900"/>
        <w:spacing w:after="0" w:line="286" w:lineRule="auto"/>
        <w:rPr>
          <w:sz w:val="20"/>
          <w:szCs w:val="20"/>
          <w:color w:val="auto"/>
        </w:rPr>
      </w:pPr>
      <w:r>
        <w:rPr>
          <w:rFonts w:ascii="Arial" w:cs="Arial" w:eastAsia="Arial" w:hAnsi="Arial"/>
          <w:sz w:val="17"/>
          <w:szCs w:val="17"/>
          <w:color w:val="auto"/>
        </w:rPr>
        <w:t>1,113 outpatient sites of care of varying complexity to over 9 million veterans enrolled in the VA health care program. All of our existing lung diagnostic tests will be payable when performed and partnering with the VA represents a large opportunity for Biodesix to help improve care for our Veterans by integrating our five diagnostic products and testing strategies into our country’s largest health system.</w:t>
      </w:r>
    </w:p>
    <w:p>
      <w:pPr>
        <w:spacing w:after="0" w:line="56" w:lineRule="exact"/>
        <w:rPr>
          <w:sz w:val="20"/>
          <w:szCs w:val="20"/>
          <w:color w:val="auto"/>
        </w:rPr>
      </w:pPr>
    </w:p>
    <w:p>
      <w:pPr>
        <w:jc w:val="both"/>
        <w:ind w:left="900"/>
        <w:spacing w:after="0" w:line="259" w:lineRule="auto"/>
        <w:rPr>
          <w:sz w:val="20"/>
          <w:szCs w:val="20"/>
          <w:color w:val="auto"/>
        </w:rPr>
      </w:pPr>
      <w:r>
        <w:rPr>
          <w:rFonts w:ascii="Arial" w:cs="Arial" w:eastAsia="Arial" w:hAnsi="Arial"/>
          <w:sz w:val="18"/>
          <w:szCs w:val="18"/>
          <w:color w:val="auto"/>
        </w:rPr>
        <w:t>On December 19, 2022, the Company announced the signing of our first four private payer commercial policies covering our Nodify XL2 test. These contracts included three Blue Cross Blue Shield plans in North Carolina, South Carolina, and Kansas City, and a contract with Capital District Physician’s Health Plan in New York. In total these new private pay contracts add approximately 4.5 million covered lives, and are in geographic regions of the country where the incidence of lung cancer is high.</w:t>
      </w:r>
    </w:p>
    <w:p>
      <w:pPr>
        <w:spacing w:after="0" w:line="73" w:lineRule="exact"/>
        <w:rPr>
          <w:sz w:val="20"/>
          <w:szCs w:val="20"/>
          <w:color w:val="auto"/>
        </w:rPr>
      </w:pPr>
    </w:p>
    <w:p>
      <w:pPr>
        <w:jc w:val="both"/>
        <w:ind w:left="900" w:hanging="383"/>
        <w:spacing w:after="0" w:line="272"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Investment in clinical studies and product innovation to support growth. </w:t>
      </w:r>
      <w:r>
        <w:rPr>
          <w:rFonts w:ascii="Arial" w:cs="Arial" w:eastAsia="Arial" w:hAnsi="Arial"/>
          <w:sz w:val="17"/>
          <w:szCs w:val="17"/>
          <w:color w:val="auto"/>
        </w:rPr>
        <w:t>A significant aspect of our business is our investment in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The ALTITUDE study, launched during the fourth quarter 2020, seeks to further demonstrate the efficacy of the Nodify XL2 and Nodify CDT tests. A secondary focus of our studies is understanding the economic impact of our tests in assisting with decisions related to patient management and the potential impact of our tests in reducing overall healthcare costs.</w:t>
      </w:r>
    </w:p>
    <w:p>
      <w:pPr>
        <w:spacing w:after="0" w:line="71" w:lineRule="exact"/>
        <w:rPr>
          <w:rFonts w:ascii="Arial" w:cs="Arial" w:eastAsia="Arial" w:hAnsi="Arial"/>
          <w:sz w:val="17"/>
          <w:szCs w:val="17"/>
          <w:color w:val="auto"/>
        </w:rPr>
      </w:pPr>
    </w:p>
    <w:p>
      <w:pPr>
        <w:jc w:val="both"/>
        <w:ind w:left="900"/>
        <w:spacing w:after="0" w:line="271" w:lineRule="auto"/>
        <w:rPr>
          <w:rFonts w:ascii="Arial" w:cs="Arial" w:eastAsia="Arial" w:hAnsi="Arial"/>
          <w:sz w:val="17"/>
          <w:szCs w:val="17"/>
          <w:color w:val="auto"/>
        </w:rPr>
      </w:pPr>
      <w:r>
        <w:rPr>
          <w:rFonts w:ascii="Arial" w:cs="Arial" w:eastAsia="Arial" w:hAnsi="Arial"/>
          <w:sz w:val="17"/>
          <w:szCs w:val="17"/>
          <w:color w:val="auto"/>
        </w:rPr>
        <w:t>Our clinical research has resulted in approximately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69" w:lineRule="exact"/>
        <w:rPr>
          <w:rFonts w:ascii="Arial" w:cs="Arial" w:eastAsia="Arial" w:hAnsi="Arial"/>
          <w:sz w:val="17"/>
          <w:szCs w:val="17"/>
          <w:color w:val="auto"/>
        </w:rPr>
      </w:pPr>
    </w:p>
    <w:p>
      <w:pPr>
        <w:jc w:val="both"/>
        <w:ind w:left="900" w:hanging="383"/>
        <w:spacing w:after="0" w:line="270"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Ability to attract new biopharmaceutical customers and maintain and expand relationships with existing customers. </w:t>
      </w:r>
      <w:r>
        <w:rPr>
          <w:rFonts w:ascii="Arial" w:cs="Arial" w:eastAsia="Arial" w:hAnsi="Arial"/>
          <w:sz w:val="17"/>
          <w:szCs w:val="17"/>
          <w:color w:val="auto"/>
        </w:rPr>
        <w:t>Our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we and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74" w:lineRule="exact"/>
        <w:rPr>
          <w:rFonts w:ascii="Arial" w:cs="Arial" w:eastAsia="Arial" w:hAnsi="Arial"/>
          <w:sz w:val="17"/>
          <w:szCs w:val="17"/>
          <w:color w:val="auto"/>
        </w:rPr>
      </w:pPr>
    </w:p>
    <w:p>
      <w:pPr>
        <w:jc w:val="both"/>
        <w:ind w:left="900"/>
        <w:spacing w:after="0" w:line="293" w:lineRule="auto"/>
        <w:rPr>
          <w:rFonts w:ascii="Arial" w:cs="Arial" w:eastAsia="Arial" w:hAnsi="Arial"/>
          <w:sz w:val="17"/>
          <w:szCs w:val="17"/>
          <w:color w:val="auto"/>
        </w:rPr>
      </w:pPr>
      <w:r>
        <w:rPr>
          <w:rFonts w:ascii="Arial" w:cs="Arial" w:eastAsia="Arial" w:hAnsi="Arial"/>
          <w:sz w:val="16"/>
          <w:szCs w:val="16"/>
          <w:color w:val="auto"/>
        </w:rPr>
        <w:t>On June 30, 2022, the Company announced an arrangement with Royal Philips, a global leader in health care technology, in which our Nodify Lung blood-based lung nodule risk assessment testing will be incorporated into Philips Lung Cancer Orchestrator lung cancer patient management system. The incorporation of proteomics data – along with the radiologic and patient history data currently used to determine treatment decisions – can help create diagnostic efficiency for cancer care centers in the management of a growing number of lung nodule cases, via the contextual launch of Biodesix Nodify Lung application within Lung Cancer Orchestrator. Philips Lung Cancer Orchestrator solution is designed to enable health systems to operationalize lung cancer screening and lung nodule management programs at scale.</w:t>
      </w:r>
    </w:p>
    <w:p>
      <w:pPr>
        <w:spacing w:after="0" w:line="50" w:lineRule="exact"/>
        <w:rPr>
          <w:rFonts w:ascii="Arial" w:cs="Arial" w:eastAsia="Arial" w:hAnsi="Arial"/>
          <w:sz w:val="17"/>
          <w:szCs w:val="17"/>
          <w:color w:val="auto"/>
        </w:rPr>
      </w:pPr>
    </w:p>
    <w:p>
      <w:pPr>
        <w:jc w:val="both"/>
        <w:ind w:left="900" w:hanging="383"/>
        <w:spacing w:after="0" w:line="294"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 xml:space="preserve">Motivating and expanding our field sales force and customer support team. </w:t>
      </w:r>
      <w:r>
        <w:rPr>
          <w:rFonts w:ascii="Arial" w:cs="Arial" w:eastAsia="Arial" w:hAnsi="Arial"/>
          <w:sz w:val="16"/>
          <w:szCs w:val="16"/>
          <w:color w:val="auto"/>
        </w:rPr>
        <w:t>Our field sales force is the primary point of contact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 setting. These representatives of the company must cover expansive geographic regions which limits their time for interaction and education of our products in the clinical setting. We plan to continue investing in the field sales force, increasing the total number of sales representatives to drive continued growth, and thereby reduce the geographic footprint each representative must cover. This investment will allow the larger sales force to maximize their education and selling efforts and achieve greater returns. Additionally, we plan to invest in the Boulder-based marketing and customer support teams to continue to provide the field team with the resources to be successful in the field.</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While each of these areas present significant opportunities for us, they also pose significant risks and challenges that we must address. See Part I,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for more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COVID-19 pandemic has disrupted, and may continue to disrupt, our lung diagnostic testing operations. To protect the health and well-being of our workforce, partners, vendors and customers, we provide voluntary COVID-19 testing for employees working on-site,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8" w:name="page89"/>
    <w:bookmarkEnd w:id="88"/>
    <w:p>
      <w:pPr>
        <w:jc w:val="both"/>
        <w:spacing w:after="0" w:line="256" w:lineRule="auto"/>
        <w:rPr>
          <w:sz w:val="20"/>
          <w:szCs w:val="20"/>
          <w:color w:val="auto"/>
        </w:rPr>
      </w:pPr>
      <w:r>
        <w:rPr>
          <w:rFonts w:ascii="Arial" w:cs="Arial" w:eastAsia="Arial" w:hAnsi="Arial"/>
          <w:sz w:val="18"/>
          <w:szCs w:val="18"/>
          <w:color w:val="auto"/>
        </w:rPr>
        <w:t>implemented social distance and building entry policies at work, restricted travel and facility visits, and followed the States of Colorado and Kansas’ public health orders and the guidance from the Centers for Disease Control and Prevention (CDC). Employees who can perform their duties remotely have the option to work from home. Our sales, marketing and business development efforts may be constrained by our operational response to future COVID-19 variant outbreaks. We will continue to adjust our operational norms, as needed, to help slow the spread of COVID-19, including complying with government directives and guidelines as they are modified and supplemented.</w:t>
      </w:r>
    </w:p>
    <w:p>
      <w:pPr>
        <w:spacing w:after="0" w:line="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COVID-19 pandemic and the surge associated with multiple variants have negatively affected our lung diagnostic testing-related revenue and our clinical studies.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We do not anticipate the need for COVID-19 testing to be commensurate with the peak demand experienced during the first quarter 2021 and instead expect the demand to substantially decline as our society adapts to a post-pandemic era. There is no assurance that our COVID-19 testing program will continue to be accepted by the market or that other diagnostic tests will become more accepted, produce quicker results or are more accurate. Further, the longevity and extent of the COVID-19 pandemic is uncertain and the need for COVID-19 testing could vary which could have a significant effect on our results of operations and profitability. As a result, increases in revenue, if any, due to any increase in demand for these diagnostic tests may not be indicative of our future revenue.</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Part I, Item 1A. “Risk Factors” for a description of how the COVID-19 pandemic may adversely affect our business, financial condition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2022 Financial and Operational Highlights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were significant developments affecting our business, capital structure and liquidity during the year ended December 31, 2022 as compared to the same period in 2021 unless otherwise noted:</w:t>
      </w:r>
    </w:p>
    <w:p>
      <w:pPr>
        <w:spacing w:after="0" w:line="62" w:lineRule="exact"/>
        <w:rPr>
          <w:sz w:val="20"/>
          <w:szCs w:val="20"/>
          <w:color w:val="auto"/>
        </w:rPr>
      </w:pPr>
    </w:p>
    <w:p>
      <w:pPr>
        <w:jc w:val="both"/>
        <w:ind w:left="620" w:hanging="343"/>
        <w:spacing w:after="0" w:line="263"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Total revenue of $9.6 million and $38.2 million for the fourth quarter and fiscal 2022, respectively, an increase of 33% and decrease of 30%, respectively, with continued growth in core lung diagnostic sales, offset by the expected year-over-year decline in COVID-19 revenue due to the decrease in testing across the year;</w:t>
      </w:r>
    </w:p>
    <w:p>
      <w:pPr>
        <w:spacing w:after="0" w:line="74" w:lineRule="exact"/>
        <w:rPr>
          <w:rFonts w:ascii="Arial" w:cs="Arial" w:eastAsia="Arial" w:hAnsi="Arial"/>
          <w:sz w:val="18"/>
          <w:szCs w:val="18"/>
          <w:color w:val="auto"/>
        </w:rPr>
      </w:pPr>
    </w:p>
    <w:p>
      <w:pPr>
        <w:ind w:left="620" w:hanging="343"/>
        <w:spacing w:after="0" w:line="307" w:lineRule="auto"/>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Core lung diagnostic revenue of $8.2 million and $29.3 million for the fourth quarter and fiscal 2022, respectively, an increase of 51% and 57% driven by the increased adoption of Nodify Lung nodule management tests and the highest total tests delivered in Company history;</w:t>
      </w:r>
    </w:p>
    <w:p>
      <w:pPr>
        <w:spacing w:after="0" w:line="39" w:lineRule="exact"/>
        <w:rPr>
          <w:rFonts w:ascii="Arial" w:cs="Arial" w:eastAsia="Arial" w:hAnsi="Arial"/>
          <w:sz w:val="17"/>
          <w:szCs w:val="17"/>
          <w:color w:val="auto"/>
        </w:rPr>
      </w:pPr>
    </w:p>
    <w:p>
      <w:pPr>
        <w:ind w:left="620" w:hanging="343"/>
        <w:spacing w:after="0" w:line="277"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Biopharmaceutical Services revenue of $1.4 million and $3.7 million for the fourth quarter and fiscal year 2022 respectively, a decrease of 1% and 34%;</w:t>
      </w:r>
    </w:p>
    <w:p>
      <w:pPr>
        <w:spacing w:after="0" w:line="61" w:lineRule="exact"/>
        <w:rPr>
          <w:rFonts w:ascii="Arial" w:cs="Arial" w:eastAsia="Arial" w:hAnsi="Arial"/>
          <w:sz w:val="18"/>
          <w:szCs w:val="18"/>
          <w:color w:val="auto"/>
        </w:rPr>
      </w:pPr>
    </w:p>
    <w:p>
      <w:pPr>
        <w:jc w:val="both"/>
        <w:ind w:left="620" w:hanging="343"/>
        <w:spacing w:after="0" w:line="263"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COVID-19 testing revenue declined to an immaterial amount and $5.2 million for the fourth quarter and fiscal year 2022, respectively, a decrease of 96% and 83% commensurate with the increase in COVID-19 vaccination rates across the U.S. and the adoption and availability of at-home testing, including the expiration of our most significant testing contracts;</w:t>
      </w:r>
    </w:p>
    <w:p>
      <w:pPr>
        <w:spacing w:after="0" w:line="74" w:lineRule="exact"/>
        <w:rPr>
          <w:rFonts w:ascii="Arial" w:cs="Arial" w:eastAsia="Arial" w:hAnsi="Arial"/>
          <w:sz w:val="18"/>
          <w:szCs w:val="18"/>
          <w:color w:val="auto"/>
        </w:rPr>
      </w:pPr>
    </w:p>
    <w:p>
      <w:pPr>
        <w:jc w:val="both"/>
        <w:ind w:left="620" w:hanging="343"/>
        <w:spacing w:after="0" w:line="263"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Gross margin was $6.3 million or 66% and $24.1 million or 63% for the fourth quarter and fiscal 2022, respectively, as a percentage of revenue compared to 65% and 44% primarily driven by the mix shift of sales to higher-margin core lung diagnostics and away from lower-margin COVID-19 testing;</w:t>
      </w:r>
    </w:p>
    <w:p>
      <w:pPr>
        <w:spacing w:after="0" w:line="74" w:lineRule="exact"/>
        <w:rPr>
          <w:rFonts w:ascii="Arial" w:cs="Arial" w:eastAsia="Arial" w:hAnsi="Arial"/>
          <w:sz w:val="18"/>
          <w:szCs w:val="18"/>
          <w:color w:val="auto"/>
        </w:rPr>
      </w:pPr>
    </w:p>
    <w:p>
      <w:pPr>
        <w:ind w:left="620" w:hanging="343"/>
        <w:spacing w:after="0" w:line="277"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expenses (excluding direct costs and expenses) of $20.2 million and $74.6 million for the fourth quarter and fiscal year 2022, an increase of 23% and 15% primarily from year-over-year growth in core lung diagnostic revenue;</w:t>
      </w:r>
    </w:p>
    <w:p>
      <w:pPr>
        <w:spacing w:after="0" w:line="61" w:lineRule="exact"/>
        <w:rPr>
          <w:rFonts w:ascii="Arial" w:cs="Arial" w:eastAsia="Arial" w:hAnsi="Arial"/>
          <w:sz w:val="18"/>
          <w:szCs w:val="18"/>
          <w:color w:val="auto"/>
        </w:rPr>
      </w:pPr>
    </w:p>
    <w:p>
      <w:pPr>
        <w:ind w:left="620" w:hanging="343"/>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loss of $20.3 million and $65.4 million for the fourth quarter and fiscal year 2022, respectively, an increase of 53% and 52%;</w:t>
      </w:r>
    </w:p>
    <w:p>
      <w:pPr>
        <w:spacing w:after="0" w:line="116" w:lineRule="exact"/>
        <w:rPr>
          <w:rFonts w:ascii="Arial" w:cs="Arial" w:eastAsia="Arial" w:hAnsi="Arial"/>
          <w:sz w:val="18"/>
          <w:szCs w:val="18"/>
          <w:color w:val="auto"/>
        </w:rPr>
      </w:pPr>
    </w:p>
    <w:p>
      <w:pPr>
        <w:ind w:left="620" w:hanging="343"/>
        <w:spacing w:after="0" w:line="277"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Cash and cash equivalents of $43.1 million, inclusive of $65.7 million of net proceeds during the fourth quarter 2022 through debt and equity offerings and the utilization of $23.9 million to extinguish outstanding debt.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Diagnostic Tests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 We provide diagnostic tests in two primary categories: (i) core lung diagnostics testing and (ii) COVID-19 testing.</w:t>
      </w:r>
    </w:p>
    <w:p>
      <w:pPr>
        <w:spacing w:after="0" w:line="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and expenses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Cost of diagnostic testing generally consists of cost of materials, direct labor, including bonuses, employee benefits, share-based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expenses consist of costs incurred to develop technology and include salaries, share-based compensation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0" w:name="page91"/>
    <w:bookmarkEnd w:id="90"/>
    <w:p>
      <w:pPr>
        <w:jc w:val="both"/>
        <w:spacing w:after="0" w:line="263" w:lineRule="auto"/>
        <w:rPr>
          <w:sz w:val="20"/>
          <w:szCs w:val="20"/>
          <w:color w:val="auto"/>
        </w:rPr>
      </w:pPr>
      <w:r>
        <w:rPr>
          <w:rFonts w:ascii="Arial" w:cs="Arial" w:eastAsia="Arial" w:hAnsi="Arial"/>
          <w:sz w:val="18"/>
          <w:szCs w:val="18"/>
          <w:color w:val="auto"/>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extent of these expenses.</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purchase transaction of Indi, we recorded contingent consideration pertaining to the amounts potentially payable to Indi shareholder pursuant to the terms of the asset purchase agreement. The fair value of contingent consideration was assessed at each balance sheet date and changes, if any, to the fair value were recognized as operating expenses within the statement of operations. The Company achieved the gross margin target of $2.0 million for three consecutive months during the three months ended June 30, 2021. Subsequent changes to the contingent consideration following the achievement of the gross margin target are recorded as ‘Interest expense’ in the statements of operations resulting from the passage of time and fixed payment schedule. The significant unobservable inputs used in the measurement of fair value included the probability of successful achievement of the specified product gross margin targets, the period in which the targets were expected to be achieved, and discount rates which ranged from 11% to 16%. As a result of the achievement of the gross margin target, the only significant unobservable input used in the measurement of fair value includes the discount rate since all other inputs became fixed and determinable. During the period ended June 30, 2022, the Company increased the discount rate to reflect current market and Company specific conditions.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7, 2022, the Company entered into Amendment No. 3 to the Indi APA in which the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Interest Income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2022, interest expense consists of cash and non-cash interest from the secured promissory note (Promissory Note One) with Streeterville, the 2021 Term Loan with SVB, changes in the value of our contingent consideration associated with the passage of time subsequent to the achievement of the gross margin target in the second quarter 2021, and the Perceptive Term Loan. For the year ended December 31, 2021, interest expense primarily consists of cash and non-cash interest from our 2021 Term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1" w:name="page92"/>
    <w:bookmarkEnd w:id="91"/>
    <w:p>
      <w:pPr>
        <w:jc w:val="both"/>
        <w:ind w:right="120"/>
        <w:spacing w:after="0" w:line="263" w:lineRule="auto"/>
        <w:rPr>
          <w:sz w:val="20"/>
          <w:szCs w:val="20"/>
          <w:color w:val="auto"/>
        </w:rPr>
      </w:pPr>
      <w:r>
        <w:rPr>
          <w:rFonts w:ascii="Arial" w:cs="Arial" w:eastAsia="Arial" w:hAnsi="Arial"/>
          <w:sz w:val="18"/>
          <w:szCs w:val="18"/>
          <w:color w:val="auto"/>
        </w:rPr>
        <w:t>Loan, the 2018 Innovatus Term Loan, Paycheck Protection Program loan, and changes in the value of our contingent consideration associated with the passage of time subsequent to the achievement of the contingency in the second quarter 2021. Interest income, which is included in ‘Other income, net’ in the statements of operations consists of income earned on our cash and cash equivalents.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significant components of our results of operations for the periods presented (in thousands, except percentages):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w w:val="93"/>
              </w:rPr>
              <w:t>Year Ended December 31,</w:t>
            </w:r>
          </w:p>
        </w:tc>
        <w:tc>
          <w:tcPr>
            <w:tcW w:w="300" w:type="dxa"/>
            <w:vAlign w:val="bottom"/>
          </w:tcPr>
          <w:p>
            <w:pPr>
              <w:spacing w:after="0"/>
              <w:rPr>
                <w:sz w:val="20"/>
                <w:szCs w:val="20"/>
                <w:color w:val="auto"/>
              </w:rPr>
            </w:pPr>
          </w:p>
        </w:tc>
        <w:tc>
          <w:tcPr>
            <w:tcW w:w="136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38,212</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54,506</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(16,294</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gridSpan w:val="2"/>
          </w:tcPr>
          <w:p>
            <w:pPr>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42"/>
        </w:trPr>
        <w:tc>
          <w:tcPr>
            <w:tcW w:w="5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Direct costs and expenses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14,154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30,518</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(16,364 )</w:t>
            </w:r>
          </w:p>
        </w:tc>
        <w:tc>
          <w:tcPr>
            <w:tcW w:w="3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13,102</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12,789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Sales, marketing, general and administrative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61,462</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50,517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10,945</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Pr>
          <w:p>
            <w:pPr>
              <w:spacing w:after="0"/>
              <w:rPr>
                <w:sz w:val="21"/>
                <w:szCs w:val="21"/>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(1,622 )</w:t>
            </w:r>
          </w:p>
        </w:tc>
        <w:tc>
          <w:tcPr>
            <w:tcW w:w="3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Impairment loss on intangible assets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88,799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95,446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(6,647 )</w:t>
            </w:r>
          </w:p>
        </w:tc>
        <w:tc>
          <w:tcPr>
            <w:tcW w:w="36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8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(50,587</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(40,940</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(9,647</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gridSpan w:val="2"/>
          </w:tcPr>
          <w:p>
            <w:pPr>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(8,072 )</w:t>
            </w:r>
          </w:p>
        </w:tc>
        <w:tc>
          <w:tcPr>
            <w:tcW w:w="240" w:type="dxa"/>
            <w:vAlign w:val="bottom"/>
          </w:tcPr>
          <w:p>
            <w:pPr>
              <w:spacing w:after="0"/>
              <w:rPr>
                <w:sz w:val="21"/>
                <w:szCs w:val="21"/>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(4,508 )</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3,564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(Loss) gain on extinguishment of liabilities, net</w:t>
            </w:r>
          </w:p>
        </w:tc>
        <w:tc>
          <w:tcPr>
            <w:tcW w:w="200" w:type="dxa"/>
            <w:vAlign w:val="bottom"/>
          </w:tcPr>
          <w:p>
            <w:pPr>
              <w:spacing w:after="0"/>
              <w:rPr>
                <w:sz w:val="21"/>
                <w:szCs w:val="21"/>
                <w:color w:val="auto"/>
              </w:rPr>
            </w:pP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(6,981 )</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2,298</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(9,279 )</w:t>
            </w:r>
          </w:p>
        </w:tc>
        <w:tc>
          <w:tcPr>
            <w:tcW w:w="360" w:type="dxa"/>
            <w:vAlign w:val="bottom"/>
          </w:tcPr>
          <w:p>
            <w:pPr>
              <w:spacing w:after="0"/>
              <w:rPr>
                <w:sz w:val="21"/>
                <w:szCs w:val="21"/>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0"/>
        </w:trPr>
        <w:tc>
          <w:tcPr>
            <w:tcW w:w="5860" w:type="dxa"/>
            <w:vAlign w:val="bottom"/>
          </w:tcPr>
          <w:p>
            <w:pPr>
              <w:ind w:left="200"/>
              <w:spacing w:after="0"/>
              <w:rPr>
                <w:sz w:val="20"/>
                <w:szCs w:val="20"/>
                <w:color w:val="auto"/>
              </w:rPr>
            </w:pPr>
            <w:r>
              <w:rPr>
                <w:rFonts w:ascii="Arial" w:cs="Arial" w:eastAsia="Arial" w:hAnsi="Arial"/>
                <w:sz w:val="18"/>
                <w:szCs w:val="18"/>
                <w:color w:val="auto"/>
              </w:rPr>
              <w:t>Other income (loss), net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(9 )</w:t>
            </w:r>
          </w:p>
        </w:tc>
        <w:tc>
          <w:tcPr>
            <w:tcW w:w="300" w:type="dxa"/>
            <w:vAlign w:val="bottom"/>
          </w:tcPr>
          <w:p>
            <w:pPr>
              <w:spacing w:after="0"/>
              <w:rPr>
                <w:sz w:val="21"/>
                <w:szCs w:val="21"/>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(118 )</w:t>
            </w:r>
          </w:p>
        </w:tc>
        <w:tc>
          <w:tcPr>
            <w:tcW w:w="360" w:type="dxa"/>
            <w:vAlign w:val="bottom"/>
          </w:tcPr>
          <w:p>
            <w:pPr>
              <w:spacing w:after="0"/>
              <w:rPr>
                <w:sz w:val="21"/>
                <w:szCs w:val="21"/>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1,311 %</w:t>
            </w:r>
          </w:p>
        </w:tc>
        <w:tc>
          <w:tcPr>
            <w:tcW w:w="0" w:type="dxa"/>
            <w:vAlign w:val="bottom"/>
          </w:tcPr>
          <w:p>
            <w:pPr>
              <w:spacing w:after="0"/>
              <w:rPr>
                <w:sz w:val="1"/>
                <w:szCs w:val="1"/>
                <w:color w:val="auto"/>
              </w:rPr>
            </w:pPr>
          </w:p>
        </w:tc>
      </w:tr>
      <w:tr>
        <w:trPr>
          <w:trHeight w:val="236"/>
        </w:trPr>
        <w:tc>
          <w:tcPr>
            <w:tcW w:w="5860" w:type="dxa"/>
            <w:vAlign w:val="bottom"/>
          </w:tcPr>
          <w:p>
            <w:pPr>
              <w:ind w:left="20"/>
              <w:spacing w:after="0"/>
              <w:rPr>
                <w:sz w:val="20"/>
                <w:szCs w:val="20"/>
                <w:color w:val="auto"/>
              </w:rPr>
            </w:pPr>
            <w:r>
              <w:rPr>
                <w:rFonts w:ascii="Arial" w:cs="Arial" w:eastAsia="Arial" w:hAnsi="Arial"/>
                <w:sz w:val="18"/>
                <w:szCs w:val="18"/>
                <w:color w:val="auto"/>
              </w:rPr>
              <w:t>Total other expense</w:t>
            </w: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(14,860</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12,641</w:t>
            </w:r>
          </w:p>
        </w:tc>
        <w:tc>
          <w:tcPr>
            <w:tcW w:w="2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(65,447 )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(43,159 )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(22,288 )</w:t>
            </w:r>
          </w:p>
        </w:tc>
        <w:tc>
          <w:tcPr>
            <w:tcW w:w="36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860" w:type="dxa"/>
            <w:vAlign w:val="bottom"/>
          </w:tcPr>
          <w:p>
            <w:pPr>
              <w:ind w:left="2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4"/>
                <w:szCs w:val="24"/>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5,961</w:t>
            </w:r>
          </w:p>
        </w:tc>
        <w:tc>
          <w:tcPr>
            <w:tcW w:w="2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4,944</w:t>
            </w:r>
          </w:p>
        </w:tc>
        <w:tc>
          <w:tcPr>
            <w:tcW w:w="2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(1,017 )</w:t>
            </w:r>
          </w:p>
        </w:tc>
        <w:tc>
          <w:tcPr>
            <w:tcW w:w="360" w:type="dxa"/>
            <w:vAlign w:val="bottom"/>
          </w:tcPr>
          <w:p>
            <w:pPr>
              <w:spacing w:after="0"/>
              <w:rPr>
                <w:sz w:val="24"/>
                <w:szCs w:val="24"/>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-2876550</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-2568575</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-2259965</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-1951990</wp:posOffset>
            </wp:positionV>
            <wp:extent cx="7132320" cy="796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796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-1001395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-684530</wp:posOffset>
            </wp:positionV>
            <wp:extent cx="7132320" cy="3422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ind w:left="340" w:hanging="332"/>
        <w:spacing w:after="0" w:line="193" w:lineRule="auto"/>
        <w:tabs>
          <w:tab w:leader="none" w:pos="340" w:val="left"/>
        </w:tabs>
        <w:numPr>
          <w:ilvl w:val="0"/>
          <w:numId w:val="59"/>
        </w:numPr>
        <w:rPr>
          <w:rFonts w:ascii="Arial" w:cs="Arial" w:eastAsia="Arial" w:hAnsi="Arial"/>
          <w:sz w:val="24"/>
          <w:szCs w:val="24"/>
          <w:color w:val="auto"/>
          <w:vertAlign w:val="superscript"/>
        </w:rPr>
      </w:pPr>
      <w:r>
        <w:rPr>
          <w:rFonts w:ascii="Arial" w:cs="Arial" w:eastAsia="Arial" w:hAnsi="Arial"/>
          <w:sz w:val="16"/>
          <w:szCs w:val="16"/>
          <w:color w:val="auto"/>
        </w:rPr>
        <w:t>Amounts represent share-based compensation expense reported in the Company’s results of operations above.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We generate revenue by providing laboratory testing of our diagnostic tests and services. Our revenues for the periods indicated were as follows (in thousands, except percentages):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w w:val="93"/>
              </w:rPr>
              <w:t>Year Ended December 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5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860" w:type="dxa"/>
            <w:vAlign w:val="bottom"/>
            <w:gridSpan w:val="2"/>
          </w:tcPr>
          <w:p>
            <w:pPr>
              <w:ind w:left="200"/>
              <w:spacing w:after="0"/>
              <w:rPr>
                <w:sz w:val="20"/>
                <w:szCs w:val="20"/>
                <w:color w:val="auto"/>
              </w:rPr>
            </w:pPr>
            <w:r>
              <w:rPr>
                <w:rFonts w:ascii="Arial" w:cs="Arial" w:eastAsia="Arial" w:hAnsi="Arial"/>
                <w:sz w:val="18"/>
                <w:szCs w:val="18"/>
                <w:color w:val="auto"/>
              </w:rPr>
              <w:t>COVID-19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5,240</w:t>
            </w:r>
          </w:p>
        </w:tc>
        <w:tc>
          <w:tcPr>
            <w:tcW w:w="5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30,227</w:t>
            </w:r>
          </w:p>
        </w:tc>
        <w:tc>
          <w:tcPr>
            <w:tcW w:w="5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(24,987 )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(83 )%</w:t>
            </w:r>
          </w:p>
        </w:tc>
      </w:tr>
      <w:tr>
        <w:trPr>
          <w:trHeight w:val="249"/>
        </w:trPr>
        <w:tc>
          <w:tcPr>
            <w:tcW w:w="58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Lung Diagnostic</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29,298</w:t>
            </w:r>
          </w:p>
        </w:tc>
        <w:tc>
          <w:tcPr>
            <w:tcW w:w="120" w:type="dxa"/>
            <w:vAlign w:val="bottom"/>
            <w:shd w:val="clear" w:color="auto" w:fill="CCEEFF"/>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18,710</w:t>
            </w:r>
          </w:p>
        </w:tc>
        <w:tc>
          <w:tcPr>
            <w:tcW w:w="100" w:type="dxa"/>
            <w:vAlign w:val="bottom"/>
            <w:shd w:val="clear" w:color="auto" w:fill="CCEEFF"/>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w:t>
            </w:r>
          </w:p>
        </w:tc>
        <w:tc>
          <w:tcPr>
            <w:tcW w:w="12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57 %</w:t>
            </w:r>
          </w:p>
        </w:tc>
      </w:tr>
      <w:tr>
        <w:trPr>
          <w:trHeight w:val="20"/>
        </w:trPr>
        <w:tc>
          <w:tcPr>
            <w:tcW w:w="57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0"/>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Diagnostic testing revenue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(14,399 )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49"/>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Services revenue</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(1,895 )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(34 )%</w:t>
            </w:r>
          </w:p>
        </w:tc>
      </w:tr>
      <w:tr>
        <w:trPr>
          <w:trHeight w:val="20"/>
        </w:trPr>
        <w:tc>
          <w:tcPr>
            <w:tcW w:w="572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7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38,212</w:t>
            </w:r>
          </w:p>
        </w:tc>
        <w:tc>
          <w:tcPr>
            <w:tcW w:w="240" w:type="dxa"/>
            <w:vAlign w:val="bottom"/>
            <w:gridSpan w:val="2"/>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54,506</w:t>
            </w:r>
          </w:p>
        </w:tc>
        <w:tc>
          <w:tcPr>
            <w:tcW w:w="240" w:type="dxa"/>
            <w:vAlign w:val="bottom"/>
            <w:gridSpan w:val="2"/>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(16,294 )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xml:space="preserve">(30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0"/>
        </w:trPr>
        <w:tc>
          <w:tcPr>
            <w:tcW w:w="5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-658495</wp:posOffset>
            </wp:positionV>
            <wp:extent cx="3502025" cy="6591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02025" cy="659130"/>
                    </a:xfrm>
                    <a:prstGeom prst="rect">
                      <a:avLst/>
                    </a:prstGeom>
                    <a:noFill/>
                  </pic:spPr>
                </pic:pic>
              </a:graphicData>
            </a:graphic>
          </wp:anchor>
        </w:drawing>
      </w:r>
    </w:p>
    <w:p>
      <w:pPr>
        <w:spacing w:after="0" w:line="74"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Total revenue decreased $16.3 million or 30% for the year ended December 31, 2022 compared to the year ended December 31, 2021 primarily as a result of our expected decline in COVID-19 testing demand.</w:t>
      </w:r>
    </w:p>
    <w:p>
      <w:pPr>
        <w:spacing w:after="0" w:line="62"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Diagnostic test revenue decreased $14.4 million or 29% for the year ended December 31, 2022 compared to the year ended December 31, 2021. The decrease for the year ended December 31, 2022 compared to the same period in 2021 is due to a $25.0 million reduction in COVID-19 revenue resulting from an increase in COVID-19 vaccination rates across the U.S. and the adoption and availability of at-home testing, including the expiration of significant testing contracts. The reduction in COVID-19 revenue was partially offset by an increase in our core lung diagnostic revenue of $10.6 million driven primarily from an increase in our Nodify Lung and GeneStrat NGS tests delivered. The Company’s core lung diagnostic sales efforts continued to gain momentum throughout the year ended December 31, 2022 with our fourth quarter core lung diagnostic business delivering our highest number of tests in Company history as the COVID-19 pandemic receded and as health care practitioners, including pulmonologists, increasingly returned to pre-pandemic related care.</w:t>
      </w:r>
    </w:p>
    <w:p>
      <w:pPr>
        <w:spacing w:after="0" w:line="8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Services revenue decreased $1.9 million or 34% for the year ended December 31, 2022 compared to the same period in 2021 due to lower testing volumes driven by sample shipping logistics impacting timelines for existing and new agreements. In addition to delayed receipts in samples, service revenue can fluctuate due to several factors including contract timing, which can be long under normal circumstances, and currently reflects the slower pace of overall prospective clinical trial enrollment recovering from disruptions put forth by COVID-19.</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and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 costs and expenses related to revenue decreased $16.4 million or 54% for the year ended December 31, 2022 compared to the year ended December 31, 2021. The decrease in costs for the year ended December 31, 2022 was driven primarily by the overall decline in COVID-19 testing revenue, as vaccinations increased as well as broader adoption and availability of at-home testing, partially offset by an increase in direct costs and expenses associated with increased lung diagnostic revenue.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increased $0.3 million or 2% for the year ended December 31, 2022 compared to the year ended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was due primarily to an increase in clinical trial costs, partially offset by a decrease in other laboratory costs.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external and internal costs for the years ended December 31, 2022 and 2021 (in thousands, except percentages):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Year Ended December 31,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expenses: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0"/>
              <w:spacing w:after="0"/>
              <w:rPr>
                <w:sz w:val="20"/>
                <w:szCs w:val="20"/>
                <w:color w:val="auto"/>
              </w:rPr>
            </w:pPr>
            <w:r>
              <w:rPr>
                <w:rFonts w:ascii="Arial" w:cs="Arial" w:eastAsia="Arial" w:hAnsi="Arial"/>
                <w:sz w:val="18"/>
                <w:szCs w:val="18"/>
                <w:color w:val="auto"/>
              </w:rPr>
              <w:t>Clinical trials and associated costs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2,551</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2,061</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2"/>
        </w:trPr>
        <w:tc>
          <w:tcPr>
            <w:tcW w:w="5800" w:type="dxa"/>
            <w:vAlign w:val="bottom"/>
          </w:tcPr>
          <w:p>
            <w:pPr>
              <w:ind w:left="200"/>
              <w:spacing w:after="0"/>
              <w:rPr>
                <w:sz w:val="20"/>
                <w:szCs w:val="20"/>
                <w:color w:val="auto"/>
              </w:rPr>
            </w:pPr>
            <w:r>
              <w:rPr>
                <w:rFonts w:ascii="Arial" w:cs="Arial" w:eastAsia="Arial" w:hAnsi="Arial"/>
                <w:sz w:val="18"/>
                <w:szCs w:val="18"/>
                <w:color w:val="auto"/>
              </w:rPr>
              <w:t>Other external costs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(185 )</w:t>
            </w:r>
          </w:p>
        </w:tc>
        <w:tc>
          <w:tcPr>
            <w:tcW w:w="3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5800" w:type="dxa"/>
            <w:vAlign w:val="bottom"/>
            <w:vMerge w:val="restart"/>
          </w:tcPr>
          <w:p>
            <w:pPr>
              <w:ind w:left="380"/>
              <w:spacing w:after="0"/>
              <w:rPr>
                <w:sz w:val="20"/>
                <w:szCs w:val="20"/>
                <w:color w:val="auto"/>
              </w:rPr>
            </w:pPr>
            <w:r>
              <w:rPr>
                <w:rFonts w:ascii="Arial" w:cs="Arial" w:eastAsia="Arial" w:hAnsi="Arial"/>
                <w:sz w:val="18"/>
                <w:szCs w:val="18"/>
                <w:color w:val="auto"/>
              </w:rPr>
              <w:t>Total external costs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8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6,176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42"/>
        </w:trPr>
        <w:tc>
          <w:tcPr>
            <w:tcW w:w="5800" w:type="dxa"/>
            <w:vAlign w:val="bottom"/>
          </w:tcPr>
          <w:p>
            <w:pPr>
              <w:ind w:left="20"/>
              <w:spacing w:after="0"/>
              <w:rPr>
                <w:sz w:val="20"/>
                <w:szCs w:val="20"/>
                <w:color w:val="auto"/>
              </w:rPr>
            </w:pPr>
            <w:r>
              <w:rPr>
                <w:rFonts w:ascii="Arial" w:cs="Arial" w:eastAsia="Arial" w:hAnsi="Arial"/>
                <w:sz w:val="18"/>
                <w:szCs w:val="18"/>
                <w:color w:val="auto"/>
              </w:rPr>
              <w:t>Internal expenses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6,926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6,918</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7"/>
        </w:trPr>
        <w:tc>
          <w:tcPr>
            <w:tcW w:w="5800" w:type="dxa"/>
            <w:vAlign w:val="bottom"/>
            <w:vMerge w:val="restart"/>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0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13,102</w:t>
            </w:r>
          </w:p>
        </w:tc>
        <w:tc>
          <w:tcPr>
            <w:tcW w:w="2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12,789</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7055485" cy="6591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55485" cy="65913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Sales, marketing, general and administrative expenses increased $10.9 million or 22% for the year ended December 31, 2022 compared to the year ended December 31, 2021. This increase was driven primarily by increases in employee compensation and benefits associated with an increase in sales team headcount and variable compensation during 2022 as compared to 2021. This is also the result of increases in non-employee costs associated with increased spending on various sales meetings, training, and campaigns resulting from supporting the growth in our core lung diagnostic business.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Change in fair value of contingent consideration decreased $1.6 million or 100% for the year ended December 31, 2022 compared to the year ended December 31, 2021. Changes in the fair value of contingent consideration subsequent to the achievement of the gross margin target are recorded as ‘Interest expense’ in the statements of operations resulting from the passage of time and fixed payment schedule (see ‘</w:t>
      </w:r>
      <w:r>
        <w:rPr>
          <w:rFonts w:ascii="Arial" w:cs="Arial" w:eastAsia="Arial" w:hAnsi="Arial"/>
          <w:sz w:val="17"/>
          <w:szCs w:val="17"/>
          <w:i w:val="1"/>
          <w:iCs w:val="1"/>
          <w:color w:val="auto"/>
        </w:rPr>
        <w:t>Interest expense’</w:t>
      </w:r>
      <w:r>
        <w:rPr>
          <w:rFonts w:ascii="Arial" w:cs="Arial" w:eastAsia="Arial" w:hAnsi="Arial"/>
          <w:sz w:val="17"/>
          <w:szCs w:val="17"/>
          <w:color w:val="auto"/>
        </w:rPr>
        <w:t xml:space="preserve"> below).</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Interest expense increased $3.6 million or 79% for the year ended December 31, 2022 compared to the year ended December 31, 2021. This increase is primarily related to increased interest associated with the contingent consideration of $1.1 million subsequent to the achievement of the gross margin target (see </w:t>
      </w:r>
      <w:r>
        <w:rPr>
          <w:rFonts w:ascii="Arial" w:cs="Arial" w:eastAsia="Arial" w:hAnsi="Arial"/>
          <w:sz w:val="16"/>
          <w:szCs w:val="16"/>
          <w:i w:val="1"/>
          <w:iCs w:val="1"/>
          <w:color w:val="auto"/>
        </w:rPr>
        <w:t>‘Change in fair value of contingent consideration’</w:t>
      </w:r>
      <w:r>
        <w:rPr>
          <w:rFonts w:ascii="Arial" w:cs="Arial" w:eastAsia="Arial" w:hAnsi="Arial"/>
          <w:sz w:val="16"/>
          <w:szCs w:val="16"/>
          <w:color w:val="auto"/>
        </w:rPr>
        <w:t xml:space="preserve"> above), Promissory Note One with Streeterville of $1.8 million, interest associated with the 2021 Term Loan (including the accelerated accretion of the 2021 Term Loan final payment of $0.7 million), and interest associated with the Perceptive Term Loan of $0.5 million. This increase is partially offset by interest associated with the Innovatus Term Loan in 2021 that is not present in 2022.</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on extinguishment of liabilities, net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recorded a loss on extinguishment of liabilities of $7.0 million for the year ended December 31, 2022. On April 7, 2022, the Company entered into Amendment No. 3 to the Indi APA in which all parties agreed to restructure the milestone payments. During the three months ended June 30, 2022, the Company evaluated Amendment No. 3 to the Indi APA in accordance with applicable accounting standards under U.S. GAAP which resulted in the extinguishment of the original instrument due to the substantially different terms. As a result, during the three months ended June 30, 2022, we recorded a loss on the extinguishment of $2.9 million. Additionally, as a result of the extinguishment of Promissory Note One and the 2021 Term Loan, the Company recorded a loss on debt extinguishment of $3.6 million and $0.5 million, respectively, associated with the prepayment premium and the write-off of unamortized original issue discount (OID) and debt issuance costs.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we recognized a $2.3 million net gain on debt extinguishment. The Company recorded a gain on debt extinguishment of $3.1 million related to the legal release and forgiveness of the Paycheck Protection Program Loan 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3" w:name="page94"/>
    <w:bookmarkEnd w:id="93"/>
    <w:p>
      <w:pPr>
        <w:jc w:val="both"/>
        <w:spacing w:after="0" w:line="263" w:lineRule="auto"/>
        <w:rPr>
          <w:sz w:val="20"/>
          <w:szCs w:val="20"/>
          <w:color w:val="auto"/>
        </w:rPr>
      </w:pPr>
      <w:r>
        <w:rPr>
          <w:rFonts w:ascii="Arial" w:cs="Arial" w:eastAsia="Arial" w:hAnsi="Arial"/>
          <w:sz w:val="18"/>
          <w:szCs w:val="18"/>
          <w:color w:val="auto"/>
        </w:rPr>
        <w:t>full. The gain was partially offset by losses on debt extinguishment of $0.7 million and $0.1 million resulting from the repayment and termination of our 2018 secured promissory note with Innovatus and the write-off of debt issuance costs associated with a $20 million prepayment of our 2021 Term Loan,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November 21, 2022, as consideration for the Perceptive Term Loan, the Company issued the Perceptive Warrant, with warrants exercisable into 3,000,000 shares of the Company’s common stock issued on the funding date of the Tranche A Loan which are equity classified (the Initial Warrants). In addition to the Initial Warrants and to the extent the Company exercises its right to borrow the remaining availability under the Perceptive Term Loan, additional warrants will become exercisable into 1,000,000 shares of common stock concurrently with the borrowing of the Tranche B Loan, and additional warrants will become exercisable into 1,000,000 shares of common stock concurrently with the borrowing of the Tranche C Loan (together, the Additional Warrants). The Company accounts for the Additional Warrants as liabilities as the Additional Warrants do not meet the criteria for equity classification. The Company determined the initial fair value of the Additional Warrants to be $0.1 million and during the year ended December 31, 2022, the Company recorded $0.1 million as a change in fair value through the statement of operations due to changes in unobservable inputs.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an emerging growth company and, as such, have yet to generate positive cash flows from operations. We have funded our operations to date principally from net proceeds from the sale of our common stock, the sale of convertible preferred stock, revenue from diagnostic testing and services, and the incurrence of indebtedness.</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result of the pandemic, the Company diversified its diagnostic testing beyond lung diagnostic testing to include the critical service of COVID-19 diagnostic testing.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In addition, the COVID-19 pandemic negatively affected our lung diagnostic testing-related revenue and our clinical studies. We began to see recovery during the fourth quarter 2020 in our core lung diagnostic testing as our delivered tests exceeded first quarter 2020 delivered tests and have continued to grow thereafter. The Company’s sales efforts continued to be impacted by the COVID-19 pandemic due to surges associated with variants, which have negatively affected the growth rate of our core lung diagnostic testing-related revenue and our clinical studies. While we have seen recovery in delivered tests during 2022 in lung diagnostic testing as health care practitioners, including pulmonologists, increasingly returned to pre-pandemic related care, we have experienced more variability as compared to pre-pandemic levels as physician practices are adjusting to post-pandemic levels of care. As a result, the items identified above have had an adverse effect on our revenue, results of operations and cash flows.</w:t>
      </w:r>
    </w:p>
    <w:p>
      <w:pPr>
        <w:spacing w:after="0" w:line="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2021, we completed the closing of our 2021 Term Loan with SVB for a principal amount of $30 million and extinguished our prior 2018 term loan for $25.9 million. During the quarter ending June 30, 2021, we achieved the gross margin target associated with the purchase transaction with Indi, giving rise to the previously disclosed contingent obligations of $37.0 million in the aggregate, payable through the issuance of our shares of common stock subject to a fixed price put option. We entered into an amendment in August 2021 to the original agreement in which all parties agreed to forgo the issuance of our shares of common stock that would otherwise be issued, and we would instead make six quarterly installment payments of $4.6 million beginning in January 2022 and a final payment of approximately $9.3 million in July 2023 for a total of $37.0 million (the Milestone Payments and each individually a Milestone Payment). The aggregate amount of payments owed by us under this amendment is the same as if Indi had exercised the put right or we had exercised the call right provided for in the original agreement.</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30, 2021, we entered into the Consent and First Amendment to Loan and Security Agreement (the 2021 Term Loan Amendment) to, among other things, amend our 2021 Term Loan to eliminate the revenue covenant for the period ended September 30, 2021 and modify the revenue covenant threshold for the three month period ended December 31, 2021. In addition, we agreed to establish a restricted cash collateral account for $15 million for the benefit of SVB if the balance of our cash and cash equivalents declined below $40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30, 2021, we raised approximately $16.3 million in gross proceeds from the sale of 3,756,994 common shares at a public offering price of $4.35 per share in an at-the-market offering. We received net proceeds of $15.7 million after deducting underwriting discounts and commissions and offering expenses payable by us.</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31, 2021, we entered into the Consent and Second Amendment to Loan and Security Agreement (the 2021 Term Loan Second Amendment) to, among other things, amend our 2021 Term Loan and First Amendment to obtain consent for the $4.6 million January 2022 milestone payment under the Indi APA, repay $20 million in outstanding principal on December 31, 2021, waive the $600,000 prepayment fee on the $20 million Term Loan repayment, and waive the minimum revenue covenant as of December 31, 2021 and modify the minimum revenue requirement for the three months ended March 31, 2022. SVB agreed to apply the full amount of funds previously established within the restricted cash collateral account to partially prepay the $20 million in outstanding principal, thereby eliminating the restricted cash collateral account.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4" w:name="page95"/>
    <w:bookmarkEnd w:id="94"/>
    <w:p>
      <w:pPr>
        <w:jc w:val="both"/>
        <w:spacing w:after="0" w:line="271" w:lineRule="auto"/>
        <w:rPr>
          <w:sz w:val="20"/>
          <w:szCs w:val="20"/>
          <w:color w:val="auto"/>
        </w:rPr>
      </w:pPr>
      <w:r>
        <w:rPr>
          <w:rFonts w:ascii="Arial" w:cs="Arial" w:eastAsia="Arial" w:hAnsi="Arial"/>
          <w:sz w:val="17"/>
          <w:szCs w:val="17"/>
          <w:color w:val="auto"/>
        </w:rPr>
        <w:t>On March 7, 2022 (the Effective Date), we entered into a purchase agreement with Lincoln Park, pursuant to which Lincoln Park has committed to purchase up to $50.0 million of our common stock (the Purchase Agreement). Under the terms and subject to the conditions of the Purchase Agreement, we have the right, but not the obligation, to sell to Lincoln Park, and Lincoln Park is obligated to purchase up to $50.0 million of our common stock. Such sales of common stock by us, if any, will be subject to certain limitations, and may occur from time to time, at our sole discretion, over the 36-month period commencing on the Effective Date. As consideration for Lincoln Park's irrevocable commitment to purchase our common stock upon the terms of and subject to satisfaction of the conditions set forth in the purchase agreement, on the Effective Date, we issued 184,275 shares of common stock to Lincoln Park as a commitment fee valued at $600,000 for which no consideration was received.</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7, 2022, we entered into subscription agreements with a consortium of investors, including three members of our Board of Directors and other existing shareholders of the Company, for the issuance and sale by the Company of an aggregate of 6,508,376 shares of our common stock in an offering for an aggregate purchase price of approximately $11.7 million.</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7, 2022, we entered into the Consent and Third Amendment to Loan and Security Agreement (the 2021 Term Loan Third Amendment) whereby subject to the terms and conditions of the Third Amendment, certain waivers and consents were provided. Under the terms of the Third Amendment to our 2021 Term Loan, we agreed to the repayment of $3.0 million in outstanding principal in April 2022 with an additional $2.0 million to be paid no later than September 30, 2022, in exchange for the following:</w:t>
      </w:r>
    </w:p>
    <w:p>
      <w:pPr>
        <w:spacing w:after="0" w:line="77" w:lineRule="exact"/>
        <w:rPr>
          <w:sz w:val="20"/>
          <w:szCs w:val="20"/>
          <w:color w:val="auto"/>
        </w:rPr>
      </w:pPr>
    </w:p>
    <w:p>
      <w:pPr>
        <w:ind w:left="1020" w:hanging="504"/>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Consent for a $2.0 million April 2022 mutually agreed upon Milestone Payment under the Indi APA, as amended;</w:t>
      </w:r>
    </w:p>
    <w:p>
      <w:pPr>
        <w:spacing w:after="0" w:line="116"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Waiver of minimum revenue requirement for the three months ended March 31, 2022 and adjustment of remaining revenue milestones for 2022; and</w:t>
      </w:r>
    </w:p>
    <w:p>
      <w:pPr>
        <w:spacing w:after="0" w:line="61"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Waiver and elimination of the prepayment fee on the $3.0 million 2021 Term Loan partial repayment in April 2022 and subsequent $2.0 million principal repayment.</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further amended the Indi APA agreement in April 2022 in which all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and commencing January 1, 2024, consent from Perceptive.</w:t>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9, 2022, the Company entered into a securities purchase agreement with Streeterville (the Lender), pursuant to which, among other things, the Lender: (i) purchased Promissory Note One in the aggregate principal amount totaling $16.0 million in exchange for $15.0 million less certain expenses and (ii) agreed to purchase another secured promissory note at the Company’s election (Promissory Note Two and, together with Promissory Note One, the Promissory Notes), subject to certain conditions precedent in aggregate principal amount totaling $10.3 million in exchange for $10.0 million in cash proceeds. Each of the Promissory Notes may, at the Company's option, be settled in cash or shares of common stock of the Company, upon the terms and subject to the limitations and conditions set forth in the Promissory Notes. On May 9, 2022, the Company closed on the first tranche for gross proceeds of $15.0 million (approximately $12.8 million, net, after deducting debt issuance costs and OID).</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30, 2022, the Company entered into the Consent and Fourth Amendment to Loan and Security Agreement (the 2021 Term Loan Fourth Amendment). Under the terms of the 2021 Term Loan Fourth Amendment, the Company agreed to a repayment of $2.0 million in outstanding principal on the earlier of (a) November 30, 2022, or (b) the date on which our unrestricted cash held with SVB falls below $10.0 million, which could be extended to December 15, 2022, subject to equity fund raising of at least $5 million, in exchange for: (i) consent for the $2.1 million October 2022 milestone and interest payment under the Indi APA, as amended, and (ii) waiver and elimination of the prepayment fee on the subsequent $2.0 million 2021 Term Loan principal repayment.</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21, 2022, the Company funded and/or closed various financing transactions, including: (i) a term loan facility for up to $50.0 million, with funding of $30.0 million and the issuance of warrants exercisable into 3,000,000 shares of the Company’s common stock occurring on November 21, 2022, and two additional contingently issuable tranches of $10.0 million each subject to certain terms and conditions, including revenue milestones, (ii) a follow-on equity offering of common stock and (iii) a subscription agreement for the issuance of common stock to certain members of the Company’s management team. Collectively, the Company raised gross proceeds of approximately $70.7 million ($65.7 million after deducting commissions, fees and expenses payable). Approximately $23.9 million of the net proceeds were used to retire outstanding debt of the Company and the remaining proceeds of approximately $42.0 million will be used for commercial expansion of sales, supporting the Company’s product pipeline, research and development and for general corporate purposes.</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mentioned above, the Company maintains two facilities that enable equity financing on an ongoing basis at the Company’s sole discretion, our ATM offering and our common stock purchase agreement with LPC (the LPC facility). During the year ended December 31, 2022, the Company raised approximately $7.3 million ($6.8 million after deducting underwriting discounts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5" w:name="page96"/>
    <w:bookmarkEnd w:id="95"/>
    <w:p>
      <w:pPr>
        <w:jc w:val="both"/>
        <w:spacing w:after="0" w:line="279" w:lineRule="auto"/>
        <w:rPr>
          <w:sz w:val="20"/>
          <w:szCs w:val="20"/>
          <w:color w:val="auto"/>
        </w:rPr>
      </w:pPr>
      <w:r>
        <w:rPr>
          <w:rFonts w:ascii="Arial" w:cs="Arial" w:eastAsia="Arial" w:hAnsi="Arial"/>
          <w:sz w:val="17"/>
          <w:szCs w:val="17"/>
          <w:color w:val="auto"/>
        </w:rPr>
        <w:t>commissions and offering expenses payable), in gross proceeds from the sale of 3,886,893 common shares at a weighted average price per share of $1.87 under these programs. As of December 31, 2022, the Company had remaining available capacity for share issuances of approximately $29.5 million under the ATM facility and up to $46.9 million under the LPC facility, each subject to the restrictions and limitations of the underlying facilities, as well as volume limitations under applicable SEC rules and regulations that limit their availability as sources of funding.</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As of December 31, 2022, we maintained cash and cash equivalents of $43.1 million and we have $30.0 million in outstanding aggregate principal amount on our Perceptive Term Loan.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COVID-19 testing, and (ii) providing biopharmaceutical companies with development and testing services. In accordance with Accounting Standards Update 2014-15 (ASC Topic 205-40),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the Company is required to evaluate whether there is substantial</w:t>
      </w:r>
      <w:r>
        <w:rPr>
          <w:rFonts w:ascii="Arial" w:cs="Arial" w:eastAsia="Arial" w:hAnsi="Arial"/>
          <w:sz w:val="17"/>
          <w:szCs w:val="17"/>
          <w:i w:val="1"/>
          <w:iCs w:val="1"/>
          <w:color w:val="auto"/>
        </w:rPr>
        <w:t xml:space="preserve"> </w:t>
      </w:r>
      <w:r>
        <w:rPr>
          <w:rFonts w:ascii="Arial" w:cs="Arial" w:eastAsia="Arial" w:hAnsi="Arial"/>
          <w:sz w:val="17"/>
          <w:szCs w:val="17"/>
          <w:color w:val="auto"/>
        </w:rPr>
        <w:t>doubt about its ability to continue as a going concern each reporting period, including interim periods. In evaluating the Company’s ability to continue as a going concern, management projected its cash flow sources, including the debt and equity funding and amendments to the Indi APA,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current financial condition, sources of liquidity and debt obligations for at least one year from the date of issuance of this Form 10-K in considering whether it has the ability to meet its obligations.</w:t>
      </w:r>
    </w:p>
    <w:p>
      <w:pPr>
        <w:spacing w:after="0" w:line="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ability to meet our obligations as they come due may be impacted by our ability to remain compliant with financial covenants in our loan agreement or to obtain waivers or amendments that impact the related covenants. As of December 31, 2022, the Company was in compliance with all restrictive and financial covenants associated with its borrowing. However, due to the continued uncertainty caused by the COVID-19 pandemic and the associated impacts on the recovery of our diagnostic testing and services, significant risks remain with respect to our ability to meet these thresholds and any material adverse effect on our revenues, income and expenses could impact our ability to maintain compliance with these covenants.</w:t>
      </w:r>
    </w:p>
    <w:p>
      <w:pPr>
        <w:spacing w:after="0" w:line="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Based on our current operating plan, unless we continue to raise additional capital (debt or equity) or obtain waiver from complying with such financial covenants, we expect that we will be unable to maintain our financial covenants under our existing loan agreement during the next twelve months, which could result in an Event of Default, as defined, causing an acceleration of the outstanding balances. We have taken steps to improve our liquidity through the actions noted above and have also undertaken several proactive measures including, among other things, the reduction of planned capital expenditures and certain operating expenses but we do not expect that these actions alone will be sufficient to maintain our financial covenants. We plan to raise additional funding through the issuance of equity or debt securities and any such financing activities are subject to market conditions.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revenues, results of operations and cash flows have been materially adversely impacted by the items noted above. We expect to continue to incur operating losses in the near term while we make investments to support our anticipated growth. Our current operating plan, which is in part determined based on our most recent historical actual results and trends, along with the items noted above, raises substantial doubt about the Company’s ability to continue as a going concern for a period beyond one year from when the December 31, 2022 financial statements are issued. Our audited financial statements have been prepared assuming we will continue as a going concern and do not include any adjustments that might be necessary should we be unable to continue as a going concern.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cash flows for the periods indicated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3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w:t>
            </w:r>
          </w:p>
        </w:tc>
        <w:tc>
          <w:tcPr>
            <w:tcW w:w="2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6"/>
        </w:trPr>
        <w:tc>
          <w:tcPr>
            <w:tcW w:w="534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33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(44,972 )</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(28,223 )</w:t>
            </w:r>
          </w:p>
        </w:tc>
      </w:tr>
      <w:tr>
        <w:trPr>
          <w:trHeight w:val="249"/>
        </w:trPr>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2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(3,534 )</w:t>
            </w:r>
          </w:p>
        </w:tc>
        <w:tc>
          <w:tcPr>
            <w:tcW w:w="9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(2,547 )</w:t>
            </w:r>
          </w:p>
        </w:tc>
      </w:tr>
      <w:tr>
        <w:trPr>
          <w:trHeight w:val="236"/>
        </w:trPr>
        <w:tc>
          <w:tcPr>
            <w:tcW w:w="534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23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58,882</w:t>
            </w:r>
          </w:p>
        </w:tc>
        <w:tc>
          <w:tcPr>
            <w:tcW w:w="2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0"/>
                <w:szCs w:val="20"/>
                <w:color w:val="auto"/>
              </w:rPr>
            </w:pPr>
          </w:p>
        </w:tc>
      </w:tr>
      <w:tr>
        <w:trPr>
          <w:trHeight w:val="27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Net increase (decrease) in cash and cash equivalents and restricted cash</w:t>
            </w:r>
          </w:p>
        </w:tc>
        <w:tc>
          <w:tcPr>
            <w:tcW w:w="23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(29,508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634"/>
        </w:trPr>
        <w:tc>
          <w:tcPr>
            <w:tcW w:w="5340" w:type="dxa"/>
            <w:vAlign w:val="bottom"/>
          </w:tcPr>
          <w:p>
            <w:pPr>
              <w:spacing w:after="0"/>
              <w:rPr>
                <w:sz w:val="24"/>
                <w:szCs w:val="24"/>
                <w:color w:val="auto"/>
              </w:rPr>
            </w:pPr>
          </w:p>
        </w:tc>
        <w:tc>
          <w:tcPr>
            <w:tcW w:w="2380" w:type="dxa"/>
            <w:vAlign w:val="bottom"/>
          </w:tcPr>
          <w:p>
            <w:pPr>
              <w:jc w:val="right"/>
              <w:ind w:right="1910"/>
              <w:spacing w:after="0"/>
              <w:rPr>
                <w:sz w:val="20"/>
                <w:szCs w:val="20"/>
                <w:color w:val="auto"/>
              </w:rPr>
            </w:pPr>
            <w:r>
              <w:rPr>
                <w:rFonts w:ascii="Arial" w:cs="Arial" w:eastAsia="Arial" w:hAnsi="Arial"/>
                <w:sz w:val="18"/>
                <w:szCs w:val="18"/>
                <w:color w:val="auto"/>
              </w:rPr>
              <w:t>94</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-521970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-504825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6" w:name="page97"/>
    <w:bookmarkEnd w:id="96"/>
    <w:p>
      <w:pPr>
        <w:jc w:val="both"/>
        <w:spacing w:after="0" w:line="270" w:lineRule="auto"/>
        <w:rPr>
          <w:sz w:val="20"/>
          <w:szCs w:val="20"/>
          <w:color w:val="auto"/>
        </w:rPr>
      </w:pPr>
      <w:r>
        <w:rPr>
          <w:rFonts w:ascii="Arial" w:cs="Arial" w:eastAsia="Arial" w:hAnsi="Arial"/>
          <w:sz w:val="17"/>
          <w:szCs w:val="17"/>
          <w:color w:val="auto"/>
        </w:rPr>
        <w:t>Our cash flows resulted in a net increase in cash and cash equivalents and restricted cash of $10.4 million during the year ended December 31, 2022 as compared to the net decrease in cash of $29.5 million for the year ended December 31, 2021. For the year ended December 31, 2022, net cash used in operating activities increased by approximately $16.8 million due to a year-over-year increase in net loss from operations of $22.3 million, partially offset by an increase in non-cash expenses of approximately $14.5 million. In addition to the remaining $7.7 million increase in net loss, the Company had unfavorable changes in net working capital of $9.0 million. The unfavorable changes in net working capital are primarily as a result of the $5.0 million transferred as a refundable deposit to secure the performance of the Company’s obligations under the operating lease agreement with Centennial Valley Properties I, LLC (the CVP Lease) and a decrease in cash collections from customers and payments to vendors. Partially offsetting the unfavorable changes in net working capital is $2.5 million in capital expenditures for leasehold improvements related to the CVP Lease pursuant to agreed upon tenant improvement allowances which have been reimbursed from the CVP landlord.</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during the year ended December 31, 2022 totaled $3.5 million, an increase of $1.0 million compared to the same period in 2021. The increase in net cash used in investing activities was primarily due to increases in purchases of property and equipment and capital expenditures for leasehold improvements related to the CVP Lease. These leasehold improvements are tenant improvements and have been reimbursed from the Landlord, as described above in net cash used in operating activities.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provided by financing activities during the year ended December 31, 2022 totaled $58.9 million, an increase of $57.6 million compared to the same period in 2021. The net cash provided by financing activities for the year ended December 31, 2022 primarily resulted from $56.3 million net proceeds from the issuance of common stock, $41.4 million net proceeds from the issuance of Promissory Note One and the Perceptive Term Loan, and $0.6 million in proceeds from the issuance of common stock under the ESPP and exercise of stock options. These proceeds were partially offset by the repayment of Promissory Note One and the 2021 Term Loan of $28.6 million, and milestone payments to Indi of $10.8 million. The net cash provided by financing activities for the year ended December 31, 2021 primarily resulted from $15.7 million net proceeds from our ATM public offering, net proceeds from our 2021 Term Loan of $29.9 million, and proceeds from the issuance of common stock under the ESPP and exercise of stock options of approximately $1.1 million, primarily offset by the repayment of $25.4 million from our 2018 Term Loan and a $20 million prepayment on our 2021 Term Loan.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non-cancelable contractual obligations and commitments as of December 31, 2022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r>
              <w:rPr>
                <w:rFonts w:ascii="Arial" w:cs="Arial" w:eastAsia="Arial" w:hAnsi="Arial"/>
                <w:sz w:val="24"/>
                <w:szCs w:val="24"/>
                <w:b w:val="1"/>
                <w:bCs w:val="1"/>
                <w:color w:val="auto"/>
                <w:vertAlign w:val="superscript"/>
              </w:rPr>
              <w:t>(1)</w:t>
            </w:r>
          </w:p>
        </w:tc>
        <w:tc>
          <w:tcPr>
            <w:tcW w:w="8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204"/>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70"/>
              <w:spacing w:after="0" w:line="204" w:lineRule="exact"/>
              <w:rPr>
                <w:sz w:val="20"/>
                <w:szCs w:val="20"/>
                <w:color w:val="auto"/>
              </w:rPr>
            </w:pPr>
            <w:r>
              <w:rPr>
                <w:rFonts w:ascii="Arial" w:cs="Arial" w:eastAsia="Arial" w:hAnsi="Arial"/>
                <w:sz w:val="18"/>
                <w:szCs w:val="18"/>
                <w:b w:val="1"/>
                <w:bCs w:val="1"/>
                <w:color w:val="auto"/>
                <w:w w:val="85"/>
              </w:rPr>
              <w:t>Less than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290"/>
              <w:spacing w:after="0" w:line="204" w:lineRule="exact"/>
              <w:rPr>
                <w:sz w:val="20"/>
                <w:szCs w:val="20"/>
                <w:color w:val="auto"/>
              </w:rPr>
            </w:pPr>
            <w:r>
              <w:rPr>
                <w:rFonts w:ascii="Arial" w:cs="Arial" w:eastAsia="Arial" w:hAnsi="Arial"/>
                <w:sz w:val="18"/>
                <w:szCs w:val="18"/>
                <w:b w:val="1"/>
                <w:bCs w:val="1"/>
                <w:color w:val="auto"/>
              </w:rPr>
              <w:t>1 to 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290"/>
              <w:spacing w:after="0" w:line="204" w:lineRule="exact"/>
              <w:rPr>
                <w:sz w:val="20"/>
                <w:szCs w:val="20"/>
                <w:color w:val="auto"/>
              </w:rPr>
            </w:pPr>
            <w:r>
              <w:rPr>
                <w:rFonts w:ascii="Arial" w:cs="Arial" w:eastAsia="Arial" w:hAnsi="Arial"/>
                <w:sz w:val="18"/>
                <w:szCs w:val="18"/>
                <w:b w:val="1"/>
                <w:bCs w:val="1"/>
                <w:color w:val="auto"/>
                <w:w w:val="89"/>
              </w:rPr>
              <w:t>4 to 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30"/>
              <w:spacing w:after="0" w:line="204" w:lineRule="exact"/>
              <w:rPr>
                <w:sz w:val="20"/>
                <w:szCs w:val="20"/>
                <w:color w:val="auto"/>
              </w:rPr>
            </w:pPr>
            <w:r>
              <w:rPr>
                <w:rFonts w:ascii="Arial" w:cs="Arial" w:eastAsia="Arial" w:hAnsi="Arial"/>
                <w:sz w:val="18"/>
                <w:szCs w:val="18"/>
                <w:b w:val="1"/>
                <w:bCs w:val="1"/>
                <w:color w:val="auto"/>
                <w:w w:val="92"/>
              </w:rPr>
              <w:t>More than</w:t>
            </w:r>
          </w:p>
        </w:tc>
      </w:tr>
      <w:tr>
        <w:trPr>
          <w:trHeight w:val="241"/>
        </w:trPr>
        <w:tc>
          <w:tcPr>
            <w:tcW w:w="5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years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 years</w:t>
            </w:r>
          </w:p>
        </w:tc>
      </w:tr>
      <w:tr>
        <w:trPr>
          <w:trHeight w:val="243"/>
        </w:trPr>
        <w:tc>
          <w:tcPr>
            <w:tcW w:w="520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Borrowings and interest </w:t>
            </w:r>
            <w:r>
              <w:rPr>
                <w:rFonts w:ascii="Arial" w:cs="Arial" w:eastAsia="Arial" w:hAnsi="Arial"/>
                <w:sz w:val="24"/>
                <w:szCs w:val="24"/>
                <w:color w:val="auto"/>
                <w:vertAlign w:val="superscript"/>
              </w:rPr>
              <w:t>(2)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50,981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8,566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38,120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4"/>
                <w:szCs w:val="24"/>
                <w:color w:val="auto"/>
                <w:vertAlign w:val="superscript"/>
              </w:rPr>
              <w:t>(3)</w:t>
            </w:r>
          </w:p>
        </w:tc>
        <w:tc>
          <w:tcPr>
            <w:tcW w:w="2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34,675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11,272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23,403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Borders>
              <w:bottom w:val="single" w:sz="8" w:color="CCEEFF"/>
            </w:tcBorders>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4"/>
                <w:szCs w:val="24"/>
                <w:color w:val="auto"/>
                <w:vertAlign w:val="superscript"/>
              </w:rPr>
              <w:t>(4)</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48,922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32,263</w:t>
            </w:r>
          </w:p>
        </w:tc>
      </w:tr>
      <w:tr>
        <w:trPr>
          <w:trHeight w:val="230"/>
        </w:trPr>
        <w:tc>
          <w:tcPr>
            <w:tcW w:w="520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134,578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17,856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38,298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46,161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32,263</w:t>
            </w:r>
          </w:p>
        </w:tc>
      </w:tr>
      <w:tr>
        <w:trPr>
          <w:trHeight w:val="20"/>
        </w:trPr>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4020820</wp:posOffset>
            </wp:positionH>
            <wp:positionV relativeFrom="paragraph">
              <wp:posOffset>-187960</wp:posOffset>
            </wp:positionV>
            <wp:extent cx="7683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-187960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-187960</wp:posOffset>
            </wp:positionV>
            <wp:extent cx="685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-187960</wp:posOffset>
            </wp:positionV>
            <wp:extent cx="685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 w:lineRule="exact"/>
        <w:rPr>
          <w:sz w:val="20"/>
          <w:szCs w:val="20"/>
          <w:color w:val="auto"/>
        </w:rPr>
      </w:pPr>
    </w:p>
    <w:p>
      <w:pPr>
        <w:ind w:left="380" w:hanging="372"/>
        <w:spacing w:after="0"/>
        <w:tabs>
          <w:tab w:leader="none" w:pos="380" w:val="left"/>
        </w:tabs>
        <w:numPr>
          <w:ilvl w:val="0"/>
          <w:numId w:val="61"/>
        </w:numPr>
        <w:rPr>
          <w:rFonts w:ascii="Arial" w:cs="Arial" w:eastAsia="Arial" w:hAnsi="Arial"/>
          <w:sz w:val="24"/>
          <w:szCs w:val="24"/>
          <w:color w:val="auto"/>
          <w:vertAlign w:val="superscript"/>
        </w:rPr>
      </w:pPr>
      <w:r>
        <w:rPr>
          <w:rFonts w:ascii="Arial" w:cs="Arial" w:eastAsia="Arial" w:hAnsi="Arial"/>
          <w:sz w:val="16"/>
          <w:szCs w:val="16"/>
          <w:color w:val="auto"/>
        </w:rPr>
        <w:t>Royalty payments that we may owe are not included as the amount and timing of such payments is uncertain.</w:t>
      </w:r>
    </w:p>
    <w:p>
      <w:pPr>
        <w:spacing w:after="0" w:line="64" w:lineRule="exact"/>
        <w:rPr>
          <w:rFonts w:ascii="Arial" w:cs="Arial" w:eastAsia="Arial" w:hAnsi="Arial"/>
          <w:sz w:val="24"/>
          <w:szCs w:val="24"/>
          <w:color w:val="auto"/>
          <w:vertAlign w:val="superscript"/>
        </w:rPr>
      </w:pPr>
    </w:p>
    <w:p>
      <w:pPr>
        <w:ind w:left="380" w:right="20" w:hanging="372"/>
        <w:spacing w:after="0" w:line="205" w:lineRule="auto"/>
        <w:tabs>
          <w:tab w:leader="none" w:pos="380" w:val="left"/>
        </w:tabs>
        <w:numPr>
          <w:ilvl w:val="0"/>
          <w:numId w:val="61"/>
        </w:numPr>
        <w:rPr>
          <w:rFonts w:ascii="Arial" w:cs="Arial" w:eastAsia="Arial" w:hAnsi="Arial"/>
          <w:sz w:val="24"/>
          <w:szCs w:val="24"/>
          <w:color w:val="auto"/>
          <w:vertAlign w:val="superscript"/>
        </w:rPr>
      </w:pPr>
      <w:r>
        <w:rPr>
          <w:rFonts w:ascii="Arial" w:cs="Arial" w:eastAsia="Arial" w:hAnsi="Arial"/>
          <w:sz w:val="16"/>
          <w:szCs w:val="16"/>
          <w:color w:val="auto"/>
        </w:rPr>
        <w:t>Includes the Perceptive Term Loan payments of principal and interest. Interest amounts associated with the Perceptive Term Loan are variable and estimated based on the interest rate in effect at December 31, 2022.</w:t>
      </w:r>
    </w:p>
    <w:p>
      <w:pPr>
        <w:spacing w:after="0" w:line="38" w:lineRule="exact"/>
        <w:rPr>
          <w:rFonts w:ascii="Arial" w:cs="Arial" w:eastAsia="Arial" w:hAnsi="Arial"/>
          <w:sz w:val="24"/>
          <w:szCs w:val="24"/>
          <w:color w:val="auto"/>
          <w:vertAlign w:val="superscript"/>
        </w:rPr>
      </w:pPr>
    </w:p>
    <w:p>
      <w:pPr>
        <w:ind w:left="380" w:right="20" w:hanging="372"/>
        <w:spacing w:after="0" w:line="213" w:lineRule="auto"/>
        <w:tabs>
          <w:tab w:leader="none" w:pos="380" w:val="left"/>
        </w:tabs>
        <w:numPr>
          <w:ilvl w:val="0"/>
          <w:numId w:val="61"/>
        </w:numPr>
        <w:rPr>
          <w:rFonts w:ascii="Arial" w:cs="Arial" w:eastAsia="Arial" w:hAnsi="Arial"/>
          <w:sz w:val="24"/>
          <w:szCs w:val="24"/>
          <w:color w:val="auto"/>
          <w:vertAlign w:val="superscript"/>
        </w:rPr>
      </w:pPr>
      <w:r>
        <w:rPr>
          <w:rFonts w:ascii="Arial" w:cs="Arial" w:eastAsia="Arial" w:hAnsi="Arial"/>
          <w:sz w:val="16"/>
          <w:szCs w:val="16"/>
          <w:color w:val="auto"/>
        </w:rPr>
        <w:t>On April 7, 2022, the Company entered into Amendment No. 3 to the Indi APA in which all parties agreed to restructure the milestone payments associated with the contingent consideration (see Note 4 to our financial statements in Item 8 of this Annual Report on Form 10-K).</w:t>
      </w:r>
    </w:p>
    <w:p>
      <w:pPr>
        <w:spacing w:after="0" w:line="50" w:lineRule="exact"/>
        <w:rPr>
          <w:rFonts w:ascii="Arial" w:cs="Arial" w:eastAsia="Arial" w:hAnsi="Arial"/>
          <w:sz w:val="24"/>
          <w:szCs w:val="24"/>
          <w:color w:val="auto"/>
          <w:vertAlign w:val="superscript"/>
        </w:rPr>
      </w:pPr>
    </w:p>
    <w:p>
      <w:pPr>
        <w:ind w:left="380" w:right="20" w:hanging="372"/>
        <w:spacing w:after="0" w:line="213" w:lineRule="auto"/>
        <w:tabs>
          <w:tab w:leader="none" w:pos="380" w:val="left"/>
        </w:tabs>
        <w:numPr>
          <w:ilvl w:val="0"/>
          <w:numId w:val="61"/>
        </w:numPr>
        <w:rPr>
          <w:rFonts w:ascii="Arial" w:cs="Arial" w:eastAsia="Arial" w:hAnsi="Arial"/>
          <w:sz w:val="24"/>
          <w:szCs w:val="24"/>
          <w:color w:val="auto"/>
          <w:vertAlign w:val="superscript"/>
        </w:rPr>
      </w:pPr>
      <w:r>
        <w:rPr>
          <w:rFonts w:ascii="Arial" w:cs="Arial" w:eastAsia="Arial" w:hAnsi="Arial"/>
          <w:sz w:val="16"/>
          <w:szCs w:val="16"/>
          <w:color w:val="auto"/>
        </w:rPr>
        <w:t>Does not include the remaining contractually agreed upon tenant improvement allowances associated with the CVP Lease of $18.3 million which are expected to be received during fiscal year 2023 (see Note 9 to our financial statements in Item 8 of this Annual Report on Form 10-K).</w:t>
      </w:r>
    </w:p>
    <w:p>
      <w:pPr>
        <w:spacing w:after="0" w:line="2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have been no other significant changes to our future contractual obligations as disclosed in our Annual Report on Form 10-K for the year ended December 31, 2021.</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we have not entered into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financial statements in Item 8 of this Annual Report on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diagnostic tests and (ii) assay development and testing services (services revenue).</w:t>
      </w:r>
    </w:p>
    <w:p>
      <w:pPr>
        <w:spacing w:after="0" w:line="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provides services to patients with whom the Company does not have contracts as defined in Financial Accounting Standards Board (FASB) Accounting Standards Codification 606 (ASC 606). The 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and Grant Date Fair Value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Share-based compensation related to stock options granted to our employees, directors and non-employees is measured at the grant date based on the fair value of the award. For our service-based awards, the fair value of each award is recognized as expense on a straight-line basis over the requisite service period, which is generally the vesting period of the respective awards. Compensation expense for share-based awards with performance conditions is recognized based upon the probability the performance conditions will be met as defined in the grant. Restricted stock units are measured at their grant date fair value using the closing price of our common stock on the date of grant and recognized to expense on a straight-line basis over the vesting period of each award. We estimate forfeitures and adjust these estimates to actual forfeitures as they occur.</w:t>
      </w:r>
    </w:p>
    <w:p>
      <w:pPr>
        <w:spacing w:after="0" w:line="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use the Black-Scholes option-pricing model to estimate the fair value of our share-based option awards, which requires assumptions to be made related to expected term of an award, expected volatility, the risk-free rate and expected dividend yield. The fair value of our common stock is based on our closing price as reported on the date of grant on the primary stock exchange on which our common stock is traded. Changes in these subjective assumptions can materially affect the estimated value of equity grants and the share-based compensation that we record in our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February 2016, the FASB issued ASU No. 2016-2,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This ASU intends to make accounting for leasing activities more transparent and comparable, and requires substantially all leases be recognized by lessees on their balance sheet as a right-of-use asset and corresponding lease liability, including leases currently accounted for as operating leases. In addition to other related amendments, the FASB issued ASU No. 2018-11,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t>
      </w:r>
      <w:r>
        <w:rPr>
          <w:rFonts w:ascii="Arial" w:cs="Arial" w:eastAsia="Arial" w:hAnsi="Arial"/>
          <w:sz w:val="16"/>
          <w:szCs w:val="16"/>
          <w:i w:val="1"/>
          <w:iCs w:val="1"/>
          <w:color w:val="auto"/>
        </w:rPr>
        <w:t>Targeted Improvements</w:t>
      </w:r>
      <w:r>
        <w:rPr>
          <w:rFonts w:ascii="Arial" w:cs="Arial" w:eastAsia="Arial" w:hAnsi="Arial"/>
          <w:sz w:val="16"/>
          <w:szCs w:val="16"/>
          <w:color w:val="auto"/>
        </w:rPr>
        <w:t>,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The Company elected this transition method and adopted ASC 842 on January 1, 2022 and as a result, recorded operating lease right-of-use (ROU) assets of $1.3 million, including offsetting deferred rent of $0.1 million, along with the associated operating lease liabilities of $1.3 million. On January 1, 2022, the Company did not have any finance leases. Additional information and disclosures required by this new standard are contained in Note 3 and Note 9 to our financial statements in Part II of this Annual Report on Form 10-K.</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 xml:space="preserve"> (ASC Topic 326). This ASU requires measurement and recognition of expected credit losses for financial assets. This ASU requires measurement and recognition of expected credit losses for financial assets. This guidance will become effective for the Company beginning January 1, 2023. The Company evaluated the guidance and determined the overall impact of the adoption will have an immaterial impact on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8" w:name="page99"/>
    <w:bookmarkEnd w:id="98"/>
    <w:p>
      <w:pPr>
        <w:jc w:val="both"/>
        <w:spacing w:after="0" w:line="290" w:lineRule="auto"/>
        <w:rPr>
          <w:sz w:val="20"/>
          <w:szCs w:val="20"/>
          <w:color w:val="auto"/>
        </w:rPr>
      </w:pPr>
      <w:r>
        <w:rPr>
          <w:rFonts w:ascii="Arial" w:cs="Arial" w:eastAsia="Arial" w:hAnsi="Arial"/>
          <w:sz w:val="16"/>
          <w:szCs w:val="16"/>
          <w:color w:val="auto"/>
        </w:rPr>
        <w:t>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w:t>
      </w:r>
    </w:p>
    <w:p>
      <w:pPr>
        <w:spacing w:after="0" w:line="1" w:lineRule="exact"/>
        <w:rPr>
          <w:sz w:val="20"/>
          <w:szCs w:val="20"/>
          <w:color w:val="auto"/>
        </w:rPr>
      </w:pPr>
    </w:p>
    <w:p>
      <w:pPr>
        <w:ind w:firstLine="8"/>
        <w:spacing w:after="0" w:line="260" w:lineRule="auto"/>
        <w:tabs>
          <w:tab w:leader="none" w:pos="289" w:val="left"/>
        </w:tabs>
        <w:numPr>
          <w:ilvl w:val="0"/>
          <w:numId w:val="62"/>
        </w:numPr>
        <w:rPr>
          <w:rFonts w:ascii="Arial" w:cs="Arial" w:eastAsia="Arial" w:hAnsi="Arial"/>
          <w:sz w:val="18"/>
          <w:szCs w:val="18"/>
          <w:color w:val="auto"/>
        </w:rPr>
      </w:pPr>
      <w:r>
        <w:rPr>
          <w:rFonts w:ascii="Arial" w:cs="Arial" w:eastAsia="Arial" w:hAnsi="Arial"/>
          <w:sz w:val="18"/>
          <w:szCs w:val="18"/>
          <w:color w:val="auto"/>
        </w:rPr>
        <w:t>of the Securities Act, for complying with new or revised accounting standards. In other words, an emerging growth company can delay the adoption of certain accounting standards until those standards would otherwise apply to private companies.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exposed to market risk for changes in interest rates related primarily to our cash and cash equivalents, marketable securities and our indebtedness, including our outstanding Perceptive Term Loan. As of December 31, 2022, we had $30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Periodically throughout the year, we have maintained balances in various operating accounts in excess of federally insured limits. Our cash and cash equivalents are funds held in checking and bank savings accounts, primarily at two U.S. financial institutions. We consider all highly liquid instruments purchased with an original maturity of three months or less to be cash equivalents. We continually monitor our positions with, and the credit quality of, the financial institutions with which we invest.</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a hypothetical 100 basis point increase in interest rates would have an estimated $0.3 million impact per year on our financial position and results of operations, based on the current Perceptive Term Loan principal remaining outstanding through maturity.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and supplementary data are as set forth in the index to the financial statements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9" w:name="page100"/>
    <w:bookmarkEnd w:id="99"/>
    <w:p>
      <w:pPr>
        <w:jc w:val="both"/>
        <w:spacing w:after="0" w:line="311" w:lineRule="auto"/>
        <w:rPr>
          <w:sz w:val="20"/>
          <w:szCs w:val="20"/>
          <w:color w:val="auto"/>
        </w:rPr>
      </w:pPr>
      <w:r>
        <w:rPr>
          <w:rFonts w:ascii="Arial" w:cs="Arial" w:eastAsia="Arial" w:hAnsi="Arial"/>
          <w:sz w:val="16"/>
          <w:szCs w:val="16"/>
          <w:color w:val="auto"/>
        </w:rPr>
        <w:t>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4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for the Company, as such term is defined in Exchange Act Rules 13a-15(f). Under the supervision and with the participation of our Chief Executive Officer and Chief Financial Officer, we conducted an evaluation of the effectiveness of our internal control over financial reporting as of December 31, 2022 based on the criteria established in "Internal Control – Integrated Framework" issued by the Committee of Sponsoring Organizations of the Treadway Commission (COSO), using the 2013 framework. Based on our assessment, our Chief Executive Officer and Chief Financial Officer concluded that, as of December 31, 2022, the Company's internal control over financial reporting was effective based on the criteria set forth by COSO.</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due to a transition period established by rules of the Securities and Exchange Commission for newly public companies.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December 31, 2022, there were no changes that materially affected, or are reasonably likely to materially affect, our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0" w:name="page101"/>
    <w:bookmarkEnd w:id="100"/>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information required by this item with respect to directors is incorporated by reference from the information under the captions "Board and Corporate Governance Matters—Election of Directors" and "—Director Independence" contained in our Proxy Statement to be filed with the Securities and Exchange Commission within 120 days of the fiscal year ended December 31, 2022 in connection with the solicitation of proxies for our 2023 Annual Meeting of Stockholders (the Proxy Statement). Certain information required by this item concerning executive officers is set forth in the Proxy Statement under the caption "Executive Compensation—Compensation of Named Executive Officers" and is incorporated herein by reference.</w:t>
      </w:r>
    </w:p>
    <w:p>
      <w:pPr>
        <w:spacing w:after="0" w:line="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Item 405 of Regulation S-K calls for disclosure of any known late filing or failure by an insider to file a report required by Section 16(a) of the Exchange Act. This disclosure is contained in the section entitled "Stock Ownership—Delinquent Section 16(a) Reports" in the Proxy Statement and is incorporated herein by reference.</w:t>
      </w:r>
    </w:p>
    <w:p>
      <w:pPr>
        <w:spacing w:after="0" w:line="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adopted a Code of Business Conduct and Ethics that applies to all of our officers and employees, including our President and Chief Executive Officer, our Chief Financial Officer and other employees who perform financial or accounting functions. The Code of Business Conduct and Ethics sets forth the basic principles that guide the business conduct of our employees. Stockholders may request a free copy of our Code of Business Conduct and Ethics by contacting Biodesix, Inc., Attention: Chief Financial Officer, 2970 Wilderness Place, Suite 100, Boulder, Colorado 80301.</w:t>
      </w:r>
    </w:p>
    <w:p>
      <w:pPr>
        <w:spacing w:after="0" w:line="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date, there have been no waivers under our Code of Business Conduct and Ethics. We intend to disclose future amendments to certain provisions of our Code of Business Conduct and Ethics or waivers of such Codes granted to executive officers and directors on our website at http://www.biodesix.com within four business days following the date of such amendment or waiver.</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Board of Directors has appointed an Audit Committee, comprised of Ms. Jean Franchi, as Chairwoman, Messrs. Hany Massarany, Lawrence T. Kennedy, Jr., and Dr. Matthew Strobeck. The Board of Directors has determined that Ms. Franchi qualifies as an Audit Committee Financial Expert under the definition outlined by the Securities and Exchange Commission. In addition, each of the members of the Audit Committee qualifies as an "independent director" under the current rules of The NASDAQ Stock Market and Securities and Exchange Commission rules and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under "Executive Compensation" contained in the Proxy Statement and is incorporated herein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"Stock Ownership—Security Ownership of Certain Beneficial Owners and Management", "Executive Compensation", and "Equity Compensation Plan Information" contained in the Proxy Statement and is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"Board and Corporate Governance Matters— Certain Relationships and Related-Party Transactions" and "—Director Independence" contained in the Proxy Statement and is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"Audit Matters—Principal Accountant Fees and Services" contained in the Proxy Statement and is incorporated herein by reference.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760" w:right="7560" w:hanging="752"/>
        <w:spacing w:after="0" w:line="402" w:lineRule="auto"/>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Documents filed as a part of the report. 1. Financial Statements</w:t>
      </w:r>
    </w:p>
    <w:p>
      <w:pPr>
        <w:spacing w:after="0" w:line="277" w:lineRule="exact"/>
        <w:rPr>
          <w:sz w:val="20"/>
          <w:szCs w:val="20"/>
          <w:color w:val="auto"/>
        </w:rPr>
      </w:pPr>
    </w:p>
    <w:p>
      <w:pPr>
        <w:ind w:left="1140" w:hanging="383"/>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All schedules have been omitted because they are not required, not applicable, or the required information is included in the financial statements or notes thereto.</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3.   See Item 15(b) below. Each management contract or compensating plan or arrangement required to be filed has been identified.</w:t>
      </w:r>
    </w:p>
    <w:p>
      <w:pPr>
        <w:spacing w:after="0" w:line="128" w:lineRule="exact"/>
        <w:rPr>
          <w:sz w:val="20"/>
          <w:szCs w:val="20"/>
          <w:color w:val="auto"/>
        </w:rPr>
      </w:pPr>
    </w:p>
    <w:p>
      <w:pPr>
        <w:ind w:left="760" w:hanging="752"/>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80" w:type="dxa"/>
            <w:vAlign w:val="bottom"/>
            <w:gridSpan w:val="11"/>
          </w:tcPr>
          <w:p>
            <w:pPr>
              <w:jc w:val="center"/>
              <w:ind w:right="3340"/>
              <w:spacing w:after="0"/>
              <w:rPr>
                <w:sz w:val="20"/>
                <w:szCs w:val="20"/>
                <w:color w:val="auto"/>
              </w:rPr>
            </w:pPr>
            <w:r>
              <w:rPr>
                <w:rFonts w:ascii="Arial" w:cs="Arial" w:eastAsia="Arial" w:hAnsi="Arial"/>
                <w:sz w:val="18"/>
                <w:szCs w:val="18"/>
                <w:b w:val="1"/>
                <w:bCs w:val="1"/>
                <w:color w:val="auto"/>
                <w:w w:val="94"/>
              </w:rPr>
              <w:t>Exhibit Index</w:t>
            </w:r>
          </w:p>
        </w:tc>
      </w:tr>
      <w:tr>
        <w:trPr>
          <w:trHeight w:val="413"/>
        </w:trPr>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1"/>
        </w:trPr>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880" w:type="dxa"/>
            <w:vAlign w:val="bottom"/>
            <w:tcBorders>
              <w:bottom w:val="single" w:sz="8" w:color="auto"/>
            </w:tcBorders>
            <w:gridSpan w:val="11"/>
          </w:tcPr>
          <w:p>
            <w:pPr>
              <w:ind w:left="2340"/>
              <w:spacing w:after="0"/>
              <w:rPr>
                <w:sz w:val="20"/>
                <w:szCs w:val="20"/>
                <w:color w:val="auto"/>
              </w:rPr>
            </w:pPr>
            <w:r>
              <w:rPr>
                <w:rFonts w:ascii="Arial" w:cs="Arial" w:eastAsia="Arial" w:hAnsi="Arial"/>
                <w:sz w:val="18"/>
                <w:szCs w:val="18"/>
                <w:b w:val="1"/>
                <w:bCs w:val="1"/>
                <w:color w:val="auto"/>
              </w:rPr>
              <w:t>Description</w:t>
            </w:r>
          </w:p>
        </w:tc>
      </w:tr>
      <w:tr>
        <w:trPr>
          <w:trHeight w:val="324"/>
        </w:trPr>
        <w:tc>
          <w:tcPr>
            <w:tcW w:w="880" w:type="dxa"/>
            <w:vAlign w:val="bottom"/>
          </w:tcPr>
          <w:p>
            <w:pPr>
              <w:ind w:left="10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FF"/>
                <w:w w:val="93"/>
              </w:rPr>
            </w:pPr>
            <w:hyperlink r:id="rId144">
              <w:r>
                <w:rPr>
                  <w:rFonts w:ascii="Arial" w:cs="Arial" w:eastAsia="Arial" w:hAnsi="Arial"/>
                  <w:sz w:val="18"/>
                  <w:szCs w:val="18"/>
                  <w:color w:val="0000FF"/>
                  <w:w w:val="93"/>
                </w:rPr>
                <w:t>Amended and Restated Certificate of Incorporation of Biodesix, Inc., dated October 30, 2020 (incorporated by reference to</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rPr>
            </w:pPr>
            <w:hyperlink r:id="rId144">
              <w:r>
                <w:rPr>
                  <w:rFonts w:ascii="Arial" w:cs="Arial" w:eastAsia="Arial" w:hAnsi="Arial"/>
                  <w:sz w:val="18"/>
                  <w:szCs w:val="18"/>
                  <w:color w:val="0000FF"/>
                </w:rPr>
                <w:t>Exhibit 3.1 to the Company’s Quarterly Report on Form 10-Q filed with the SEC on December 10,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FF"/>
                <w:w w:val="97"/>
              </w:rPr>
            </w:pPr>
            <w:hyperlink r:id="rId145">
              <w:r>
                <w:rPr>
                  <w:rFonts w:ascii="Arial" w:cs="Arial" w:eastAsia="Arial" w:hAnsi="Arial"/>
                  <w:sz w:val="18"/>
                  <w:szCs w:val="18"/>
                  <w:color w:val="0000FF"/>
                  <w:w w:val="97"/>
                </w:rPr>
                <w:t>Amended and Restated Bylaws of Biodesix, Inc. (incorporated by reference to Exhibit 3.2 to the Company’s Quarterly</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rPr>
            </w:pPr>
            <w:hyperlink r:id="rId145">
              <w:r>
                <w:rPr>
                  <w:rFonts w:ascii="Arial" w:cs="Arial" w:eastAsia="Arial" w:hAnsi="Arial"/>
                  <w:sz w:val="18"/>
                  <w:szCs w:val="18"/>
                  <w:color w:val="0000FF"/>
                </w:rPr>
                <w:t>Report on Form 10-Q filed with the SEC on October 12,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FF"/>
                <w:w w:val="93"/>
              </w:rPr>
            </w:pPr>
            <w:hyperlink r:id="rId146">
              <w:r>
                <w:rPr>
                  <w:rFonts w:ascii="Arial" w:cs="Arial" w:eastAsia="Arial" w:hAnsi="Arial"/>
                  <w:sz w:val="18"/>
                  <w:szCs w:val="18"/>
                  <w:color w:val="0000FF"/>
                  <w:w w:val="93"/>
                </w:rPr>
                <w:t>Specimen stock certificate evidencing shares of Common Stock (incorporated by reference to Exhibit 4.1 to the Company’s</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4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rPr>
            </w:pPr>
            <w:hyperlink r:id="rId146">
              <w:r>
                <w:rPr>
                  <w:rFonts w:ascii="Arial" w:cs="Arial" w:eastAsia="Arial" w:hAnsi="Arial"/>
                  <w:sz w:val="18"/>
                  <w:szCs w:val="18"/>
                  <w:color w:val="0000FF"/>
                </w:rPr>
                <w:t>Registration Statement on Form S-1/A filed with the SEC on October 21,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4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FF"/>
                <w:w w:val="91"/>
              </w:rPr>
            </w:pPr>
            <w:hyperlink r:id="rId147">
              <w:r>
                <w:rPr>
                  <w:rFonts w:ascii="Arial" w:cs="Arial" w:eastAsia="Arial" w:hAnsi="Arial"/>
                  <w:sz w:val="18"/>
                  <w:szCs w:val="18"/>
                  <w:color w:val="0000FF"/>
                  <w:w w:val="91"/>
                </w:rPr>
                <w:t>Eleventh Amended and Restated Investor Rights Agreement, by and among Biodesix, Inc. and the investors listed on Exhibit</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4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w w:val="95"/>
              </w:rPr>
            </w:pPr>
            <w:hyperlink r:id="rId147">
              <w:r>
                <w:rPr>
                  <w:rFonts w:ascii="Arial" w:cs="Arial" w:eastAsia="Arial" w:hAnsi="Arial"/>
                  <w:sz w:val="18"/>
                  <w:szCs w:val="18"/>
                  <w:color w:val="0000FF"/>
                  <w:w w:val="95"/>
                </w:rPr>
                <w:t>A thereto, dated October 10, 2018 (incorporated by reference to Exhibit 4.2 to the Company’s Registration Statement on</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4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rPr>
            </w:pPr>
            <w:hyperlink r:id="rId147">
              <w:r>
                <w:rPr>
                  <w:rFonts w:ascii="Arial" w:cs="Arial" w:eastAsia="Arial" w:hAnsi="Arial"/>
                  <w:sz w:val="18"/>
                  <w:szCs w:val="18"/>
                  <w:color w:val="0000FF"/>
                </w:rPr>
                <w:t>Form S-1 filed with the SEC on October 2,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4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FF"/>
                <w:w w:val="91"/>
              </w:rPr>
            </w:pPr>
            <w:hyperlink r:id="rId148">
              <w:r>
                <w:rPr>
                  <w:rFonts w:ascii="Arial" w:cs="Arial" w:eastAsia="Arial" w:hAnsi="Arial"/>
                  <w:sz w:val="18"/>
                  <w:szCs w:val="18"/>
                  <w:color w:val="0000FF"/>
                  <w:w w:val="91"/>
                </w:rPr>
                <w:t>Warrant held by Innovatus Life Sciences Lending Fund I, LP, to Purchase Series G Preferred Stock, dated February 23, 3018</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0" w:type="dxa"/>
            <w:vAlign w:val="bottom"/>
            <w:tcBorders>
              <w:left w:val="single" w:sz="8" w:color="0000FF"/>
            </w:tcBorders>
            <w:gridSpan w:val="3"/>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w w:val="97"/>
              </w:rPr>
            </w:pPr>
            <w:hyperlink r:id="rId148">
              <w:r>
                <w:rPr>
                  <w:rFonts w:ascii="Arial" w:cs="Arial" w:eastAsia="Arial" w:hAnsi="Arial"/>
                  <w:sz w:val="18"/>
                  <w:szCs w:val="18"/>
                  <w:color w:val="0000FF"/>
                  <w:w w:val="97"/>
                </w:rPr>
                <w:t>(incorporated by reference to Exhibit 4.3 to the Company’s Registration Statement on Form S-1 filed with the SEC on</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0" w:type="dxa"/>
            <w:vAlign w:val="bottom"/>
            <w:tcBorders>
              <w:left w:val="single" w:sz="8" w:color="0000FF"/>
            </w:tcBorders>
            <w:gridSpan w:val="3"/>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rPr>
            </w:pPr>
            <w:hyperlink r:id="rId148">
              <w:r>
                <w:rPr>
                  <w:rFonts w:ascii="Arial" w:cs="Arial" w:eastAsia="Arial" w:hAnsi="Arial"/>
                  <w:sz w:val="18"/>
                  <w:szCs w:val="18"/>
                  <w:color w:val="0000FF"/>
                </w:rPr>
                <w:t>October 2,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0" w:type="dxa"/>
            <w:vAlign w:val="bottom"/>
            <w:tcBorders>
              <w:left w:val="single" w:sz="8" w:color="0000EE"/>
            </w:tcBorders>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FF"/>
                <w:w w:val="92"/>
              </w:rPr>
            </w:pPr>
            <w:hyperlink r:id="rId149">
              <w:r>
                <w:rPr>
                  <w:rFonts w:ascii="Arial" w:cs="Arial" w:eastAsia="Arial" w:hAnsi="Arial"/>
                  <w:sz w:val="18"/>
                  <w:szCs w:val="18"/>
                  <w:color w:val="0000FF"/>
                  <w:w w:val="92"/>
                </w:rPr>
                <w:t>Description of Securities Registered Under Section 12 of the Securities Exchange Act of 1934 (incorporated by reference to</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rPr>
            </w:pPr>
            <w:hyperlink r:id="rId149">
              <w:r>
                <w:rPr>
                  <w:rFonts w:ascii="Arial" w:cs="Arial" w:eastAsia="Arial" w:hAnsi="Arial"/>
                  <w:sz w:val="18"/>
                  <w:szCs w:val="18"/>
                  <w:color w:val="0000FF"/>
                </w:rPr>
                <w:t>Exhibit 4.5 to the Company's Form 10-K filed with the SEC on March 16, 2021).</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FF"/>
                <w:w w:val="95"/>
              </w:rPr>
            </w:pPr>
            <w:hyperlink r:id="rId150">
              <w:r>
                <w:rPr>
                  <w:rFonts w:ascii="Arial" w:cs="Arial" w:eastAsia="Arial" w:hAnsi="Arial"/>
                  <w:sz w:val="18"/>
                  <w:szCs w:val="18"/>
                  <w:color w:val="0000FF"/>
                  <w:w w:val="95"/>
                </w:rPr>
                <w:t>Form of Note, dated November 21, 2022, issued by the Company to Perceptive Credit Holdings IV, LP. (incorporated by</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w w:val="93"/>
              </w:rPr>
            </w:pPr>
            <w:hyperlink r:id="rId150">
              <w:r>
                <w:rPr>
                  <w:rFonts w:ascii="Arial" w:cs="Arial" w:eastAsia="Arial" w:hAnsi="Arial"/>
                  <w:sz w:val="18"/>
                  <w:szCs w:val="18"/>
                  <w:color w:val="0000FF"/>
                  <w:w w:val="93"/>
                </w:rPr>
                <w:t>reference to Exhibit 4.1 and Exhibit 10.1 in the Company's current report on Form 8-K filed with the SEC on November 21,</w:t>
              </w:r>
            </w:hyperlink>
          </w:p>
        </w:tc>
      </w:tr>
      <w:tr>
        <w:trPr>
          <w:trHeight w:val="20"/>
        </w:trPr>
        <w:tc>
          <w:tcPr>
            <w:tcW w:w="880" w:type="dxa"/>
            <w:vAlign w:val="bottom"/>
          </w:tcPr>
          <w:p>
            <w:pPr>
              <w:spacing w:after="0" w:line="20" w:lineRule="exact"/>
              <w:rPr>
                <w:sz w:val="1"/>
                <w:szCs w:val="1"/>
                <w:color w:val="auto"/>
              </w:rPr>
            </w:pPr>
          </w:p>
        </w:tc>
        <w:tc>
          <w:tcPr>
            <w:tcW w:w="1240" w:type="dxa"/>
            <w:vAlign w:val="bottom"/>
            <w:tcBorders>
              <w:right w:val="single" w:sz="8" w:color="0000EE"/>
            </w:tcBorders>
            <w:gridSpan w:val="2"/>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460" w:type="dxa"/>
            <w:vAlign w:val="bottom"/>
          </w:tcPr>
          <w:p>
            <w:pPr>
              <w:spacing w:after="0" w:line="195" w:lineRule="exact"/>
              <w:rPr>
                <w:rFonts w:ascii="Arial" w:cs="Arial" w:eastAsia="Arial" w:hAnsi="Arial"/>
                <w:sz w:val="18"/>
                <w:szCs w:val="18"/>
                <w:color w:val="0000FF"/>
                <w:w w:val="82"/>
              </w:rPr>
            </w:pPr>
            <w:hyperlink r:id="rId150">
              <w:r>
                <w:rPr>
                  <w:rFonts w:ascii="Arial" w:cs="Arial" w:eastAsia="Arial" w:hAnsi="Arial"/>
                  <w:sz w:val="18"/>
                  <w:szCs w:val="18"/>
                  <w:color w:val="0000FF"/>
                  <w:w w:val="82"/>
                </w:rPr>
                <w:t>2022).</w:t>
              </w:r>
            </w:hyperlink>
          </w:p>
        </w:tc>
        <w:tc>
          <w:tcPr>
            <w:tcW w:w="7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FF"/>
                <w:w w:val="98"/>
              </w:rPr>
            </w:pPr>
            <w:hyperlink r:id="rId151">
              <w:r>
                <w:rPr>
                  <w:rFonts w:ascii="Arial" w:cs="Arial" w:eastAsia="Arial" w:hAnsi="Arial"/>
                  <w:sz w:val="18"/>
                  <w:szCs w:val="18"/>
                  <w:color w:val="0000FF"/>
                  <w:w w:val="98"/>
                </w:rPr>
                <w:t>Warrant to Purchase Stock, dated November 21, 2022, issued by the Company to Perceptive Credit Holdings IV, LP.</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w w:val="93"/>
              </w:rPr>
            </w:pPr>
            <w:hyperlink r:id="rId151">
              <w:r>
                <w:rPr>
                  <w:rFonts w:ascii="Arial" w:cs="Arial" w:eastAsia="Arial" w:hAnsi="Arial"/>
                  <w:sz w:val="18"/>
                  <w:szCs w:val="18"/>
                  <w:color w:val="0000FF"/>
                  <w:w w:val="93"/>
                </w:rPr>
                <w:t>(incorporated by reference to Exhibit 4.2 in the Company's current report on Form 8-K filed with the SEC on November 21,</w:t>
              </w:r>
            </w:hyperlink>
          </w:p>
        </w:tc>
      </w:tr>
      <w:tr>
        <w:trPr>
          <w:trHeight w:val="20"/>
        </w:trPr>
        <w:tc>
          <w:tcPr>
            <w:tcW w:w="880" w:type="dxa"/>
            <w:vAlign w:val="bottom"/>
          </w:tcPr>
          <w:p>
            <w:pPr>
              <w:spacing w:after="0" w:line="20" w:lineRule="exact"/>
              <w:rPr>
                <w:sz w:val="1"/>
                <w:szCs w:val="1"/>
                <w:color w:val="auto"/>
              </w:rPr>
            </w:pPr>
          </w:p>
        </w:tc>
        <w:tc>
          <w:tcPr>
            <w:tcW w:w="1240" w:type="dxa"/>
            <w:vAlign w:val="bottom"/>
            <w:tcBorders>
              <w:right w:val="single" w:sz="8" w:color="0000EE"/>
            </w:tcBorders>
            <w:gridSpan w:val="2"/>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460" w:type="dxa"/>
            <w:vAlign w:val="bottom"/>
          </w:tcPr>
          <w:p>
            <w:pPr>
              <w:spacing w:after="0" w:line="195" w:lineRule="exact"/>
              <w:rPr>
                <w:rFonts w:ascii="Arial" w:cs="Arial" w:eastAsia="Arial" w:hAnsi="Arial"/>
                <w:sz w:val="18"/>
                <w:szCs w:val="18"/>
                <w:color w:val="0000FF"/>
                <w:w w:val="82"/>
              </w:rPr>
            </w:pPr>
            <w:hyperlink r:id="rId151">
              <w:r>
                <w:rPr>
                  <w:rFonts w:ascii="Arial" w:cs="Arial" w:eastAsia="Arial" w:hAnsi="Arial"/>
                  <w:sz w:val="18"/>
                  <w:szCs w:val="18"/>
                  <w:color w:val="0000FF"/>
                  <w:w w:val="82"/>
                </w:rPr>
                <w:t>2022).</w:t>
              </w:r>
            </w:hyperlink>
          </w:p>
        </w:tc>
        <w:tc>
          <w:tcPr>
            <w:tcW w:w="7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FF"/>
                <w:w w:val="90"/>
              </w:rPr>
            </w:pPr>
            <w:hyperlink r:id="rId152">
              <w:r>
                <w:rPr>
                  <w:rFonts w:ascii="Arial" w:cs="Arial" w:eastAsia="Arial" w:hAnsi="Arial"/>
                  <w:sz w:val="18"/>
                  <w:szCs w:val="18"/>
                  <w:color w:val="0000FF"/>
                  <w:w w:val="90"/>
                </w:rPr>
                <w:t>Biodesix, Inc. Amended and Restated 2006 Employee, Director and Consultant Stock Plan, as amended to date (incorporated</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w w:val="97"/>
              </w:rPr>
            </w:pPr>
            <w:hyperlink r:id="rId152">
              <w:r>
                <w:rPr>
                  <w:rFonts w:ascii="Arial" w:cs="Arial" w:eastAsia="Arial" w:hAnsi="Arial"/>
                  <w:sz w:val="18"/>
                  <w:szCs w:val="18"/>
                  <w:color w:val="0000FF"/>
                  <w:w w:val="97"/>
                </w:rPr>
                <w:t>by reference to Exhibit 10.1 to the Company’s Registration Statement on Form S-1/A filed with the SEC on October 9,</w:t>
              </w:r>
            </w:hyperlink>
          </w:p>
        </w:tc>
      </w:tr>
      <w:tr>
        <w:trPr>
          <w:trHeight w:val="20"/>
        </w:trPr>
        <w:tc>
          <w:tcPr>
            <w:tcW w:w="880" w:type="dxa"/>
            <w:vAlign w:val="bottom"/>
          </w:tcPr>
          <w:p>
            <w:pPr>
              <w:spacing w:after="0" w:line="20" w:lineRule="exact"/>
              <w:rPr>
                <w:sz w:val="1"/>
                <w:szCs w:val="1"/>
                <w:color w:val="auto"/>
              </w:rPr>
            </w:pPr>
          </w:p>
        </w:tc>
        <w:tc>
          <w:tcPr>
            <w:tcW w:w="1240" w:type="dxa"/>
            <w:vAlign w:val="bottom"/>
            <w:tcBorders>
              <w:right w:val="single" w:sz="8" w:color="0000EE"/>
            </w:tcBorders>
            <w:gridSpan w:val="2"/>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460" w:type="dxa"/>
            <w:vAlign w:val="bottom"/>
          </w:tcPr>
          <w:p>
            <w:pPr>
              <w:spacing w:after="0" w:line="195" w:lineRule="exact"/>
              <w:rPr>
                <w:rFonts w:ascii="Arial" w:cs="Arial" w:eastAsia="Arial" w:hAnsi="Arial"/>
                <w:sz w:val="18"/>
                <w:szCs w:val="18"/>
                <w:color w:val="0000FF"/>
                <w:w w:val="82"/>
              </w:rPr>
            </w:pPr>
            <w:hyperlink r:id="rId152">
              <w:r>
                <w:rPr>
                  <w:rFonts w:ascii="Arial" w:cs="Arial" w:eastAsia="Arial" w:hAnsi="Arial"/>
                  <w:sz w:val="18"/>
                  <w:szCs w:val="18"/>
                  <w:color w:val="0000FF"/>
                  <w:w w:val="82"/>
                </w:rPr>
                <w:t>2020).</w:t>
              </w:r>
            </w:hyperlink>
          </w:p>
        </w:tc>
        <w:tc>
          <w:tcPr>
            <w:tcW w:w="7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FF"/>
                <w:w w:val="93"/>
              </w:rPr>
            </w:pPr>
            <w:hyperlink r:id="rId153">
              <w:r>
                <w:rPr>
                  <w:rFonts w:ascii="Arial" w:cs="Arial" w:eastAsia="Arial" w:hAnsi="Arial"/>
                  <w:sz w:val="18"/>
                  <w:szCs w:val="18"/>
                  <w:color w:val="0000FF"/>
                  <w:w w:val="93"/>
                </w:rPr>
                <w:t>Form of Stock Option Grant Notice under the Amended and Restated 2006 Employee, Director and Consultant Stock Plan</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w w:val="93"/>
              </w:rPr>
            </w:pPr>
            <w:hyperlink r:id="rId153">
              <w:r>
                <w:rPr>
                  <w:rFonts w:ascii="Arial" w:cs="Arial" w:eastAsia="Arial" w:hAnsi="Arial"/>
                  <w:sz w:val="18"/>
                  <w:szCs w:val="18"/>
                  <w:color w:val="0000FF"/>
                  <w:w w:val="93"/>
                </w:rPr>
                <w:t>(incorporated by reference to Exhibit 10.2.1 to the Company’s Registration Statement on Form S-1/A filed with the SEC on</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rPr>
            </w:pPr>
            <w:hyperlink r:id="rId153">
              <w:r>
                <w:rPr>
                  <w:rFonts w:ascii="Arial" w:cs="Arial" w:eastAsia="Arial" w:hAnsi="Arial"/>
                  <w:sz w:val="18"/>
                  <w:szCs w:val="18"/>
                  <w:color w:val="0000FF"/>
                </w:rPr>
                <w:t>October 9,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FF"/>
              </w:rPr>
            </w:pPr>
            <w:hyperlink r:id="rId154">
              <w:r>
                <w:rPr>
                  <w:rFonts w:ascii="Arial" w:cs="Arial" w:eastAsia="Arial" w:hAnsi="Arial"/>
                  <w:sz w:val="18"/>
                  <w:szCs w:val="18"/>
                  <w:color w:val="0000FF"/>
                </w:rPr>
                <w:t>Form of Option Agreement under the Amended and Restated 2006 Employee, Director and Consultant Stock Plan</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w w:val="93"/>
              </w:rPr>
            </w:pPr>
            <w:hyperlink r:id="rId154">
              <w:r>
                <w:rPr>
                  <w:rFonts w:ascii="Arial" w:cs="Arial" w:eastAsia="Arial" w:hAnsi="Arial"/>
                  <w:sz w:val="18"/>
                  <w:szCs w:val="18"/>
                  <w:color w:val="0000FF"/>
                  <w:w w:val="93"/>
                </w:rPr>
                <w:t>(incorporated by reference to Exhibit 10.2.2 to the Company’s Registration Statement on Form S-1/A filed with the SEC on</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rPr>
            </w:pPr>
            <w:hyperlink r:id="rId154">
              <w:r>
                <w:rPr>
                  <w:rFonts w:ascii="Arial" w:cs="Arial" w:eastAsia="Arial" w:hAnsi="Arial"/>
                  <w:sz w:val="18"/>
                  <w:szCs w:val="18"/>
                  <w:color w:val="0000FF"/>
                </w:rPr>
                <w:t>October 9,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FF"/>
              </w:rPr>
            </w:pPr>
            <w:hyperlink r:id="rId155">
              <w:r>
                <w:rPr>
                  <w:rFonts w:ascii="Arial" w:cs="Arial" w:eastAsia="Arial" w:hAnsi="Arial"/>
                  <w:sz w:val="18"/>
                  <w:szCs w:val="18"/>
                  <w:color w:val="0000FF"/>
                </w:rPr>
                <w:t>Form of Notice of Exercise under the Amended and Restated 2006 Employee, Director and Consultant Stock Plan</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w w:val="93"/>
              </w:rPr>
            </w:pPr>
            <w:hyperlink r:id="rId155">
              <w:r>
                <w:rPr>
                  <w:rFonts w:ascii="Arial" w:cs="Arial" w:eastAsia="Arial" w:hAnsi="Arial"/>
                  <w:sz w:val="18"/>
                  <w:szCs w:val="18"/>
                  <w:color w:val="0000FF"/>
                  <w:w w:val="93"/>
                </w:rPr>
                <w:t>(incorporated by reference to Exhibit 10.2.3 to the Company’s Registration Statement on Form S-1/A filed with the SEC on</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rPr>
            </w:pPr>
            <w:hyperlink r:id="rId155">
              <w:r>
                <w:rPr>
                  <w:rFonts w:ascii="Arial" w:cs="Arial" w:eastAsia="Arial" w:hAnsi="Arial"/>
                  <w:sz w:val="18"/>
                  <w:szCs w:val="18"/>
                  <w:color w:val="0000FF"/>
                </w:rPr>
                <w:t>October 9,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600" w:type="dxa"/>
            <w:vAlign w:val="bottom"/>
            <w:tcBorders>
              <w:left w:val="single" w:sz="8" w:color="0000EE"/>
            </w:tcBorders>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FF"/>
                <w:w w:val="93"/>
              </w:rPr>
            </w:pPr>
            <w:hyperlink r:id="rId156">
              <w:r>
                <w:rPr>
                  <w:rFonts w:ascii="Arial" w:cs="Arial" w:eastAsia="Arial" w:hAnsi="Arial"/>
                  <w:sz w:val="18"/>
                  <w:szCs w:val="18"/>
                  <w:color w:val="0000FF"/>
                  <w:w w:val="93"/>
                </w:rPr>
                <w:t>Biodesix, Inc. 2016 Equity Incentive Plan, as amended to date (incorporated by reference to Exhibit 10.3 to the Company’s</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rPr>
            </w:pPr>
            <w:hyperlink r:id="rId156">
              <w:r>
                <w:rPr>
                  <w:rFonts w:ascii="Arial" w:cs="Arial" w:eastAsia="Arial" w:hAnsi="Arial"/>
                  <w:sz w:val="18"/>
                  <w:szCs w:val="18"/>
                  <w:color w:val="0000FF"/>
                </w:rPr>
                <w:t>Registration Statement on Form S-1 filed with the SEC on October 2,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Arial" w:cs="Arial" w:eastAsia="Arial" w:hAnsi="Arial"/>
                <w:sz w:val="18"/>
                <w:szCs w:val="18"/>
                <w:color w:val="auto"/>
              </w:rPr>
              <w:t>10.4.1+**</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FF"/>
                <w:w w:val="93"/>
              </w:rPr>
            </w:pPr>
            <w:hyperlink r:id="rId157">
              <w:r>
                <w:rPr>
                  <w:rFonts w:ascii="Arial" w:cs="Arial" w:eastAsia="Arial" w:hAnsi="Arial"/>
                  <w:sz w:val="18"/>
                  <w:szCs w:val="18"/>
                  <w:color w:val="0000FF"/>
                  <w:w w:val="93"/>
                </w:rPr>
                <w:t>Form of Stock Option Grant Notice under the 2016 Equity Incentive Plan (incorporated by reference to Exhibit 10.4.1 to the</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1720" w:type="dxa"/>
            <w:vAlign w:val="bottom"/>
            <w:tcBorders>
              <w:right w:val="single" w:sz="8" w:color="0000FF"/>
            </w:tcBorders>
            <w:gridSpan w:val="4"/>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rPr>
            </w:pPr>
            <w:hyperlink r:id="rId157">
              <w:r>
                <w:rPr>
                  <w:rFonts w:ascii="Arial" w:cs="Arial" w:eastAsia="Arial" w:hAnsi="Arial"/>
                  <w:sz w:val="18"/>
                  <w:szCs w:val="18"/>
                  <w:color w:val="0000FF"/>
                </w:rPr>
                <w:t>Company’s Registration Statement on Form S-1/A filed with the SEC on October 9,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1720" w:type="dxa"/>
            <w:vAlign w:val="bottom"/>
            <w:tcBorders>
              <w:right w:val="single" w:sz="8" w:color="0000EE"/>
            </w:tcBorders>
            <w:gridSpan w:val="4"/>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Arial" w:cs="Arial" w:eastAsia="Arial" w:hAnsi="Arial"/>
                <w:sz w:val="18"/>
                <w:szCs w:val="18"/>
                <w:color w:val="auto"/>
              </w:rPr>
              <w:t>10.4.2+**</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FF"/>
                <w:w w:val="99"/>
              </w:rPr>
            </w:pPr>
            <w:hyperlink r:id="rId158">
              <w:r>
                <w:rPr>
                  <w:rFonts w:ascii="Arial" w:cs="Arial" w:eastAsia="Arial" w:hAnsi="Arial"/>
                  <w:sz w:val="18"/>
                  <w:szCs w:val="18"/>
                  <w:color w:val="0000FF"/>
                  <w:w w:val="99"/>
                </w:rPr>
                <w:t>Form of Option Agreement under the 2016 Equity Incentive Plan (incorporated by reference to Exhibit 10.4.2 to the</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4160" w:type="dxa"/>
            <w:vAlign w:val="bottom"/>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rPr>
            </w:pPr>
            <w:hyperlink r:id="rId158">
              <w:r>
                <w:rPr>
                  <w:rFonts w:ascii="Arial" w:cs="Arial" w:eastAsia="Arial" w:hAnsi="Arial"/>
                  <w:sz w:val="18"/>
                  <w:szCs w:val="18"/>
                  <w:color w:val="0000FF"/>
                </w:rPr>
                <w:t>Company’s Registration Statement on Form S-1/A filed with the SEC on October 9,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1720" w:type="dxa"/>
            <w:vAlign w:val="bottom"/>
            <w:tcBorders>
              <w:right w:val="single" w:sz="8" w:color="0000EE"/>
            </w:tcBorders>
            <w:gridSpan w:val="4"/>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Arial" w:cs="Arial" w:eastAsia="Arial" w:hAnsi="Arial"/>
                <w:sz w:val="18"/>
                <w:szCs w:val="18"/>
                <w:color w:val="auto"/>
              </w:rPr>
              <w:t>10.4.3+**</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FF"/>
                <w:w w:val="99"/>
              </w:rPr>
            </w:pPr>
            <w:hyperlink r:id="rId159">
              <w:r>
                <w:rPr>
                  <w:rFonts w:ascii="Arial" w:cs="Arial" w:eastAsia="Arial" w:hAnsi="Arial"/>
                  <w:sz w:val="18"/>
                  <w:szCs w:val="18"/>
                  <w:color w:val="0000FF"/>
                  <w:w w:val="99"/>
                </w:rPr>
                <w:t>Form of Notice of Exercise under the 2016 Equity Incentive Plan (incorporated by reference to Exhibit 10.4.3 to the</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4160" w:type="dxa"/>
            <w:vAlign w:val="bottom"/>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rPr>
            </w:pPr>
            <w:hyperlink r:id="rId159">
              <w:r>
                <w:rPr>
                  <w:rFonts w:ascii="Arial" w:cs="Arial" w:eastAsia="Arial" w:hAnsi="Arial"/>
                  <w:sz w:val="18"/>
                  <w:szCs w:val="18"/>
                  <w:color w:val="0000FF"/>
                </w:rPr>
                <w:t>Company’s Registration Statement on Form S-1/A filed with the SEC on October 9,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1720" w:type="dxa"/>
            <w:vAlign w:val="bottom"/>
            <w:tcBorders>
              <w:right w:val="single" w:sz="8" w:color="0000EE"/>
            </w:tcBorders>
            <w:gridSpan w:val="4"/>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FF"/>
              </w:rPr>
            </w:pPr>
            <w:hyperlink r:id="rId160">
              <w:r>
                <w:rPr>
                  <w:rFonts w:ascii="Arial" w:cs="Arial" w:eastAsia="Arial" w:hAnsi="Arial"/>
                  <w:sz w:val="18"/>
                  <w:szCs w:val="18"/>
                  <w:color w:val="0000FF"/>
                </w:rPr>
                <w:t>Biodesix, Inc. 2020 Equity Incentive Plan (incorporated by reference to Exhibit 10.5 to the Company’s Registration</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4160" w:type="dxa"/>
            <w:vAlign w:val="bottom"/>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20" w:type="dxa"/>
            <w:vAlign w:val="bottom"/>
            <w:gridSpan w:val="13"/>
          </w:tcPr>
          <w:p>
            <w:pPr>
              <w:spacing w:after="0" w:line="195" w:lineRule="exact"/>
              <w:rPr>
                <w:rFonts w:ascii="Arial" w:cs="Arial" w:eastAsia="Arial" w:hAnsi="Arial"/>
                <w:sz w:val="18"/>
                <w:szCs w:val="18"/>
                <w:color w:val="0000FF"/>
              </w:rPr>
            </w:pPr>
            <w:hyperlink r:id="rId160">
              <w:r>
                <w:rPr>
                  <w:rFonts w:ascii="Arial" w:cs="Arial" w:eastAsia="Arial" w:hAnsi="Arial"/>
                  <w:sz w:val="18"/>
                  <w:szCs w:val="18"/>
                  <w:color w:val="0000FF"/>
                </w:rPr>
                <w:t>Statement on Form S-1/A filed with the SEC on October 26, 2020).</w:t>
              </w:r>
            </w:hyperlink>
          </w:p>
        </w:tc>
      </w:tr>
      <w:tr>
        <w:trPr>
          <w:trHeight w:val="573"/>
        </w:trPr>
        <w:tc>
          <w:tcPr>
            <w:tcW w:w="88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4560" w:type="dxa"/>
            <w:vAlign w:val="bottom"/>
            <w:tcBorders>
              <w:top w:val="single" w:sz="8" w:color="0000FF"/>
            </w:tcBorders>
            <w:gridSpan w:val="4"/>
          </w:tcPr>
          <w:p>
            <w:pPr>
              <w:jc w:val="right"/>
              <w:ind w:right="920"/>
              <w:spacing w:after="0"/>
              <w:rPr>
                <w:sz w:val="20"/>
                <w:szCs w:val="20"/>
                <w:color w:val="auto"/>
              </w:rPr>
            </w:pPr>
            <w:r>
              <w:rPr>
                <w:rFonts w:ascii="Arial" w:cs="Arial" w:eastAsia="Arial" w:hAnsi="Arial"/>
                <w:sz w:val="18"/>
                <w:szCs w:val="18"/>
                <w:color w:val="auto"/>
              </w:rPr>
              <w:t>101</w:t>
            </w:r>
          </w:p>
        </w:tc>
        <w:tc>
          <w:tcPr>
            <w:tcW w:w="2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2120" w:type="dxa"/>
            <w:vAlign w:val="bottom"/>
          </w:tcPr>
          <w:p>
            <w:pPr>
              <w:ind w:left="100"/>
              <w:spacing w:after="0"/>
              <w:rPr>
                <w:sz w:val="20"/>
                <w:szCs w:val="20"/>
                <w:color w:val="auto"/>
              </w:rPr>
            </w:pPr>
            <w:r>
              <w:rPr>
                <w:rFonts w:ascii="Arial" w:cs="Arial" w:eastAsia="Arial" w:hAnsi="Arial"/>
                <w:sz w:val="18"/>
                <w:szCs w:val="18"/>
                <w:color w:val="auto"/>
              </w:rPr>
              <w:t>10.5.1+**</w:t>
            </w:r>
          </w:p>
        </w:tc>
        <w:tc>
          <w:tcPr>
            <w:tcW w:w="9120" w:type="dxa"/>
            <w:vAlign w:val="bottom"/>
            <w:gridSpan w:val="14"/>
          </w:tcPr>
          <w:p>
            <w:pPr>
              <w:spacing w:after="0"/>
              <w:rPr>
                <w:rFonts w:ascii="Arial" w:cs="Arial" w:eastAsia="Arial" w:hAnsi="Arial"/>
                <w:sz w:val="18"/>
                <w:szCs w:val="18"/>
                <w:color w:val="0000FF"/>
                <w:w w:val="98"/>
              </w:rPr>
            </w:pPr>
            <w:hyperlink r:id="rId163">
              <w:r>
                <w:rPr>
                  <w:rFonts w:ascii="Arial" w:cs="Arial" w:eastAsia="Arial" w:hAnsi="Arial"/>
                  <w:sz w:val="18"/>
                  <w:szCs w:val="18"/>
                  <w:color w:val="0000FF"/>
                  <w:w w:val="98"/>
                </w:rPr>
                <w:t>Forms of Stock Option Grant Notice, Option Agreement and Notice of Exercise under the 2020 Equity Incentive Plan</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rPr>
            </w:pPr>
            <w:hyperlink r:id="rId163">
              <w:r>
                <w:rPr>
                  <w:rFonts w:ascii="Arial" w:cs="Arial" w:eastAsia="Arial" w:hAnsi="Arial"/>
                  <w:sz w:val="18"/>
                  <w:szCs w:val="18"/>
                  <w:color w:val="0000FF"/>
                </w:rPr>
                <w:t>(incorporated by reference to Exhibit 10.5.1 to the Company's Form 10-K filed with the SEC on March 16, 2021).</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10.5.2+**</w:t>
            </w:r>
          </w:p>
        </w:tc>
        <w:tc>
          <w:tcPr>
            <w:tcW w:w="9120" w:type="dxa"/>
            <w:vAlign w:val="bottom"/>
            <w:gridSpan w:val="14"/>
          </w:tcPr>
          <w:p>
            <w:pPr>
              <w:spacing w:after="0"/>
              <w:rPr>
                <w:rFonts w:ascii="Arial" w:cs="Arial" w:eastAsia="Arial" w:hAnsi="Arial"/>
                <w:sz w:val="18"/>
                <w:szCs w:val="18"/>
                <w:color w:val="0000FF"/>
              </w:rPr>
            </w:pPr>
            <w:hyperlink r:id="rId164">
              <w:r>
                <w:rPr>
                  <w:rFonts w:ascii="Arial" w:cs="Arial" w:eastAsia="Arial" w:hAnsi="Arial"/>
                  <w:sz w:val="18"/>
                  <w:szCs w:val="18"/>
                  <w:color w:val="0000FF"/>
                </w:rPr>
                <w:t>Forms of Restricted Stock Unit Award Grant Notice and Award Agreement under the 2020 Equity Incentive Plan</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rPr>
            </w:pPr>
            <w:hyperlink r:id="rId164">
              <w:r>
                <w:rPr>
                  <w:rFonts w:ascii="Arial" w:cs="Arial" w:eastAsia="Arial" w:hAnsi="Arial"/>
                  <w:sz w:val="18"/>
                  <w:szCs w:val="18"/>
                  <w:color w:val="0000FF"/>
                </w:rPr>
                <w:t>(incorporated by reference to Exhibit 10.5.2 to the Company's Form 10-Q filed with the SEC on August 10, 2021).</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10.6+**</w:t>
            </w:r>
          </w:p>
        </w:tc>
        <w:tc>
          <w:tcPr>
            <w:tcW w:w="9120" w:type="dxa"/>
            <w:vAlign w:val="bottom"/>
            <w:gridSpan w:val="14"/>
          </w:tcPr>
          <w:p>
            <w:pPr>
              <w:spacing w:after="0"/>
              <w:rPr>
                <w:rFonts w:ascii="Arial" w:cs="Arial" w:eastAsia="Arial" w:hAnsi="Arial"/>
                <w:sz w:val="18"/>
                <w:szCs w:val="18"/>
                <w:color w:val="0000FF"/>
                <w:w w:val="91"/>
              </w:rPr>
            </w:pPr>
            <w:hyperlink r:id="rId165">
              <w:r>
                <w:rPr>
                  <w:rFonts w:ascii="Arial" w:cs="Arial" w:eastAsia="Arial" w:hAnsi="Arial"/>
                  <w:sz w:val="18"/>
                  <w:szCs w:val="18"/>
                  <w:color w:val="0000FF"/>
                  <w:w w:val="91"/>
                </w:rPr>
                <w:t>Biodesix, Inc. 2020 Employee Stock Purchase Plan (incorporated by reference to Exhibit 10.6 to the Company’s Registration</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rPr>
            </w:pPr>
            <w:hyperlink r:id="rId165">
              <w:r>
                <w:rPr>
                  <w:rFonts w:ascii="Arial" w:cs="Arial" w:eastAsia="Arial" w:hAnsi="Arial"/>
                  <w:sz w:val="18"/>
                  <w:szCs w:val="18"/>
                  <w:color w:val="0000FF"/>
                </w:rPr>
                <w:t>Statement on Form S-1/A filed with the SEC on October 26,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10.7.1+**</w:t>
            </w:r>
          </w:p>
        </w:tc>
        <w:tc>
          <w:tcPr>
            <w:tcW w:w="9120" w:type="dxa"/>
            <w:vAlign w:val="bottom"/>
            <w:gridSpan w:val="14"/>
          </w:tcPr>
          <w:p>
            <w:pPr>
              <w:spacing w:after="0"/>
              <w:rPr>
                <w:rFonts w:ascii="Arial" w:cs="Arial" w:eastAsia="Arial" w:hAnsi="Arial"/>
                <w:sz w:val="18"/>
                <w:szCs w:val="18"/>
                <w:color w:val="0000FF"/>
              </w:rPr>
            </w:pPr>
            <w:hyperlink r:id="rId166">
              <w:r>
                <w:rPr>
                  <w:rFonts w:ascii="Arial" w:cs="Arial" w:eastAsia="Arial" w:hAnsi="Arial"/>
                  <w:sz w:val="18"/>
                  <w:szCs w:val="18"/>
                  <w:color w:val="0000FF"/>
                </w:rPr>
                <w:t>Biodesix, Inc., First Amended Bonus-to-Options Program, adopted by the Board of Directors on October 15, 2010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w w:val="95"/>
              </w:rPr>
            </w:pPr>
            <w:hyperlink r:id="rId166">
              <w:r>
                <w:rPr>
                  <w:rFonts w:ascii="Arial" w:cs="Arial" w:eastAsia="Arial" w:hAnsi="Arial"/>
                  <w:sz w:val="18"/>
                  <w:szCs w:val="18"/>
                  <w:color w:val="0000FF"/>
                  <w:w w:val="95"/>
                </w:rPr>
                <w:t>(incorporated by reference to Exhibit 10.5.1 to the Company’s Registration Statement on Form S-1 filed with the SEC on</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rPr>
            </w:pPr>
            <w:hyperlink r:id="rId166">
              <w:r>
                <w:rPr>
                  <w:rFonts w:ascii="Arial" w:cs="Arial" w:eastAsia="Arial" w:hAnsi="Arial"/>
                  <w:sz w:val="18"/>
                  <w:szCs w:val="18"/>
                  <w:color w:val="0000FF"/>
                </w:rPr>
                <w:t>October 2,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10.7.2+**</w:t>
            </w:r>
          </w:p>
        </w:tc>
        <w:tc>
          <w:tcPr>
            <w:tcW w:w="9120" w:type="dxa"/>
            <w:vAlign w:val="bottom"/>
            <w:gridSpan w:val="14"/>
          </w:tcPr>
          <w:p>
            <w:pPr>
              <w:spacing w:after="0"/>
              <w:rPr>
                <w:rFonts w:ascii="Arial" w:cs="Arial" w:eastAsia="Arial" w:hAnsi="Arial"/>
                <w:sz w:val="18"/>
                <w:szCs w:val="18"/>
                <w:color w:val="0000FF"/>
              </w:rPr>
            </w:pPr>
            <w:hyperlink r:id="rId167">
              <w:r>
                <w:rPr>
                  <w:rFonts w:ascii="Arial" w:cs="Arial" w:eastAsia="Arial" w:hAnsi="Arial"/>
                  <w:sz w:val="18"/>
                  <w:szCs w:val="18"/>
                  <w:color w:val="0000FF"/>
                </w:rPr>
                <w:t>Biodesix, Inc., Second Amended Bonus-to-Options Program, adopted by the Board of Directors on June 21, 2011</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w w:val="95"/>
              </w:rPr>
            </w:pPr>
            <w:hyperlink r:id="rId167">
              <w:r>
                <w:rPr>
                  <w:rFonts w:ascii="Arial" w:cs="Arial" w:eastAsia="Arial" w:hAnsi="Arial"/>
                  <w:sz w:val="18"/>
                  <w:szCs w:val="18"/>
                  <w:color w:val="0000FF"/>
                  <w:w w:val="95"/>
                </w:rPr>
                <w:t>(incorporated by reference to Exhibit 10.5.2 to the Company’s Registration Statement on Form S-1 filed with the SEC on</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rPr>
            </w:pPr>
            <w:hyperlink r:id="rId167">
              <w:r>
                <w:rPr>
                  <w:rFonts w:ascii="Arial" w:cs="Arial" w:eastAsia="Arial" w:hAnsi="Arial"/>
                  <w:sz w:val="18"/>
                  <w:szCs w:val="18"/>
                  <w:color w:val="0000FF"/>
                </w:rPr>
                <w:t>October 2,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10.7.3+**</w:t>
            </w:r>
          </w:p>
        </w:tc>
        <w:tc>
          <w:tcPr>
            <w:tcW w:w="9120" w:type="dxa"/>
            <w:vAlign w:val="bottom"/>
            <w:gridSpan w:val="14"/>
          </w:tcPr>
          <w:p>
            <w:pPr>
              <w:spacing w:after="0"/>
              <w:rPr>
                <w:rFonts w:ascii="Arial" w:cs="Arial" w:eastAsia="Arial" w:hAnsi="Arial"/>
                <w:sz w:val="18"/>
                <w:szCs w:val="18"/>
                <w:color w:val="0000FF"/>
                <w:w w:val="98"/>
              </w:rPr>
            </w:pPr>
            <w:hyperlink r:id="rId168">
              <w:r>
                <w:rPr>
                  <w:rFonts w:ascii="Arial" w:cs="Arial" w:eastAsia="Arial" w:hAnsi="Arial"/>
                  <w:sz w:val="18"/>
                  <w:szCs w:val="18"/>
                  <w:color w:val="0000FF"/>
                  <w:w w:val="98"/>
                </w:rPr>
                <w:t>Biodesix, Inc., Third Amended Bonus-to-Options Program, adopted by the Board of Directors on December 31, 2015</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w w:val="95"/>
              </w:rPr>
            </w:pPr>
            <w:hyperlink r:id="rId168">
              <w:r>
                <w:rPr>
                  <w:rFonts w:ascii="Arial" w:cs="Arial" w:eastAsia="Arial" w:hAnsi="Arial"/>
                  <w:sz w:val="18"/>
                  <w:szCs w:val="18"/>
                  <w:color w:val="0000FF"/>
                  <w:w w:val="95"/>
                </w:rPr>
                <w:t>(incorporated by reference to Exhibit 10.5.3 to the Company’s Registration Statement on Form S-1 filed with the SEC on</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rPr>
            </w:pPr>
            <w:hyperlink r:id="rId168">
              <w:r>
                <w:rPr>
                  <w:rFonts w:ascii="Arial" w:cs="Arial" w:eastAsia="Arial" w:hAnsi="Arial"/>
                  <w:sz w:val="18"/>
                  <w:szCs w:val="18"/>
                  <w:color w:val="0000FF"/>
                </w:rPr>
                <w:t>October 2,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10.8.1+**</w:t>
            </w:r>
          </w:p>
        </w:tc>
        <w:tc>
          <w:tcPr>
            <w:tcW w:w="9120" w:type="dxa"/>
            <w:vAlign w:val="bottom"/>
            <w:gridSpan w:val="14"/>
          </w:tcPr>
          <w:p>
            <w:pPr>
              <w:spacing w:after="0"/>
              <w:rPr>
                <w:rFonts w:ascii="Arial" w:cs="Arial" w:eastAsia="Arial" w:hAnsi="Arial"/>
                <w:sz w:val="18"/>
                <w:szCs w:val="18"/>
                <w:color w:val="0000FF"/>
                <w:w w:val="93"/>
              </w:rPr>
            </w:pPr>
            <w:hyperlink r:id="rId169">
              <w:r>
                <w:rPr>
                  <w:rFonts w:ascii="Arial" w:cs="Arial" w:eastAsia="Arial" w:hAnsi="Arial"/>
                  <w:sz w:val="18"/>
                  <w:szCs w:val="18"/>
                  <w:color w:val="0000FF"/>
                  <w:w w:val="93"/>
                </w:rPr>
                <w:t>Biodesix, Inc. 2021 Senior Management Bonus to Equity Plan (incorporated by reference to Exhibit 10.1 to the Company’s</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rPr>
            </w:pPr>
            <w:hyperlink r:id="rId169">
              <w:r>
                <w:rPr>
                  <w:rFonts w:ascii="Arial" w:cs="Arial" w:eastAsia="Arial" w:hAnsi="Arial"/>
                  <w:sz w:val="18"/>
                  <w:szCs w:val="18"/>
                  <w:color w:val="0000FF"/>
                </w:rPr>
                <w:t>Quarterly Report on Form 10-Q filed with the SEC on August 4, 2022).</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right w:val="single" w:sz="8" w:color="0000EE"/>
            </w:tcBorders>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10.8.2+**</w:t>
            </w:r>
          </w:p>
        </w:tc>
        <w:tc>
          <w:tcPr>
            <w:tcW w:w="9120" w:type="dxa"/>
            <w:vAlign w:val="bottom"/>
            <w:gridSpan w:val="14"/>
          </w:tcPr>
          <w:p>
            <w:pPr>
              <w:spacing w:after="0"/>
              <w:rPr>
                <w:rFonts w:ascii="Arial" w:cs="Arial" w:eastAsia="Arial" w:hAnsi="Arial"/>
                <w:sz w:val="18"/>
                <w:szCs w:val="18"/>
                <w:color w:val="0000FF"/>
                <w:w w:val="92"/>
              </w:rPr>
            </w:pPr>
            <w:hyperlink r:id="rId170">
              <w:r>
                <w:rPr>
                  <w:rFonts w:ascii="Arial" w:cs="Arial" w:eastAsia="Arial" w:hAnsi="Arial"/>
                  <w:sz w:val="18"/>
                  <w:szCs w:val="18"/>
                  <w:color w:val="0000FF"/>
                  <w:w w:val="92"/>
                </w:rPr>
                <w:t>Amendment No. 1 to the Biodesix, Inc. 2021 Senior Management Bonus to Equity Plan (incorporated by reference to Exhibit</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494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rPr>
            </w:pPr>
            <w:hyperlink r:id="rId170">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Company’s Quarterly Report on Form 10-Q filed with the SEC on August 4, 2022).</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494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10.8.3+*</w:t>
            </w:r>
          </w:p>
        </w:tc>
        <w:tc>
          <w:tcPr>
            <w:tcW w:w="9120" w:type="dxa"/>
            <w:vAlign w:val="bottom"/>
            <w:gridSpan w:val="14"/>
          </w:tcPr>
          <w:p>
            <w:pPr>
              <w:spacing w:after="0"/>
              <w:rPr>
                <w:sz w:val="20"/>
                <w:szCs w:val="20"/>
                <w:color w:val="auto"/>
              </w:rPr>
            </w:pPr>
            <w:r>
              <w:rPr>
                <w:rFonts w:ascii="Arial" w:cs="Arial" w:eastAsia="Arial" w:hAnsi="Arial"/>
                <w:sz w:val="18"/>
                <w:szCs w:val="18"/>
                <w:color w:val="0000FF"/>
              </w:rPr>
              <w:t>Amendment No. 2 to the Biodesix, Inc. 2021 Senior Management Bonus to Equity Plan</w:t>
            </w:r>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4940" w:type="dxa"/>
            <w:vAlign w:val="bottom"/>
            <w:tcBorders>
              <w:right w:val="single" w:sz="8" w:color="0000EE"/>
            </w:tcBorders>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10.9.1+**</w:t>
            </w:r>
          </w:p>
        </w:tc>
        <w:tc>
          <w:tcPr>
            <w:tcW w:w="9120" w:type="dxa"/>
            <w:vAlign w:val="bottom"/>
            <w:gridSpan w:val="14"/>
          </w:tcPr>
          <w:p>
            <w:pPr>
              <w:spacing w:after="0"/>
              <w:rPr>
                <w:rFonts w:ascii="Arial" w:cs="Arial" w:eastAsia="Arial" w:hAnsi="Arial"/>
                <w:sz w:val="18"/>
                <w:szCs w:val="18"/>
                <w:color w:val="0000FF"/>
                <w:w w:val="97"/>
              </w:rPr>
            </w:pPr>
            <w:hyperlink r:id="rId171">
              <w:r>
                <w:rPr>
                  <w:rFonts w:ascii="Arial" w:cs="Arial" w:eastAsia="Arial" w:hAnsi="Arial"/>
                  <w:sz w:val="18"/>
                  <w:szCs w:val="18"/>
                  <w:color w:val="0000FF"/>
                  <w:w w:val="97"/>
                </w:rPr>
                <w:t>Form of Stock Option Grant Notice under the Biodesix, Inc. Bonus-To-Options Program (incorporated by reference to</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5640" w:type="dxa"/>
            <w:vAlign w:val="bottom"/>
            <w:tcBorders>
              <w:right w:val="single" w:sz="8" w:color="0000FF"/>
            </w:tcBorders>
            <w:gridSpan w:val="5"/>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rPr>
            </w:pPr>
            <w:hyperlink r:id="rId171">
              <w:r>
                <w:rPr>
                  <w:rFonts w:ascii="Arial" w:cs="Arial" w:eastAsia="Arial" w:hAnsi="Arial"/>
                  <w:sz w:val="18"/>
                  <w:szCs w:val="18"/>
                  <w:color w:val="0000FF"/>
                </w:rPr>
                <w:t>Exhibit 10.6.1 to the Company’s Registration Statement on Form S-1/A filed with the SEC on October 9,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5640" w:type="dxa"/>
            <w:vAlign w:val="bottom"/>
            <w:tcBorders>
              <w:right w:val="single" w:sz="8" w:color="0000FF"/>
            </w:tcBorders>
            <w:gridSpan w:val="5"/>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10.9.2+**</w:t>
            </w:r>
          </w:p>
        </w:tc>
        <w:tc>
          <w:tcPr>
            <w:tcW w:w="9120" w:type="dxa"/>
            <w:vAlign w:val="bottom"/>
            <w:gridSpan w:val="14"/>
          </w:tcPr>
          <w:p>
            <w:pPr>
              <w:spacing w:after="0"/>
              <w:rPr>
                <w:rFonts w:ascii="Arial" w:cs="Arial" w:eastAsia="Arial" w:hAnsi="Arial"/>
                <w:sz w:val="18"/>
                <w:szCs w:val="18"/>
                <w:color w:val="0000FF"/>
                <w:w w:val="92"/>
              </w:rPr>
            </w:pPr>
            <w:hyperlink r:id="rId172">
              <w:r>
                <w:rPr>
                  <w:rFonts w:ascii="Arial" w:cs="Arial" w:eastAsia="Arial" w:hAnsi="Arial"/>
                  <w:sz w:val="18"/>
                  <w:szCs w:val="18"/>
                  <w:color w:val="0000FF"/>
                  <w:w w:val="92"/>
                </w:rPr>
                <w:t>Form of Option Agreement under the Biodesix, Inc. Bonus-To-Options Program (incorporated by reference to Exhibit 10.6.2</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5640" w:type="dxa"/>
            <w:vAlign w:val="bottom"/>
            <w:tcBorders>
              <w:right w:val="single" w:sz="8" w:color="0000FF"/>
            </w:tcBorders>
            <w:gridSpan w:val="5"/>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rPr>
            </w:pPr>
            <w:hyperlink r:id="rId172">
              <w:r>
                <w:rPr>
                  <w:rFonts w:ascii="Arial" w:cs="Arial" w:eastAsia="Arial" w:hAnsi="Arial"/>
                  <w:sz w:val="18"/>
                  <w:szCs w:val="18"/>
                  <w:color w:val="0000FF"/>
                </w:rPr>
                <w:t>to the Company’s Registration Statement on Form S-1/A filed with the SEC on October 9,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5640" w:type="dxa"/>
            <w:vAlign w:val="bottom"/>
            <w:tcBorders>
              <w:right w:val="single" w:sz="8" w:color="0000EE"/>
            </w:tcBorders>
            <w:gridSpan w:val="5"/>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10.10+**</w:t>
            </w:r>
          </w:p>
        </w:tc>
        <w:tc>
          <w:tcPr>
            <w:tcW w:w="9120" w:type="dxa"/>
            <w:vAlign w:val="bottom"/>
            <w:gridSpan w:val="14"/>
          </w:tcPr>
          <w:p>
            <w:pPr>
              <w:spacing w:after="0"/>
              <w:rPr>
                <w:rFonts w:ascii="Arial" w:cs="Arial" w:eastAsia="Arial" w:hAnsi="Arial"/>
                <w:sz w:val="18"/>
                <w:szCs w:val="18"/>
                <w:color w:val="0000FF"/>
              </w:rPr>
            </w:pPr>
            <w:hyperlink r:id="rId173">
              <w:r>
                <w:rPr>
                  <w:rFonts w:ascii="Arial" w:cs="Arial" w:eastAsia="Arial" w:hAnsi="Arial"/>
                  <w:sz w:val="18"/>
                  <w:szCs w:val="18"/>
                  <w:color w:val="0000FF"/>
                </w:rPr>
                <w:t>Form of Indemnification Agreement, by and between Biodesix, Inc. and each of its directors and executive officers</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6720" w:type="dxa"/>
            <w:vAlign w:val="bottom"/>
            <w:tcBorders>
              <w:right w:val="single" w:sz="8" w:color="0000FF"/>
            </w:tcBorders>
            <w:gridSpan w:val="6"/>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w w:val="95"/>
              </w:rPr>
            </w:pPr>
            <w:hyperlink r:id="rId173">
              <w:r>
                <w:rPr>
                  <w:rFonts w:ascii="Arial" w:cs="Arial" w:eastAsia="Arial" w:hAnsi="Arial"/>
                  <w:sz w:val="18"/>
                  <w:szCs w:val="18"/>
                  <w:color w:val="0000FF"/>
                  <w:w w:val="95"/>
                </w:rPr>
                <w:t>(incorporated by reference to Exhibit 10.7 to the Company’s Registration Statement on Form S-1/A filed with the SEC on</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6720" w:type="dxa"/>
            <w:vAlign w:val="bottom"/>
            <w:tcBorders>
              <w:right w:val="single" w:sz="8" w:color="0000FF"/>
            </w:tcBorders>
            <w:gridSpan w:val="6"/>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rPr>
            </w:pPr>
            <w:hyperlink r:id="rId173">
              <w:r>
                <w:rPr>
                  <w:rFonts w:ascii="Arial" w:cs="Arial" w:eastAsia="Arial" w:hAnsi="Arial"/>
                  <w:sz w:val="18"/>
                  <w:szCs w:val="18"/>
                  <w:color w:val="0000FF"/>
                </w:rPr>
                <w:t>October 14,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6720" w:type="dxa"/>
            <w:vAlign w:val="bottom"/>
            <w:gridSpan w:val="6"/>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10.11.1†+**</w:t>
            </w:r>
          </w:p>
        </w:tc>
        <w:tc>
          <w:tcPr>
            <w:tcW w:w="9120" w:type="dxa"/>
            <w:vAlign w:val="bottom"/>
            <w:gridSpan w:val="14"/>
          </w:tcPr>
          <w:p>
            <w:pPr>
              <w:spacing w:after="0"/>
              <w:rPr>
                <w:rFonts w:ascii="Arial" w:cs="Arial" w:eastAsia="Arial" w:hAnsi="Arial"/>
                <w:sz w:val="18"/>
                <w:szCs w:val="18"/>
                <w:color w:val="0000FF"/>
                <w:w w:val="94"/>
              </w:rPr>
            </w:pPr>
            <w:hyperlink r:id="rId174">
              <w:r>
                <w:rPr>
                  <w:rFonts w:ascii="Arial" w:cs="Arial" w:eastAsia="Arial" w:hAnsi="Arial"/>
                  <w:sz w:val="18"/>
                  <w:szCs w:val="18"/>
                  <w:color w:val="0000FF"/>
                  <w:w w:val="94"/>
                </w:rPr>
                <w:t>Executive Employment Letter, by and between Biodesix, Inc. and Scott Hutton, dated February 16, 2018 (incorporated by</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8080" w:type="dxa"/>
            <w:vAlign w:val="bottom"/>
            <w:tcBorders>
              <w:right w:val="single" w:sz="8" w:color="0000FF"/>
            </w:tcBorders>
            <w:gridSpan w:val="8"/>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w w:val="94"/>
              </w:rPr>
            </w:pPr>
            <w:hyperlink r:id="rId174">
              <w:r>
                <w:rPr>
                  <w:rFonts w:ascii="Arial" w:cs="Arial" w:eastAsia="Arial" w:hAnsi="Arial"/>
                  <w:sz w:val="18"/>
                  <w:szCs w:val="18"/>
                  <w:color w:val="0000FF"/>
                  <w:w w:val="94"/>
                </w:rPr>
                <w:t>reference to Exhibit 10.9.1 to the Company’s Registration Statement on Form S-1 filed with the SEC on October 2,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8080" w:type="dxa"/>
            <w:vAlign w:val="bottom"/>
            <w:tcBorders>
              <w:right w:val="single" w:sz="8" w:color="0000FF"/>
            </w:tcBorders>
            <w:gridSpan w:val="8"/>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10.11.2†+**</w:t>
            </w:r>
          </w:p>
        </w:tc>
        <w:tc>
          <w:tcPr>
            <w:tcW w:w="9120" w:type="dxa"/>
            <w:vAlign w:val="bottom"/>
            <w:gridSpan w:val="14"/>
          </w:tcPr>
          <w:p>
            <w:pPr>
              <w:spacing w:after="0"/>
              <w:rPr>
                <w:rFonts w:ascii="Arial" w:cs="Arial" w:eastAsia="Arial" w:hAnsi="Arial"/>
                <w:sz w:val="18"/>
                <w:szCs w:val="18"/>
                <w:color w:val="0000FF"/>
                <w:w w:val="94"/>
              </w:rPr>
            </w:pPr>
            <w:hyperlink r:id="rId175">
              <w:r>
                <w:rPr>
                  <w:rFonts w:ascii="Arial" w:cs="Arial" w:eastAsia="Arial" w:hAnsi="Arial"/>
                  <w:sz w:val="18"/>
                  <w:szCs w:val="18"/>
                  <w:color w:val="0000FF"/>
                  <w:w w:val="94"/>
                </w:rPr>
                <w:t>Executive Employment Letter, by and between Biodesix, Inc. and Scott Hutton, dated February 23, 2020 (incorporated by</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8080" w:type="dxa"/>
            <w:vAlign w:val="bottom"/>
            <w:tcBorders>
              <w:right w:val="single" w:sz="8" w:color="0000FF"/>
            </w:tcBorders>
            <w:gridSpan w:val="8"/>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w w:val="94"/>
              </w:rPr>
            </w:pPr>
            <w:hyperlink r:id="rId175">
              <w:r>
                <w:rPr>
                  <w:rFonts w:ascii="Arial" w:cs="Arial" w:eastAsia="Arial" w:hAnsi="Arial"/>
                  <w:sz w:val="18"/>
                  <w:szCs w:val="18"/>
                  <w:color w:val="0000FF"/>
                  <w:w w:val="94"/>
                </w:rPr>
                <w:t>reference to Exhibit 10.9.2 to the Company’s Registration Statement on Form S-1 filed with the SEC on October 2,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8080" w:type="dxa"/>
            <w:vAlign w:val="bottom"/>
            <w:tcBorders>
              <w:right w:val="single" w:sz="8" w:color="0000FF"/>
            </w:tcBorders>
            <w:gridSpan w:val="8"/>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10.12.1†+**</w:t>
            </w:r>
          </w:p>
        </w:tc>
        <w:tc>
          <w:tcPr>
            <w:tcW w:w="9120" w:type="dxa"/>
            <w:vAlign w:val="bottom"/>
            <w:gridSpan w:val="14"/>
          </w:tcPr>
          <w:p>
            <w:pPr>
              <w:spacing w:after="0"/>
              <w:rPr>
                <w:rFonts w:ascii="Arial" w:cs="Arial" w:eastAsia="Arial" w:hAnsi="Arial"/>
                <w:sz w:val="18"/>
                <w:szCs w:val="18"/>
                <w:color w:val="0000FF"/>
                <w:w w:val="98"/>
              </w:rPr>
            </w:pPr>
            <w:hyperlink r:id="rId176">
              <w:r>
                <w:rPr>
                  <w:rFonts w:ascii="Arial" w:cs="Arial" w:eastAsia="Arial" w:hAnsi="Arial"/>
                  <w:sz w:val="18"/>
                  <w:szCs w:val="18"/>
                  <w:color w:val="0000FF"/>
                  <w:w w:val="98"/>
                </w:rPr>
                <w:t>Employment Letter, by and between Biodesix, Inc. and Robin Harper Cowie, dated March 11, 2011 (incorporated by</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8080" w:type="dxa"/>
            <w:vAlign w:val="bottom"/>
            <w:tcBorders>
              <w:right w:val="single" w:sz="8" w:color="0000FF"/>
            </w:tcBorders>
            <w:gridSpan w:val="8"/>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w w:val="93"/>
              </w:rPr>
            </w:pPr>
            <w:hyperlink r:id="rId176">
              <w:r>
                <w:rPr>
                  <w:rFonts w:ascii="Arial" w:cs="Arial" w:eastAsia="Arial" w:hAnsi="Arial"/>
                  <w:sz w:val="18"/>
                  <w:szCs w:val="18"/>
                  <w:color w:val="0000FF"/>
                  <w:w w:val="93"/>
                </w:rPr>
                <w:t>reference to Exhibit 10.10.1 to the Company’s Registration Statement on Form S-1 filed with the SEC on October 2,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8080" w:type="dxa"/>
            <w:vAlign w:val="bottom"/>
            <w:tcBorders>
              <w:right w:val="single" w:sz="8" w:color="0000FF"/>
            </w:tcBorders>
            <w:gridSpan w:val="8"/>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10.12.2†+**</w:t>
            </w:r>
          </w:p>
        </w:tc>
        <w:tc>
          <w:tcPr>
            <w:tcW w:w="9120" w:type="dxa"/>
            <w:vAlign w:val="bottom"/>
            <w:gridSpan w:val="14"/>
          </w:tcPr>
          <w:p>
            <w:pPr>
              <w:spacing w:after="0"/>
              <w:rPr>
                <w:rFonts w:ascii="Arial" w:cs="Arial" w:eastAsia="Arial" w:hAnsi="Arial"/>
                <w:sz w:val="18"/>
                <w:szCs w:val="18"/>
                <w:color w:val="0000FF"/>
              </w:rPr>
            </w:pPr>
            <w:hyperlink r:id="rId177">
              <w:r>
                <w:rPr>
                  <w:rFonts w:ascii="Arial" w:cs="Arial" w:eastAsia="Arial" w:hAnsi="Arial"/>
                  <w:sz w:val="18"/>
                  <w:szCs w:val="18"/>
                  <w:color w:val="0000FF"/>
                </w:rPr>
                <w:t>Executive Employment Letter, by and between Biodesix, Inc. and Robin Harper Cowie, dated February 23,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8080" w:type="dxa"/>
            <w:vAlign w:val="bottom"/>
            <w:tcBorders>
              <w:right w:val="single" w:sz="8" w:color="0000FF"/>
            </w:tcBorders>
            <w:gridSpan w:val="8"/>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w w:val="94"/>
              </w:rPr>
            </w:pPr>
            <w:hyperlink r:id="rId177">
              <w:r>
                <w:rPr>
                  <w:rFonts w:ascii="Arial" w:cs="Arial" w:eastAsia="Arial" w:hAnsi="Arial"/>
                  <w:sz w:val="18"/>
                  <w:szCs w:val="18"/>
                  <w:color w:val="0000FF"/>
                  <w:w w:val="94"/>
                </w:rPr>
                <w:t>(incorporated by reference to Exhibit 10.10.2 to the Company’s Registration Statement on Form S-1 filed with the SEC on</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8080" w:type="dxa"/>
            <w:vAlign w:val="bottom"/>
            <w:tcBorders>
              <w:right w:val="single" w:sz="8" w:color="0000FF"/>
            </w:tcBorders>
            <w:gridSpan w:val="8"/>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rPr>
            </w:pPr>
            <w:hyperlink r:id="rId177">
              <w:r>
                <w:rPr>
                  <w:rFonts w:ascii="Arial" w:cs="Arial" w:eastAsia="Arial" w:hAnsi="Arial"/>
                  <w:sz w:val="18"/>
                  <w:szCs w:val="18"/>
                  <w:color w:val="0000FF"/>
                </w:rPr>
                <w:t>October 2,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6820" w:type="dxa"/>
            <w:vAlign w:val="bottom"/>
            <w:gridSpan w:val="7"/>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10.13+**</w:t>
            </w:r>
          </w:p>
        </w:tc>
        <w:tc>
          <w:tcPr>
            <w:tcW w:w="9120" w:type="dxa"/>
            <w:vAlign w:val="bottom"/>
            <w:gridSpan w:val="14"/>
          </w:tcPr>
          <w:p>
            <w:pPr>
              <w:spacing w:after="0"/>
              <w:rPr>
                <w:rFonts w:ascii="Arial" w:cs="Arial" w:eastAsia="Arial" w:hAnsi="Arial"/>
                <w:sz w:val="18"/>
                <w:szCs w:val="18"/>
                <w:color w:val="0000FF"/>
                <w:w w:val="98"/>
              </w:rPr>
            </w:pPr>
            <w:hyperlink r:id="rId178">
              <w:r>
                <w:rPr>
                  <w:rFonts w:ascii="Arial" w:cs="Arial" w:eastAsia="Arial" w:hAnsi="Arial"/>
                  <w:sz w:val="18"/>
                  <w:szCs w:val="18"/>
                  <w:color w:val="0000FF"/>
                  <w:w w:val="98"/>
                </w:rPr>
                <w:t>Consulting Agreement, by and between David Brunel and Biodesix, Inc., dated September 19, 2020 (incorporated by</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8080" w:type="dxa"/>
            <w:vAlign w:val="bottom"/>
            <w:tcBorders>
              <w:right w:val="single" w:sz="8" w:color="0000FF"/>
            </w:tcBorders>
            <w:gridSpan w:val="8"/>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w w:val="94"/>
              </w:rPr>
            </w:pPr>
            <w:hyperlink r:id="rId178">
              <w:r>
                <w:rPr>
                  <w:rFonts w:ascii="Arial" w:cs="Arial" w:eastAsia="Arial" w:hAnsi="Arial"/>
                  <w:sz w:val="18"/>
                  <w:szCs w:val="18"/>
                  <w:color w:val="0000FF"/>
                  <w:w w:val="94"/>
                </w:rPr>
                <w:t>reference to Exhibit 10.11 to the Company’s Registration Statement on Form S-1 filed with the SEC on October 2,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8080" w:type="dxa"/>
            <w:vAlign w:val="bottom"/>
            <w:tcBorders>
              <w:right w:val="single" w:sz="8" w:color="0000FF"/>
            </w:tcBorders>
            <w:gridSpan w:val="8"/>
            <w:shd w:val="clear" w:color="auto" w:fill="0000FF"/>
          </w:tcPr>
          <w:p>
            <w:pPr>
              <w:spacing w:after="0" w:line="20" w:lineRule="exact"/>
              <w:rPr>
                <w:sz w:val="1"/>
                <w:szCs w:val="1"/>
                <w:color w:val="auto"/>
              </w:rPr>
            </w:pPr>
          </w:p>
        </w:tc>
        <w:tc>
          <w:tcPr>
            <w:tcW w:w="66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10.14.1†**</w:t>
            </w:r>
          </w:p>
        </w:tc>
        <w:tc>
          <w:tcPr>
            <w:tcW w:w="9120" w:type="dxa"/>
            <w:vAlign w:val="bottom"/>
            <w:gridSpan w:val="14"/>
          </w:tcPr>
          <w:p>
            <w:pPr>
              <w:spacing w:after="0"/>
              <w:rPr>
                <w:rFonts w:ascii="Arial" w:cs="Arial" w:eastAsia="Arial" w:hAnsi="Arial"/>
                <w:sz w:val="18"/>
                <w:szCs w:val="18"/>
                <w:color w:val="0000FF"/>
                <w:w w:val="92"/>
              </w:rPr>
            </w:pPr>
            <w:hyperlink r:id="rId179">
              <w:r>
                <w:rPr>
                  <w:rFonts w:ascii="Arial" w:cs="Arial" w:eastAsia="Arial" w:hAnsi="Arial"/>
                  <w:sz w:val="18"/>
                  <w:szCs w:val="18"/>
                  <w:color w:val="0000FF"/>
                  <w:w w:val="92"/>
                </w:rPr>
                <w:t>Office Lease between Aero-Tech Investments, LLC and Biodesix, Inc., dated October 5, 2011 (incorporated by reference to</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8080" w:type="dxa"/>
            <w:vAlign w:val="bottom"/>
            <w:tcBorders>
              <w:right w:val="single" w:sz="8" w:color="0000FF"/>
            </w:tcBorders>
            <w:gridSpan w:val="8"/>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4"/>
          </w:tcPr>
          <w:p>
            <w:pPr>
              <w:spacing w:after="0" w:line="195" w:lineRule="exact"/>
              <w:rPr>
                <w:rFonts w:ascii="Arial" w:cs="Arial" w:eastAsia="Arial" w:hAnsi="Arial"/>
                <w:sz w:val="18"/>
                <w:szCs w:val="18"/>
                <w:color w:val="0000FF"/>
              </w:rPr>
            </w:pPr>
            <w:hyperlink r:id="rId179">
              <w:r>
                <w:rPr>
                  <w:rFonts w:ascii="Arial" w:cs="Arial" w:eastAsia="Arial" w:hAnsi="Arial"/>
                  <w:sz w:val="18"/>
                  <w:szCs w:val="18"/>
                  <w:color w:val="0000FF"/>
                </w:rPr>
                <w:t>Exhibit 10.11 to the Company’s Registration Statement on Form S-1/A filed with the SEC on October 9, 2020).</w:t>
              </w:r>
            </w:hyperlink>
          </w:p>
        </w:tc>
      </w:tr>
      <w:tr>
        <w:trPr>
          <w:trHeight w:val="573"/>
        </w:trPr>
        <w:tc>
          <w:tcPr>
            <w:tcW w:w="2120" w:type="dxa"/>
            <w:vAlign w:val="bottom"/>
          </w:tcPr>
          <w:p>
            <w:pPr>
              <w:spacing w:after="0"/>
              <w:rPr>
                <w:sz w:val="24"/>
                <w:szCs w:val="24"/>
                <w:color w:val="auto"/>
              </w:rPr>
            </w:pPr>
          </w:p>
        </w:tc>
        <w:tc>
          <w:tcPr>
            <w:tcW w:w="4860" w:type="dxa"/>
            <w:vAlign w:val="bottom"/>
            <w:tcBorders>
              <w:top w:val="single" w:sz="8" w:color="0000FF"/>
            </w:tcBorders>
            <w:gridSpan w:val="3"/>
          </w:tcPr>
          <w:p>
            <w:pPr>
              <w:jc w:val="right"/>
              <w:ind w:right="1220"/>
              <w:spacing w:after="0"/>
              <w:rPr>
                <w:sz w:val="20"/>
                <w:szCs w:val="20"/>
                <w:color w:val="auto"/>
              </w:rPr>
            </w:pPr>
            <w:r>
              <w:rPr>
                <w:rFonts w:ascii="Arial" w:cs="Arial" w:eastAsia="Arial" w:hAnsi="Arial"/>
                <w:sz w:val="18"/>
                <w:szCs w:val="18"/>
                <w:color w:val="auto"/>
              </w:rPr>
              <w:t>102</w:t>
            </w:r>
          </w:p>
        </w:tc>
        <w:tc>
          <w:tcPr>
            <w:tcW w:w="30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2120" w:type="dxa"/>
            <w:vAlign w:val="bottom"/>
          </w:tcPr>
          <w:p>
            <w:pPr>
              <w:ind w:left="100"/>
              <w:spacing w:after="0"/>
              <w:rPr>
                <w:sz w:val="20"/>
                <w:szCs w:val="20"/>
                <w:color w:val="auto"/>
              </w:rPr>
            </w:pPr>
            <w:r>
              <w:rPr>
                <w:rFonts w:ascii="Arial" w:cs="Arial" w:eastAsia="Arial" w:hAnsi="Arial"/>
                <w:sz w:val="18"/>
                <w:szCs w:val="18"/>
                <w:color w:val="auto"/>
              </w:rPr>
              <w:t>10.14.2**</w:t>
            </w:r>
          </w:p>
        </w:tc>
        <w:tc>
          <w:tcPr>
            <w:tcW w:w="9120" w:type="dxa"/>
            <w:vAlign w:val="bottom"/>
            <w:gridSpan w:val="15"/>
          </w:tcPr>
          <w:p>
            <w:pPr>
              <w:spacing w:after="0"/>
              <w:rPr>
                <w:rFonts w:ascii="Arial" w:cs="Arial" w:eastAsia="Arial" w:hAnsi="Arial"/>
                <w:sz w:val="18"/>
                <w:szCs w:val="18"/>
                <w:color w:val="0000FF"/>
                <w:w w:val="91"/>
              </w:rPr>
            </w:pPr>
            <w:hyperlink r:id="rId182">
              <w:r>
                <w:rPr>
                  <w:rFonts w:ascii="Arial" w:cs="Arial" w:eastAsia="Arial" w:hAnsi="Arial"/>
                  <w:sz w:val="18"/>
                  <w:szCs w:val="18"/>
                  <w:color w:val="0000FF"/>
                  <w:w w:val="91"/>
                </w:rPr>
                <w:t>Office Lease between Aero-Tech Investments, LLC and Biodesix, Inc., dated January 24, 2022 (incorporated by reference to</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rPr>
            </w:pPr>
            <w:hyperlink r:id="rId182">
              <w:r>
                <w:rPr>
                  <w:rFonts w:ascii="Arial" w:cs="Arial" w:eastAsia="Arial" w:hAnsi="Arial"/>
                  <w:sz w:val="18"/>
                  <w:szCs w:val="18"/>
                  <w:color w:val="0000FF"/>
                </w:rPr>
                <w:t>Exhibit 10.13.2 to the Company’s Annual Report on Form 10-K filed with the SEC on March 14, 2022).</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10.15†**</w:t>
            </w:r>
          </w:p>
        </w:tc>
        <w:tc>
          <w:tcPr>
            <w:tcW w:w="9120" w:type="dxa"/>
            <w:vAlign w:val="bottom"/>
            <w:gridSpan w:val="15"/>
          </w:tcPr>
          <w:p>
            <w:pPr>
              <w:spacing w:after="0"/>
              <w:rPr>
                <w:rFonts w:ascii="Arial" w:cs="Arial" w:eastAsia="Arial" w:hAnsi="Arial"/>
                <w:sz w:val="18"/>
                <w:szCs w:val="18"/>
                <w:color w:val="0000FF"/>
              </w:rPr>
            </w:pPr>
            <w:hyperlink r:id="rId183">
              <w:r>
                <w:rPr>
                  <w:rFonts w:ascii="Arial" w:cs="Arial" w:eastAsia="Arial" w:hAnsi="Arial"/>
                  <w:sz w:val="18"/>
                  <w:szCs w:val="18"/>
                  <w:color w:val="0000FF"/>
                </w:rPr>
                <w:t>Lease Assignment of De Soto Facility, dated November 1, 2019 (incorporated by reference to Exhibit 10.13 to the</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rPr>
            </w:pPr>
            <w:hyperlink r:id="rId183">
              <w:r>
                <w:rPr>
                  <w:rFonts w:ascii="Arial" w:cs="Arial" w:eastAsia="Arial" w:hAnsi="Arial"/>
                  <w:sz w:val="18"/>
                  <w:szCs w:val="18"/>
                  <w:color w:val="0000FF"/>
                </w:rPr>
                <w:t>Company’s Registration Statement on Form S-1 filed with the SEC on October 2,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10.16.2**</w:t>
            </w:r>
          </w:p>
        </w:tc>
        <w:tc>
          <w:tcPr>
            <w:tcW w:w="9120" w:type="dxa"/>
            <w:vAlign w:val="bottom"/>
            <w:gridSpan w:val="15"/>
          </w:tcPr>
          <w:p>
            <w:pPr>
              <w:spacing w:after="0"/>
              <w:rPr>
                <w:rFonts w:ascii="Arial" w:cs="Arial" w:eastAsia="Arial" w:hAnsi="Arial"/>
                <w:sz w:val="18"/>
                <w:szCs w:val="18"/>
                <w:color w:val="0000FF"/>
                <w:w w:val="91"/>
              </w:rPr>
            </w:pPr>
            <w:hyperlink r:id="rId184">
              <w:r>
                <w:rPr>
                  <w:rFonts w:ascii="Arial" w:cs="Arial" w:eastAsia="Arial" w:hAnsi="Arial"/>
                  <w:sz w:val="18"/>
                  <w:szCs w:val="18"/>
                  <w:color w:val="0000FF"/>
                  <w:w w:val="91"/>
                </w:rPr>
                <w:t>Lease agreement by and between Centennial Valley Properties I, LLC and Biodesix, Inc. dated March 11, 2022 (incorporated</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w w:val="99"/>
              </w:rPr>
            </w:pPr>
            <w:hyperlink r:id="rId184">
              <w:r>
                <w:rPr>
                  <w:rFonts w:ascii="Arial" w:cs="Arial" w:eastAsia="Arial" w:hAnsi="Arial"/>
                  <w:sz w:val="18"/>
                  <w:szCs w:val="18"/>
                  <w:color w:val="0000FF"/>
                  <w:w w:val="99"/>
                </w:rPr>
                <w:t>by reference to Exhibit 10.1 to the Company’s Quarterly Report on Form 10-Q filed with the SEC on May 11, 2022).</w:t>
              </w:r>
            </w:hyperlink>
          </w:p>
        </w:tc>
      </w:tr>
      <w:tr>
        <w:trPr>
          <w:trHeight w:val="20"/>
        </w:trPr>
        <w:tc>
          <w:tcPr>
            <w:tcW w:w="2120" w:type="dxa"/>
            <w:vAlign w:val="bottom"/>
            <w:tcBorders>
              <w:right w:val="single" w:sz="8" w:color="0000FF"/>
            </w:tcBorders>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94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10.16.2**</w:t>
            </w:r>
          </w:p>
        </w:tc>
        <w:tc>
          <w:tcPr>
            <w:tcW w:w="9120" w:type="dxa"/>
            <w:vAlign w:val="bottom"/>
            <w:gridSpan w:val="15"/>
          </w:tcPr>
          <w:p>
            <w:pPr>
              <w:spacing w:after="0"/>
              <w:rPr>
                <w:rFonts w:ascii="Arial" w:cs="Arial" w:eastAsia="Arial" w:hAnsi="Arial"/>
                <w:sz w:val="18"/>
                <w:szCs w:val="18"/>
                <w:color w:val="0000FF"/>
                <w:w w:val="93"/>
              </w:rPr>
            </w:pPr>
            <w:hyperlink r:id="rId185">
              <w:r>
                <w:rPr>
                  <w:rFonts w:ascii="Arial" w:cs="Arial" w:eastAsia="Arial" w:hAnsi="Arial"/>
                  <w:sz w:val="18"/>
                  <w:szCs w:val="18"/>
                  <w:color w:val="0000FF"/>
                  <w:w w:val="93"/>
                </w:rPr>
                <w:t>First Amendment to Lease Agreement by and between Centennial Valley Properties I, LLC and Biodesix, Inc. dated March</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w w:val="93"/>
              </w:rPr>
            </w:pPr>
            <w:hyperlink r:id="rId185">
              <w:r>
                <w:rPr>
                  <w:rFonts w:ascii="Arial" w:cs="Arial" w:eastAsia="Arial" w:hAnsi="Arial"/>
                  <w:sz w:val="18"/>
                  <w:szCs w:val="18"/>
                  <w:color w:val="0000FF"/>
                  <w:w w:val="93"/>
                </w:rPr>
                <w:t>11, 2022 (incorporated by reference to Exhibit 10.2 to the Company’s Quarterly Report on Form 10-Q filed with the SEC on</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rPr>
            </w:pPr>
            <w:hyperlink r:id="rId185">
              <w:r>
                <w:rPr>
                  <w:rFonts w:ascii="Arial" w:cs="Arial" w:eastAsia="Arial" w:hAnsi="Arial"/>
                  <w:sz w:val="18"/>
                  <w:szCs w:val="18"/>
                  <w:color w:val="0000FF"/>
                </w:rPr>
                <w:t>May 11, 2022).</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10.17**</w:t>
            </w:r>
          </w:p>
        </w:tc>
        <w:tc>
          <w:tcPr>
            <w:tcW w:w="9120" w:type="dxa"/>
            <w:vAlign w:val="bottom"/>
            <w:gridSpan w:val="15"/>
          </w:tcPr>
          <w:p>
            <w:pPr>
              <w:spacing w:after="0"/>
              <w:rPr>
                <w:rFonts w:ascii="Arial" w:cs="Arial" w:eastAsia="Arial" w:hAnsi="Arial"/>
                <w:sz w:val="18"/>
                <w:szCs w:val="18"/>
                <w:color w:val="0000FF"/>
                <w:w w:val="91"/>
              </w:rPr>
            </w:pPr>
            <w:hyperlink r:id="rId186">
              <w:r>
                <w:rPr>
                  <w:rFonts w:ascii="Arial" w:cs="Arial" w:eastAsia="Arial" w:hAnsi="Arial"/>
                  <w:sz w:val="18"/>
                  <w:szCs w:val="18"/>
                  <w:color w:val="0000FF"/>
                  <w:w w:val="91"/>
                </w:rPr>
                <w:t>Patent Assignment between Biodesix, Inc., and Integrated Diagnostics, Inc., dated June 30, 2018 (incorporated by reference</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rPr>
            </w:pPr>
            <w:hyperlink r:id="rId186">
              <w:r>
                <w:rPr>
                  <w:rFonts w:ascii="Arial" w:cs="Arial" w:eastAsia="Arial" w:hAnsi="Arial"/>
                  <w:sz w:val="18"/>
                  <w:szCs w:val="18"/>
                  <w:color w:val="0000FF"/>
                </w:rPr>
                <w:t>to Exhibit 10.15 to the Company’s Registration Statement on Form S-1 filed with the SEC on October 2,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10.18†**</w:t>
            </w:r>
          </w:p>
        </w:tc>
        <w:tc>
          <w:tcPr>
            <w:tcW w:w="9120" w:type="dxa"/>
            <w:vAlign w:val="bottom"/>
            <w:gridSpan w:val="15"/>
          </w:tcPr>
          <w:p>
            <w:pPr>
              <w:spacing w:after="0"/>
              <w:rPr>
                <w:rFonts w:ascii="Arial" w:cs="Arial" w:eastAsia="Arial" w:hAnsi="Arial"/>
                <w:sz w:val="18"/>
                <w:szCs w:val="18"/>
                <w:color w:val="0000FF"/>
                <w:w w:val="97"/>
              </w:rPr>
            </w:pPr>
            <w:hyperlink r:id="rId187">
              <w:r>
                <w:rPr>
                  <w:rFonts w:ascii="Arial" w:cs="Arial" w:eastAsia="Arial" w:hAnsi="Arial"/>
                  <w:sz w:val="18"/>
                  <w:szCs w:val="18"/>
                  <w:color w:val="0000FF"/>
                  <w:w w:val="97"/>
                </w:rPr>
                <w:t>IP Assignment Agreement between Oncimmune Limited, and Biodesix, Inc., dated October 31, 2019 (incorporated by</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w w:val="93"/>
              </w:rPr>
            </w:pPr>
            <w:hyperlink r:id="rId187">
              <w:r>
                <w:rPr>
                  <w:rFonts w:ascii="Arial" w:cs="Arial" w:eastAsia="Arial" w:hAnsi="Arial"/>
                  <w:sz w:val="18"/>
                  <w:szCs w:val="18"/>
                  <w:color w:val="0000FF"/>
                  <w:w w:val="93"/>
                </w:rPr>
                <w:t>reference to Exhibit 10.15 to the Company’s Registration Statement on Form S-1/A filed with the SEC on October 9,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10.19†**</w:t>
            </w:r>
          </w:p>
        </w:tc>
        <w:tc>
          <w:tcPr>
            <w:tcW w:w="9120" w:type="dxa"/>
            <w:vAlign w:val="bottom"/>
            <w:gridSpan w:val="15"/>
          </w:tcPr>
          <w:p>
            <w:pPr>
              <w:spacing w:after="0"/>
              <w:rPr>
                <w:rFonts w:ascii="Arial" w:cs="Arial" w:eastAsia="Arial" w:hAnsi="Arial"/>
                <w:sz w:val="18"/>
                <w:szCs w:val="18"/>
                <w:color w:val="0000FF"/>
                <w:w w:val="92"/>
              </w:rPr>
            </w:pPr>
            <w:hyperlink r:id="rId188">
              <w:r>
                <w:rPr>
                  <w:rFonts w:ascii="Arial" w:cs="Arial" w:eastAsia="Arial" w:hAnsi="Arial"/>
                  <w:sz w:val="18"/>
                  <w:szCs w:val="18"/>
                  <w:color w:val="0000FF"/>
                  <w:w w:val="92"/>
                </w:rPr>
                <w:t>IP License Agreement between Oncimmune Limited, and Biodesix, Inc., dated October 31, 2019 (incorporated by reference</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rPr>
            </w:pPr>
            <w:hyperlink r:id="rId188">
              <w:r>
                <w:rPr>
                  <w:rFonts w:ascii="Arial" w:cs="Arial" w:eastAsia="Arial" w:hAnsi="Arial"/>
                  <w:sz w:val="18"/>
                  <w:szCs w:val="18"/>
                  <w:color w:val="0000FF"/>
                </w:rPr>
                <w:t>to Exhibit 10.16 to the Company’s Registration Statement on Form S-1/A filed with the SEC on October 9,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10.20†**</w:t>
            </w:r>
          </w:p>
        </w:tc>
        <w:tc>
          <w:tcPr>
            <w:tcW w:w="9120" w:type="dxa"/>
            <w:vAlign w:val="bottom"/>
            <w:gridSpan w:val="15"/>
          </w:tcPr>
          <w:p>
            <w:pPr>
              <w:spacing w:after="0"/>
              <w:rPr>
                <w:rFonts w:ascii="Arial" w:cs="Arial" w:eastAsia="Arial" w:hAnsi="Arial"/>
                <w:sz w:val="18"/>
                <w:szCs w:val="18"/>
                <w:color w:val="0000FF"/>
              </w:rPr>
            </w:pPr>
            <w:hyperlink r:id="rId189">
              <w:r>
                <w:rPr>
                  <w:rFonts w:ascii="Arial" w:cs="Arial" w:eastAsia="Arial" w:hAnsi="Arial"/>
                  <w:sz w:val="18"/>
                  <w:szCs w:val="18"/>
                  <w:color w:val="0000FF"/>
                </w:rPr>
                <w:t>Non-Exclusive License Agreement between Bio-Rad Laboratories, Inc., and Biodesix, Inc., dated August 1, 2019</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15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w w:val="94"/>
              </w:rPr>
            </w:pPr>
            <w:hyperlink r:id="rId189">
              <w:r>
                <w:rPr>
                  <w:rFonts w:ascii="Arial" w:cs="Arial" w:eastAsia="Arial" w:hAnsi="Arial"/>
                  <w:sz w:val="18"/>
                  <w:szCs w:val="18"/>
                  <w:color w:val="0000FF"/>
                  <w:w w:val="94"/>
                </w:rPr>
                <w:t>(incorporated by reference to Exhibit 10.17 to the Company’s Registration Statement on Form S-1/A filed with the SEC on</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15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rPr>
            </w:pPr>
            <w:hyperlink r:id="rId189">
              <w:r>
                <w:rPr>
                  <w:rFonts w:ascii="Arial" w:cs="Arial" w:eastAsia="Arial" w:hAnsi="Arial"/>
                  <w:sz w:val="18"/>
                  <w:szCs w:val="18"/>
                  <w:color w:val="0000FF"/>
                </w:rPr>
                <w:t>October 9,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10.21†**</w:t>
            </w:r>
          </w:p>
        </w:tc>
        <w:tc>
          <w:tcPr>
            <w:tcW w:w="9120" w:type="dxa"/>
            <w:vAlign w:val="bottom"/>
            <w:gridSpan w:val="15"/>
          </w:tcPr>
          <w:p>
            <w:pPr>
              <w:spacing w:after="0"/>
              <w:rPr>
                <w:rFonts w:ascii="Arial" w:cs="Arial" w:eastAsia="Arial" w:hAnsi="Arial"/>
                <w:sz w:val="18"/>
                <w:szCs w:val="18"/>
                <w:color w:val="0000FF"/>
                <w:w w:val="93"/>
              </w:rPr>
            </w:pPr>
            <w:hyperlink r:id="rId190">
              <w:r>
                <w:rPr>
                  <w:rFonts w:ascii="Arial" w:cs="Arial" w:eastAsia="Arial" w:hAnsi="Arial"/>
                  <w:sz w:val="18"/>
                  <w:szCs w:val="18"/>
                  <w:color w:val="0000FF"/>
                  <w:w w:val="93"/>
                </w:rPr>
                <w:t>Supply Agreement between Biodesix, Inc., and Oncimmune, dated October 31, 2019 (incorporated by reference to Exhibit</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156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rPr>
            </w:pPr>
            <w:hyperlink r:id="rId190">
              <w:r>
                <w:rPr>
                  <w:rFonts w:ascii="Arial" w:cs="Arial" w:eastAsia="Arial" w:hAnsi="Arial"/>
                  <w:sz w:val="18"/>
                  <w:szCs w:val="18"/>
                  <w:color w:val="0000FF"/>
                </w:rPr>
                <w:t>10.</w:t>
              </w:r>
              <w:r>
                <w:rPr>
                  <w:rFonts w:ascii="Arial" w:cs="Arial" w:eastAsia="Arial" w:hAnsi="Arial"/>
                  <w:sz w:val="18"/>
                  <w:szCs w:val="18"/>
                  <w:u w:val="single" w:color="auto"/>
                  <w:color w:val="0000FF"/>
                </w:rPr>
                <w:t>18</w:t>
              </w:r>
              <w:r>
                <w:rPr>
                  <w:rFonts w:ascii="Arial" w:cs="Arial" w:eastAsia="Arial" w:hAnsi="Arial"/>
                  <w:sz w:val="18"/>
                  <w:szCs w:val="18"/>
                  <w:color w:val="0000FF"/>
                </w:rPr>
                <w:t xml:space="preserve"> to the Company’s Registration Statement on Form S-1/A filed with the SEC on October 9,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EE"/>
            </w:tcBorders>
            <w:gridSpan w:val="2"/>
            <w:shd w:val="clear" w:color="auto" w:fill="0000FF"/>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10.22†**</w:t>
            </w:r>
          </w:p>
        </w:tc>
        <w:tc>
          <w:tcPr>
            <w:tcW w:w="9120" w:type="dxa"/>
            <w:vAlign w:val="bottom"/>
            <w:gridSpan w:val="15"/>
          </w:tcPr>
          <w:p>
            <w:pPr>
              <w:spacing w:after="0"/>
              <w:rPr>
                <w:rFonts w:ascii="Arial" w:cs="Arial" w:eastAsia="Arial" w:hAnsi="Arial"/>
                <w:sz w:val="18"/>
                <w:szCs w:val="18"/>
                <w:color w:val="0000FF"/>
                <w:w w:val="92"/>
              </w:rPr>
            </w:pPr>
            <w:hyperlink r:id="rId191">
              <w:r>
                <w:rPr>
                  <w:rFonts w:ascii="Arial" w:cs="Arial" w:eastAsia="Arial" w:hAnsi="Arial"/>
                  <w:sz w:val="18"/>
                  <w:szCs w:val="18"/>
                  <w:color w:val="0000FF"/>
                  <w:w w:val="92"/>
                </w:rPr>
                <w:t>Supply Agreement between Bio-Rad Laboratories, Inc., and Biodesix, Inc., dated August 1, 2019 (incorporated by reference</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rPr>
            </w:pPr>
            <w:hyperlink r:id="rId191">
              <w:r>
                <w:rPr>
                  <w:rFonts w:ascii="Arial" w:cs="Arial" w:eastAsia="Arial" w:hAnsi="Arial"/>
                  <w:sz w:val="18"/>
                  <w:szCs w:val="18"/>
                  <w:color w:val="0000FF"/>
                </w:rPr>
                <w:t>to Exhibit 10.19 to the Company’s Registration Statement on Form S-1/A filed with the SEC on October 9,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EE"/>
            </w:tcBorders>
            <w:gridSpan w:val="4"/>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10.23†**</w:t>
            </w:r>
          </w:p>
        </w:tc>
        <w:tc>
          <w:tcPr>
            <w:tcW w:w="9120" w:type="dxa"/>
            <w:vAlign w:val="bottom"/>
            <w:gridSpan w:val="15"/>
          </w:tcPr>
          <w:p>
            <w:pPr>
              <w:spacing w:after="0"/>
              <w:rPr>
                <w:rFonts w:ascii="Arial" w:cs="Arial" w:eastAsia="Arial" w:hAnsi="Arial"/>
                <w:sz w:val="18"/>
                <w:szCs w:val="18"/>
                <w:color w:val="0000FF"/>
                <w:w w:val="96"/>
              </w:rPr>
            </w:pPr>
            <w:hyperlink r:id="rId192">
              <w:r>
                <w:rPr>
                  <w:rFonts w:ascii="Arial" w:cs="Arial" w:eastAsia="Arial" w:hAnsi="Arial"/>
                  <w:sz w:val="18"/>
                  <w:szCs w:val="18"/>
                  <w:color w:val="0000FF"/>
                  <w:w w:val="96"/>
                </w:rPr>
                <w:t>Co-Development and Collaboration Agreement between AVEO Pharmaceuticals, Inc., and Biodesix, Inc., dated April 9,</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2014, as amended October 14, 2016 (incorporated by reference to Exhibit 10.20 to the Company’s Registration Statement on</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rPr>
            </w:pPr>
            <w:hyperlink r:id="rId192">
              <w:r>
                <w:rPr>
                  <w:rFonts w:ascii="Arial" w:cs="Arial" w:eastAsia="Arial" w:hAnsi="Arial"/>
                  <w:sz w:val="18"/>
                  <w:szCs w:val="18"/>
                  <w:color w:val="0000FF"/>
                </w:rPr>
                <w:t>Form S-1/A filed with the SEC on October 9,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30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10.24†**</w:t>
            </w:r>
          </w:p>
        </w:tc>
        <w:tc>
          <w:tcPr>
            <w:tcW w:w="9120" w:type="dxa"/>
            <w:vAlign w:val="bottom"/>
            <w:gridSpan w:val="15"/>
          </w:tcPr>
          <w:p>
            <w:pPr>
              <w:spacing w:after="0"/>
              <w:rPr>
                <w:rFonts w:ascii="Arial" w:cs="Arial" w:eastAsia="Arial" w:hAnsi="Arial"/>
                <w:sz w:val="18"/>
                <w:szCs w:val="18"/>
                <w:color w:val="0000FF"/>
              </w:rPr>
            </w:pPr>
            <w:hyperlink r:id="rId193">
              <w:r>
                <w:rPr>
                  <w:rFonts w:ascii="Arial" w:cs="Arial" w:eastAsia="Arial" w:hAnsi="Arial"/>
                  <w:sz w:val="18"/>
                  <w:szCs w:val="18"/>
                  <w:color w:val="0000FF"/>
                </w:rPr>
                <w:t>Asset Purchase Agreement among Biodesix, Inc., Integrated Diagnostics, Inc., and the stockholders of Integrated</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rPr>
            </w:pPr>
            <w:hyperlink r:id="rId193">
              <w:r>
                <w:rPr>
                  <w:rFonts w:ascii="Arial" w:cs="Arial" w:eastAsia="Arial" w:hAnsi="Arial"/>
                  <w:sz w:val="18"/>
                  <w:szCs w:val="18"/>
                  <w:color w:val="0000FF"/>
                </w:rPr>
                <w:t>Diagnostics, Inc., listed therein, dated June 30, 2018 (incorporated by reference to Exhibit 10.23 to the Company’s</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rPr>
            </w:pPr>
            <w:hyperlink r:id="rId193">
              <w:r>
                <w:rPr>
                  <w:rFonts w:ascii="Arial" w:cs="Arial" w:eastAsia="Arial" w:hAnsi="Arial"/>
                  <w:sz w:val="18"/>
                  <w:szCs w:val="18"/>
                  <w:color w:val="0000FF"/>
                </w:rPr>
                <w:t>Registration Statement on Form S-1 filed with the SEC on October 2,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10.24.1**</w:t>
            </w:r>
          </w:p>
        </w:tc>
        <w:tc>
          <w:tcPr>
            <w:tcW w:w="9120" w:type="dxa"/>
            <w:vAlign w:val="bottom"/>
            <w:gridSpan w:val="15"/>
          </w:tcPr>
          <w:p>
            <w:pPr>
              <w:spacing w:after="0"/>
              <w:rPr>
                <w:rFonts w:ascii="Arial" w:cs="Arial" w:eastAsia="Arial" w:hAnsi="Arial"/>
                <w:sz w:val="18"/>
                <w:szCs w:val="18"/>
                <w:color w:val="0000FF"/>
                <w:w w:val="93"/>
              </w:rPr>
            </w:pPr>
            <w:hyperlink r:id="rId194">
              <w:r>
                <w:rPr>
                  <w:rFonts w:ascii="Arial" w:cs="Arial" w:eastAsia="Arial" w:hAnsi="Arial"/>
                  <w:sz w:val="18"/>
                  <w:szCs w:val="18"/>
                  <w:color w:val="0000FF"/>
                  <w:w w:val="93"/>
                </w:rPr>
                <w:t>Amendment No. 2 to Asset Purchase Agreement and Plan of Reorganization (incorporated by reference to Exhibit 10.38 to</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160" w:type="dxa"/>
            <w:vAlign w:val="bottom"/>
            <w:gridSpan w:val="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rPr>
            </w:pPr>
            <w:hyperlink r:id="rId194">
              <w:r>
                <w:rPr>
                  <w:rFonts w:ascii="Arial" w:cs="Arial" w:eastAsia="Arial" w:hAnsi="Arial"/>
                  <w:sz w:val="18"/>
                  <w:szCs w:val="18"/>
                  <w:color w:val="0000FF"/>
                </w:rPr>
                <w:t>the Company's Form 10-Q filed with the SEC on August 10, 2021).</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1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10.24.2**</w:t>
            </w:r>
          </w:p>
        </w:tc>
        <w:tc>
          <w:tcPr>
            <w:tcW w:w="9120" w:type="dxa"/>
            <w:vAlign w:val="bottom"/>
            <w:gridSpan w:val="15"/>
          </w:tcPr>
          <w:p>
            <w:pPr>
              <w:spacing w:after="0"/>
              <w:rPr>
                <w:rFonts w:ascii="Arial" w:cs="Arial" w:eastAsia="Arial" w:hAnsi="Arial"/>
                <w:sz w:val="18"/>
                <w:szCs w:val="18"/>
                <w:color w:val="0000FF"/>
                <w:w w:val="91"/>
              </w:rPr>
            </w:pPr>
            <w:hyperlink r:id="rId195">
              <w:r>
                <w:rPr>
                  <w:rFonts w:ascii="Arial" w:cs="Arial" w:eastAsia="Arial" w:hAnsi="Arial"/>
                  <w:sz w:val="18"/>
                  <w:szCs w:val="18"/>
                  <w:color w:val="0000FF"/>
                  <w:w w:val="91"/>
                </w:rPr>
                <w:t>Amendment No. 3 to Asset Purchase Agreement and Plan of Reorganization (incorporated by reference to Exhibit 10.6 to the</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4620" w:type="dxa"/>
            <w:vAlign w:val="bottom"/>
            <w:gridSpan w:val="9"/>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rPr>
            </w:pPr>
            <w:hyperlink r:id="rId195">
              <w:r>
                <w:rPr>
                  <w:rFonts w:ascii="Arial" w:cs="Arial" w:eastAsia="Arial" w:hAnsi="Arial"/>
                  <w:sz w:val="18"/>
                  <w:szCs w:val="18"/>
                  <w:color w:val="0000FF"/>
                </w:rPr>
                <w:t>Company's Form 10-Q filed with the SEC on May 11, 2022).</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920" w:type="dxa"/>
            <w:vAlign w:val="bottom"/>
            <w:tcBorders>
              <w:right w:val="single" w:sz="8" w:color="0000EE"/>
            </w:tcBorders>
            <w:gridSpan w:val="2"/>
            <w:shd w:val="clear" w:color="auto" w:fill="0000FF"/>
          </w:tcPr>
          <w:p>
            <w:pPr>
              <w:spacing w:after="0" w:line="20" w:lineRule="exact"/>
              <w:rPr>
                <w:sz w:val="1"/>
                <w:szCs w:val="1"/>
                <w:color w:val="auto"/>
              </w:rPr>
            </w:pPr>
          </w:p>
        </w:tc>
        <w:tc>
          <w:tcPr>
            <w:tcW w:w="462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10.25†**</w:t>
            </w:r>
          </w:p>
        </w:tc>
        <w:tc>
          <w:tcPr>
            <w:tcW w:w="9120" w:type="dxa"/>
            <w:vAlign w:val="bottom"/>
            <w:gridSpan w:val="15"/>
          </w:tcPr>
          <w:p>
            <w:pPr>
              <w:spacing w:after="0"/>
              <w:rPr>
                <w:rFonts w:ascii="Arial" w:cs="Arial" w:eastAsia="Arial" w:hAnsi="Arial"/>
                <w:sz w:val="18"/>
                <w:szCs w:val="18"/>
                <w:color w:val="0000FF"/>
                <w:w w:val="96"/>
              </w:rPr>
            </w:pPr>
            <w:hyperlink r:id="rId196">
              <w:r>
                <w:rPr>
                  <w:rFonts w:ascii="Arial" w:cs="Arial" w:eastAsia="Arial" w:hAnsi="Arial"/>
                  <w:sz w:val="18"/>
                  <w:szCs w:val="18"/>
                  <w:color w:val="0000FF"/>
                  <w:w w:val="96"/>
                </w:rPr>
                <w:t>Asset Purchase Agreement between Oncimmune Limited and Biodesix, Inc., dated June 27, 2019, as amended to date</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6540" w:type="dxa"/>
            <w:vAlign w:val="bottom"/>
            <w:gridSpan w:val="11"/>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w w:val="95"/>
              </w:rPr>
            </w:pPr>
            <w:hyperlink r:id="rId196">
              <w:r>
                <w:rPr>
                  <w:rFonts w:ascii="Arial" w:cs="Arial" w:eastAsia="Arial" w:hAnsi="Arial"/>
                  <w:sz w:val="18"/>
                  <w:szCs w:val="18"/>
                  <w:color w:val="0000FF"/>
                  <w:w w:val="95"/>
                </w:rPr>
                <w:t>(incorporated by reference to Exhibit 10.24 to the Company’s Registration Statement on Form S-1 filed with the SEC on</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6540" w:type="dxa"/>
            <w:vAlign w:val="bottom"/>
            <w:gridSpan w:val="11"/>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rPr>
            </w:pPr>
            <w:hyperlink r:id="rId196">
              <w:r>
                <w:rPr>
                  <w:rFonts w:ascii="Arial" w:cs="Arial" w:eastAsia="Arial" w:hAnsi="Arial"/>
                  <w:sz w:val="18"/>
                  <w:szCs w:val="18"/>
                  <w:color w:val="0000FF"/>
                </w:rPr>
                <w:t>October 2,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54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10.26†**</w:t>
            </w:r>
          </w:p>
        </w:tc>
        <w:tc>
          <w:tcPr>
            <w:tcW w:w="9120" w:type="dxa"/>
            <w:vAlign w:val="bottom"/>
            <w:gridSpan w:val="15"/>
          </w:tcPr>
          <w:p>
            <w:pPr>
              <w:spacing w:after="0"/>
              <w:rPr>
                <w:rFonts w:ascii="Arial" w:cs="Arial" w:eastAsia="Arial" w:hAnsi="Arial"/>
                <w:sz w:val="18"/>
                <w:szCs w:val="18"/>
                <w:color w:val="0000FF"/>
                <w:w w:val="99"/>
              </w:rPr>
            </w:pPr>
            <w:hyperlink r:id="rId197">
              <w:r>
                <w:rPr>
                  <w:rFonts w:ascii="Arial" w:cs="Arial" w:eastAsia="Arial" w:hAnsi="Arial"/>
                  <w:sz w:val="18"/>
                  <w:szCs w:val="18"/>
                  <w:color w:val="0000FF"/>
                  <w:w w:val="99"/>
                </w:rPr>
                <w:t>Contract Agreement between Biodesix, Inc. and the Colorado Department of Public Health and Environment, dated</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6540" w:type="dxa"/>
            <w:vAlign w:val="bottom"/>
            <w:gridSpan w:val="11"/>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w w:val="92"/>
              </w:rPr>
            </w:pPr>
            <w:hyperlink r:id="rId197">
              <w:r>
                <w:rPr>
                  <w:rFonts w:ascii="Arial" w:cs="Arial" w:eastAsia="Arial" w:hAnsi="Arial"/>
                  <w:sz w:val="18"/>
                  <w:szCs w:val="18"/>
                  <w:color w:val="0000FF"/>
                  <w:w w:val="92"/>
                </w:rPr>
                <w:t>September 11, 2020 (incorporated by reference to Exhibit 10.29 to the Company’s Registration Statement on Form S-1 filed</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6540" w:type="dxa"/>
            <w:vAlign w:val="bottom"/>
            <w:gridSpan w:val="11"/>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rPr>
            </w:pPr>
            <w:hyperlink r:id="rId197">
              <w:r>
                <w:rPr>
                  <w:rFonts w:ascii="Arial" w:cs="Arial" w:eastAsia="Arial" w:hAnsi="Arial"/>
                  <w:sz w:val="18"/>
                  <w:szCs w:val="18"/>
                  <w:color w:val="0000FF"/>
                </w:rPr>
                <w:t>with the SEC on October 2,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654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10.27†**</w:t>
            </w:r>
          </w:p>
        </w:tc>
        <w:tc>
          <w:tcPr>
            <w:tcW w:w="9120" w:type="dxa"/>
            <w:vAlign w:val="bottom"/>
            <w:gridSpan w:val="15"/>
          </w:tcPr>
          <w:p>
            <w:pPr>
              <w:spacing w:after="0"/>
              <w:rPr>
                <w:rFonts w:ascii="Arial" w:cs="Arial" w:eastAsia="Arial" w:hAnsi="Arial"/>
                <w:sz w:val="18"/>
                <w:szCs w:val="18"/>
                <w:color w:val="0000FF"/>
              </w:rPr>
            </w:pPr>
            <w:hyperlink r:id="rId198">
              <w:r>
                <w:rPr>
                  <w:rFonts w:ascii="Arial" w:cs="Arial" w:eastAsia="Arial" w:hAnsi="Arial"/>
                  <w:sz w:val="18"/>
                  <w:szCs w:val="18"/>
                  <w:color w:val="0000FF"/>
                </w:rPr>
                <w:t>Material Transfer Agreement by and between Biodesix, Inc. and Bio-Rad Laboratories, Inc., dated March 23,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9020" w:type="dxa"/>
            <w:vAlign w:val="bottom"/>
            <w:gridSpan w:val="1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w w:val="95"/>
              </w:rPr>
            </w:pPr>
            <w:hyperlink r:id="rId198">
              <w:r>
                <w:rPr>
                  <w:rFonts w:ascii="Arial" w:cs="Arial" w:eastAsia="Arial" w:hAnsi="Arial"/>
                  <w:sz w:val="18"/>
                  <w:szCs w:val="18"/>
                  <w:color w:val="0000FF"/>
                  <w:w w:val="95"/>
                </w:rPr>
                <w:t>(incorporated by reference to Exhibit 10.30 to the Company’s Registration Statement on Form S-1 filed with the SEC on</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9020" w:type="dxa"/>
            <w:vAlign w:val="bottom"/>
            <w:gridSpan w:val="1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5"/>
          </w:tcPr>
          <w:p>
            <w:pPr>
              <w:spacing w:after="0" w:line="195" w:lineRule="exact"/>
              <w:rPr>
                <w:rFonts w:ascii="Arial" w:cs="Arial" w:eastAsia="Arial" w:hAnsi="Arial"/>
                <w:sz w:val="18"/>
                <w:szCs w:val="18"/>
                <w:color w:val="0000FF"/>
              </w:rPr>
            </w:pPr>
            <w:hyperlink r:id="rId198">
              <w:r>
                <w:rPr>
                  <w:rFonts w:ascii="Arial" w:cs="Arial" w:eastAsia="Arial" w:hAnsi="Arial"/>
                  <w:sz w:val="18"/>
                  <w:szCs w:val="18"/>
                  <w:color w:val="0000FF"/>
                </w:rPr>
                <w:t>October 2, 2020).</w:t>
              </w:r>
            </w:hyperlink>
          </w:p>
        </w:tc>
      </w:tr>
      <w:tr>
        <w:trPr>
          <w:trHeight w:val="573"/>
        </w:trPr>
        <w:tc>
          <w:tcPr>
            <w:tcW w:w="2120" w:type="dxa"/>
            <w:vAlign w:val="bottom"/>
          </w:tcPr>
          <w:p>
            <w:pPr>
              <w:spacing w:after="0"/>
              <w:rPr>
                <w:sz w:val="24"/>
                <w:szCs w:val="24"/>
                <w:color w:val="auto"/>
              </w:rPr>
            </w:pPr>
          </w:p>
        </w:tc>
        <w:tc>
          <w:tcPr>
            <w:tcW w:w="1260" w:type="dxa"/>
            <w:vAlign w:val="bottom"/>
            <w:tcBorders>
              <w:top w:val="single" w:sz="8" w:color="0000FF"/>
            </w:tcBorders>
            <w:gridSpan w:val="2"/>
          </w:tcPr>
          <w:p>
            <w:pPr>
              <w:spacing w:after="0"/>
              <w:rPr>
                <w:sz w:val="24"/>
                <w:szCs w:val="24"/>
                <w:color w:val="auto"/>
              </w:rPr>
            </w:pPr>
          </w:p>
        </w:tc>
        <w:tc>
          <w:tcPr>
            <w:tcW w:w="252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1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2120" w:type="dxa"/>
            <w:vAlign w:val="bottom"/>
          </w:tcPr>
          <w:p>
            <w:pPr>
              <w:ind w:left="100"/>
              <w:spacing w:after="0"/>
              <w:rPr>
                <w:sz w:val="20"/>
                <w:szCs w:val="20"/>
                <w:color w:val="auto"/>
              </w:rPr>
            </w:pPr>
            <w:r>
              <w:rPr>
                <w:rFonts w:ascii="Arial" w:cs="Arial" w:eastAsia="Arial" w:hAnsi="Arial"/>
                <w:sz w:val="18"/>
                <w:szCs w:val="18"/>
                <w:color w:val="auto"/>
              </w:rPr>
              <w:t>10.27.1†**</w:t>
            </w:r>
          </w:p>
        </w:tc>
        <w:tc>
          <w:tcPr>
            <w:tcW w:w="9120" w:type="dxa"/>
            <w:vAlign w:val="bottom"/>
            <w:gridSpan w:val="18"/>
          </w:tcPr>
          <w:p>
            <w:pPr>
              <w:spacing w:after="0"/>
              <w:rPr>
                <w:rFonts w:ascii="Arial" w:cs="Arial" w:eastAsia="Arial" w:hAnsi="Arial"/>
                <w:sz w:val="18"/>
                <w:szCs w:val="18"/>
                <w:color w:val="0000FF"/>
                <w:w w:val="93"/>
              </w:rPr>
            </w:pPr>
            <w:hyperlink r:id="rId201">
              <w:r>
                <w:rPr>
                  <w:rFonts w:ascii="Arial" w:cs="Arial" w:eastAsia="Arial" w:hAnsi="Arial"/>
                  <w:sz w:val="18"/>
                  <w:szCs w:val="18"/>
                  <w:color w:val="0000FF"/>
                  <w:w w:val="93"/>
                </w:rPr>
                <w:t>First Amendment to Material Transfer Agreement by and between Biodesix, Inc. and Bio-Rad Laboratories, Inc. dated April</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w w:val="91"/>
              </w:rPr>
            </w:pPr>
            <w:hyperlink r:id="rId201">
              <w:r>
                <w:rPr>
                  <w:rFonts w:ascii="Arial" w:cs="Arial" w:eastAsia="Arial" w:hAnsi="Arial"/>
                  <w:sz w:val="18"/>
                  <w:szCs w:val="18"/>
                  <w:color w:val="0000FF"/>
                  <w:w w:val="91"/>
                </w:rPr>
                <w:t>3, 2020 (incorporated by reference to Exhibit 10.31 to the Company’s Registration Statement on Form S-1 filed with the SEC</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rPr>
            </w:pPr>
            <w:hyperlink r:id="rId201">
              <w:r>
                <w:rPr>
                  <w:rFonts w:ascii="Arial" w:cs="Arial" w:eastAsia="Arial" w:hAnsi="Arial"/>
                  <w:sz w:val="18"/>
                  <w:szCs w:val="18"/>
                  <w:color w:val="0000FF"/>
                </w:rPr>
                <w:t>on October 2,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10.28†**</w:t>
            </w:r>
          </w:p>
        </w:tc>
        <w:tc>
          <w:tcPr>
            <w:tcW w:w="9120" w:type="dxa"/>
            <w:vAlign w:val="bottom"/>
            <w:gridSpan w:val="18"/>
          </w:tcPr>
          <w:p>
            <w:pPr>
              <w:spacing w:after="0"/>
              <w:rPr>
                <w:rFonts w:ascii="Arial" w:cs="Arial" w:eastAsia="Arial" w:hAnsi="Arial"/>
                <w:sz w:val="18"/>
                <w:szCs w:val="18"/>
                <w:color w:val="0000FF"/>
              </w:rPr>
            </w:pPr>
            <w:hyperlink r:id="rId202">
              <w:r>
                <w:rPr>
                  <w:rFonts w:ascii="Arial" w:cs="Arial" w:eastAsia="Arial" w:hAnsi="Arial"/>
                  <w:sz w:val="18"/>
                  <w:szCs w:val="18"/>
                  <w:color w:val="0000FF"/>
                </w:rPr>
                <w:t>Material Transfer Agreement by and between Biodesix, Inc. and Bio-Rad Laboratories, Inc., dated April 17,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w w:val="95"/>
              </w:rPr>
            </w:pPr>
            <w:hyperlink r:id="rId202">
              <w:r>
                <w:rPr>
                  <w:rFonts w:ascii="Arial" w:cs="Arial" w:eastAsia="Arial" w:hAnsi="Arial"/>
                  <w:sz w:val="18"/>
                  <w:szCs w:val="18"/>
                  <w:color w:val="0000FF"/>
                  <w:w w:val="95"/>
                </w:rPr>
                <w:t>(incorporated by reference to Exhibit 10.32 to the Company’s Registration Statement on Form S-1 filed with the SEC on</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rPr>
            </w:pPr>
            <w:hyperlink r:id="rId202">
              <w:r>
                <w:rPr>
                  <w:rFonts w:ascii="Arial" w:cs="Arial" w:eastAsia="Arial" w:hAnsi="Arial"/>
                  <w:sz w:val="18"/>
                  <w:szCs w:val="18"/>
                  <w:color w:val="0000FF"/>
                </w:rPr>
                <w:t>October 2,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10.29†**</w:t>
            </w:r>
          </w:p>
        </w:tc>
        <w:tc>
          <w:tcPr>
            <w:tcW w:w="9120" w:type="dxa"/>
            <w:vAlign w:val="bottom"/>
            <w:gridSpan w:val="18"/>
          </w:tcPr>
          <w:p>
            <w:pPr>
              <w:spacing w:after="0"/>
              <w:rPr>
                <w:rFonts w:ascii="Arial" w:cs="Arial" w:eastAsia="Arial" w:hAnsi="Arial"/>
                <w:sz w:val="18"/>
                <w:szCs w:val="18"/>
                <w:color w:val="0000FF"/>
                <w:w w:val="97"/>
              </w:rPr>
            </w:pPr>
            <w:hyperlink r:id="rId203">
              <w:r>
                <w:rPr>
                  <w:rFonts w:ascii="Arial" w:cs="Arial" w:eastAsia="Arial" w:hAnsi="Arial"/>
                  <w:sz w:val="18"/>
                  <w:szCs w:val="18"/>
                  <w:color w:val="0000FF"/>
                  <w:w w:val="97"/>
                </w:rPr>
                <w:t>Price Agreement by and between Biodesix, Inc. and Bio-Rad Laboratories, Inc., dated May 12, 2020 (incorporated by</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w w:val="94"/>
              </w:rPr>
            </w:pPr>
            <w:hyperlink r:id="rId203">
              <w:r>
                <w:rPr>
                  <w:rFonts w:ascii="Arial" w:cs="Arial" w:eastAsia="Arial" w:hAnsi="Arial"/>
                  <w:sz w:val="18"/>
                  <w:szCs w:val="18"/>
                  <w:color w:val="0000FF"/>
                  <w:w w:val="94"/>
                </w:rPr>
                <w:t>reference to Exhibit 10.33 to the Company’s Registration Statement on Form S-1 filed with the SEC on October 2,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10.30**</w:t>
            </w:r>
          </w:p>
        </w:tc>
        <w:tc>
          <w:tcPr>
            <w:tcW w:w="9120" w:type="dxa"/>
            <w:vAlign w:val="bottom"/>
            <w:gridSpan w:val="18"/>
          </w:tcPr>
          <w:p>
            <w:pPr>
              <w:spacing w:after="0"/>
              <w:rPr>
                <w:rFonts w:ascii="Arial" w:cs="Arial" w:eastAsia="Arial" w:hAnsi="Arial"/>
                <w:sz w:val="18"/>
                <w:szCs w:val="18"/>
                <w:color w:val="0000FF"/>
                <w:w w:val="94"/>
              </w:rPr>
            </w:pPr>
            <w:hyperlink r:id="rId204">
              <w:r>
                <w:rPr>
                  <w:rFonts w:ascii="Arial" w:cs="Arial" w:eastAsia="Arial" w:hAnsi="Arial"/>
                  <w:sz w:val="18"/>
                  <w:szCs w:val="18"/>
                  <w:color w:val="0000FF"/>
                  <w:w w:val="94"/>
                </w:rPr>
                <w:t>Letter from Bio-Rad Laboratories, Inc. dated August 7, 2020 (incorporated by reference to Exhibit 10.33 to the Company’s</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rPr>
            </w:pPr>
            <w:hyperlink r:id="rId204">
              <w:r>
                <w:rPr>
                  <w:rFonts w:ascii="Arial" w:cs="Arial" w:eastAsia="Arial" w:hAnsi="Arial"/>
                  <w:sz w:val="18"/>
                  <w:szCs w:val="18"/>
                  <w:color w:val="0000FF"/>
                </w:rPr>
                <w:t>Registration Statement on Form S-1/A filed with the SEC on October 21,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10.31**</w:t>
            </w:r>
          </w:p>
        </w:tc>
        <w:tc>
          <w:tcPr>
            <w:tcW w:w="9120" w:type="dxa"/>
            <w:vAlign w:val="bottom"/>
            <w:gridSpan w:val="18"/>
          </w:tcPr>
          <w:p>
            <w:pPr>
              <w:spacing w:after="0"/>
              <w:rPr>
                <w:rFonts w:ascii="Arial" w:cs="Arial" w:eastAsia="Arial" w:hAnsi="Arial"/>
                <w:sz w:val="18"/>
                <w:szCs w:val="18"/>
                <w:color w:val="0000FF"/>
                <w:w w:val="93"/>
              </w:rPr>
            </w:pPr>
            <w:hyperlink r:id="rId205">
              <w:r>
                <w:rPr>
                  <w:rFonts w:ascii="Arial" w:cs="Arial" w:eastAsia="Arial" w:hAnsi="Arial"/>
                  <w:sz w:val="18"/>
                  <w:szCs w:val="18"/>
                  <w:color w:val="0000FF"/>
                  <w:w w:val="93"/>
                </w:rPr>
                <w:t>Letter from Bio-Rad Laboratories, Inc. dated August 14, 2020 (incorporated by reference to Exhibit 10.34 to the Company’s</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rPr>
            </w:pPr>
            <w:hyperlink r:id="rId205">
              <w:r>
                <w:rPr>
                  <w:rFonts w:ascii="Arial" w:cs="Arial" w:eastAsia="Arial" w:hAnsi="Arial"/>
                  <w:sz w:val="18"/>
                  <w:szCs w:val="18"/>
                  <w:color w:val="0000FF"/>
                </w:rPr>
                <w:t>Registration Statement on Form S-1/A filed with the SEC on October 21, 2020).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10.32**</w:t>
            </w:r>
          </w:p>
        </w:tc>
        <w:tc>
          <w:tcPr>
            <w:tcW w:w="9120" w:type="dxa"/>
            <w:vAlign w:val="bottom"/>
            <w:gridSpan w:val="18"/>
          </w:tcPr>
          <w:p>
            <w:pPr>
              <w:spacing w:after="0"/>
              <w:rPr>
                <w:rFonts w:ascii="Arial" w:cs="Arial" w:eastAsia="Arial" w:hAnsi="Arial"/>
                <w:sz w:val="18"/>
                <w:szCs w:val="18"/>
                <w:color w:val="0000FF"/>
                <w:w w:val="94"/>
              </w:rPr>
            </w:pPr>
            <w:hyperlink r:id="rId206">
              <w:r>
                <w:rPr>
                  <w:rFonts w:ascii="Arial" w:cs="Arial" w:eastAsia="Arial" w:hAnsi="Arial"/>
                  <w:sz w:val="18"/>
                  <w:szCs w:val="18"/>
                  <w:color w:val="0000FF"/>
                  <w:w w:val="94"/>
                </w:rPr>
                <w:t>First Amendment to the Non-Exclusive License Agreement between Bio-Rad Laboratories, Inc., and Biodesix, Inc., dated</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w w:val="95"/>
              </w:rPr>
            </w:pPr>
            <w:hyperlink r:id="rId206">
              <w:r>
                <w:rPr>
                  <w:rFonts w:ascii="Arial" w:cs="Arial" w:eastAsia="Arial" w:hAnsi="Arial"/>
                  <w:sz w:val="18"/>
                  <w:szCs w:val="18"/>
                  <w:color w:val="0000FF"/>
                  <w:w w:val="95"/>
                </w:rPr>
                <w:t>May 24, 2021 (incorporated by reference to Exhibit 10.37 to the Company's Form 10-Q filed with the SEC on August 10,</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460" w:type="dxa"/>
            <w:vAlign w:val="bottom"/>
          </w:tcPr>
          <w:p>
            <w:pPr>
              <w:spacing w:after="0" w:line="195" w:lineRule="exact"/>
              <w:rPr>
                <w:rFonts w:ascii="Arial" w:cs="Arial" w:eastAsia="Arial" w:hAnsi="Arial"/>
                <w:sz w:val="18"/>
                <w:szCs w:val="18"/>
                <w:color w:val="0000FF"/>
                <w:w w:val="82"/>
              </w:rPr>
            </w:pPr>
            <w:hyperlink r:id="rId206">
              <w:r>
                <w:rPr>
                  <w:rFonts w:ascii="Arial" w:cs="Arial" w:eastAsia="Arial" w:hAnsi="Arial"/>
                  <w:sz w:val="18"/>
                  <w:szCs w:val="18"/>
                  <w:color w:val="0000FF"/>
                  <w:w w:val="82"/>
                </w:rPr>
                <w:t>2021).</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10.33**</w:t>
            </w:r>
          </w:p>
        </w:tc>
        <w:tc>
          <w:tcPr>
            <w:tcW w:w="9120" w:type="dxa"/>
            <w:vAlign w:val="bottom"/>
            <w:gridSpan w:val="18"/>
          </w:tcPr>
          <w:p>
            <w:pPr>
              <w:spacing w:after="0"/>
              <w:rPr>
                <w:rFonts w:ascii="Arial" w:cs="Arial" w:eastAsia="Arial" w:hAnsi="Arial"/>
                <w:sz w:val="18"/>
                <w:szCs w:val="18"/>
                <w:color w:val="0000FF"/>
                <w:w w:val="94"/>
              </w:rPr>
            </w:pPr>
            <w:hyperlink r:id="rId207">
              <w:r>
                <w:rPr>
                  <w:rFonts w:ascii="Arial" w:cs="Arial" w:eastAsia="Arial" w:hAnsi="Arial"/>
                  <w:sz w:val="18"/>
                  <w:szCs w:val="18"/>
                  <w:color w:val="0000FF"/>
                  <w:w w:val="94"/>
                </w:rPr>
                <w:t>Loan and Security Agreement, dated March 19, 2021 (incorporated by reference to Exhibit 10.1 to the Company's current</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rPr>
            </w:pPr>
            <w:hyperlink r:id="rId207">
              <w:r>
                <w:rPr>
                  <w:rFonts w:ascii="Arial" w:cs="Arial" w:eastAsia="Arial" w:hAnsi="Arial"/>
                  <w:sz w:val="18"/>
                  <w:szCs w:val="18"/>
                  <w:color w:val="0000FF"/>
                </w:rPr>
                <w:t>report on Form 8-K filed with the SEC on March 23, 2021).</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560" w:type="dxa"/>
            <w:vAlign w:val="bottom"/>
            <w:tcBorders>
              <w:right w:val="single" w:sz="8" w:color="0000EE"/>
            </w:tcBorders>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10.33.1**</w:t>
            </w:r>
          </w:p>
        </w:tc>
        <w:tc>
          <w:tcPr>
            <w:tcW w:w="9120" w:type="dxa"/>
            <w:vAlign w:val="bottom"/>
            <w:gridSpan w:val="18"/>
          </w:tcPr>
          <w:p>
            <w:pPr>
              <w:spacing w:after="0"/>
              <w:rPr>
                <w:rFonts w:ascii="Arial" w:cs="Arial" w:eastAsia="Arial" w:hAnsi="Arial"/>
                <w:sz w:val="18"/>
                <w:szCs w:val="18"/>
                <w:color w:val="0000FF"/>
                <w:w w:val="94"/>
              </w:rPr>
            </w:pPr>
            <w:hyperlink r:id="rId208">
              <w:r>
                <w:rPr>
                  <w:rFonts w:ascii="Arial" w:cs="Arial" w:eastAsia="Arial" w:hAnsi="Arial"/>
                  <w:sz w:val="18"/>
                  <w:szCs w:val="18"/>
                  <w:color w:val="0000FF"/>
                  <w:w w:val="94"/>
                </w:rPr>
                <w:t>Consent and First Amendment to Loan and Security Agreement, dated September 30, 2021 (incorporated by reference to</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5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rPr>
            </w:pPr>
            <w:hyperlink r:id="rId208">
              <w:r>
                <w:rPr>
                  <w:rFonts w:ascii="Arial" w:cs="Arial" w:eastAsia="Arial" w:hAnsi="Arial"/>
                  <w:sz w:val="18"/>
                  <w:szCs w:val="18"/>
                  <w:color w:val="0000FF"/>
                </w:rPr>
                <w:t>Exhibit 10.39 to the Company's Form 10-Q filed with the SEC on November 15, 2021).</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56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10.33.2**</w:t>
            </w:r>
          </w:p>
        </w:tc>
        <w:tc>
          <w:tcPr>
            <w:tcW w:w="9120" w:type="dxa"/>
            <w:vAlign w:val="bottom"/>
            <w:gridSpan w:val="18"/>
          </w:tcPr>
          <w:p>
            <w:pPr>
              <w:spacing w:after="0"/>
              <w:rPr>
                <w:rFonts w:ascii="Arial" w:cs="Arial" w:eastAsia="Arial" w:hAnsi="Arial"/>
                <w:sz w:val="18"/>
                <w:szCs w:val="18"/>
                <w:color w:val="0000FF"/>
                <w:w w:val="92"/>
              </w:rPr>
            </w:pPr>
            <w:hyperlink r:id="rId209">
              <w:r>
                <w:rPr>
                  <w:rFonts w:ascii="Arial" w:cs="Arial" w:eastAsia="Arial" w:hAnsi="Arial"/>
                  <w:sz w:val="18"/>
                  <w:szCs w:val="18"/>
                  <w:color w:val="0000FF"/>
                  <w:w w:val="92"/>
                </w:rPr>
                <w:t>Consent and Second Amendment to Loan and Security Agreement, dated December 30, 2021 (incorporated by reference to</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8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rPr>
            </w:pPr>
            <w:hyperlink r:id="rId209">
              <w:r>
                <w:rPr>
                  <w:rFonts w:ascii="Arial" w:cs="Arial" w:eastAsia="Arial" w:hAnsi="Arial"/>
                  <w:sz w:val="18"/>
                  <w:szCs w:val="18"/>
                  <w:color w:val="0000FF"/>
                </w:rPr>
                <w:t>Exhibit 10.40 to the Company's current report on Form 8-K filed with the SEC on January 4, 2022).</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8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10.33.3**</w:t>
            </w:r>
          </w:p>
        </w:tc>
        <w:tc>
          <w:tcPr>
            <w:tcW w:w="9120" w:type="dxa"/>
            <w:vAlign w:val="bottom"/>
            <w:gridSpan w:val="18"/>
          </w:tcPr>
          <w:p>
            <w:pPr>
              <w:spacing w:after="0"/>
              <w:rPr>
                <w:rFonts w:ascii="Arial" w:cs="Arial" w:eastAsia="Arial" w:hAnsi="Arial"/>
                <w:sz w:val="18"/>
                <w:szCs w:val="18"/>
                <w:color w:val="0000FF"/>
                <w:w w:val="93"/>
              </w:rPr>
            </w:pPr>
            <w:hyperlink r:id="rId210">
              <w:r>
                <w:rPr>
                  <w:rFonts w:ascii="Arial" w:cs="Arial" w:eastAsia="Arial" w:hAnsi="Arial"/>
                  <w:sz w:val="18"/>
                  <w:szCs w:val="18"/>
                  <w:color w:val="0000FF"/>
                  <w:w w:val="93"/>
                </w:rPr>
                <w:t>Consent and Third Amendment to Loan and Security Agreement, dated April 7, 2022 (incorporated by reference to Exhibit</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8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rPr>
            </w:pPr>
            <w:hyperlink r:id="rId210">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the Company's current report on Form 8-K filed with the SEC on April 11, 2022).</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680" w:type="dxa"/>
            <w:vAlign w:val="bottom"/>
            <w:tcBorders>
              <w:right w:val="single" w:sz="8" w:color="0000EE"/>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10.33.4**</w:t>
            </w:r>
          </w:p>
        </w:tc>
        <w:tc>
          <w:tcPr>
            <w:tcW w:w="9120" w:type="dxa"/>
            <w:vAlign w:val="bottom"/>
            <w:gridSpan w:val="18"/>
          </w:tcPr>
          <w:p>
            <w:pPr>
              <w:spacing w:after="0"/>
              <w:rPr>
                <w:rFonts w:ascii="Arial" w:cs="Arial" w:eastAsia="Arial" w:hAnsi="Arial"/>
                <w:sz w:val="18"/>
                <w:szCs w:val="18"/>
                <w:color w:val="0000FF"/>
                <w:w w:val="92"/>
              </w:rPr>
            </w:pPr>
            <w:hyperlink r:id="rId211">
              <w:r>
                <w:rPr>
                  <w:rFonts w:ascii="Arial" w:cs="Arial" w:eastAsia="Arial" w:hAnsi="Arial"/>
                  <w:sz w:val="18"/>
                  <w:szCs w:val="18"/>
                  <w:color w:val="0000FF"/>
                  <w:w w:val="92"/>
                </w:rPr>
                <w:t>Consent and Fourth Amendment to Loan and Security Agreement, dated September 30, 2022 (incorporated by reference to</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12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rPr>
            </w:pPr>
            <w:hyperlink r:id="rId211">
              <w:r>
                <w:rPr>
                  <w:rFonts w:ascii="Arial" w:cs="Arial" w:eastAsia="Arial" w:hAnsi="Arial"/>
                  <w:sz w:val="18"/>
                  <w:szCs w:val="18"/>
                  <w:color w:val="0000FF"/>
                </w:rPr>
                <w:t>Exhibit 10.1 to the Company's Quarterly Report on Form 10-Q filed with the SEC on November 3, 2022).</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12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10.34**</w:t>
            </w:r>
          </w:p>
        </w:tc>
        <w:tc>
          <w:tcPr>
            <w:tcW w:w="9120" w:type="dxa"/>
            <w:vAlign w:val="bottom"/>
            <w:gridSpan w:val="18"/>
          </w:tcPr>
          <w:p>
            <w:pPr>
              <w:spacing w:after="0"/>
              <w:rPr>
                <w:rFonts w:ascii="Arial" w:cs="Arial" w:eastAsia="Arial" w:hAnsi="Arial"/>
                <w:sz w:val="18"/>
                <w:szCs w:val="18"/>
                <w:color w:val="0000FF"/>
                <w:w w:val="91"/>
              </w:rPr>
            </w:pPr>
            <w:hyperlink r:id="rId212">
              <w:r>
                <w:rPr>
                  <w:rFonts w:ascii="Arial" w:cs="Arial" w:eastAsia="Arial" w:hAnsi="Arial"/>
                  <w:sz w:val="18"/>
                  <w:szCs w:val="18"/>
                  <w:color w:val="0000FF"/>
                  <w:w w:val="91"/>
                </w:rPr>
                <w:t>Purchase Agreement, dated March 7, 2022, by and between Biodesix, Inc. and Lincoln Park Capital Fund, LLC (incorporated</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12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rPr>
            </w:pPr>
            <w:hyperlink r:id="rId212">
              <w:r>
                <w:rPr>
                  <w:rFonts w:ascii="Arial" w:cs="Arial" w:eastAsia="Arial" w:hAnsi="Arial"/>
                  <w:sz w:val="18"/>
                  <w:szCs w:val="18"/>
                  <w:color w:val="0000FF"/>
                </w:rPr>
                <w:t>by reference to Exhibit 10.1 to the Company's current report on Form 8-K filed with the SEC on March 7, 2022).</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12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10.35**</w:t>
            </w:r>
          </w:p>
        </w:tc>
        <w:tc>
          <w:tcPr>
            <w:tcW w:w="9120" w:type="dxa"/>
            <w:vAlign w:val="bottom"/>
            <w:gridSpan w:val="18"/>
          </w:tcPr>
          <w:p>
            <w:pPr>
              <w:spacing w:after="0"/>
              <w:rPr>
                <w:rFonts w:ascii="Arial" w:cs="Arial" w:eastAsia="Arial" w:hAnsi="Arial"/>
                <w:sz w:val="18"/>
                <w:szCs w:val="18"/>
                <w:color w:val="0000FF"/>
                <w:w w:val="94"/>
              </w:rPr>
            </w:pPr>
            <w:hyperlink r:id="rId213">
              <w:r>
                <w:rPr>
                  <w:rFonts w:ascii="Arial" w:cs="Arial" w:eastAsia="Arial" w:hAnsi="Arial"/>
                  <w:sz w:val="18"/>
                  <w:szCs w:val="18"/>
                  <w:color w:val="0000FF"/>
                  <w:w w:val="94"/>
                </w:rPr>
                <w:t>Registration Rights Agreement, dated March 7, 2022, by and between Biodesix, Inc. and Lincoln Park Capital Fund, LLC</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12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w w:val="96"/>
              </w:rPr>
            </w:pPr>
            <w:hyperlink r:id="rId213">
              <w:r>
                <w:rPr>
                  <w:rFonts w:ascii="Arial" w:cs="Arial" w:eastAsia="Arial" w:hAnsi="Arial"/>
                  <w:sz w:val="18"/>
                  <w:szCs w:val="18"/>
                  <w:color w:val="0000FF"/>
                  <w:w w:val="96"/>
                </w:rPr>
                <w:t>(incorporated by reference to Exhibit 10.2 to the Company's current report on Form 8-K filed with the SEC on March 7,</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460" w:type="dxa"/>
            <w:vAlign w:val="bottom"/>
          </w:tcPr>
          <w:p>
            <w:pPr>
              <w:spacing w:after="0" w:line="195" w:lineRule="exact"/>
              <w:rPr>
                <w:rFonts w:ascii="Arial" w:cs="Arial" w:eastAsia="Arial" w:hAnsi="Arial"/>
                <w:sz w:val="18"/>
                <w:szCs w:val="18"/>
                <w:color w:val="0000FF"/>
                <w:w w:val="82"/>
              </w:rPr>
            </w:pPr>
            <w:hyperlink r:id="rId213">
              <w:r>
                <w:rPr>
                  <w:rFonts w:ascii="Arial" w:cs="Arial" w:eastAsia="Arial" w:hAnsi="Arial"/>
                  <w:sz w:val="18"/>
                  <w:szCs w:val="18"/>
                  <w:color w:val="0000FF"/>
                  <w:w w:val="82"/>
                </w:rPr>
                <w:t>2022).</w:t>
              </w:r>
            </w:hyperlink>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10.36**</w:t>
            </w:r>
          </w:p>
        </w:tc>
        <w:tc>
          <w:tcPr>
            <w:tcW w:w="9120" w:type="dxa"/>
            <w:vAlign w:val="bottom"/>
            <w:gridSpan w:val="18"/>
          </w:tcPr>
          <w:p>
            <w:pPr>
              <w:spacing w:after="0"/>
              <w:rPr>
                <w:rFonts w:ascii="Arial" w:cs="Arial" w:eastAsia="Arial" w:hAnsi="Arial"/>
                <w:sz w:val="18"/>
                <w:szCs w:val="18"/>
                <w:color w:val="0000FF"/>
                <w:w w:val="92"/>
              </w:rPr>
            </w:pPr>
            <w:hyperlink r:id="rId214">
              <w:r>
                <w:rPr>
                  <w:rFonts w:ascii="Arial" w:cs="Arial" w:eastAsia="Arial" w:hAnsi="Arial"/>
                  <w:sz w:val="18"/>
                  <w:szCs w:val="18"/>
                  <w:color w:val="0000FF"/>
                  <w:w w:val="92"/>
                </w:rPr>
                <w:t>Secured Purchase Agreement by and between Streeterville Capital LLC and Biodesix, Inc. dated May 9, 2022 (incorporated</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12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rPr>
            </w:pPr>
            <w:hyperlink r:id="rId214">
              <w:r>
                <w:rPr>
                  <w:rFonts w:ascii="Arial" w:cs="Arial" w:eastAsia="Arial" w:hAnsi="Arial"/>
                  <w:sz w:val="18"/>
                  <w:szCs w:val="18"/>
                  <w:color w:val="0000FF"/>
                </w:rPr>
                <w:t>by reference to Exhibit 10.7 to the Company's Form 10-Q filed with the SEC on May 11, 2022).</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120" w:type="dxa"/>
            <w:vAlign w:val="bottom"/>
            <w:tcBorders>
              <w:right w:val="single" w:sz="8" w:color="0000EE"/>
            </w:tcBorders>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10.37**</w:t>
            </w:r>
          </w:p>
        </w:tc>
        <w:tc>
          <w:tcPr>
            <w:tcW w:w="9120" w:type="dxa"/>
            <w:vAlign w:val="bottom"/>
            <w:gridSpan w:val="18"/>
          </w:tcPr>
          <w:p>
            <w:pPr>
              <w:spacing w:after="0"/>
              <w:rPr>
                <w:rFonts w:ascii="Arial" w:cs="Arial" w:eastAsia="Arial" w:hAnsi="Arial"/>
                <w:sz w:val="18"/>
                <w:szCs w:val="18"/>
                <w:color w:val="0000FF"/>
                <w:w w:val="94"/>
              </w:rPr>
            </w:pPr>
            <w:hyperlink r:id="rId215">
              <w:r>
                <w:rPr>
                  <w:rFonts w:ascii="Arial" w:cs="Arial" w:eastAsia="Arial" w:hAnsi="Arial"/>
                  <w:sz w:val="18"/>
                  <w:szCs w:val="18"/>
                  <w:color w:val="0000FF"/>
                  <w:w w:val="94"/>
                </w:rPr>
                <w:t>Secured Convertible Promissory Note #1 by and between Streeterville Capital LLC and Biodesix, Inc. dated May 9, 2022</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260" w:type="dxa"/>
            <w:vAlign w:val="bottom"/>
            <w:tcBorders>
              <w:right w:val="single" w:sz="8" w:color="0000FF"/>
            </w:tcBorders>
            <w:gridSpan w:val="6"/>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rPr>
            </w:pPr>
            <w:hyperlink r:id="rId215">
              <w:r>
                <w:rPr>
                  <w:rFonts w:ascii="Arial" w:cs="Arial" w:eastAsia="Arial" w:hAnsi="Arial"/>
                  <w:sz w:val="18"/>
                  <w:szCs w:val="18"/>
                  <w:color w:val="0000FF"/>
                </w:rPr>
                <w:t>(incorporated by reference to Exhibit 10.8 to the Company's Form 10-Q filed with the SEC on May 11, 2022).</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260" w:type="dxa"/>
            <w:vAlign w:val="bottom"/>
            <w:tcBorders>
              <w:right w:val="single" w:sz="8" w:color="0000FF"/>
            </w:tcBorders>
            <w:gridSpan w:val="6"/>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10.38**</w:t>
            </w:r>
          </w:p>
        </w:tc>
        <w:tc>
          <w:tcPr>
            <w:tcW w:w="9120" w:type="dxa"/>
            <w:vAlign w:val="bottom"/>
            <w:gridSpan w:val="18"/>
          </w:tcPr>
          <w:p>
            <w:pPr>
              <w:spacing w:after="0"/>
              <w:rPr>
                <w:rFonts w:ascii="Arial" w:cs="Arial" w:eastAsia="Arial" w:hAnsi="Arial"/>
                <w:sz w:val="18"/>
                <w:szCs w:val="18"/>
                <w:color w:val="0000FF"/>
                <w:w w:val="94"/>
              </w:rPr>
            </w:pPr>
            <w:hyperlink r:id="rId216">
              <w:r>
                <w:rPr>
                  <w:rFonts w:ascii="Arial" w:cs="Arial" w:eastAsia="Arial" w:hAnsi="Arial"/>
                  <w:sz w:val="18"/>
                  <w:szCs w:val="18"/>
                  <w:color w:val="0000FF"/>
                  <w:w w:val="94"/>
                </w:rPr>
                <w:t>Form of Subscription Agreement with resale registration rights provision, dated April 7, 2022 (incorporated by reference to</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260" w:type="dxa"/>
            <w:vAlign w:val="bottom"/>
            <w:tcBorders>
              <w:right w:val="single" w:sz="8" w:color="0000FF"/>
            </w:tcBorders>
            <w:gridSpan w:val="6"/>
            <w:shd w:val="clear" w:color="auto" w:fill="0000FF"/>
          </w:tcPr>
          <w:p>
            <w:pPr>
              <w:spacing w:after="0" w:line="20" w:lineRule="exact"/>
              <w:rPr>
                <w:sz w:val="1"/>
                <w:szCs w:val="1"/>
                <w:color w:val="auto"/>
              </w:rPr>
            </w:pPr>
          </w:p>
        </w:tc>
        <w:tc>
          <w:tcPr>
            <w:tcW w:w="204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rPr>
            </w:pPr>
            <w:hyperlink r:id="rId216">
              <w:r>
                <w:rPr>
                  <w:rFonts w:ascii="Arial" w:cs="Arial" w:eastAsia="Arial" w:hAnsi="Arial"/>
                  <w:sz w:val="18"/>
                  <w:szCs w:val="18"/>
                  <w:color w:val="0000FF"/>
                </w:rPr>
                <w:t>Exhibit 10.1 to the Company's current report on Form 8-K filed with the SEC on April 11, 2022).</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260" w:type="dxa"/>
            <w:vAlign w:val="bottom"/>
            <w:tcBorders>
              <w:right w:val="single" w:sz="8" w:color="0000EE"/>
            </w:tcBorders>
            <w:gridSpan w:val="6"/>
            <w:shd w:val="clear" w:color="auto" w:fill="0000FF"/>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10.39**</w:t>
            </w:r>
          </w:p>
        </w:tc>
        <w:tc>
          <w:tcPr>
            <w:tcW w:w="9120" w:type="dxa"/>
            <w:vAlign w:val="bottom"/>
            <w:gridSpan w:val="18"/>
          </w:tcPr>
          <w:p>
            <w:pPr>
              <w:spacing w:after="0"/>
              <w:rPr>
                <w:rFonts w:ascii="Arial" w:cs="Arial" w:eastAsia="Arial" w:hAnsi="Arial"/>
                <w:sz w:val="18"/>
                <w:szCs w:val="18"/>
                <w:color w:val="0000FF"/>
                <w:w w:val="93"/>
              </w:rPr>
            </w:pPr>
            <w:hyperlink r:id="rId217">
              <w:r>
                <w:rPr>
                  <w:rFonts w:ascii="Arial" w:cs="Arial" w:eastAsia="Arial" w:hAnsi="Arial"/>
                  <w:sz w:val="18"/>
                  <w:szCs w:val="18"/>
                  <w:color w:val="0000FF"/>
                  <w:w w:val="93"/>
                </w:rPr>
                <w:t>Form of Subscription Agreement without registration rights, entered by the three members of our Board of Directors, dated</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300" w:type="dxa"/>
            <w:vAlign w:val="bottom"/>
            <w:tcBorders>
              <w:right w:val="single" w:sz="8" w:color="0000FF"/>
            </w:tcBorders>
            <w:gridSpan w:val="1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w w:val="93"/>
              </w:rPr>
            </w:pPr>
            <w:hyperlink r:id="rId217">
              <w:r>
                <w:rPr>
                  <w:rFonts w:ascii="Arial" w:cs="Arial" w:eastAsia="Arial" w:hAnsi="Arial"/>
                  <w:sz w:val="18"/>
                  <w:szCs w:val="18"/>
                  <w:color w:val="0000FF"/>
                  <w:w w:val="93"/>
                </w:rPr>
                <w:t>April 7, 2022 (incorporated by reference to Exhibit 10.2 to the Company's current report on Form 8-K filed with the SEC on</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300" w:type="dxa"/>
            <w:vAlign w:val="bottom"/>
            <w:tcBorders>
              <w:right w:val="single" w:sz="8" w:color="0000FF"/>
            </w:tcBorders>
            <w:gridSpan w:val="1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rPr>
            </w:pPr>
            <w:hyperlink r:id="rId217">
              <w:r>
                <w:rPr>
                  <w:rFonts w:ascii="Arial" w:cs="Arial" w:eastAsia="Arial" w:hAnsi="Arial"/>
                  <w:sz w:val="18"/>
                  <w:szCs w:val="18"/>
                  <w:color w:val="0000FF"/>
                </w:rPr>
                <w:t>April 11, 2022).</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30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2120" w:type="dxa"/>
            <w:vAlign w:val="bottom"/>
          </w:tcPr>
          <w:p>
            <w:pPr>
              <w:ind w:left="100"/>
              <w:spacing w:after="0"/>
              <w:rPr>
                <w:sz w:val="20"/>
                <w:szCs w:val="20"/>
                <w:color w:val="auto"/>
              </w:rPr>
            </w:pPr>
            <w:r>
              <w:rPr>
                <w:rFonts w:ascii="Arial" w:cs="Arial" w:eastAsia="Arial" w:hAnsi="Arial"/>
                <w:sz w:val="18"/>
                <w:szCs w:val="18"/>
                <w:color w:val="auto"/>
              </w:rPr>
              <w:t>10.40**</w:t>
            </w:r>
          </w:p>
        </w:tc>
        <w:tc>
          <w:tcPr>
            <w:tcW w:w="9120" w:type="dxa"/>
            <w:vAlign w:val="bottom"/>
            <w:gridSpan w:val="18"/>
          </w:tcPr>
          <w:p>
            <w:pPr>
              <w:spacing w:after="0"/>
              <w:rPr>
                <w:rFonts w:ascii="Arial" w:cs="Arial" w:eastAsia="Arial" w:hAnsi="Arial"/>
                <w:sz w:val="18"/>
                <w:szCs w:val="18"/>
                <w:color w:val="0000FF"/>
                <w:w w:val="97"/>
              </w:rPr>
            </w:pPr>
            <w:hyperlink r:id="rId150">
              <w:r>
                <w:rPr>
                  <w:rFonts w:ascii="Arial" w:cs="Arial" w:eastAsia="Arial" w:hAnsi="Arial"/>
                  <w:sz w:val="18"/>
                  <w:szCs w:val="18"/>
                  <w:color w:val="0000FF"/>
                  <w:w w:val="97"/>
                </w:rPr>
                <w:t>Credit Agreement and Guaranty, dated as of November 16, 2022, by and among the Company and Perceptive Credit</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7300" w:type="dxa"/>
            <w:vAlign w:val="bottom"/>
            <w:tcBorders>
              <w:right w:val="single" w:sz="8" w:color="0000FF"/>
            </w:tcBorders>
            <w:gridSpan w:val="1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w w:val="93"/>
              </w:rPr>
            </w:pPr>
            <w:hyperlink r:id="rId150">
              <w:r>
                <w:rPr>
                  <w:rFonts w:ascii="Arial" w:cs="Arial" w:eastAsia="Arial" w:hAnsi="Arial"/>
                  <w:sz w:val="18"/>
                  <w:szCs w:val="18"/>
                  <w:color w:val="0000FF"/>
                  <w:w w:val="93"/>
                </w:rPr>
                <w:t>Holdings IV, LP. (incorporated by reference to Exhibit 10.1 to the Company's current report on Form 8-K filed with the SEC</w:t>
              </w:r>
            </w:hyperlink>
          </w:p>
        </w:tc>
      </w:tr>
      <w:tr>
        <w:trPr>
          <w:trHeight w:val="20"/>
        </w:trPr>
        <w:tc>
          <w:tcPr>
            <w:tcW w:w="2120" w:type="dxa"/>
            <w:vAlign w:val="bottom"/>
            <w:tcBorders>
              <w:right w:val="single" w:sz="8" w:color="0000EE"/>
            </w:tcBorders>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7300" w:type="dxa"/>
            <w:vAlign w:val="bottom"/>
            <w:tcBorders>
              <w:right w:val="single" w:sz="8" w:color="0000FF"/>
            </w:tcBorders>
            <w:gridSpan w:val="1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9120" w:type="dxa"/>
            <w:vAlign w:val="bottom"/>
            <w:gridSpan w:val="18"/>
          </w:tcPr>
          <w:p>
            <w:pPr>
              <w:spacing w:after="0" w:line="195" w:lineRule="exact"/>
              <w:rPr>
                <w:rFonts w:ascii="Arial" w:cs="Arial" w:eastAsia="Arial" w:hAnsi="Arial"/>
                <w:sz w:val="18"/>
                <w:szCs w:val="18"/>
                <w:color w:val="0000FF"/>
              </w:rPr>
            </w:pPr>
            <w:hyperlink r:id="rId150">
              <w:r>
                <w:rPr>
                  <w:rFonts w:ascii="Arial" w:cs="Arial" w:eastAsia="Arial" w:hAnsi="Arial"/>
                  <w:sz w:val="18"/>
                  <w:szCs w:val="18"/>
                  <w:color w:val="0000FF"/>
                </w:rPr>
                <w:t>on November 21, 2022).</w:t>
              </w:r>
            </w:hyperlink>
          </w:p>
        </w:tc>
      </w:tr>
      <w:tr>
        <w:trPr>
          <w:trHeight w:val="573"/>
        </w:trPr>
        <w:tc>
          <w:tcPr>
            <w:tcW w:w="2120" w:type="dxa"/>
            <w:vAlign w:val="bottom"/>
          </w:tcPr>
          <w:p>
            <w:pPr>
              <w:spacing w:after="0"/>
              <w:rPr>
                <w:sz w:val="24"/>
                <w:szCs w:val="24"/>
                <w:color w:val="auto"/>
              </w:rPr>
            </w:pPr>
          </w:p>
        </w:tc>
        <w:tc>
          <w:tcPr>
            <w:tcW w:w="1740" w:type="dxa"/>
            <w:vAlign w:val="bottom"/>
            <w:tcBorders>
              <w:top w:val="single" w:sz="8" w:color="0000FF"/>
            </w:tcBorders>
            <w:gridSpan w:val="5"/>
          </w:tcPr>
          <w:p>
            <w:pPr>
              <w:spacing w:after="0"/>
              <w:rPr>
                <w:sz w:val="24"/>
                <w:szCs w:val="24"/>
                <w:color w:val="auto"/>
              </w:rPr>
            </w:pPr>
          </w:p>
        </w:tc>
        <w:tc>
          <w:tcPr>
            <w:tcW w:w="2560" w:type="dxa"/>
            <w:vAlign w:val="bottom"/>
          </w:tcPr>
          <w:p>
            <w:pPr>
              <w:jc w:val="right"/>
              <w:ind w:right="570"/>
              <w:spacing w:after="0"/>
              <w:rPr>
                <w:sz w:val="20"/>
                <w:szCs w:val="20"/>
                <w:color w:val="auto"/>
              </w:rPr>
            </w:pPr>
            <w:r>
              <w:rPr>
                <w:rFonts w:ascii="Arial" w:cs="Arial" w:eastAsia="Arial" w:hAnsi="Arial"/>
                <w:sz w:val="18"/>
                <w:szCs w:val="18"/>
                <w:color w:val="auto"/>
              </w:rPr>
              <w:t>104</w:t>
            </w: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2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tbl>
      <w:tblPr>
        <w:tblLayout w:type="fixed"/>
        <w:tblInd w:w="100" w:type="dxa"/>
        <w:tblCellMar>
          <w:top w:w="0" w:type="dxa"/>
          <w:left w:w="0" w:type="dxa"/>
          <w:bottom w:w="0" w:type="dxa"/>
          <w:right w:w="0" w:type="dxa"/>
        </w:tblCellMar>
      </w:tblPr>
      <w:tr>
        <w:trPr>
          <w:trHeight w:val="207"/>
        </w:trPr>
        <w:tc>
          <w:tcPr>
            <w:tcW w:w="2020" w:type="dxa"/>
            <w:vAlign w:val="bottom"/>
          </w:tcPr>
          <w:p>
            <w:pPr>
              <w:spacing w:after="0"/>
              <w:rPr>
                <w:sz w:val="20"/>
                <w:szCs w:val="20"/>
                <w:color w:val="auto"/>
              </w:rPr>
            </w:pPr>
            <w:r>
              <w:rPr>
                <w:rFonts w:ascii="Arial" w:cs="Arial" w:eastAsia="Arial" w:hAnsi="Arial"/>
                <w:sz w:val="18"/>
                <w:szCs w:val="18"/>
                <w:color w:val="auto"/>
              </w:rPr>
              <w:t>10.41**</w:t>
            </w:r>
          </w:p>
        </w:tc>
        <w:tc>
          <w:tcPr>
            <w:tcW w:w="9020" w:type="dxa"/>
            <w:vAlign w:val="bottom"/>
            <w:gridSpan w:val="6"/>
          </w:tcPr>
          <w:p>
            <w:pPr>
              <w:spacing w:after="0"/>
              <w:rPr>
                <w:rFonts w:ascii="Arial" w:cs="Arial" w:eastAsia="Arial" w:hAnsi="Arial"/>
                <w:sz w:val="18"/>
                <w:szCs w:val="18"/>
                <w:color w:val="0000FF"/>
                <w:w w:val="92"/>
              </w:rPr>
            </w:pPr>
            <w:hyperlink r:id="rId220">
              <w:r>
                <w:rPr>
                  <w:rFonts w:ascii="Arial" w:cs="Arial" w:eastAsia="Arial" w:hAnsi="Arial"/>
                  <w:sz w:val="18"/>
                  <w:szCs w:val="18"/>
                  <w:color w:val="0000FF"/>
                  <w:w w:val="92"/>
                </w:rPr>
                <w:t>Security Agreement, dated as of November 21, 2022, by and among the Company and Perceptive Credit Holdings IV, LP.</w:t>
              </w:r>
            </w:hyperlink>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r>
      <w:tr>
        <w:trPr>
          <w:trHeight w:val="196"/>
        </w:trPr>
        <w:tc>
          <w:tcPr>
            <w:tcW w:w="2020" w:type="dxa"/>
            <w:vAlign w:val="bottom"/>
          </w:tcPr>
          <w:p>
            <w:pPr>
              <w:spacing w:after="0"/>
              <w:rPr>
                <w:sz w:val="17"/>
                <w:szCs w:val="17"/>
                <w:color w:val="auto"/>
              </w:rPr>
            </w:pPr>
          </w:p>
        </w:tc>
        <w:tc>
          <w:tcPr>
            <w:tcW w:w="9020" w:type="dxa"/>
            <w:vAlign w:val="bottom"/>
            <w:gridSpan w:val="6"/>
          </w:tcPr>
          <w:p>
            <w:pPr>
              <w:spacing w:after="0" w:line="195" w:lineRule="exact"/>
              <w:rPr>
                <w:rFonts w:ascii="Arial" w:cs="Arial" w:eastAsia="Arial" w:hAnsi="Arial"/>
                <w:sz w:val="18"/>
                <w:szCs w:val="18"/>
                <w:color w:val="0000FF"/>
                <w:w w:val="91"/>
              </w:rPr>
            </w:pPr>
            <w:hyperlink r:id="rId220">
              <w:r>
                <w:rPr>
                  <w:rFonts w:ascii="Arial" w:cs="Arial" w:eastAsia="Arial" w:hAnsi="Arial"/>
                  <w:sz w:val="18"/>
                  <w:szCs w:val="18"/>
                  <w:color w:val="0000FF"/>
                  <w:w w:val="91"/>
                </w:rPr>
                <w:t>(incorporated by reference to Exhibit 10.2 to the Company's current report on Form 8-K filed with the SEC on November 21,</w:t>
              </w:r>
            </w:hyperlink>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r>
      <w:tr>
        <w:trPr>
          <w:trHeight w:val="196"/>
        </w:trPr>
        <w:tc>
          <w:tcPr>
            <w:tcW w:w="2020" w:type="dxa"/>
            <w:vAlign w:val="bottom"/>
          </w:tcPr>
          <w:p>
            <w:pPr>
              <w:spacing w:after="0"/>
              <w:rPr>
                <w:sz w:val="17"/>
                <w:szCs w:val="17"/>
                <w:color w:val="auto"/>
              </w:rPr>
            </w:pPr>
          </w:p>
        </w:tc>
        <w:tc>
          <w:tcPr>
            <w:tcW w:w="460" w:type="dxa"/>
            <w:vAlign w:val="bottom"/>
          </w:tcPr>
          <w:p>
            <w:pPr>
              <w:spacing w:after="0" w:line="195" w:lineRule="exact"/>
              <w:rPr>
                <w:rFonts w:ascii="Arial" w:cs="Arial" w:eastAsia="Arial" w:hAnsi="Arial"/>
                <w:sz w:val="18"/>
                <w:szCs w:val="18"/>
                <w:color w:val="0000FF"/>
                <w:w w:val="82"/>
              </w:rPr>
            </w:pPr>
            <w:hyperlink r:id="rId220">
              <w:r>
                <w:rPr>
                  <w:rFonts w:ascii="Arial" w:cs="Arial" w:eastAsia="Arial" w:hAnsi="Arial"/>
                  <w:sz w:val="18"/>
                  <w:szCs w:val="18"/>
                  <w:color w:val="0000FF"/>
                  <w:w w:val="82"/>
                </w:rPr>
                <w:t>2022).</w:t>
              </w:r>
            </w:hyperlink>
          </w:p>
        </w:tc>
        <w:tc>
          <w:tcPr>
            <w:tcW w:w="1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31"/>
        </w:trPr>
        <w:tc>
          <w:tcPr>
            <w:tcW w:w="2020" w:type="dxa"/>
            <w:vAlign w:val="bottom"/>
          </w:tcPr>
          <w:p>
            <w:pPr>
              <w:spacing w:after="0"/>
              <w:rPr>
                <w:sz w:val="20"/>
                <w:szCs w:val="20"/>
                <w:color w:val="auto"/>
              </w:rPr>
            </w:pPr>
            <w:r>
              <w:rPr>
                <w:rFonts w:ascii="Arial" w:cs="Arial" w:eastAsia="Arial" w:hAnsi="Arial"/>
                <w:sz w:val="18"/>
                <w:szCs w:val="18"/>
                <w:color w:val="auto"/>
              </w:rPr>
              <w:t>10.42**</w:t>
            </w:r>
          </w:p>
        </w:tc>
        <w:tc>
          <w:tcPr>
            <w:tcW w:w="9020" w:type="dxa"/>
            <w:vAlign w:val="bottom"/>
            <w:gridSpan w:val="6"/>
          </w:tcPr>
          <w:p>
            <w:pPr>
              <w:spacing w:after="0"/>
              <w:rPr>
                <w:rFonts w:ascii="Arial" w:cs="Arial" w:eastAsia="Arial" w:hAnsi="Arial"/>
                <w:sz w:val="18"/>
                <w:szCs w:val="18"/>
                <w:color w:val="0000FF"/>
                <w:w w:val="94"/>
              </w:rPr>
            </w:pPr>
            <w:hyperlink r:id="rId221">
              <w:r>
                <w:rPr>
                  <w:rFonts w:ascii="Arial" w:cs="Arial" w:eastAsia="Arial" w:hAnsi="Arial"/>
                  <w:sz w:val="18"/>
                  <w:szCs w:val="18"/>
                  <w:color w:val="0000FF"/>
                  <w:w w:val="94"/>
                </w:rPr>
                <w:t>Form of Subscription Agreement, dated November 21, 2022 (incorporated by reference to Exhibit 10.3 to the Company's</w:t>
              </w:r>
            </w:hyperlink>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r>
      <w:tr>
        <w:trPr>
          <w:trHeight w:val="196"/>
        </w:trPr>
        <w:tc>
          <w:tcPr>
            <w:tcW w:w="2020" w:type="dxa"/>
            <w:vAlign w:val="bottom"/>
          </w:tcPr>
          <w:p>
            <w:pPr>
              <w:spacing w:after="0"/>
              <w:rPr>
                <w:sz w:val="17"/>
                <w:szCs w:val="17"/>
                <w:color w:val="auto"/>
              </w:rPr>
            </w:pPr>
          </w:p>
        </w:tc>
        <w:tc>
          <w:tcPr>
            <w:tcW w:w="9020" w:type="dxa"/>
            <w:vAlign w:val="bottom"/>
            <w:gridSpan w:val="6"/>
          </w:tcPr>
          <w:p>
            <w:pPr>
              <w:spacing w:after="0" w:line="195" w:lineRule="exact"/>
              <w:rPr>
                <w:rFonts w:ascii="Arial" w:cs="Arial" w:eastAsia="Arial" w:hAnsi="Arial"/>
                <w:sz w:val="18"/>
                <w:szCs w:val="18"/>
                <w:color w:val="0000FF"/>
              </w:rPr>
            </w:pPr>
            <w:hyperlink r:id="rId221">
              <w:r>
                <w:rPr>
                  <w:rFonts w:ascii="Arial" w:cs="Arial" w:eastAsia="Arial" w:hAnsi="Arial"/>
                  <w:sz w:val="18"/>
                  <w:szCs w:val="18"/>
                  <w:color w:val="0000FF"/>
                </w:rPr>
                <w:t>current report on Form 8-K filed with the SEC on November 21, 2022).</w:t>
              </w:r>
            </w:hyperlink>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31"/>
        </w:trPr>
        <w:tc>
          <w:tcPr>
            <w:tcW w:w="2020" w:type="dxa"/>
            <w:vAlign w:val="bottom"/>
          </w:tcPr>
          <w:p>
            <w:pPr>
              <w:spacing w:after="0"/>
              <w:rPr>
                <w:sz w:val="20"/>
                <w:szCs w:val="20"/>
                <w:color w:val="auto"/>
              </w:rPr>
            </w:pPr>
            <w:r>
              <w:rPr>
                <w:rFonts w:ascii="Arial" w:cs="Arial" w:eastAsia="Arial" w:hAnsi="Arial"/>
                <w:sz w:val="18"/>
                <w:szCs w:val="18"/>
                <w:color w:val="auto"/>
              </w:rPr>
              <w:t>23.1*</w:t>
            </w:r>
          </w:p>
        </w:tc>
        <w:tc>
          <w:tcPr>
            <w:tcW w:w="9020" w:type="dxa"/>
            <w:vAlign w:val="bottom"/>
            <w:gridSpan w:val="6"/>
          </w:tcPr>
          <w:p>
            <w:pPr>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31"/>
        </w:trPr>
        <w:tc>
          <w:tcPr>
            <w:tcW w:w="2020" w:type="dxa"/>
            <w:vAlign w:val="bottom"/>
          </w:tcPr>
          <w:p>
            <w:pPr>
              <w:spacing w:after="0"/>
              <w:rPr>
                <w:sz w:val="20"/>
                <w:szCs w:val="20"/>
                <w:color w:val="auto"/>
              </w:rPr>
            </w:pPr>
            <w:r>
              <w:rPr>
                <w:rFonts w:ascii="Arial" w:cs="Arial" w:eastAsia="Arial" w:hAnsi="Arial"/>
                <w:sz w:val="18"/>
                <w:szCs w:val="18"/>
                <w:color w:val="auto"/>
              </w:rPr>
              <w:t>24.1*</w:t>
            </w:r>
          </w:p>
        </w:tc>
        <w:tc>
          <w:tcPr>
            <w:tcW w:w="9020" w:type="dxa"/>
            <w:vAlign w:val="bottom"/>
            <w:gridSpan w:val="6"/>
          </w:tcPr>
          <w:p>
            <w:pPr>
              <w:spacing w:after="0"/>
              <w:rPr>
                <w:sz w:val="20"/>
                <w:szCs w:val="20"/>
                <w:color w:val="auto"/>
              </w:rPr>
            </w:pPr>
            <w:r>
              <w:rPr>
                <w:rFonts w:ascii="Arial" w:cs="Arial" w:eastAsia="Arial" w:hAnsi="Arial"/>
                <w:sz w:val="18"/>
                <w:szCs w:val="18"/>
                <w:color w:val="0000FF"/>
              </w:rPr>
              <w:t>Power of Attorney (included on the signature page of this Form 10-K).</w:t>
            </w:r>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300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31"/>
        </w:trPr>
        <w:tc>
          <w:tcPr>
            <w:tcW w:w="2020" w:type="dxa"/>
            <w:vAlign w:val="bottom"/>
          </w:tcPr>
          <w:p>
            <w:pPr>
              <w:spacing w:after="0"/>
              <w:rPr>
                <w:sz w:val="20"/>
                <w:szCs w:val="20"/>
                <w:color w:val="auto"/>
              </w:rPr>
            </w:pPr>
            <w:r>
              <w:rPr>
                <w:rFonts w:ascii="Arial" w:cs="Arial" w:eastAsia="Arial" w:hAnsi="Arial"/>
                <w:sz w:val="18"/>
                <w:szCs w:val="18"/>
                <w:color w:val="auto"/>
              </w:rPr>
              <w:t>31.1*</w:t>
            </w:r>
          </w:p>
        </w:tc>
        <w:tc>
          <w:tcPr>
            <w:tcW w:w="9020" w:type="dxa"/>
            <w:vAlign w:val="bottom"/>
            <w:gridSpan w:val="6"/>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w:t>
            </w:r>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3520" w:type="dxa"/>
            <w:vAlign w:val="bottom"/>
            <w:tcBorders>
              <w:right w:val="single" w:sz="8" w:color="0000FF"/>
            </w:tcBorders>
            <w:gridSpan w:val="3"/>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r>
      <w:tr>
        <w:trPr>
          <w:trHeight w:val="196"/>
        </w:trPr>
        <w:tc>
          <w:tcPr>
            <w:tcW w:w="2020" w:type="dxa"/>
            <w:vAlign w:val="bottom"/>
          </w:tcPr>
          <w:p>
            <w:pPr>
              <w:spacing w:after="0"/>
              <w:rPr>
                <w:sz w:val="17"/>
                <w:szCs w:val="17"/>
                <w:color w:val="auto"/>
              </w:rPr>
            </w:pPr>
          </w:p>
        </w:tc>
        <w:tc>
          <w:tcPr>
            <w:tcW w:w="9020" w:type="dxa"/>
            <w:vAlign w:val="bottom"/>
            <w:gridSpan w:val="6"/>
          </w:tcPr>
          <w:p>
            <w:pPr>
              <w:spacing w:after="0" w:line="195" w:lineRule="exact"/>
              <w:rPr>
                <w:sz w:val="20"/>
                <w:szCs w:val="20"/>
                <w:color w:val="auto"/>
              </w:rPr>
            </w:pPr>
            <w:r>
              <w:rPr>
                <w:rFonts w:ascii="Arial" w:cs="Arial" w:eastAsia="Arial" w:hAnsi="Arial"/>
                <w:sz w:val="18"/>
                <w:szCs w:val="18"/>
                <w:color w:val="0000FF"/>
              </w:rPr>
              <w:t>1934, as Adopted Pursuant to Section 302 of the Sarbanes-Oxley Act of 2002.</w:t>
            </w:r>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3520" w:type="dxa"/>
            <w:vAlign w:val="bottom"/>
            <w:tcBorders>
              <w:right w:val="single" w:sz="8" w:color="0000EE"/>
            </w:tcBorders>
            <w:gridSpan w:val="3"/>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31"/>
        </w:trPr>
        <w:tc>
          <w:tcPr>
            <w:tcW w:w="2020" w:type="dxa"/>
            <w:vAlign w:val="bottom"/>
          </w:tcPr>
          <w:p>
            <w:pPr>
              <w:spacing w:after="0"/>
              <w:rPr>
                <w:sz w:val="20"/>
                <w:szCs w:val="20"/>
                <w:color w:val="auto"/>
              </w:rPr>
            </w:pPr>
            <w:r>
              <w:rPr>
                <w:rFonts w:ascii="Arial" w:cs="Arial" w:eastAsia="Arial" w:hAnsi="Arial"/>
                <w:sz w:val="18"/>
                <w:szCs w:val="18"/>
                <w:color w:val="auto"/>
              </w:rPr>
              <w:t>31.2*</w:t>
            </w:r>
          </w:p>
        </w:tc>
        <w:tc>
          <w:tcPr>
            <w:tcW w:w="9020" w:type="dxa"/>
            <w:vAlign w:val="bottom"/>
            <w:gridSpan w:val="6"/>
          </w:tcPr>
          <w:p>
            <w:pPr>
              <w:spacing w:after="0"/>
              <w:rPr>
                <w:sz w:val="20"/>
                <w:szCs w:val="20"/>
                <w:color w:val="auto"/>
              </w:rPr>
            </w:pPr>
            <w:r>
              <w:rPr>
                <w:rFonts w:ascii="Arial" w:cs="Arial" w:eastAsia="Arial" w:hAnsi="Arial"/>
                <w:sz w:val="18"/>
                <w:szCs w:val="18"/>
                <w:color w:val="0000FF"/>
                <w:w w:val="92"/>
              </w:rPr>
              <w:t>Certification of Principal Financial Officer Pursuant to Rules 13a-14(a) and 15d-14(a) under the Securities Exchange Act of</w:t>
            </w:r>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6920" w:type="dxa"/>
            <w:vAlign w:val="bottom"/>
            <w:gridSpan w:val="4"/>
            <w:shd w:val="clear" w:color="auto" w:fill="0000FF"/>
          </w:tcPr>
          <w:p>
            <w:pPr>
              <w:spacing w:after="0" w:line="20" w:lineRule="exact"/>
              <w:rPr>
                <w:sz w:val="1"/>
                <w:szCs w:val="1"/>
                <w:color w:val="auto"/>
              </w:rPr>
            </w:pPr>
          </w:p>
        </w:tc>
      </w:tr>
      <w:tr>
        <w:trPr>
          <w:trHeight w:val="196"/>
        </w:trPr>
        <w:tc>
          <w:tcPr>
            <w:tcW w:w="2020" w:type="dxa"/>
            <w:vAlign w:val="bottom"/>
          </w:tcPr>
          <w:p>
            <w:pPr>
              <w:spacing w:after="0"/>
              <w:rPr>
                <w:sz w:val="17"/>
                <w:szCs w:val="17"/>
                <w:color w:val="auto"/>
              </w:rPr>
            </w:pPr>
          </w:p>
        </w:tc>
        <w:tc>
          <w:tcPr>
            <w:tcW w:w="9020" w:type="dxa"/>
            <w:vAlign w:val="bottom"/>
            <w:gridSpan w:val="6"/>
          </w:tcPr>
          <w:p>
            <w:pPr>
              <w:spacing w:after="0" w:line="195" w:lineRule="exact"/>
              <w:rPr>
                <w:sz w:val="20"/>
                <w:szCs w:val="20"/>
                <w:color w:val="auto"/>
              </w:rPr>
            </w:pPr>
            <w:r>
              <w:rPr>
                <w:rFonts w:ascii="Arial" w:cs="Arial" w:eastAsia="Arial" w:hAnsi="Arial"/>
                <w:sz w:val="18"/>
                <w:szCs w:val="18"/>
                <w:color w:val="0000FF"/>
              </w:rPr>
              <w:t>1934, as Adopted Pursuant to Section 302 of the Sarbanes-Oxley Act of 2002.</w:t>
            </w:r>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3520" w:type="dxa"/>
            <w:vAlign w:val="bottom"/>
            <w:tcBorders>
              <w:right w:val="single" w:sz="8" w:color="0000EE"/>
            </w:tcBorders>
            <w:gridSpan w:val="3"/>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31"/>
        </w:trPr>
        <w:tc>
          <w:tcPr>
            <w:tcW w:w="2020" w:type="dxa"/>
            <w:vAlign w:val="bottom"/>
          </w:tcPr>
          <w:p>
            <w:pPr>
              <w:spacing w:after="0"/>
              <w:rPr>
                <w:sz w:val="20"/>
                <w:szCs w:val="20"/>
                <w:color w:val="auto"/>
              </w:rPr>
            </w:pPr>
            <w:r>
              <w:rPr>
                <w:rFonts w:ascii="Arial" w:cs="Arial" w:eastAsia="Arial" w:hAnsi="Arial"/>
                <w:sz w:val="18"/>
                <w:szCs w:val="18"/>
                <w:color w:val="auto"/>
              </w:rPr>
              <w:t>32.1*</w:t>
            </w:r>
          </w:p>
        </w:tc>
        <w:tc>
          <w:tcPr>
            <w:tcW w:w="9020" w:type="dxa"/>
            <w:vAlign w:val="bottom"/>
            <w:gridSpan w:val="6"/>
          </w:tcPr>
          <w:p>
            <w:pPr>
              <w:spacing w:after="0"/>
              <w:rPr>
                <w:sz w:val="20"/>
                <w:szCs w:val="20"/>
                <w:color w:val="auto"/>
              </w:rPr>
            </w:pPr>
            <w:r>
              <w:rPr>
                <w:rFonts w:ascii="Arial" w:cs="Arial" w:eastAsia="Arial" w:hAnsi="Arial"/>
                <w:sz w:val="18"/>
                <w:szCs w:val="18"/>
                <w:color w:val="0000FF"/>
                <w:w w:val="92"/>
              </w:rPr>
              <w:t>Certification of Principal Executive Officer Pursuant to 18 U.S.C. Section 1350, as Adopted Pursuant to Section 906 of the</w:t>
            </w:r>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6920" w:type="dxa"/>
            <w:vAlign w:val="bottom"/>
            <w:gridSpan w:val="4"/>
            <w:shd w:val="clear" w:color="auto" w:fill="0000FF"/>
          </w:tcPr>
          <w:p>
            <w:pPr>
              <w:spacing w:after="0" w:line="20" w:lineRule="exact"/>
              <w:rPr>
                <w:sz w:val="1"/>
                <w:szCs w:val="1"/>
                <w:color w:val="auto"/>
              </w:rPr>
            </w:pPr>
          </w:p>
        </w:tc>
      </w:tr>
      <w:tr>
        <w:trPr>
          <w:trHeight w:val="196"/>
        </w:trPr>
        <w:tc>
          <w:tcPr>
            <w:tcW w:w="2020" w:type="dxa"/>
            <w:vAlign w:val="bottom"/>
          </w:tcPr>
          <w:p>
            <w:pPr>
              <w:spacing w:after="0"/>
              <w:rPr>
                <w:sz w:val="17"/>
                <w:szCs w:val="17"/>
                <w:color w:val="auto"/>
              </w:rPr>
            </w:pPr>
          </w:p>
        </w:tc>
        <w:tc>
          <w:tcPr>
            <w:tcW w:w="9020" w:type="dxa"/>
            <w:vAlign w:val="bottom"/>
            <w:gridSpan w:val="6"/>
          </w:tcPr>
          <w:p>
            <w:pPr>
              <w:spacing w:after="0" w:line="195" w:lineRule="exact"/>
              <w:rPr>
                <w:sz w:val="20"/>
                <w:szCs w:val="20"/>
                <w:color w:val="auto"/>
              </w:rPr>
            </w:pPr>
            <w:r>
              <w:rPr>
                <w:rFonts w:ascii="Arial" w:cs="Arial" w:eastAsia="Arial" w:hAnsi="Arial"/>
                <w:sz w:val="18"/>
                <w:szCs w:val="18"/>
                <w:color w:val="0000FF"/>
              </w:rPr>
              <w:t>Sarbanes-Oxley Act of 2002.</w:t>
            </w:r>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r>
      <w:tr>
        <w:trPr>
          <w:trHeight w:val="331"/>
        </w:trPr>
        <w:tc>
          <w:tcPr>
            <w:tcW w:w="2020" w:type="dxa"/>
            <w:vAlign w:val="bottom"/>
          </w:tcPr>
          <w:p>
            <w:pPr>
              <w:spacing w:after="0"/>
              <w:rPr>
                <w:sz w:val="20"/>
                <w:szCs w:val="20"/>
                <w:color w:val="auto"/>
              </w:rPr>
            </w:pPr>
            <w:r>
              <w:rPr>
                <w:rFonts w:ascii="Arial" w:cs="Arial" w:eastAsia="Arial" w:hAnsi="Arial"/>
                <w:sz w:val="18"/>
                <w:szCs w:val="18"/>
                <w:color w:val="auto"/>
              </w:rPr>
              <w:t>32.2*</w:t>
            </w:r>
          </w:p>
        </w:tc>
        <w:tc>
          <w:tcPr>
            <w:tcW w:w="9020" w:type="dxa"/>
            <w:vAlign w:val="bottom"/>
            <w:gridSpan w:val="6"/>
          </w:tcPr>
          <w:p>
            <w:pPr>
              <w:spacing w:after="0"/>
              <w:rPr>
                <w:sz w:val="20"/>
                <w:szCs w:val="20"/>
                <w:color w:val="auto"/>
              </w:rPr>
            </w:pPr>
            <w:r>
              <w:rPr>
                <w:rFonts w:ascii="Arial" w:cs="Arial" w:eastAsia="Arial" w:hAnsi="Arial"/>
                <w:sz w:val="18"/>
                <w:szCs w:val="18"/>
                <w:color w:val="0000FF"/>
                <w:w w:val="93"/>
              </w:rPr>
              <w:t>Certification of Principal Financial Officer Pursuant to 18 U.S.C. Section 1350, as Adopted Pursuant to Section 906 of the</w:t>
            </w:r>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9020" w:type="dxa"/>
            <w:vAlign w:val="bottom"/>
            <w:gridSpan w:val="6"/>
            <w:shd w:val="clear" w:color="auto" w:fill="0000FF"/>
          </w:tcPr>
          <w:p>
            <w:pPr>
              <w:spacing w:after="0" w:line="20" w:lineRule="exact"/>
              <w:rPr>
                <w:sz w:val="1"/>
                <w:szCs w:val="1"/>
                <w:color w:val="auto"/>
              </w:rPr>
            </w:pPr>
          </w:p>
        </w:tc>
      </w:tr>
      <w:tr>
        <w:trPr>
          <w:trHeight w:val="196"/>
        </w:trPr>
        <w:tc>
          <w:tcPr>
            <w:tcW w:w="2020" w:type="dxa"/>
            <w:vAlign w:val="bottom"/>
          </w:tcPr>
          <w:p>
            <w:pPr>
              <w:spacing w:after="0"/>
              <w:rPr>
                <w:sz w:val="17"/>
                <w:szCs w:val="17"/>
                <w:color w:val="auto"/>
              </w:rPr>
            </w:pPr>
          </w:p>
        </w:tc>
        <w:tc>
          <w:tcPr>
            <w:tcW w:w="9020" w:type="dxa"/>
            <w:vAlign w:val="bottom"/>
            <w:gridSpan w:val="6"/>
          </w:tcPr>
          <w:p>
            <w:pPr>
              <w:spacing w:after="0" w:line="195" w:lineRule="exact"/>
              <w:rPr>
                <w:sz w:val="20"/>
                <w:szCs w:val="20"/>
                <w:color w:val="auto"/>
              </w:rPr>
            </w:pPr>
            <w:r>
              <w:rPr>
                <w:rFonts w:ascii="Arial" w:cs="Arial" w:eastAsia="Arial" w:hAnsi="Arial"/>
                <w:sz w:val="18"/>
                <w:szCs w:val="18"/>
                <w:color w:val="0000FF"/>
              </w:rPr>
              <w:t>Sarbanes-Oxley Act of 2002.</w:t>
            </w:r>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r>
      <w:tr>
        <w:trPr>
          <w:trHeight w:val="357"/>
        </w:trPr>
        <w:tc>
          <w:tcPr>
            <w:tcW w:w="2020" w:type="dxa"/>
            <w:vAlign w:val="bottom"/>
          </w:tcPr>
          <w:p>
            <w:pPr>
              <w:spacing w:after="0"/>
              <w:rPr>
                <w:sz w:val="20"/>
                <w:szCs w:val="20"/>
                <w:color w:val="auto"/>
              </w:rPr>
            </w:pPr>
            <w:r>
              <w:rPr>
                <w:rFonts w:ascii="Arial" w:cs="Arial" w:eastAsia="Arial" w:hAnsi="Arial"/>
                <w:sz w:val="18"/>
                <w:szCs w:val="18"/>
                <w:color w:val="auto"/>
              </w:rPr>
              <w:t>101.INS*</w:t>
            </w:r>
          </w:p>
        </w:tc>
        <w:tc>
          <w:tcPr>
            <w:tcW w:w="9020" w:type="dxa"/>
            <w:vAlign w:val="bottom"/>
            <w:gridSpan w:val="6"/>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w:t>
            </w:r>
          </w:p>
        </w:tc>
      </w:tr>
      <w:tr>
        <w:trPr>
          <w:trHeight w:val="230"/>
        </w:trPr>
        <w:tc>
          <w:tcPr>
            <w:tcW w:w="2020" w:type="dxa"/>
            <w:vAlign w:val="bottom"/>
          </w:tcPr>
          <w:p>
            <w:pPr>
              <w:spacing w:after="0"/>
              <w:rPr>
                <w:sz w:val="20"/>
                <w:szCs w:val="20"/>
                <w:color w:val="auto"/>
              </w:rPr>
            </w:pPr>
          </w:p>
        </w:tc>
        <w:tc>
          <w:tcPr>
            <w:tcW w:w="9020" w:type="dxa"/>
            <w:vAlign w:val="bottom"/>
            <w:gridSpan w:val="6"/>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351"/>
        </w:trPr>
        <w:tc>
          <w:tcPr>
            <w:tcW w:w="2020" w:type="dxa"/>
            <w:vAlign w:val="bottom"/>
          </w:tcPr>
          <w:p>
            <w:pPr>
              <w:spacing w:after="0"/>
              <w:rPr>
                <w:sz w:val="20"/>
                <w:szCs w:val="20"/>
                <w:color w:val="auto"/>
              </w:rPr>
            </w:pPr>
            <w:r>
              <w:rPr>
                <w:rFonts w:ascii="Arial" w:cs="Arial" w:eastAsia="Arial" w:hAnsi="Arial"/>
                <w:sz w:val="18"/>
                <w:szCs w:val="18"/>
                <w:color w:val="auto"/>
              </w:rPr>
              <w:t>101.SCH*</w:t>
            </w:r>
          </w:p>
        </w:tc>
        <w:tc>
          <w:tcPr>
            <w:tcW w:w="90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51"/>
        </w:trPr>
        <w:tc>
          <w:tcPr>
            <w:tcW w:w="2020" w:type="dxa"/>
            <w:vAlign w:val="bottom"/>
          </w:tcPr>
          <w:p>
            <w:pPr>
              <w:spacing w:after="0"/>
              <w:rPr>
                <w:sz w:val="20"/>
                <w:szCs w:val="20"/>
                <w:color w:val="auto"/>
              </w:rPr>
            </w:pPr>
            <w:r>
              <w:rPr>
                <w:rFonts w:ascii="Arial" w:cs="Arial" w:eastAsia="Arial" w:hAnsi="Arial"/>
                <w:sz w:val="18"/>
                <w:szCs w:val="18"/>
                <w:color w:val="auto"/>
              </w:rPr>
              <w:t>101.CAL*</w:t>
            </w:r>
          </w:p>
        </w:tc>
        <w:tc>
          <w:tcPr>
            <w:tcW w:w="90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51"/>
        </w:trPr>
        <w:tc>
          <w:tcPr>
            <w:tcW w:w="2020" w:type="dxa"/>
            <w:vAlign w:val="bottom"/>
          </w:tcPr>
          <w:p>
            <w:pPr>
              <w:spacing w:after="0"/>
              <w:rPr>
                <w:sz w:val="20"/>
                <w:szCs w:val="20"/>
                <w:color w:val="auto"/>
              </w:rPr>
            </w:pPr>
            <w:r>
              <w:rPr>
                <w:rFonts w:ascii="Arial" w:cs="Arial" w:eastAsia="Arial" w:hAnsi="Arial"/>
                <w:sz w:val="18"/>
                <w:szCs w:val="18"/>
                <w:color w:val="auto"/>
              </w:rPr>
              <w:t>101.DEF*</w:t>
            </w:r>
          </w:p>
        </w:tc>
        <w:tc>
          <w:tcPr>
            <w:tcW w:w="90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51"/>
        </w:trPr>
        <w:tc>
          <w:tcPr>
            <w:tcW w:w="2020" w:type="dxa"/>
            <w:vAlign w:val="bottom"/>
          </w:tcPr>
          <w:p>
            <w:pPr>
              <w:spacing w:after="0"/>
              <w:rPr>
                <w:sz w:val="20"/>
                <w:szCs w:val="20"/>
                <w:color w:val="auto"/>
              </w:rPr>
            </w:pPr>
            <w:r>
              <w:rPr>
                <w:rFonts w:ascii="Arial" w:cs="Arial" w:eastAsia="Arial" w:hAnsi="Arial"/>
                <w:sz w:val="18"/>
                <w:szCs w:val="18"/>
                <w:color w:val="auto"/>
              </w:rPr>
              <w:t>101.LAB*</w:t>
            </w:r>
          </w:p>
        </w:tc>
        <w:tc>
          <w:tcPr>
            <w:tcW w:w="90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51"/>
        </w:trPr>
        <w:tc>
          <w:tcPr>
            <w:tcW w:w="2020" w:type="dxa"/>
            <w:vAlign w:val="bottom"/>
          </w:tcPr>
          <w:p>
            <w:pPr>
              <w:spacing w:after="0"/>
              <w:rPr>
                <w:sz w:val="20"/>
                <w:szCs w:val="20"/>
                <w:color w:val="auto"/>
              </w:rPr>
            </w:pPr>
            <w:r>
              <w:rPr>
                <w:rFonts w:ascii="Arial" w:cs="Arial" w:eastAsia="Arial" w:hAnsi="Arial"/>
                <w:sz w:val="18"/>
                <w:szCs w:val="18"/>
                <w:color w:val="auto"/>
              </w:rPr>
              <w:t>101.PRE*</w:t>
            </w:r>
          </w:p>
        </w:tc>
        <w:tc>
          <w:tcPr>
            <w:tcW w:w="902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51"/>
        </w:trPr>
        <w:tc>
          <w:tcPr>
            <w:tcW w:w="2020" w:type="dxa"/>
            <w:vAlign w:val="bottom"/>
          </w:tcPr>
          <w:p>
            <w:pPr>
              <w:spacing w:after="0"/>
              <w:rPr>
                <w:sz w:val="20"/>
                <w:szCs w:val="20"/>
                <w:color w:val="auto"/>
              </w:rPr>
            </w:pPr>
            <w:r>
              <w:rPr>
                <w:rFonts w:ascii="Arial" w:cs="Arial" w:eastAsia="Arial" w:hAnsi="Arial"/>
                <w:sz w:val="18"/>
                <w:szCs w:val="18"/>
                <w:color w:val="auto"/>
              </w:rPr>
              <w:t>104</w:t>
            </w:r>
          </w:p>
        </w:tc>
        <w:tc>
          <w:tcPr>
            <w:tcW w:w="902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9005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2">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343" w:lineRule="exact"/>
        <w:rPr>
          <w:sz w:val="20"/>
          <w:szCs w:val="20"/>
          <w:color w:val="auto"/>
        </w:rPr>
      </w:pPr>
    </w:p>
    <w:p>
      <w:pPr>
        <w:ind w:right="300" w:firstLine="8"/>
        <w:spacing w:after="0" w:line="258" w:lineRule="auto"/>
        <w:tabs>
          <w:tab w:leader="none" w:pos="1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Portions of this exhibit have been omitted as the Registrant has determined that the omitted information (i) is not material and (ii) would likely cause competitive harm to the Registrant if publicly disclosed.</w:t>
      </w:r>
    </w:p>
    <w:p>
      <w:pPr>
        <w:ind w:right="7100"/>
        <w:spacing w:after="0" w:line="250" w:lineRule="auto"/>
        <w:rPr>
          <w:rFonts w:ascii="Arial" w:cs="Arial" w:eastAsia="Arial" w:hAnsi="Arial"/>
          <w:sz w:val="18"/>
          <w:szCs w:val="18"/>
          <w:color w:val="auto"/>
        </w:rPr>
      </w:pPr>
      <w:r>
        <w:rPr>
          <w:rFonts w:ascii="Arial" w:cs="Arial" w:eastAsia="Arial" w:hAnsi="Arial"/>
          <w:sz w:val="18"/>
          <w:szCs w:val="18"/>
          <w:color w:val="auto"/>
        </w:rPr>
        <w:t>+ Indicates management contract or compensatory plan. * Filed herewith.</w:t>
      </w:r>
    </w:p>
    <w:p>
      <w:pPr>
        <w:spacing w:after="0"/>
        <w:rPr>
          <w:rFonts w:ascii="Arial" w:cs="Arial" w:eastAsia="Arial" w:hAnsi="Arial"/>
          <w:sz w:val="18"/>
          <w:szCs w:val="18"/>
          <w:color w:val="auto"/>
        </w:rPr>
      </w:pPr>
      <w:r>
        <w:rPr>
          <w:rFonts w:ascii="Arial" w:cs="Arial" w:eastAsia="Arial" w:hAnsi="Arial"/>
          <w:sz w:val="18"/>
          <w:szCs w:val="18"/>
          <w:color w:val="auto"/>
        </w:rPr>
        <w:t>**Previously filed.</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107" w:name="page108"/>
    <w:bookmarkEnd w:id="107"/>
    <w:p>
      <w:pPr>
        <w:jc w:val="center"/>
        <w:ind w:left="50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6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Biodesix, Inc.</w:t>
      </w:r>
    </w:p>
    <w:p>
      <w:pPr>
        <w:spacing w:after="0" w:line="251" w:lineRule="exact"/>
        <w:rPr>
          <w:sz w:val="20"/>
          <w:szCs w:val="20"/>
          <w:color w:val="auto"/>
        </w:rPr>
      </w:pPr>
    </w:p>
    <w:p>
      <w:pPr>
        <w:ind w:left="20"/>
        <w:spacing w:after="0"/>
        <w:tabs>
          <w:tab w:leader="none" w:pos="5680" w:val="left"/>
          <w:tab w:leader="none" w:pos="7800" w:val="left"/>
        </w:tabs>
        <w:rPr>
          <w:sz w:val="20"/>
          <w:szCs w:val="20"/>
          <w:color w:val="auto"/>
        </w:rPr>
      </w:pPr>
      <w:r>
        <w:rPr>
          <w:rFonts w:ascii="Arial" w:cs="Arial" w:eastAsia="Arial" w:hAnsi="Arial"/>
          <w:sz w:val="18"/>
          <w:szCs w:val="18"/>
          <w:color w:val="auto"/>
        </w:rPr>
        <w:t>Date: March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23495</wp:posOffset>
            </wp:positionV>
            <wp:extent cx="33134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4">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34" w:lineRule="exact"/>
        <w:rPr>
          <w:sz w:val="20"/>
          <w:szCs w:val="20"/>
          <w:color w:val="auto"/>
        </w:rPr>
      </w:pPr>
    </w:p>
    <w:p>
      <w:pPr>
        <w:jc w:val="center"/>
        <w:ind w:left="6000"/>
        <w:spacing w:after="0"/>
        <w:rPr>
          <w:sz w:val="20"/>
          <w:szCs w:val="20"/>
          <w:color w:val="auto"/>
        </w:rPr>
      </w:pPr>
      <w:r>
        <w:rPr>
          <w:rFonts w:ascii="Arial" w:cs="Arial" w:eastAsia="Arial" w:hAnsi="Arial"/>
          <w:sz w:val="16"/>
          <w:szCs w:val="16"/>
          <w:i w:val="1"/>
          <w:iCs w:val="1"/>
          <w:color w:val="auto"/>
        </w:rPr>
        <w:t>Ryan H. Siurek</w:t>
      </w:r>
    </w:p>
    <w:p>
      <w:pPr>
        <w:spacing w:after="0" w:line="45" w:lineRule="exact"/>
        <w:rPr>
          <w:sz w:val="20"/>
          <w:szCs w:val="20"/>
          <w:color w:val="auto"/>
        </w:rPr>
      </w:pPr>
    </w:p>
    <w:p>
      <w:pPr>
        <w:jc w:val="center"/>
        <w:ind w:left="6000"/>
        <w:spacing w:after="0"/>
        <w:rPr>
          <w:sz w:val="20"/>
          <w:szCs w:val="20"/>
          <w:color w:val="auto"/>
        </w:rPr>
      </w:pPr>
      <w:r>
        <w:rPr>
          <w:rFonts w:ascii="Arial" w:cs="Arial" w:eastAsia="Arial" w:hAnsi="Arial"/>
          <w:sz w:val="16"/>
          <w:szCs w:val="16"/>
          <w:i w:val="1"/>
          <w:iCs w:val="1"/>
          <w:color w:val="auto"/>
        </w:rPr>
        <w:t>Chief Accounting Officer</w:t>
      </w:r>
    </w:p>
    <w:p>
      <w:pPr>
        <w:spacing w:after="0" w:line="23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person whose signature appears below constitutes and appoints Scott Hutton and Robin Harper Cowie, and each of them, his or her true and lawful agent, proxy and attorney-in-fact, with full power of substitution and resubstitution, for him or her and in his or her name, place and stead, in any and all capacities, to file with the Securities and Exchange Commission this Form 10-K and any and all amendments and exhibits thereto, and all documents in connection therewith, granting unto each such attorney-in-fact and agent full power and authority to do and perform each and every act and thing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hereof.</w:t>
      </w:r>
    </w:p>
    <w:p>
      <w:pPr>
        <w:spacing w:after="0" w:line="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1" w:lineRule="exact"/>
        <w:rPr>
          <w:sz w:val="20"/>
          <w:szCs w:val="20"/>
          <w:color w:val="auto"/>
        </w:rPr>
      </w:pPr>
    </w:p>
    <w:p>
      <w:pPr>
        <w:ind w:left="1680"/>
        <w:spacing w:after="0"/>
        <w:tabs>
          <w:tab w:leader="none" w:pos="6480" w:val="left"/>
          <w:tab w:leader="none" w:pos="102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SCOTT HUTTON</w:t>
            </w:r>
          </w:p>
        </w:tc>
        <w:tc>
          <w:tcPr>
            <w:tcW w:w="5320" w:type="dxa"/>
            <w:vAlign w:val="bottom"/>
          </w:tcPr>
          <w:p>
            <w:pPr>
              <w:ind w:left="140"/>
              <w:spacing w:after="0"/>
              <w:rPr>
                <w:sz w:val="20"/>
                <w:szCs w:val="20"/>
                <w:color w:val="auto"/>
              </w:rPr>
            </w:pPr>
            <w:r>
              <w:rPr>
                <w:rFonts w:ascii="Arial" w:cs="Arial" w:eastAsia="Arial" w:hAnsi="Arial"/>
                <w:sz w:val="18"/>
                <w:szCs w:val="18"/>
                <w:color w:val="auto"/>
              </w:rPr>
              <w:t>President, Chief Executive Officer (Principal Executive Officer)</w:t>
            </w:r>
          </w:p>
        </w:tc>
        <w:tc>
          <w:tcPr>
            <w:tcW w:w="2200" w:type="dxa"/>
            <w:vAlign w:val="bottom"/>
          </w:tcPr>
          <w:p>
            <w:pPr>
              <w:ind w:left="560"/>
              <w:spacing w:after="0"/>
              <w:rPr>
                <w:sz w:val="20"/>
                <w:szCs w:val="20"/>
                <w:color w:val="auto"/>
              </w:rPr>
            </w:pPr>
            <w:r>
              <w:rPr>
                <w:rFonts w:ascii="Arial" w:cs="Arial" w:eastAsia="Arial" w:hAnsi="Arial"/>
                <w:sz w:val="18"/>
                <w:szCs w:val="18"/>
                <w:color w:val="auto"/>
              </w:rPr>
              <w:t>March 6, 2023</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Scott Hutton</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ROBIN HARPER COWIE</w:t>
            </w:r>
          </w:p>
        </w:tc>
        <w:tc>
          <w:tcPr>
            <w:tcW w:w="5320" w:type="dxa"/>
            <w:vAlign w:val="bottom"/>
          </w:tcPr>
          <w:p>
            <w:pPr>
              <w:ind w:left="140"/>
              <w:spacing w:after="0"/>
              <w:rPr>
                <w:sz w:val="20"/>
                <w:szCs w:val="20"/>
                <w:color w:val="auto"/>
              </w:rPr>
            </w:pPr>
            <w:r>
              <w:rPr>
                <w:rFonts w:ascii="Arial" w:cs="Arial" w:eastAsia="Arial" w:hAnsi="Arial"/>
                <w:sz w:val="18"/>
                <w:szCs w:val="18"/>
                <w:color w:val="auto"/>
              </w:rPr>
              <w:t>Chief Financial Officer, Secretary and Treasurer</w:t>
            </w:r>
          </w:p>
        </w:tc>
        <w:tc>
          <w:tcPr>
            <w:tcW w:w="2200" w:type="dxa"/>
            <w:vAlign w:val="bottom"/>
          </w:tcPr>
          <w:p>
            <w:pPr>
              <w:ind w:left="560"/>
              <w:spacing w:after="0"/>
              <w:rPr>
                <w:sz w:val="20"/>
                <w:szCs w:val="20"/>
                <w:color w:val="auto"/>
              </w:rPr>
            </w:pPr>
            <w:r>
              <w:rPr>
                <w:rFonts w:ascii="Arial" w:cs="Arial" w:eastAsia="Arial" w:hAnsi="Arial"/>
                <w:sz w:val="18"/>
                <w:szCs w:val="18"/>
                <w:color w:val="auto"/>
              </w:rPr>
              <w:t>March 6, 2023</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Robin Harper Cowie</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JOHN PATIENCE</w:t>
            </w:r>
          </w:p>
        </w:tc>
        <w:tc>
          <w:tcPr>
            <w:tcW w:w="5320" w:type="dxa"/>
            <w:vAlign w:val="bottom"/>
          </w:tcPr>
          <w:p>
            <w:pPr>
              <w:ind w:left="140"/>
              <w:spacing w:after="0"/>
              <w:rPr>
                <w:sz w:val="20"/>
                <w:szCs w:val="20"/>
                <w:color w:val="auto"/>
              </w:rPr>
            </w:pPr>
            <w:r>
              <w:rPr>
                <w:rFonts w:ascii="Arial" w:cs="Arial" w:eastAsia="Arial" w:hAnsi="Arial"/>
                <w:sz w:val="18"/>
                <w:szCs w:val="18"/>
                <w:color w:val="auto"/>
              </w:rPr>
              <w:t>Chairman and Director</w:t>
            </w:r>
          </w:p>
        </w:tc>
        <w:tc>
          <w:tcPr>
            <w:tcW w:w="2200" w:type="dxa"/>
            <w:vAlign w:val="bottom"/>
          </w:tcPr>
          <w:p>
            <w:pPr>
              <w:ind w:left="560"/>
              <w:spacing w:after="0"/>
              <w:rPr>
                <w:sz w:val="20"/>
                <w:szCs w:val="20"/>
                <w:color w:val="auto"/>
              </w:rPr>
            </w:pPr>
            <w:r>
              <w:rPr>
                <w:rFonts w:ascii="Arial" w:cs="Arial" w:eastAsia="Arial" w:hAnsi="Arial"/>
                <w:sz w:val="18"/>
                <w:szCs w:val="18"/>
                <w:color w:val="auto"/>
              </w:rPr>
              <w:t>March 6, 2023</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0"/>
              </w:rPr>
              <w:t>John Patience</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JEAN FRANCHI</w:t>
            </w:r>
          </w:p>
        </w:tc>
        <w:tc>
          <w:tcPr>
            <w:tcW w:w="53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560"/>
              <w:spacing w:after="0"/>
              <w:rPr>
                <w:sz w:val="20"/>
                <w:szCs w:val="20"/>
                <w:color w:val="auto"/>
              </w:rPr>
            </w:pPr>
            <w:r>
              <w:rPr>
                <w:rFonts w:ascii="Arial" w:cs="Arial" w:eastAsia="Arial" w:hAnsi="Arial"/>
                <w:sz w:val="18"/>
                <w:szCs w:val="18"/>
                <w:color w:val="auto"/>
              </w:rPr>
              <w:t>March 6, 2023</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Jean Franchi</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JON FAIZ KAYYEM</w:t>
            </w:r>
          </w:p>
        </w:tc>
        <w:tc>
          <w:tcPr>
            <w:tcW w:w="53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560"/>
              <w:spacing w:after="0"/>
              <w:rPr>
                <w:sz w:val="20"/>
                <w:szCs w:val="20"/>
                <w:color w:val="auto"/>
              </w:rPr>
            </w:pPr>
            <w:r>
              <w:rPr>
                <w:rFonts w:ascii="Arial" w:cs="Arial" w:eastAsia="Arial" w:hAnsi="Arial"/>
                <w:sz w:val="18"/>
                <w:szCs w:val="18"/>
                <w:color w:val="auto"/>
              </w:rPr>
              <w:t>March 6, 2023</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Jon Faiz Kayyem, Ph.D.</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LAWRENCE T. KENNEDY, JR.</w:t>
            </w:r>
          </w:p>
        </w:tc>
        <w:tc>
          <w:tcPr>
            <w:tcW w:w="53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560"/>
              <w:spacing w:after="0"/>
              <w:rPr>
                <w:sz w:val="20"/>
                <w:szCs w:val="20"/>
                <w:color w:val="auto"/>
              </w:rPr>
            </w:pPr>
            <w:r>
              <w:rPr>
                <w:rFonts w:ascii="Arial" w:cs="Arial" w:eastAsia="Arial" w:hAnsi="Arial"/>
                <w:sz w:val="18"/>
                <w:szCs w:val="18"/>
                <w:color w:val="auto"/>
              </w:rPr>
              <w:t>March 6, 2023</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Lawrence T. Kennedy, Jr.</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HANY MASSARANY</w:t>
            </w:r>
          </w:p>
        </w:tc>
        <w:tc>
          <w:tcPr>
            <w:tcW w:w="53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560"/>
              <w:spacing w:after="0"/>
              <w:rPr>
                <w:sz w:val="20"/>
                <w:szCs w:val="20"/>
                <w:color w:val="auto"/>
              </w:rPr>
            </w:pPr>
            <w:r>
              <w:rPr>
                <w:rFonts w:ascii="Arial" w:cs="Arial" w:eastAsia="Arial" w:hAnsi="Arial"/>
                <w:sz w:val="18"/>
                <w:szCs w:val="18"/>
                <w:color w:val="auto"/>
              </w:rPr>
              <w:t>March 6, 2023</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Hany Massarany</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JACK SCHULER</w:t>
            </w:r>
          </w:p>
        </w:tc>
        <w:tc>
          <w:tcPr>
            <w:tcW w:w="53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560"/>
              <w:spacing w:after="0"/>
              <w:rPr>
                <w:sz w:val="20"/>
                <w:szCs w:val="20"/>
                <w:color w:val="auto"/>
              </w:rPr>
            </w:pPr>
            <w:r>
              <w:rPr>
                <w:rFonts w:ascii="Arial" w:cs="Arial" w:eastAsia="Arial" w:hAnsi="Arial"/>
                <w:sz w:val="18"/>
                <w:szCs w:val="18"/>
                <w:color w:val="auto"/>
              </w:rPr>
              <w:t>March 6, 2023</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Jack Schuler</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MATTHEW STROBECK</w:t>
            </w:r>
          </w:p>
        </w:tc>
        <w:tc>
          <w:tcPr>
            <w:tcW w:w="53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560"/>
              <w:spacing w:after="0"/>
              <w:rPr>
                <w:sz w:val="20"/>
                <w:szCs w:val="20"/>
                <w:color w:val="auto"/>
              </w:rPr>
            </w:pPr>
            <w:r>
              <w:rPr>
                <w:rFonts w:ascii="Arial" w:cs="Arial" w:eastAsia="Arial" w:hAnsi="Arial"/>
                <w:sz w:val="18"/>
                <w:szCs w:val="18"/>
                <w:color w:val="auto"/>
              </w:rPr>
              <w:t>March 6, 2023</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Matthew Strobeck, Ph.D.</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CHARLES WATTS</w:t>
            </w:r>
          </w:p>
        </w:tc>
        <w:tc>
          <w:tcPr>
            <w:tcW w:w="53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200" w:type="dxa"/>
            <w:vAlign w:val="bottom"/>
          </w:tcPr>
          <w:p>
            <w:pPr>
              <w:ind w:left="560"/>
              <w:spacing w:after="0"/>
              <w:rPr>
                <w:sz w:val="20"/>
                <w:szCs w:val="20"/>
                <w:color w:val="auto"/>
              </w:rPr>
            </w:pPr>
            <w:r>
              <w:rPr>
                <w:rFonts w:ascii="Arial" w:cs="Arial" w:eastAsia="Arial" w:hAnsi="Arial"/>
                <w:sz w:val="18"/>
                <w:szCs w:val="18"/>
                <w:color w:val="auto"/>
              </w:rPr>
              <w:t>March 6, 2023</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Charles Watts, M.D.</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717"/>
        </w:trPr>
        <w:tc>
          <w:tcPr>
            <w:tcW w:w="3720" w:type="dxa"/>
            <w:vAlign w:val="bottom"/>
          </w:tcPr>
          <w:p>
            <w:pPr>
              <w:spacing w:after="0"/>
              <w:rPr>
                <w:sz w:val="24"/>
                <w:szCs w:val="24"/>
                <w:color w:val="auto"/>
              </w:rPr>
            </w:pPr>
          </w:p>
        </w:tc>
        <w:tc>
          <w:tcPr>
            <w:tcW w:w="5320" w:type="dxa"/>
            <w:vAlign w:val="bottom"/>
          </w:tcPr>
          <w:p>
            <w:pPr>
              <w:ind w:left="1760"/>
              <w:spacing w:after="0"/>
              <w:rPr>
                <w:sz w:val="20"/>
                <w:szCs w:val="20"/>
                <w:color w:val="auto"/>
              </w:rPr>
            </w:pPr>
            <w:r>
              <w:rPr>
                <w:rFonts w:ascii="Arial" w:cs="Arial" w:eastAsia="Arial" w:hAnsi="Arial"/>
                <w:sz w:val="18"/>
                <w:szCs w:val="18"/>
                <w:color w:val="auto"/>
              </w:rPr>
              <w:t>106</w:t>
            </w:r>
          </w:p>
        </w:tc>
        <w:tc>
          <w:tcPr>
            <w:tcW w:w="220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9"/>
                <w:szCs w:val="9"/>
                <w:color w:val="auto"/>
              </w:rPr>
            </w:pPr>
          </w:p>
        </w:tc>
        <w:tc>
          <w:tcPr>
            <w:tcW w:w="532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942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20" w:type="dxa"/>
            <w:vAlign w:val="bottom"/>
          </w:tcPr>
          <w:p>
            <w:pPr>
              <w:spacing w:after="0"/>
              <w:rPr>
                <w:sz w:val="20"/>
                <w:szCs w:val="20"/>
                <w:color w:val="auto"/>
              </w:rPr>
            </w:pPr>
          </w:p>
        </w:tc>
      </w:tr>
      <w:tr>
        <w:trPr>
          <w:trHeight w:val="539"/>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740" w:type="dxa"/>
            <w:vAlign w:val="bottom"/>
            <w:gridSpan w:val="5"/>
          </w:tcPr>
          <w:p>
            <w:pPr>
              <w:jc w:val="center"/>
              <w:ind w:right="1840"/>
              <w:spacing w:after="0"/>
              <w:rPr>
                <w:sz w:val="20"/>
                <w:szCs w:val="20"/>
                <w:color w:val="auto"/>
              </w:rPr>
            </w:pPr>
            <w:r>
              <w:rPr>
                <w:rFonts w:ascii="Arial" w:cs="Arial" w:eastAsia="Arial" w:hAnsi="Arial"/>
                <w:sz w:val="18"/>
                <w:szCs w:val="18"/>
                <w:b w:val="1"/>
                <w:bCs w:val="1"/>
                <w:color w:val="auto"/>
                <w:w w:val="99"/>
              </w:rPr>
              <w:t>BIODESIX, Inc.</w:t>
            </w:r>
          </w:p>
        </w:tc>
        <w:tc>
          <w:tcPr>
            <w:tcW w:w="1820" w:type="dxa"/>
            <w:vAlign w:val="bottom"/>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740" w:type="dxa"/>
            <w:vAlign w:val="bottom"/>
            <w:gridSpan w:val="5"/>
          </w:tcPr>
          <w:p>
            <w:pPr>
              <w:jc w:val="center"/>
              <w:ind w:right="1860"/>
              <w:spacing w:after="0"/>
              <w:rPr>
                <w:sz w:val="20"/>
                <w:szCs w:val="20"/>
                <w:color w:val="auto"/>
              </w:rPr>
            </w:pPr>
            <w:r>
              <w:rPr>
                <w:rFonts w:ascii="Arial" w:cs="Arial" w:eastAsia="Arial" w:hAnsi="Arial"/>
                <w:sz w:val="18"/>
                <w:szCs w:val="18"/>
                <w:b w:val="1"/>
                <w:bCs w:val="1"/>
                <w:color w:val="auto"/>
              </w:rPr>
              <w:t>INDEX TO FINANCIAL STATEMENTS</w:t>
            </w:r>
          </w:p>
        </w:tc>
        <w:tc>
          <w:tcPr>
            <w:tcW w:w="1820" w:type="dxa"/>
            <w:vAlign w:val="bottom"/>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78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Report of Independent Registered Public Accounting Firm (KPMG LLP, Denver, CO, Auditor Firm ID: 185)</w:t>
            </w:r>
          </w:p>
        </w:tc>
        <w:tc>
          <w:tcPr>
            <w:tcW w:w="1540" w:type="dxa"/>
            <w:vAlign w:val="bottom"/>
          </w:tcPr>
          <w:p>
            <w:pPr>
              <w:spacing w:after="0"/>
              <w:rPr>
                <w:sz w:val="24"/>
                <w:szCs w:val="24"/>
                <w:color w:val="auto"/>
              </w:rPr>
            </w:pPr>
          </w:p>
        </w:tc>
        <w:tc>
          <w:tcPr>
            <w:tcW w:w="1820" w:type="dxa"/>
            <w:vAlign w:val="bottom"/>
          </w:tcPr>
          <w:p>
            <w:pPr>
              <w:ind w:left="1560"/>
              <w:spacing w:after="0"/>
              <w:rPr>
                <w:sz w:val="20"/>
                <w:szCs w:val="20"/>
                <w:color w:val="auto"/>
              </w:rPr>
            </w:pPr>
            <w:r>
              <w:rPr>
                <w:rFonts w:ascii="Arial" w:cs="Arial" w:eastAsia="Arial" w:hAnsi="Arial"/>
                <w:sz w:val="18"/>
                <w:szCs w:val="18"/>
                <w:color w:val="auto"/>
                <w:w w:val="88"/>
              </w:rPr>
              <w:t>F-2</w:t>
            </w:r>
          </w:p>
        </w:tc>
      </w:tr>
      <w:tr>
        <w:trPr>
          <w:trHeight w:val="344"/>
        </w:trPr>
        <w:tc>
          <w:tcPr>
            <w:tcW w:w="20" w:type="dxa"/>
            <w:vAlign w:val="bottom"/>
          </w:tcPr>
          <w:p>
            <w:pPr>
              <w:spacing w:after="0"/>
              <w:rPr>
                <w:sz w:val="24"/>
                <w:szCs w:val="24"/>
                <w:color w:val="auto"/>
              </w:rPr>
            </w:pPr>
          </w:p>
        </w:tc>
        <w:tc>
          <w:tcPr>
            <w:tcW w:w="9400" w:type="dxa"/>
            <w:vAlign w:val="bottom"/>
            <w:gridSpan w:val="7"/>
          </w:tcPr>
          <w:p>
            <w:pPr>
              <w:spacing w:after="0"/>
              <w:rPr>
                <w:sz w:val="20"/>
                <w:szCs w:val="20"/>
                <w:color w:val="auto"/>
              </w:rPr>
            </w:pPr>
            <w:r>
              <w:rPr>
                <w:rFonts w:ascii="Arial" w:cs="Arial" w:eastAsia="Arial" w:hAnsi="Arial"/>
                <w:sz w:val="18"/>
                <w:szCs w:val="18"/>
                <w:color w:val="0000FF"/>
              </w:rPr>
              <w:t>Balance Sheets as of December 31, 2022 and 2021</w:t>
            </w:r>
          </w:p>
        </w:tc>
        <w:tc>
          <w:tcPr>
            <w:tcW w:w="1820" w:type="dxa"/>
            <w:vAlign w:val="bottom"/>
          </w:tcPr>
          <w:p>
            <w:pPr>
              <w:ind w:left="1560"/>
              <w:spacing w:after="0"/>
              <w:rPr>
                <w:sz w:val="20"/>
                <w:szCs w:val="20"/>
                <w:color w:val="auto"/>
              </w:rPr>
            </w:pPr>
            <w:r>
              <w:rPr>
                <w:rFonts w:ascii="Arial" w:cs="Arial" w:eastAsia="Arial" w:hAnsi="Arial"/>
                <w:sz w:val="18"/>
                <w:szCs w:val="18"/>
                <w:color w:val="auto"/>
                <w:w w:val="88"/>
              </w:rPr>
              <w:t>F-3</w:t>
            </w: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9400" w:type="dxa"/>
            <w:vAlign w:val="bottom"/>
            <w:gridSpan w:val="7"/>
          </w:tcPr>
          <w:p>
            <w:pPr>
              <w:spacing w:after="0"/>
              <w:rPr>
                <w:sz w:val="20"/>
                <w:szCs w:val="20"/>
                <w:color w:val="auto"/>
              </w:rPr>
            </w:pPr>
            <w:r>
              <w:rPr>
                <w:rFonts w:ascii="Arial" w:cs="Arial" w:eastAsia="Arial" w:hAnsi="Arial"/>
                <w:sz w:val="18"/>
                <w:szCs w:val="18"/>
                <w:color w:val="0000FF"/>
              </w:rPr>
              <w:t>Statements of Operations for the Years ended December 31, 2022 and 2021</w:t>
            </w:r>
          </w:p>
        </w:tc>
        <w:tc>
          <w:tcPr>
            <w:tcW w:w="1820" w:type="dxa"/>
            <w:vAlign w:val="bottom"/>
          </w:tcPr>
          <w:p>
            <w:pPr>
              <w:ind w:left="1560"/>
              <w:spacing w:after="0"/>
              <w:rPr>
                <w:sz w:val="20"/>
                <w:szCs w:val="20"/>
                <w:color w:val="auto"/>
              </w:rPr>
            </w:pPr>
            <w:r>
              <w:rPr>
                <w:rFonts w:ascii="Arial" w:cs="Arial" w:eastAsia="Arial" w:hAnsi="Arial"/>
                <w:sz w:val="18"/>
                <w:szCs w:val="18"/>
                <w:color w:val="auto"/>
                <w:w w:val="88"/>
              </w:rPr>
              <w:t>F-4</w:t>
            </w: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2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61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Statements of Stockholders’ Equity for the Years ended December 31, 2022 and 2021</w:t>
            </w:r>
          </w:p>
        </w:tc>
        <w:tc>
          <w:tcPr>
            <w:tcW w:w="3240" w:type="dxa"/>
            <w:vAlign w:val="bottom"/>
            <w:gridSpan w:val="2"/>
          </w:tcPr>
          <w:p>
            <w:pPr>
              <w:spacing w:after="0"/>
              <w:rPr>
                <w:sz w:val="24"/>
                <w:szCs w:val="24"/>
                <w:color w:val="auto"/>
              </w:rPr>
            </w:pPr>
          </w:p>
        </w:tc>
        <w:tc>
          <w:tcPr>
            <w:tcW w:w="1820" w:type="dxa"/>
            <w:vAlign w:val="bottom"/>
          </w:tcPr>
          <w:p>
            <w:pPr>
              <w:ind w:left="1560"/>
              <w:spacing w:after="0"/>
              <w:rPr>
                <w:sz w:val="20"/>
                <w:szCs w:val="20"/>
                <w:color w:val="auto"/>
              </w:rPr>
            </w:pPr>
            <w:r>
              <w:rPr>
                <w:rFonts w:ascii="Arial" w:cs="Arial" w:eastAsia="Arial" w:hAnsi="Arial"/>
                <w:sz w:val="18"/>
                <w:szCs w:val="18"/>
                <w:color w:val="auto"/>
                <w:w w:val="88"/>
              </w:rPr>
              <w:t>F-5</w:t>
            </w:r>
          </w:p>
        </w:tc>
      </w:tr>
      <w:tr>
        <w:trPr>
          <w:trHeight w:val="344"/>
        </w:trPr>
        <w:tc>
          <w:tcPr>
            <w:tcW w:w="20" w:type="dxa"/>
            <w:vAlign w:val="bottom"/>
          </w:tcPr>
          <w:p>
            <w:pPr>
              <w:spacing w:after="0"/>
              <w:rPr>
                <w:sz w:val="24"/>
                <w:szCs w:val="24"/>
                <w:color w:val="auto"/>
              </w:rPr>
            </w:pPr>
          </w:p>
        </w:tc>
        <w:tc>
          <w:tcPr>
            <w:tcW w:w="54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Statements of Cash Flows for the Years ended December 31, 2022 and 2021</w:t>
            </w:r>
          </w:p>
        </w:tc>
        <w:tc>
          <w:tcPr>
            <w:tcW w:w="3920" w:type="dxa"/>
            <w:vAlign w:val="bottom"/>
            <w:gridSpan w:val="3"/>
          </w:tcPr>
          <w:p>
            <w:pPr>
              <w:spacing w:after="0"/>
              <w:rPr>
                <w:sz w:val="24"/>
                <w:szCs w:val="24"/>
                <w:color w:val="auto"/>
              </w:rPr>
            </w:pPr>
          </w:p>
        </w:tc>
        <w:tc>
          <w:tcPr>
            <w:tcW w:w="1820" w:type="dxa"/>
            <w:vAlign w:val="bottom"/>
          </w:tcPr>
          <w:p>
            <w:pPr>
              <w:ind w:left="1560"/>
              <w:spacing w:after="0"/>
              <w:rPr>
                <w:sz w:val="20"/>
                <w:szCs w:val="20"/>
                <w:color w:val="auto"/>
              </w:rPr>
            </w:pPr>
            <w:r>
              <w:rPr>
                <w:rFonts w:ascii="Arial" w:cs="Arial" w:eastAsia="Arial" w:hAnsi="Arial"/>
                <w:sz w:val="18"/>
                <w:szCs w:val="18"/>
                <w:color w:val="auto"/>
                <w:w w:val="88"/>
              </w:rPr>
              <w:t>F-6</w:t>
            </w:r>
          </w:p>
        </w:tc>
      </w:tr>
      <w:tr>
        <w:trPr>
          <w:trHeight w:val="344"/>
        </w:trPr>
        <w:tc>
          <w:tcPr>
            <w:tcW w:w="20" w:type="dxa"/>
            <w:vAlign w:val="bottom"/>
          </w:tcPr>
          <w:p>
            <w:pPr>
              <w:spacing w:after="0"/>
              <w:rPr>
                <w:sz w:val="24"/>
                <w:szCs w:val="24"/>
                <w:color w:val="auto"/>
              </w:rPr>
            </w:pPr>
          </w:p>
        </w:tc>
        <w:tc>
          <w:tcPr>
            <w:tcW w:w="9400" w:type="dxa"/>
            <w:vAlign w:val="bottom"/>
            <w:gridSpan w:val="7"/>
          </w:tcPr>
          <w:p>
            <w:pPr>
              <w:spacing w:after="0"/>
              <w:rPr>
                <w:sz w:val="20"/>
                <w:szCs w:val="20"/>
                <w:color w:val="auto"/>
              </w:rPr>
            </w:pPr>
            <w:r>
              <w:rPr>
                <w:rFonts w:ascii="Arial" w:cs="Arial" w:eastAsia="Arial" w:hAnsi="Arial"/>
                <w:sz w:val="18"/>
                <w:szCs w:val="18"/>
                <w:color w:val="0000FF"/>
              </w:rPr>
              <w:t>Notes to Financial Statements</w:t>
            </w:r>
          </w:p>
        </w:tc>
        <w:tc>
          <w:tcPr>
            <w:tcW w:w="1820" w:type="dxa"/>
            <w:vAlign w:val="bottom"/>
          </w:tcPr>
          <w:p>
            <w:pPr>
              <w:ind w:left="1560"/>
              <w:spacing w:after="0"/>
              <w:rPr>
                <w:sz w:val="20"/>
                <w:szCs w:val="20"/>
                <w:color w:val="auto"/>
              </w:rPr>
            </w:pPr>
            <w:r>
              <w:rPr>
                <w:rFonts w:ascii="Arial" w:cs="Arial" w:eastAsia="Arial" w:hAnsi="Arial"/>
                <w:sz w:val="18"/>
                <w:szCs w:val="18"/>
                <w:color w:val="auto"/>
                <w:w w:val="88"/>
              </w:rPr>
              <w:t>F-8</w:t>
            </w:r>
          </w:p>
        </w:tc>
      </w:tr>
      <w:tr>
        <w:trPr>
          <w:trHeight w:val="897"/>
        </w:trPr>
        <w:tc>
          <w:tcPr>
            <w:tcW w:w="20" w:type="dxa"/>
            <w:vAlign w:val="bottom"/>
          </w:tcPr>
          <w:p>
            <w:pPr>
              <w:spacing w:after="0"/>
              <w:rPr>
                <w:sz w:val="24"/>
                <w:szCs w:val="24"/>
                <w:color w:val="auto"/>
              </w:rPr>
            </w:pPr>
          </w:p>
        </w:tc>
        <w:tc>
          <w:tcPr>
            <w:tcW w:w="216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gridSpan w:val="3"/>
          </w:tcPr>
          <w:p>
            <w:pPr>
              <w:jc w:val="center"/>
              <w:ind w:right="3680"/>
              <w:spacing w:after="0"/>
              <w:rPr>
                <w:sz w:val="20"/>
                <w:szCs w:val="20"/>
                <w:color w:val="auto"/>
              </w:rPr>
            </w:pPr>
            <w:r>
              <w:rPr>
                <w:rFonts w:ascii="Arial" w:cs="Arial" w:eastAsia="Arial" w:hAnsi="Arial"/>
                <w:sz w:val="18"/>
                <w:szCs w:val="18"/>
                <w:color w:val="auto"/>
                <w:w w:val="88"/>
              </w:rPr>
              <w:t>F-1</w:t>
            </w:r>
          </w:p>
        </w:tc>
        <w:tc>
          <w:tcPr>
            <w:tcW w:w="18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accompanying balance sheets of Biodesix, Inc. (the Company) as of December 31, 2022 and 2021, the related statements of operations, stockholders’ equity, and cash flows for the years then ended, and the related notes (collectively, the financial statements). In our opinion, the financial statements present fairly, in all material respects, the financial position of the Company as of December 31, 2022 and 2021, and the results of its operations and its cash flows for the years then ended, in conformity with U.S. generally accepted accounting principles.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2 to the financial statements, the Company has suffered recurring losses from operations and needs to raise additional equity or debt capital to fund its operations. These matters raise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March 6, 2023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7520" w:type="dxa"/>
            <w:vAlign w:val="bottom"/>
          </w:tcPr>
          <w:p>
            <w:pPr>
              <w:jc w:val="center"/>
              <w:ind w:left="3650"/>
              <w:spacing w:after="0"/>
              <w:rPr>
                <w:sz w:val="20"/>
                <w:szCs w:val="20"/>
                <w:color w:val="auto"/>
              </w:rPr>
            </w:pPr>
            <w:r>
              <w:rPr>
                <w:rFonts w:ascii="Arial" w:cs="Arial" w:eastAsia="Arial" w:hAnsi="Arial"/>
                <w:sz w:val="18"/>
                <w:szCs w:val="18"/>
                <w:b w:val="1"/>
                <w:bCs w:val="1"/>
                <w:color w:val="auto"/>
              </w:rPr>
              <w:t>BIODESIX, INC.</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3"/>
        </w:trPr>
        <w:tc>
          <w:tcPr>
            <w:tcW w:w="7520" w:type="dxa"/>
            <w:vAlign w:val="bottom"/>
          </w:tcPr>
          <w:p>
            <w:pPr>
              <w:jc w:val="center"/>
              <w:ind w:left="3650"/>
              <w:spacing w:after="0"/>
              <w:rPr>
                <w:sz w:val="20"/>
                <w:szCs w:val="20"/>
                <w:color w:val="auto"/>
              </w:rPr>
            </w:pPr>
            <w:r>
              <w:rPr>
                <w:rFonts w:ascii="Arial" w:cs="Arial" w:eastAsia="Arial" w:hAnsi="Arial"/>
                <w:sz w:val="18"/>
                <w:szCs w:val="18"/>
                <w:b w:val="1"/>
                <w:bCs w:val="1"/>
                <w:color w:val="auto"/>
                <w:w w:val="85"/>
              </w:rPr>
              <w:t>Balance Sheets</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7520" w:type="dxa"/>
            <w:vAlign w:val="bottom"/>
          </w:tcPr>
          <w:p>
            <w:pPr>
              <w:jc w:val="center"/>
              <w:ind w:left="3630"/>
              <w:spacing w:after="0"/>
              <w:rPr>
                <w:sz w:val="20"/>
                <w:szCs w:val="20"/>
                <w:color w:val="auto"/>
              </w:rPr>
            </w:pPr>
            <w:r>
              <w:rPr>
                <w:rFonts w:ascii="Arial" w:cs="Arial" w:eastAsia="Arial" w:hAnsi="Arial"/>
                <w:sz w:val="18"/>
                <w:szCs w:val="18"/>
                <w:b w:val="1"/>
                <w:bCs w:val="1"/>
                <w:color w:val="auto"/>
                <w:w w:val="88"/>
              </w:rPr>
              <w:t>(in thousands, except share data)</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2"/>
        </w:trPr>
        <w:tc>
          <w:tcPr>
            <w:tcW w:w="75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As of December 31,</w:t>
            </w:r>
          </w:p>
        </w:tc>
        <w:tc>
          <w:tcPr>
            <w:tcW w:w="1140" w:type="dxa"/>
            <w:vAlign w:val="bottom"/>
            <w:tcBorders>
              <w:bottom w:val="single" w:sz="8" w:color="auto"/>
            </w:tcBorders>
          </w:tcPr>
          <w:p>
            <w:pPr>
              <w:spacing w:after="0"/>
              <w:rPr>
                <w:sz w:val="24"/>
                <w:szCs w:val="24"/>
                <w:color w:val="auto"/>
              </w:rPr>
            </w:pPr>
          </w:p>
        </w:tc>
      </w:tr>
      <w:tr>
        <w:trPr>
          <w:trHeight w:val="238"/>
        </w:trPr>
        <w:tc>
          <w:tcPr>
            <w:tcW w:w="75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89"/>
              </w:rPr>
              <w:t>2021</w:t>
            </w:r>
          </w:p>
        </w:tc>
      </w:tr>
      <w:tr>
        <w:trPr>
          <w:trHeight w:val="240"/>
        </w:trPr>
        <w:tc>
          <w:tcPr>
            <w:tcW w:w="7520" w:type="dxa"/>
            <w:vAlign w:val="bottom"/>
            <w:shd w:val="clear" w:color="auto" w:fill="CFF0FC"/>
          </w:tcPr>
          <w:p>
            <w:pPr>
              <w:ind w:left="5340"/>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6"/>
        </w:trPr>
        <w:tc>
          <w:tcPr>
            <w:tcW w:w="75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9"/>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43,088</w:t>
            </w:r>
          </w:p>
        </w:tc>
        <w:tc>
          <w:tcPr>
            <w:tcW w:w="180" w:type="dxa"/>
            <w:vAlign w:val="bottom"/>
            <w:shd w:val="clear" w:color="auto" w:fill="CFF0FC"/>
          </w:tcPr>
          <w:p>
            <w:pPr>
              <w:spacing w:after="0"/>
              <w:rPr>
                <w:sz w:val="21"/>
                <w:szCs w:val="21"/>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32,712</w:t>
            </w:r>
          </w:p>
        </w:tc>
      </w:tr>
      <w:tr>
        <w:trPr>
          <w:trHeight w:val="236"/>
        </w:trPr>
        <w:tc>
          <w:tcPr>
            <w:tcW w:w="7520" w:type="dxa"/>
            <w:vAlign w:val="bottom"/>
          </w:tcPr>
          <w:p>
            <w:pPr>
              <w:ind w:left="200"/>
              <w:spacing w:after="0"/>
              <w:rPr>
                <w:sz w:val="20"/>
                <w:szCs w:val="20"/>
                <w:color w:val="auto"/>
              </w:rPr>
            </w:pPr>
            <w:r>
              <w:rPr>
                <w:rFonts w:ascii="Arial" w:cs="Arial" w:eastAsia="Arial" w:hAnsi="Arial"/>
                <w:sz w:val="18"/>
                <w:szCs w:val="18"/>
                <w:color w:val="auto"/>
              </w:rPr>
              <w:t>Accounts receivable, net of allowance for doubtful accounts of $118 and $158</w:t>
            </w:r>
          </w:p>
        </w:tc>
        <w:tc>
          <w:tcPr>
            <w:tcW w:w="10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5,065</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3,656</w:t>
            </w:r>
          </w:p>
        </w:tc>
      </w:tr>
      <w:tr>
        <w:trPr>
          <w:trHeight w:val="243"/>
        </w:trPr>
        <w:tc>
          <w:tcPr>
            <w:tcW w:w="7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current assets</w:t>
            </w:r>
          </w:p>
        </w:tc>
        <w:tc>
          <w:tcPr>
            <w:tcW w:w="10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5,181</w:t>
            </w:r>
          </w:p>
        </w:tc>
        <w:tc>
          <w:tcPr>
            <w:tcW w:w="1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7,245</w:t>
            </w:r>
          </w:p>
        </w:tc>
      </w:tr>
      <w:tr>
        <w:trPr>
          <w:trHeight w:val="236"/>
        </w:trPr>
        <w:tc>
          <w:tcPr>
            <w:tcW w:w="75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0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53,334</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43,613</w:t>
            </w:r>
          </w:p>
        </w:tc>
      </w:tr>
      <w:tr>
        <w:trPr>
          <w:trHeight w:val="249"/>
        </w:trPr>
        <w:tc>
          <w:tcPr>
            <w:tcW w:w="7520" w:type="dxa"/>
            <w:vAlign w:val="bottom"/>
            <w:shd w:val="clear" w:color="auto" w:fill="CFF0FC"/>
          </w:tcPr>
          <w:p>
            <w:pPr>
              <w:ind w:left="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10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6"/>
        </w:trPr>
        <w:tc>
          <w:tcPr>
            <w:tcW w:w="752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10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5,848</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4,179</w:t>
            </w:r>
          </w:p>
        </w:tc>
      </w:tr>
      <w:tr>
        <w:trPr>
          <w:trHeight w:val="249"/>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Intangible assets, net</w:t>
            </w: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9,797</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11,617</w:t>
            </w:r>
          </w:p>
        </w:tc>
      </w:tr>
      <w:tr>
        <w:trPr>
          <w:trHeight w:val="236"/>
        </w:trPr>
        <w:tc>
          <w:tcPr>
            <w:tcW w:w="7520" w:type="dxa"/>
            <w:vAlign w:val="bottom"/>
          </w:tcPr>
          <w:p>
            <w:pPr>
              <w:ind w:left="200"/>
              <w:spacing w:after="0"/>
              <w:rPr>
                <w:sz w:val="20"/>
                <w:szCs w:val="20"/>
                <w:color w:val="auto"/>
              </w:rPr>
            </w:pPr>
            <w:r>
              <w:rPr>
                <w:rFonts w:ascii="Arial" w:cs="Arial" w:eastAsia="Arial" w:hAnsi="Arial"/>
                <w:sz w:val="18"/>
                <w:szCs w:val="18"/>
                <w:color w:val="auto"/>
              </w:rPr>
              <w:t>Operating lease right-of-use assets</w:t>
            </w:r>
          </w:p>
        </w:tc>
        <w:tc>
          <w:tcPr>
            <w:tcW w:w="10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2,973</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15,031</w:t>
            </w:r>
          </w:p>
        </w:tc>
        <w:tc>
          <w:tcPr>
            <w:tcW w:w="180" w:type="dxa"/>
            <w:vAlign w:val="bottom"/>
            <w:shd w:val="clear" w:color="auto" w:fill="CFF0FC"/>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15,031</w:t>
            </w:r>
          </w:p>
        </w:tc>
      </w:tr>
      <w:tr>
        <w:trPr>
          <w:trHeight w:val="236"/>
        </w:trPr>
        <w:tc>
          <w:tcPr>
            <w:tcW w:w="7520" w:type="dxa"/>
            <w:vAlign w:val="bottom"/>
          </w:tcPr>
          <w:p>
            <w:pPr>
              <w:ind w:left="200"/>
              <w:spacing w:after="0"/>
              <w:rPr>
                <w:sz w:val="20"/>
                <w:szCs w:val="20"/>
                <w:color w:val="auto"/>
              </w:rPr>
            </w:pPr>
            <w:r>
              <w:rPr>
                <w:rFonts w:ascii="Arial" w:cs="Arial" w:eastAsia="Arial" w:hAnsi="Arial"/>
                <w:sz w:val="18"/>
                <w:szCs w:val="18"/>
                <w:color w:val="auto"/>
              </w:rPr>
              <w:t>Other long-term assets</w:t>
            </w:r>
          </w:p>
        </w:tc>
        <w:tc>
          <w:tcPr>
            <w:tcW w:w="10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5,923</w:t>
            </w: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1,657</w:t>
            </w:r>
          </w:p>
        </w:tc>
      </w:tr>
      <w:tr>
        <w:trPr>
          <w:trHeight w:val="236"/>
        </w:trPr>
        <w:tc>
          <w:tcPr>
            <w:tcW w:w="7520" w:type="dxa"/>
            <w:vAlign w:val="bottom"/>
            <w:tcBorders>
              <w:bottom w:val="single" w:sz="8" w:color="CFF0FC"/>
            </w:tcBorders>
            <w:shd w:val="clear" w:color="auto" w:fill="CFF0FC"/>
          </w:tcPr>
          <w:p>
            <w:pPr>
              <w:ind w:left="38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10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39,572</w:t>
            </w:r>
          </w:p>
        </w:tc>
        <w:tc>
          <w:tcPr>
            <w:tcW w:w="1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32,484</w:t>
            </w:r>
          </w:p>
        </w:tc>
      </w:tr>
      <w:tr>
        <w:trPr>
          <w:trHeight w:val="242"/>
        </w:trPr>
        <w:tc>
          <w:tcPr>
            <w:tcW w:w="75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92,906</w:t>
            </w:r>
          </w:p>
        </w:tc>
        <w:tc>
          <w:tcPr>
            <w:tcW w:w="180" w:type="dxa"/>
            <w:vAlign w:val="bottom"/>
          </w:tcPr>
          <w:p>
            <w:pPr>
              <w:spacing w:after="0"/>
              <w:rPr>
                <w:sz w:val="21"/>
                <w:szCs w:val="21"/>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76,097</w:t>
            </w:r>
          </w:p>
        </w:tc>
      </w:tr>
      <w:tr>
        <w:trPr>
          <w:trHeight w:val="20"/>
        </w:trPr>
        <w:tc>
          <w:tcPr>
            <w:tcW w:w="7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7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8"/>
        </w:trPr>
        <w:tc>
          <w:tcPr>
            <w:tcW w:w="7520" w:type="dxa"/>
            <w:vAlign w:val="bottom"/>
          </w:tcPr>
          <w:p>
            <w:pPr>
              <w:ind w:left="4180"/>
              <w:spacing w:after="0"/>
              <w:rPr>
                <w:sz w:val="20"/>
                <w:szCs w:val="20"/>
                <w:color w:val="auto"/>
              </w:rPr>
            </w:pPr>
            <w:r>
              <w:rPr>
                <w:rFonts w:ascii="Arial" w:cs="Arial" w:eastAsia="Arial" w:hAnsi="Arial"/>
                <w:sz w:val="18"/>
                <w:szCs w:val="18"/>
                <w:b w:val="1"/>
                <w:bCs w:val="1"/>
                <w:color w:val="auto"/>
              </w:rPr>
              <w:t>Liabilities and Stockholders' Equity</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0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6"/>
        </w:trPr>
        <w:tc>
          <w:tcPr>
            <w:tcW w:w="75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1,685</w:t>
            </w:r>
          </w:p>
        </w:tc>
        <w:tc>
          <w:tcPr>
            <w:tcW w:w="8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1,662</w:t>
            </w:r>
          </w:p>
        </w:tc>
      </w:tr>
      <w:tr>
        <w:trPr>
          <w:trHeight w:val="249"/>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liabilities</w:t>
            </w: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8,218</w:t>
            </w:r>
          </w:p>
        </w:tc>
        <w:tc>
          <w:tcPr>
            <w:tcW w:w="180" w:type="dxa"/>
            <w:vAlign w:val="bottom"/>
            <w:shd w:val="clear" w:color="auto" w:fill="CFF0FC"/>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7,665</w:t>
            </w:r>
          </w:p>
        </w:tc>
      </w:tr>
      <w:tr>
        <w:trPr>
          <w:trHeight w:val="236"/>
        </w:trPr>
        <w:tc>
          <w:tcPr>
            <w:tcW w:w="752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962</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1,850</w:t>
            </w:r>
          </w:p>
        </w:tc>
      </w:tr>
      <w:tr>
        <w:trPr>
          <w:trHeight w:val="249"/>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1,543</w:t>
            </w:r>
          </w:p>
        </w:tc>
        <w:tc>
          <w:tcPr>
            <w:tcW w:w="180" w:type="dxa"/>
            <w:vAlign w:val="bottom"/>
            <w:shd w:val="clear" w:color="auto" w:fill="CFF0FC"/>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7520" w:type="dxa"/>
            <w:vAlign w:val="bottom"/>
          </w:tcPr>
          <w:p>
            <w:pPr>
              <w:ind w:left="200"/>
              <w:spacing w:after="0"/>
              <w:rPr>
                <w:sz w:val="20"/>
                <w:szCs w:val="20"/>
                <w:color w:val="auto"/>
              </w:rPr>
            </w:pPr>
            <w:r>
              <w:rPr>
                <w:rFonts w:ascii="Arial" w:cs="Arial" w:eastAsia="Arial" w:hAnsi="Arial"/>
                <w:sz w:val="18"/>
                <w:szCs w:val="18"/>
                <w:color w:val="auto"/>
              </w:rPr>
              <w:t>Current portion of contingent consideration</w:t>
            </w:r>
          </w:p>
        </w:tc>
        <w:tc>
          <w:tcPr>
            <w:tcW w:w="10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10,341</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17,764</w:t>
            </w:r>
          </w:p>
        </w:tc>
      </w:tr>
      <w:tr>
        <w:trPr>
          <w:trHeight w:val="249"/>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notes payable</w:t>
            </w: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r>
      <w:tr>
        <w:trPr>
          <w:trHeight w:val="236"/>
        </w:trPr>
        <w:tc>
          <w:tcPr>
            <w:tcW w:w="752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10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42"/>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22,839</w:t>
            </w:r>
          </w:p>
        </w:tc>
        <w:tc>
          <w:tcPr>
            <w:tcW w:w="180" w:type="dxa"/>
            <w:vAlign w:val="bottom"/>
            <w:shd w:val="clear" w:color="auto" w:fill="CFF0FC"/>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28,960</w:t>
            </w:r>
          </w:p>
        </w:tc>
      </w:tr>
      <w:tr>
        <w:trPr>
          <w:trHeight w:val="236"/>
        </w:trPr>
        <w:tc>
          <w:tcPr>
            <w:tcW w:w="7520" w:type="dxa"/>
            <w:vAlign w:val="bottom"/>
          </w:tcPr>
          <w:p>
            <w:pPr>
              <w:ind w:left="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9"/>
        </w:trPr>
        <w:tc>
          <w:tcPr>
            <w:tcW w:w="7520" w:type="dxa"/>
            <w:vAlign w:val="bottom"/>
            <w:shd w:val="clear" w:color="auto" w:fill="CFF0FC"/>
          </w:tcPr>
          <w:p>
            <w:pPr>
              <w:ind w:left="20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notes payable, net of current portion</w:t>
            </w: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25,004</w:t>
            </w:r>
          </w:p>
        </w:tc>
        <w:tc>
          <w:tcPr>
            <w:tcW w:w="180" w:type="dxa"/>
            <w:vAlign w:val="bottom"/>
            <w:shd w:val="clear" w:color="auto" w:fill="CFF0FC"/>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9,993</w:t>
            </w:r>
          </w:p>
        </w:tc>
      </w:tr>
      <w:tr>
        <w:trPr>
          <w:trHeight w:val="236"/>
        </w:trPr>
        <w:tc>
          <w:tcPr>
            <w:tcW w:w="7520" w:type="dxa"/>
            <w:vAlign w:val="bottom"/>
          </w:tcPr>
          <w:p>
            <w:pPr>
              <w:ind w:left="200"/>
              <w:spacing w:after="0"/>
              <w:rPr>
                <w:sz w:val="20"/>
                <w:szCs w:val="20"/>
                <w:color w:val="auto"/>
              </w:rPr>
            </w:pPr>
            <w:r>
              <w:rPr>
                <w:rFonts w:ascii="Arial" w:cs="Arial" w:eastAsia="Arial" w:hAnsi="Arial"/>
                <w:sz w:val="18"/>
                <w:szCs w:val="18"/>
                <w:color w:val="auto"/>
              </w:rPr>
              <w:t>Long-term operating lease liabilities</w:t>
            </w:r>
          </w:p>
        </w:tc>
        <w:tc>
          <w:tcPr>
            <w:tcW w:w="10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5,254</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Contingent consideration</w:t>
            </w: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18,645</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16,028</w:t>
            </w:r>
          </w:p>
        </w:tc>
      </w:tr>
      <w:tr>
        <w:trPr>
          <w:trHeight w:val="236"/>
        </w:trPr>
        <w:tc>
          <w:tcPr>
            <w:tcW w:w="752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10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558</w:t>
            </w: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1,389</w:t>
            </w:r>
          </w:p>
        </w:tc>
      </w:tr>
      <w:tr>
        <w:trPr>
          <w:trHeight w:val="236"/>
        </w:trPr>
        <w:tc>
          <w:tcPr>
            <w:tcW w:w="7520" w:type="dxa"/>
            <w:vAlign w:val="bottom"/>
            <w:tcBorders>
              <w:bottom w:val="single" w:sz="8" w:color="CFF0FC"/>
            </w:tcBorders>
            <w:shd w:val="clear" w:color="auto" w:fill="CFF0FC"/>
          </w:tcPr>
          <w:p>
            <w:pPr>
              <w:ind w:left="38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10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49,461</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27,410</w:t>
            </w:r>
          </w:p>
        </w:tc>
      </w:tr>
      <w:tr>
        <w:trPr>
          <w:trHeight w:val="236"/>
        </w:trPr>
        <w:tc>
          <w:tcPr>
            <w:tcW w:w="75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72,300</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56,370</w:t>
            </w: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10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6"/>
        </w:trPr>
        <w:tc>
          <w:tcPr>
            <w:tcW w:w="75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1"/>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$0.001 par value, 5,000,000 authorized;</w:t>
            </w: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4"/>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0 (2022 and 2021) issued and outstanding</w:t>
            </w: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7520" w:type="dxa"/>
            <w:vAlign w:val="bottom"/>
          </w:tcPr>
          <w:p>
            <w:pPr>
              <w:ind w:left="200"/>
              <w:spacing w:after="0"/>
              <w:rPr>
                <w:sz w:val="20"/>
                <w:szCs w:val="20"/>
                <w:color w:val="auto"/>
              </w:rPr>
            </w:pPr>
            <w:r>
              <w:rPr>
                <w:rFonts w:ascii="Arial" w:cs="Arial" w:eastAsia="Arial" w:hAnsi="Arial"/>
                <w:sz w:val="18"/>
                <w:szCs w:val="18"/>
                <w:color w:val="auto"/>
              </w:rPr>
              <w:t>Common stock, $0.001 par value, 200,000,000 authorized;</w:t>
            </w: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7520" w:type="dxa"/>
            <w:vAlign w:val="bottom"/>
          </w:tcPr>
          <w:p>
            <w:pPr>
              <w:ind w:left="380"/>
              <w:spacing w:after="0"/>
              <w:rPr>
                <w:sz w:val="20"/>
                <w:szCs w:val="20"/>
                <w:color w:val="auto"/>
              </w:rPr>
            </w:pPr>
            <w:r>
              <w:rPr>
                <w:rFonts w:ascii="Arial" w:cs="Arial" w:eastAsia="Arial" w:hAnsi="Arial"/>
                <w:sz w:val="18"/>
                <w:szCs w:val="18"/>
                <w:color w:val="auto"/>
              </w:rPr>
              <w:t>77,614,358 (2022) and 30,789,649 (2021) shares issued and outstanding</w:t>
            </w:r>
          </w:p>
        </w:tc>
        <w:tc>
          <w:tcPr>
            <w:tcW w:w="10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249"/>
        </w:trPr>
        <w:tc>
          <w:tcPr>
            <w:tcW w:w="7520" w:type="dxa"/>
            <w:vAlign w:val="bottom"/>
            <w:shd w:val="clear" w:color="auto" w:fill="CFF0FC"/>
          </w:tcPr>
          <w:p>
            <w:pPr>
              <w:ind w:left="20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387,948</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321,669</w:t>
            </w:r>
          </w:p>
        </w:tc>
      </w:tr>
      <w:tr>
        <w:trPr>
          <w:trHeight w:val="236"/>
        </w:trPr>
        <w:tc>
          <w:tcPr>
            <w:tcW w:w="75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(367,420 )</w:t>
            </w: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(301,973 )</w:t>
            </w:r>
          </w:p>
        </w:tc>
      </w:tr>
      <w:tr>
        <w:trPr>
          <w:trHeight w:val="23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0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20,606</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19,727</w:t>
            </w:r>
          </w:p>
        </w:tc>
      </w:tr>
      <w:tr>
        <w:trPr>
          <w:trHeight w:val="242"/>
        </w:trPr>
        <w:tc>
          <w:tcPr>
            <w:tcW w:w="75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92,906</w:t>
            </w:r>
          </w:p>
        </w:tc>
        <w:tc>
          <w:tcPr>
            <w:tcW w:w="8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76,097</w:t>
            </w:r>
          </w:p>
        </w:tc>
      </w:tr>
      <w:tr>
        <w:trPr>
          <w:trHeight w:val="20"/>
        </w:trPr>
        <w:tc>
          <w:tcPr>
            <w:tcW w:w="7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-5787390</wp:posOffset>
            </wp:positionV>
            <wp:extent cx="111125" cy="162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1">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-4537710</wp:posOffset>
            </wp:positionV>
            <wp:extent cx="111125"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2">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-1711960</wp:posOffset>
            </wp:positionV>
            <wp:extent cx="111125" cy="162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3">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111125"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4">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4600" w:type="dxa"/>
            <w:vAlign w:val="bottom"/>
            <w:gridSpan w:val="2"/>
          </w:tcPr>
          <w:p>
            <w:pPr>
              <w:jc w:val="right"/>
              <w:ind w:right="2330"/>
              <w:spacing w:after="0"/>
              <w:rPr>
                <w:sz w:val="20"/>
                <w:szCs w:val="20"/>
                <w:color w:val="auto"/>
              </w:rPr>
            </w:pPr>
            <w:r>
              <w:rPr>
                <w:rFonts w:ascii="Arial" w:cs="Arial" w:eastAsia="Arial" w:hAnsi="Arial"/>
                <w:sz w:val="18"/>
                <w:szCs w:val="18"/>
                <w:b w:val="1"/>
                <w:bCs w:val="1"/>
                <w:color w:val="auto"/>
              </w:rPr>
              <w:t>BIODESIX, INC.</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3"/>
        </w:trPr>
        <w:tc>
          <w:tcPr>
            <w:tcW w:w="4120" w:type="dxa"/>
            <w:vAlign w:val="bottom"/>
          </w:tcPr>
          <w:p>
            <w:pPr>
              <w:spacing w:after="0"/>
              <w:rPr>
                <w:sz w:val="24"/>
                <w:szCs w:val="24"/>
                <w:color w:val="auto"/>
              </w:rPr>
            </w:pPr>
          </w:p>
        </w:tc>
        <w:tc>
          <w:tcPr>
            <w:tcW w:w="4600" w:type="dxa"/>
            <w:vAlign w:val="bottom"/>
            <w:gridSpan w:val="2"/>
          </w:tcPr>
          <w:p>
            <w:pPr>
              <w:jc w:val="right"/>
              <w:ind w:right="2050"/>
              <w:spacing w:after="0"/>
              <w:rPr>
                <w:sz w:val="20"/>
                <w:szCs w:val="20"/>
                <w:color w:val="auto"/>
              </w:rPr>
            </w:pPr>
            <w:r>
              <w:rPr>
                <w:rFonts w:ascii="Arial" w:cs="Arial" w:eastAsia="Arial" w:hAnsi="Arial"/>
                <w:sz w:val="18"/>
                <w:szCs w:val="18"/>
                <w:b w:val="1"/>
                <w:bCs w:val="1"/>
                <w:color w:val="auto"/>
              </w:rPr>
              <w:t>Statements of Operations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4"/>
        </w:trPr>
        <w:tc>
          <w:tcPr>
            <w:tcW w:w="4120" w:type="dxa"/>
            <w:vAlign w:val="bottom"/>
          </w:tcPr>
          <w:p>
            <w:pPr>
              <w:spacing w:after="0"/>
              <w:rPr>
                <w:sz w:val="20"/>
                <w:szCs w:val="20"/>
                <w:color w:val="auto"/>
              </w:rPr>
            </w:pPr>
          </w:p>
        </w:tc>
        <w:tc>
          <w:tcPr>
            <w:tcW w:w="4600" w:type="dxa"/>
            <w:vAlign w:val="bottom"/>
            <w:gridSpan w:val="2"/>
          </w:tcPr>
          <w:p>
            <w:pPr>
              <w:jc w:val="right"/>
              <w:ind w:right="1590"/>
              <w:spacing w:after="0"/>
              <w:rPr>
                <w:sz w:val="20"/>
                <w:szCs w:val="20"/>
                <w:color w:val="auto"/>
              </w:rPr>
            </w:pPr>
            <w:r>
              <w:rPr>
                <w:rFonts w:ascii="Arial" w:cs="Arial" w:eastAsia="Arial" w:hAnsi="Arial"/>
                <w:sz w:val="18"/>
                <w:szCs w:val="18"/>
                <w:b w:val="1"/>
                <w:bCs w:val="1"/>
                <w:color w:val="auto"/>
                <w:w w:val="90"/>
              </w:rPr>
              <w:t>(in thousands, except per share data)</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52"/>
        </w:trPr>
        <w:tc>
          <w:tcPr>
            <w:tcW w:w="4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r>
      <w:tr>
        <w:trPr>
          <w:trHeight w:val="238"/>
        </w:trPr>
        <w:tc>
          <w:tcPr>
            <w:tcW w:w="4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Pr>
          <w:p>
            <w:pPr>
              <w:spacing w:after="0"/>
              <w:rPr>
                <w:sz w:val="20"/>
                <w:szCs w:val="20"/>
                <w:color w:val="auto"/>
              </w:rPr>
            </w:pPr>
          </w:p>
        </w:tc>
      </w:tr>
      <w:tr>
        <w:trPr>
          <w:trHeight w:val="240"/>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6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38,212</w:t>
            </w:r>
          </w:p>
        </w:tc>
        <w:tc>
          <w:tcPr>
            <w:tcW w:w="16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54,506</w:t>
            </w:r>
          </w:p>
        </w:tc>
      </w:tr>
      <w:tr>
        <w:trPr>
          <w:trHeight w:val="236"/>
        </w:trPr>
        <w:tc>
          <w:tcPr>
            <w:tcW w:w="4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9"/>
        </w:trPr>
        <w:tc>
          <w:tcPr>
            <w:tcW w:w="4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Direct costs and expenses</w:t>
            </w:r>
          </w:p>
        </w:tc>
        <w:tc>
          <w:tcPr>
            <w:tcW w:w="36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14,154</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30,518</w:t>
            </w:r>
          </w:p>
        </w:tc>
      </w:tr>
      <w:tr>
        <w:trPr>
          <w:trHeight w:val="236"/>
        </w:trPr>
        <w:tc>
          <w:tcPr>
            <w:tcW w:w="41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13,102</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12,789</w:t>
            </w:r>
          </w:p>
        </w:tc>
      </w:tr>
      <w:tr>
        <w:trPr>
          <w:trHeight w:val="249"/>
        </w:trPr>
        <w:tc>
          <w:tcPr>
            <w:tcW w:w="4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marketing, general and administrative</w:t>
            </w:r>
          </w:p>
        </w:tc>
        <w:tc>
          <w:tcPr>
            <w:tcW w:w="36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61,462</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50,517</w:t>
            </w:r>
          </w:p>
        </w:tc>
      </w:tr>
      <w:tr>
        <w:trPr>
          <w:trHeight w:val="236"/>
        </w:trPr>
        <w:tc>
          <w:tcPr>
            <w:tcW w:w="4120" w:type="dxa"/>
            <w:vAlign w:val="bottom"/>
          </w:tcPr>
          <w:p>
            <w:pPr>
              <w:ind w:left="200"/>
              <w:spacing w:after="0"/>
              <w:rPr>
                <w:sz w:val="20"/>
                <w:szCs w:val="20"/>
                <w:color w:val="auto"/>
              </w:rPr>
            </w:pPr>
            <w:r>
              <w:rPr>
                <w:rFonts w:ascii="Arial" w:cs="Arial" w:eastAsia="Arial" w:hAnsi="Arial"/>
                <w:sz w:val="18"/>
                <w:szCs w:val="18"/>
                <w:color w:val="auto"/>
              </w:rPr>
              <w:t>Change in fair value of contingent consideration</w:t>
            </w:r>
          </w:p>
        </w:tc>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1,622</w:t>
            </w:r>
          </w:p>
        </w:tc>
      </w:tr>
      <w:tr>
        <w:trPr>
          <w:trHeight w:val="249"/>
        </w:trPr>
        <w:tc>
          <w:tcPr>
            <w:tcW w:w="4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Impairment loss on intangible assets</w:t>
            </w:r>
          </w:p>
        </w:tc>
        <w:tc>
          <w:tcPr>
            <w:tcW w:w="36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6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88,799</w:t>
            </w:r>
          </w:p>
        </w:tc>
        <w:tc>
          <w:tcPr>
            <w:tcW w:w="1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95,446</w:t>
            </w:r>
          </w:p>
        </w:tc>
      </w:tr>
      <w:tr>
        <w:trPr>
          <w:trHeight w:val="242"/>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6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(50,587 )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(40,940 )</w:t>
            </w:r>
          </w:p>
        </w:tc>
      </w:tr>
      <w:tr>
        <w:trPr>
          <w:trHeight w:val="236"/>
        </w:trPr>
        <w:tc>
          <w:tcPr>
            <w:tcW w:w="41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9"/>
        </w:trPr>
        <w:tc>
          <w:tcPr>
            <w:tcW w:w="4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36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(8,072 )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(4,508 )</w:t>
            </w:r>
          </w:p>
        </w:tc>
      </w:tr>
      <w:tr>
        <w:trPr>
          <w:trHeight w:val="236"/>
        </w:trPr>
        <w:tc>
          <w:tcPr>
            <w:tcW w:w="4120" w:type="dxa"/>
            <w:vAlign w:val="bottom"/>
          </w:tcPr>
          <w:p>
            <w:pPr>
              <w:ind w:left="200"/>
              <w:spacing w:after="0"/>
              <w:rPr>
                <w:sz w:val="20"/>
                <w:szCs w:val="20"/>
                <w:color w:val="auto"/>
              </w:rPr>
            </w:pPr>
            <w:r>
              <w:rPr>
                <w:rFonts w:ascii="Arial" w:cs="Arial" w:eastAsia="Arial" w:hAnsi="Arial"/>
                <w:sz w:val="18"/>
                <w:szCs w:val="18"/>
                <w:color w:val="auto"/>
              </w:rPr>
              <w:t>(Loss) gain on extinguishment of liabilities, net</w:t>
            </w:r>
          </w:p>
        </w:tc>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(6,981 )</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2,298</w:t>
            </w:r>
          </w:p>
        </w:tc>
      </w:tr>
      <w:tr>
        <w:trPr>
          <w:trHeight w:val="249"/>
        </w:trPr>
        <w:tc>
          <w:tcPr>
            <w:tcW w:w="4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3620" w:type="dxa"/>
            <w:vAlign w:val="bottom"/>
            <w:shd w:val="clear" w:color="auto" w:fill="CFF0FC"/>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4120" w:type="dxa"/>
            <w:vAlign w:val="bottom"/>
          </w:tcPr>
          <w:p>
            <w:pPr>
              <w:ind w:left="200"/>
              <w:spacing w:after="0"/>
              <w:rPr>
                <w:sz w:val="20"/>
                <w:szCs w:val="20"/>
                <w:color w:val="auto"/>
              </w:rPr>
            </w:pPr>
            <w:r>
              <w:rPr>
                <w:rFonts w:ascii="Arial" w:cs="Arial" w:eastAsia="Arial" w:hAnsi="Arial"/>
                <w:sz w:val="18"/>
                <w:szCs w:val="18"/>
                <w:color w:val="auto"/>
              </w:rPr>
              <w:t>Other income (loss), net</w:t>
            </w:r>
          </w:p>
        </w:tc>
        <w:tc>
          <w:tcPr>
            <w:tcW w:w="3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r>
      <w:tr>
        <w:trPr>
          <w:trHeight w:val="242"/>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expense</w:t>
            </w:r>
          </w:p>
        </w:tc>
        <w:tc>
          <w:tcPr>
            <w:tcW w:w="36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(14,860 )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(2,219 )</w:t>
            </w:r>
          </w:p>
        </w:tc>
      </w:tr>
      <w:tr>
        <w:trPr>
          <w:trHeight w:val="243"/>
        </w:trPr>
        <w:tc>
          <w:tcPr>
            <w:tcW w:w="4120" w:type="dxa"/>
            <w:vAlign w:val="bottom"/>
          </w:tcPr>
          <w:p>
            <w:pPr>
              <w:spacing w:after="0"/>
              <w:rPr>
                <w:sz w:val="21"/>
                <w:szCs w:val="21"/>
                <w:color w:val="auto"/>
              </w:rPr>
            </w:pPr>
          </w:p>
        </w:tc>
        <w:tc>
          <w:tcPr>
            <w:tcW w:w="460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700" w:type="dxa"/>
            <w:vAlign w:val="bottom"/>
          </w:tcPr>
          <w:p>
            <w:pPr>
              <w:spacing w:after="0"/>
              <w:rPr>
                <w:sz w:val="21"/>
                <w:szCs w:val="21"/>
                <w:color w:val="auto"/>
              </w:rPr>
            </w:pPr>
          </w:p>
        </w:tc>
      </w:tr>
      <w:tr>
        <w:trPr>
          <w:trHeight w:val="276"/>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6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(65,447 )</w:t>
            </w:r>
          </w:p>
        </w:tc>
        <w:tc>
          <w:tcPr>
            <w:tcW w:w="1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(43,159 )</w:t>
            </w:r>
          </w:p>
        </w:tc>
      </w:tr>
      <w:tr>
        <w:trPr>
          <w:trHeight w:val="217"/>
        </w:trPr>
        <w:tc>
          <w:tcPr>
            <w:tcW w:w="412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620" w:type="dxa"/>
            <w:vAlign w:val="bottom"/>
          </w:tcPr>
          <w:p>
            <w:pPr>
              <w:spacing w:after="0"/>
              <w:rPr>
                <w:sz w:val="18"/>
                <w:szCs w:val="18"/>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(1.55 )</w:t>
            </w:r>
          </w:p>
        </w:tc>
        <w:tc>
          <w:tcPr>
            <w:tcW w:w="11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(1.58 )</w:t>
            </w:r>
          </w:p>
        </w:tc>
      </w:tr>
      <w:tr>
        <w:trPr>
          <w:trHeight w:val="249"/>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0"/>
              </w:rPr>
              <w:t>Weighted-average shares outstanding, basic and diluted</w:t>
            </w:r>
          </w:p>
        </w:tc>
        <w:tc>
          <w:tcPr>
            <w:tcW w:w="36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42,103</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27,365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-1908810</wp:posOffset>
            </wp:positionV>
            <wp:extent cx="10287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6">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-333375</wp:posOffset>
            </wp:positionV>
            <wp:extent cx="10287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7">
                      <a:extLst>
                        <a:ext uri="{28A0092B-C50C-407E-A947-70E740481C1C}"/>
                      </a:extLst>
                    </a:blip>
                    <a:srcRect/>
                    <a:stretch>
                      <a:fillRect/>
                    </a:stretch>
                  </pic:blipFill>
                  <pic:spPr bwMode="auto">
                    <a:xfrm>
                      <a:off x="0" y="0"/>
                      <a:ext cx="10287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ind w:left="4960"/>
        <w:spacing w:after="0"/>
        <w:rPr>
          <w:sz w:val="20"/>
          <w:szCs w:val="20"/>
          <w:color w:val="auto"/>
        </w:rPr>
      </w:pPr>
      <w:r>
        <w:rPr>
          <w:rFonts w:ascii="Arial" w:cs="Arial" w:eastAsia="Arial" w:hAnsi="Arial"/>
          <w:sz w:val="18"/>
          <w:szCs w:val="18"/>
          <w:b w:val="1"/>
          <w:bCs w:val="1"/>
          <w:color w:val="auto"/>
        </w:rPr>
        <w:t>BIODESIX, INC.</w:t>
      </w:r>
    </w:p>
    <w:p>
      <w:pPr>
        <w:spacing w:after="0" w:line="18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3"/>
                <w:szCs w:val="13"/>
                <w:color w:val="auto"/>
              </w:rPr>
            </w:pPr>
          </w:p>
        </w:tc>
        <w:tc>
          <w:tcPr>
            <w:tcW w:w="2000" w:type="dxa"/>
            <w:vAlign w:val="bottom"/>
            <w:gridSpan w:val="3"/>
            <w:vMerge w:val="restart"/>
          </w:tcPr>
          <w:p>
            <w:pPr>
              <w:jc w:val="right"/>
              <w:ind w:right="413"/>
              <w:spacing w:after="0"/>
              <w:rPr>
                <w:sz w:val="20"/>
                <w:szCs w:val="20"/>
                <w:color w:val="auto"/>
              </w:rPr>
            </w:pPr>
            <w:r>
              <w:rPr>
                <w:rFonts w:ascii="Arial" w:cs="Arial" w:eastAsia="Arial" w:hAnsi="Arial"/>
                <w:sz w:val="13"/>
                <w:szCs w:val="13"/>
                <w:b w:val="1"/>
                <w:bCs w:val="1"/>
                <w:color w:val="auto"/>
              </w:rPr>
              <w:t>Common Stock</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27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19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5280" w:type="dxa"/>
            <w:vAlign w:val="bottom"/>
          </w:tcPr>
          <w:p>
            <w:pPr>
              <w:spacing w:after="0"/>
              <w:rPr>
                <w:sz w:val="13"/>
                <w:szCs w:val="13"/>
                <w:color w:val="auto"/>
              </w:rPr>
            </w:pPr>
          </w:p>
        </w:tc>
        <w:tc>
          <w:tcPr>
            <w:tcW w:w="200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330"/>
              <w:spacing w:after="0" w:line="150" w:lineRule="exact"/>
              <w:rPr>
                <w:sz w:val="20"/>
                <w:szCs w:val="20"/>
                <w:color w:val="auto"/>
              </w:rPr>
            </w:pPr>
            <w:r>
              <w:rPr>
                <w:rFonts w:ascii="Arial" w:cs="Arial" w:eastAsia="Arial" w:hAnsi="Arial"/>
                <w:sz w:val="13"/>
                <w:szCs w:val="13"/>
                <w:b w:val="1"/>
                <w:bCs w:val="1"/>
                <w:color w:val="auto"/>
              </w:rPr>
              <w:t>Paid</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In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169"/>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150"/>
              <w:spacing w:after="0"/>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10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Amount</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9"/>
        </w:trPr>
        <w:tc>
          <w:tcPr>
            <w:tcW w:w="5280" w:type="dxa"/>
            <w:vAlign w:val="bottom"/>
            <w:shd w:val="clear" w:color="auto" w:fill="CCEEFF"/>
          </w:tcPr>
          <w:p>
            <w:pPr>
              <w:ind w:left="20"/>
              <w:spacing w:after="0" w:line="161"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January 1, 2021</w:t>
            </w: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26,562</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3"/>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299,953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(258,814 )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41,166</w:t>
            </w: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Issuance of common stock, net</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3,757</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15,675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15,679</w:t>
            </w:r>
          </w:p>
        </w:tc>
        <w:tc>
          <w:tcPr>
            <w:tcW w:w="0" w:type="dxa"/>
            <w:vAlign w:val="bottom"/>
          </w:tcPr>
          <w:p>
            <w:pPr>
              <w:spacing w:after="0"/>
              <w:rPr>
                <w:sz w:val="1"/>
                <w:szCs w:val="1"/>
                <w:color w:val="auto"/>
              </w:rPr>
            </w:pPr>
          </w:p>
        </w:tc>
      </w:tr>
      <w:tr>
        <w:trPr>
          <w:trHeight w:val="175"/>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75"/>
        </w:trPr>
        <w:tc>
          <w:tcPr>
            <w:tcW w:w="5280" w:type="dxa"/>
            <w:vAlign w:val="bottom"/>
            <w:shd w:val="clear" w:color="auto" w:fill="CCEEFF"/>
          </w:tcPr>
          <w:p>
            <w:pPr>
              <w:ind w:left="20"/>
              <w:spacing w:after="0" w:line="161" w:lineRule="exact"/>
              <w:rPr>
                <w:sz w:val="20"/>
                <w:szCs w:val="20"/>
                <w:color w:val="auto"/>
              </w:rPr>
            </w:pPr>
            <w:r>
              <w:rPr>
                <w:rFonts w:ascii="Arial" w:cs="Arial" w:eastAsia="Arial" w:hAnsi="Arial"/>
                <w:sz w:val="14"/>
                <w:szCs w:val="14"/>
                <w:color w:val="auto"/>
              </w:rPr>
              <w:t>Share</w:t>
            </w:r>
            <w:r>
              <w:rPr>
                <w:rFonts w:ascii="MS PGothic" w:cs="MS PGothic" w:eastAsia="MS PGothic" w:hAnsi="MS PGothic"/>
                <w:sz w:val="14"/>
                <w:szCs w:val="14"/>
                <w:color w:val="auto"/>
              </w:rPr>
              <w:t>‑</w:t>
            </w:r>
            <w:r>
              <w:rPr>
                <w:rFonts w:ascii="Arial" w:cs="Arial" w:eastAsia="Arial" w:hAnsi="Arial"/>
                <w:sz w:val="14"/>
                <w:szCs w:val="14"/>
                <w:color w:val="auto"/>
              </w:rPr>
              <w:t>based compensation</w:t>
            </w: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4,944</w:t>
            </w: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(43,159 )</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(43,159 )</w:t>
            </w:r>
          </w:p>
        </w:tc>
        <w:tc>
          <w:tcPr>
            <w:tcW w:w="0" w:type="dxa"/>
            <w:vAlign w:val="bottom"/>
          </w:tcPr>
          <w:p>
            <w:pPr>
              <w:spacing w:after="0"/>
              <w:rPr>
                <w:sz w:val="1"/>
                <w:szCs w:val="1"/>
                <w:color w:val="auto"/>
              </w:rPr>
            </w:pPr>
          </w:p>
        </w:tc>
      </w:tr>
      <w:tr>
        <w:trPr>
          <w:trHeight w:val="238"/>
        </w:trPr>
        <w:tc>
          <w:tcPr>
            <w:tcW w:w="5280" w:type="dxa"/>
            <w:vAlign w:val="bottom"/>
            <w:vMerge w:val="restart"/>
            <w:shd w:val="clear" w:color="auto" w:fill="CCEEFF"/>
          </w:tcPr>
          <w:p>
            <w:pPr>
              <w:ind w:left="20"/>
              <w:spacing w:after="0" w:line="161"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December 31, 2021</w:t>
            </w: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30,790</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321,669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(301,973 )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19,727</w:t>
            </w:r>
          </w:p>
        </w:tc>
        <w:tc>
          <w:tcPr>
            <w:tcW w:w="0" w:type="dxa"/>
            <w:vAlign w:val="bottom"/>
          </w:tcPr>
          <w:p>
            <w:pPr>
              <w:spacing w:after="0"/>
              <w:rPr>
                <w:sz w:val="1"/>
                <w:szCs w:val="1"/>
                <w:color w:val="auto"/>
              </w:rPr>
            </w:pPr>
          </w:p>
        </w:tc>
      </w:tr>
      <w:tr>
        <w:trPr>
          <w:trHeight w:val="79"/>
        </w:trPr>
        <w:tc>
          <w:tcPr>
            <w:tcW w:w="5280" w:type="dxa"/>
            <w:vAlign w:val="bottom"/>
            <w:vMerge w:val="continue"/>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Issuance of common stock, net</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45,705</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56,189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56,235</w:t>
            </w:r>
          </w:p>
        </w:tc>
        <w:tc>
          <w:tcPr>
            <w:tcW w:w="0" w:type="dxa"/>
            <w:vAlign w:val="bottom"/>
          </w:tcPr>
          <w:p>
            <w:pPr>
              <w:spacing w:after="0"/>
              <w:rPr>
                <w:sz w:val="1"/>
                <w:szCs w:val="1"/>
                <w:color w:val="auto"/>
              </w:rPr>
            </w:pPr>
          </w:p>
        </w:tc>
      </w:tr>
      <w:tr>
        <w:trPr>
          <w:trHeight w:val="175"/>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Issuance of common stock for deferred offering costs</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75"/>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Release of restricted stock units</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Initial Warrants</w:t>
            </w: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2,906</w:t>
            </w: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line="161" w:lineRule="exact"/>
              <w:rPr>
                <w:sz w:val="20"/>
                <w:szCs w:val="20"/>
                <w:color w:val="auto"/>
              </w:rPr>
            </w:pPr>
            <w:r>
              <w:rPr>
                <w:rFonts w:ascii="Arial" w:cs="Arial" w:eastAsia="Arial" w:hAnsi="Arial"/>
                <w:sz w:val="14"/>
                <w:szCs w:val="14"/>
                <w:color w:val="auto"/>
              </w:rPr>
              <w:t>Share</w:t>
            </w:r>
            <w:r>
              <w:rPr>
                <w:rFonts w:ascii="MS PGothic" w:cs="MS PGothic" w:eastAsia="MS PGothic" w:hAnsi="MS PGothic"/>
                <w:sz w:val="14"/>
                <w:szCs w:val="14"/>
                <w:color w:val="auto"/>
              </w:rPr>
              <w:t>‑</w:t>
            </w:r>
            <w:r>
              <w:rPr>
                <w:rFonts w:ascii="Arial" w:cs="Arial" w:eastAsia="Arial" w:hAnsi="Arial"/>
                <w:sz w:val="14"/>
                <w:szCs w:val="14"/>
                <w:color w:val="auto"/>
              </w:rPr>
              <w:t>based compensation</w:t>
            </w: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5,961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5,961</w:t>
            </w:r>
          </w:p>
        </w:tc>
        <w:tc>
          <w:tcPr>
            <w:tcW w:w="0" w:type="dxa"/>
            <w:vAlign w:val="bottom"/>
          </w:tcPr>
          <w:p>
            <w:pPr>
              <w:spacing w:after="0"/>
              <w:rPr>
                <w:sz w:val="1"/>
                <w:szCs w:val="1"/>
                <w:color w:val="auto"/>
              </w:rPr>
            </w:pPr>
          </w:p>
        </w:tc>
      </w:tr>
      <w:tr>
        <w:trPr>
          <w:trHeight w:val="175"/>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(65,447 )</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(65,447 )</w:t>
            </w:r>
          </w:p>
        </w:tc>
        <w:tc>
          <w:tcPr>
            <w:tcW w:w="0" w:type="dxa"/>
            <w:vAlign w:val="bottom"/>
          </w:tcPr>
          <w:p>
            <w:pPr>
              <w:spacing w:after="0"/>
              <w:rPr>
                <w:sz w:val="1"/>
                <w:szCs w:val="1"/>
                <w:color w:val="auto"/>
              </w:rPr>
            </w:pPr>
          </w:p>
        </w:tc>
      </w:tr>
      <w:tr>
        <w:trPr>
          <w:trHeight w:val="169"/>
        </w:trPr>
        <w:tc>
          <w:tcPr>
            <w:tcW w:w="52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Balance - December 31, 2022</w:t>
            </w:r>
          </w:p>
        </w:tc>
        <w:tc>
          <w:tcPr>
            <w:tcW w:w="1080" w:type="dxa"/>
            <w:vAlign w:val="bottom"/>
          </w:tcPr>
          <w:p>
            <w:pPr>
              <w:jc w:val="right"/>
              <w:ind w:right="69"/>
              <w:spacing w:after="0" w:line="155" w:lineRule="exact"/>
              <w:rPr>
                <w:sz w:val="20"/>
                <w:szCs w:val="20"/>
                <w:color w:val="auto"/>
              </w:rPr>
            </w:pPr>
            <w:r>
              <w:rPr>
                <w:rFonts w:ascii="Arial" w:cs="Arial" w:eastAsia="Arial" w:hAnsi="Arial"/>
                <w:sz w:val="14"/>
                <w:szCs w:val="14"/>
                <w:color w:val="auto"/>
              </w:rPr>
              <w:t>77,614</w:t>
            </w:r>
          </w:p>
        </w:tc>
        <w:tc>
          <w:tcPr>
            <w:tcW w:w="920" w:type="dxa"/>
            <w:vAlign w:val="bottom"/>
            <w:gridSpan w:val="2"/>
          </w:tcPr>
          <w:p>
            <w:pPr>
              <w:jc w:val="right"/>
              <w:ind w:right="653"/>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78</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line="155" w:lineRule="exact"/>
              <w:rPr>
                <w:sz w:val="20"/>
                <w:szCs w:val="20"/>
                <w:color w:val="auto"/>
              </w:rPr>
            </w:pPr>
            <w:r>
              <w:rPr>
                <w:rFonts w:ascii="Arial" w:cs="Arial" w:eastAsia="Arial" w:hAnsi="Arial"/>
                <w:sz w:val="14"/>
                <w:szCs w:val="14"/>
                <w:color w:val="auto"/>
              </w:rPr>
              <w:t>387,948</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(367,420 )</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50"/>
              <w:spacing w:after="0" w:line="155" w:lineRule="exact"/>
              <w:rPr>
                <w:sz w:val="20"/>
                <w:szCs w:val="20"/>
                <w:color w:val="auto"/>
              </w:rPr>
            </w:pPr>
            <w:r>
              <w:rPr>
                <w:rFonts w:ascii="Arial" w:cs="Arial" w:eastAsia="Arial" w:hAnsi="Arial"/>
                <w:sz w:val="14"/>
                <w:szCs w:val="14"/>
                <w:color w:val="auto"/>
              </w:rPr>
              <w:t>20,606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-144780</wp:posOffset>
            </wp:positionV>
            <wp:extent cx="76835"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-144780</wp:posOffset>
            </wp:positionV>
            <wp:extent cx="76835"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-144780</wp:posOffset>
            </wp:positionV>
            <wp:extent cx="68580" cy="145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-144780</wp:posOffset>
            </wp:positionV>
            <wp:extent cx="68580"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2">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774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3"/>
        </w:trPr>
        <w:tc>
          <w:tcPr>
            <w:tcW w:w="7740" w:type="dxa"/>
            <w:vAlign w:val="bottom"/>
          </w:tcPr>
          <w:p>
            <w:pPr>
              <w:ind w:left="4620"/>
              <w:spacing w:after="0"/>
              <w:rPr>
                <w:sz w:val="20"/>
                <w:szCs w:val="20"/>
                <w:color w:val="auto"/>
              </w:rPr>
            </w:pPr>
            <w:r>
              <w:rPr>
                <w:rFonts w:ascii="Arial" w:cs="Arial" w:eastAsia="Arial" w:hAnsi="Arial"/>
                <w:sz w:val="18"/>
                <w:szCs w:val="18"/>
                <w:b w:val="1"/>
                <w:bCs w:val="1"/>
                <w:color w:val="auto"/>
              </w:rPr>
              <w:t>Statements of Cash Flows</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4"/>
        </w:trPr>
        <w:tc>
          <w:tcPr>
            <w:tcW w:w="7740" w:type="dxa"/>
            <w:vAlign w:val="bottom"/>
          </w:tcPr>
          <w:p>
            <w:pPr>
              <w:ind w:left="5080"/>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52"/>
        </w:trPr>
        <w:tc>
          <w:tcPr>
            <w:tcW w:w="7740" w:type="dxa"/>
            <w:vAlign w:val="bottom"/>
          </w:tcPr>
          <w:p>
            <w:pPr>
              <w:spacing w:after="0"/>
              <w:rPr>
                <w:sz w:val="24"/>
                <w:szCs w:val="24"/>
                <w:color w:val="auto"/>
              </w:rPr>
            </w:pPr>
          </w:p>
        </w:tc>
        <w:tc>
          <w:tcPr>
            <w:tcW w:w="28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r>
      <w:tr>
        <w:trPr>
          <w:trHeight w:val="238"/>
        </w:trPr>
        <w:tc>
          <w:tcPr>
            <w:tcW w:w="77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Pr>
          <w:p>
            <w:pPr>
              <w:spacing w:after="0"/>
              <w:rPr>
                <w:sz w:val="20"/>
                <w:szCs w:val="20"/>
                <w:color w:val="auto"/>
              </w:rPr>
            </w:pPr>
          </w:p>
        </w:tc>
      </w:tr>
      <w:tr>
        <w:trPr>
          <w:trHeight w:val="24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8"/>
              </w:rPr>
              <w:t>(65,447 )</w:t>
            </w:r>
          </w:p>
        </w:tc>
        <w:tc>
          <w:tcPr>
            <w:tcW w:w="11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(43,159 )</w:t>
            </w:r>
          </w:p>
        </w:tc>
      </w:tr>
      <w:tr>
        <w:trPr>
          <w:trHeight w:val="221"/>
        </w:trPr>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cash equivalents, and restricted</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44"/>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used in operating activities</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3,597</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3,178</w:t>
            </w:r>
          </w:p>
        </w:tc>
      </w:tr>
      <w:tr>
        <w:trPr>
          <w:trHeight w:val="249"/>
        </w:trPr>
        <w:tc>
          <w:tcPr>
            <w:tcW w:w="7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lease right-of-use assets</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2,247</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Loss (gain) on extinguishment of liabilities, net</w:t>
            </w: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6,981</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(2,298 )</w:t>
            </w:r>
          </w:p>
        </w:tc>
      </w:tr>
      <w:tr>
        <w:trPr>
          <w:trHeight w:val="249"/>
        </w:trPr>
        <w:tc>
          <w:tcPr>
            <w:tcW w:w="7740" w:type="dxa"/>
            <w:vAlign w:val="bottom"/>
            <w:shd w:val="clear" w:color="auto" w:fill="CCEEFF"/>
          </w:tcPr>
          <w:p>
            <w:pPr>
              <w:ind w:left="380"/>
              <w:spacing w:after="0" w:line="207" w:lineRule="exact"/>
              <w:rPr>
                <w:sz w:val="20"/>
                <w:szCs w:val="20"/>
                <w:color w:val="auto"/>
              </w:rPr>
            </w:pPr>
            <w:r>
              <w:rPr>
                <w:rFonts w:ascii="Arial" w:cs="Arial" w:eastAsia="Arial" w:hAnsi="Arial"/>
                <w:sz w:val="18"/>
                <w:szCs w:val="18"/>
                <w:color w:val="auto"/>
              </w:rPr>
              <w:t>Share</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5,961</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4,944</w:t>
            </w: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Change in fair value of warrant liability</w:t>
            </w: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(84 )</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contingent consideration</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1,622</w:t>
            </w: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193</w:t>
            </w:r>
          </w:p>
        </w:tc>
      </w:tr>
      <w:tr>
        <w:trPr>
          <w:trHeight w:val="249"/>
        </w:trPr>
        <w:tc>
          <w:tcPr>
            <w:tcW w:w="7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interest, amortization of debt issuance costs and other</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5,037</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2,706</w:t>
            </w: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Inventory excess and obsolescence</w:t>
            </w: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906</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Impairment loss on intangible assets</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9"/>
        </w:trPr>
        <w:tc>
          <w:tcPr>
            <w:tcW w:w="7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(1,501 )</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11,454</w:t>
            </w: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1,113</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1,369</w:t>
            </w:r>
          </w:p>
        </w:tc>
      </w:tr>
      <w:tr>
        <w:trPr>
          <w:trHeight w:val="249"/>
        </w:trPr>
        <w:tc>
          <w:tcPr>
            <w:tcW w:w="7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(3,504 )</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875</w:t>
            </w: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(773 )</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(7,425 )</w:t>
            </w:r>
          </w:p>
        </w:tc>
      </w:tr>
      <w:tr>
        <w:trPr>
          <w:trHeight w:val="249"/>
        </w:trPr>
        <w:tc>
          <w:tcPr>
            <w:tcW w:w="7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(1,213 )</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(1,682 )</w:t>
            </w: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Tenant improvement allowances received</w:t>
            </w: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2,471</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and long-term operating lease liabilities</w:t>
            </w:r>
          </w:p>
        </w:tc>
        <w:tc>
          <w:tcPr>
            <w:tcW w:w="9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(937 )</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Net cash and cash equivalents and restricted cash used in operating activities</w:t>
            </w: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8"/>
              </w:rPr>
              <w:t>(44,972 )</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(28,223 )</w:t>
            </w:r>
          </w:p>
        </w:tc>
      </w:tr>
      <w:tr>
        <w:trPr>
          <w:trHeight w:val="249"/>
        </w:trPr>
        <w:tc>
          <w:tcPr>
            <w:tcW w:w="77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9"/>
        </w:trPr>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(3,298 )</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Patent costs and intangible asset acquisition, net</w:t>
            </w:r>
          </w:p>
        </w:tc>
        <w:tc>
          <w:tcPr>
            <w:tcW w:w="9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(236 )</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(306 )</w:t>
            </w:r>
          </w:p>
        </w:tc>
      </w:tr>
      <w:tr>
        <w:trPr>
          <w:trHeight w:val="242"/>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and cash equivalents and restricted cash used in investing activities</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(3,534 )</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(2,547 )</w:t>
            </w:r>
          </w:p>
        </w:tc>
      </w:tr>
      <w:tr>
        <w:trPr>
          <w:trHeight w:val="243"/>
        </w:trPr>
        <w:tc>
          <w:tcPr>
            <w:tcW w:w="7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59,538</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16,343</w:t>
            </w:r>
          </w:p>
        </w:tc>
      </w:tr>
      <w:tr>
        <w:trPr>
          <w:trHeight w:val="249"/>
        </w:trPr>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769</w:t>
            </w:r>
          </w:p>
        </w:tc>
      </w:tr>
      <w:tr>
        <w:trPr>
          <w:trHeight w:val="249"/>
        </w:trPr>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contingent consideration</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(10,822 )</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term loan and notes payable</w:t>
            </w: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45,102</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30,078</w:t>
            </w:r>
          </w:p>
        </w:tc>
      </w:tr>
      <w:tr>
        <w:trPr>
          <w:trHeight w:val="249"/>
        </w:trPr>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term loan and notes payable</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(28,604 )</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(45,428 )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Payment of debt issuance costs</w:t>
            </w: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(3,725 )</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(164 )</w:t>
            </w:r>
          </w:p>
        </w:tc>
      </w:tr>
      <w:tr>
        <w:trPr>
          <w:trHeight w:val="249"/>
        </w:trPr>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offering costs</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Equity financing costs</w:t>
            </w: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(3,069 )</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(664 )</w:t>
            </w:r>
          </w:p>
        </w:tc>
      </w:tr>
      <w:tr>
        <w:trPr>
          <w:trHeight w:val="243"/>
        </w:trPr>
        <w:tc>
          <w:tcPr>
            <w:tcW w:w="7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Net cash and cash equivalents and restricted cash provided by financing activities</w:t>
            </w:r>
          </w:p>
        </w:tc>
        <w:tc>
          <w:tcPr>
            <w:tcW w:w="9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58,882</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1,262</w:t>
            </w:r>
          </w:p>
        </w:tc>
      </w:tr>
      <w:tr>
        <w:trPr>
          <w:trHeight w:val="242"/>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10,376</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(29,508 )</w:t>
            </w:r>
          </w:p>
        </w:tc>
      </w:tr>
      <w:tr>
        <w:trPr>
          <w:trHeight w:val="236"/>
        </w:trPr>
        <w:tc>
          <w:tcPr>
            <w:tcW w:w="77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Cash, cash equivalents, and restricted cash </w:t>
            </w:r>
            <w:r>
              <w:rPr>
                <w:rFonts w:ascii="MS PGothic" w:cs="MS PGothic" w:eastAsia="MS PGothic" w:hAnsi="MS PGothic"/>
                <w:sz w:val="18"/>
                <w:szCs w:val="18"/>
                <w:color w:val="auto"/>
              </w:rPr>
              <w:t>‑</w:t>
            </w:r>
            <w:r>
              <w:rPr>
                <w:rFonts w:ascii="Arial" w:cs="Arial" w:eastAsia="Arial" w:hAnsi="Arial"/>
                <w:sz w:val="18"/>
                <w:szCs w:val="18"/>
                <w:color w:val="auto"/>
              </w:rPr>
              <w:t xml:space="preserve"> beginning of period</w:t>
            </w:r>
          </w:p>
        </w:tc>
        <w:tc>
          <w:tcPr>
            <w:tcW w:w="9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32,798</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62,306</w:t>
            </w:r>
          </w:p>
        </w:tc>
      </w:tr>
      <w:tr>
        <w:trPr>
          <w:trHeight w:val="276"/>
        </w:trPr>
        <w:tc>
          <w:tcPr>
            <w:tcW w:w="774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18"/>
                <w:szCs w:val="18"/>
                <w:color w:val="auto"/>
              </w:rPr>
              <w:t xml:space="preserve">Cash, cash equivalents, and restricted cash </w:t>
            </w:r>
            <w:r>
              <w:rPr>
                <w:rFonts w:ascii="MS PGothic" w:cs="MS PGothic" w:eastAsia="MS PGothic" w:hAnsi="MS PGothic"/>
                <w:sz w:val="18"/>
                <w:szCs w:val="18"/>
                <w:color w:val="auto"/>
              </w:rPr>
              <w:t>‑</w:t>
            </w:r>
            <w:r>
              <w:rPr>
                <w:rFonts w:ascii="Arial" w:cs="Arial" w:eastAsia="Arial" w:hAnsi="Arial"/>
                <w:sz w:val="18"/>
                <w:szCs w:val="18"/>
                <w:color w:val="auto"/>
              </w:rPr>
              <w:t xml:space="preserve"> end of period</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43,174</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32,798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-3458845</wp:posOffset>
            </wp:positionV>
            <wp:extent cx="102870" cy="162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4">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-667385</wp:posOffset>
            </wp:positionV>
            <wp:extent cx="10287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5">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1028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028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786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73"/>
        </w:trPr>
        <w:tc>
          <w:tcPr>
            <w:tcW w:w="7860" w:type="dxa"/>
            <w:vAlign w:val="bottom"/>
          </w:tcPr>
          <w:p>
            <w:pPr>
              <w:ind w:left="4620"/>
              <w:spacing w:after="0"/>
              <w:rPr>
                <w:sz w:val="20"/>
                <w:szCs w:val="20"/>
                <w:color w:val="auto"/>
              </w:rPr>
            </w:pPr>
            <w:r>
              <w:rPr>
                <w:rFonts w:ascii="Arial" w:cs="Arial" w:eastAsia="Arial" w:hAnsi="Arial"/>
                <w:sz w:val="18"/>
                <w:szCs w:val="18"/>
                <w:b w:val="1"/>
                <w:bCs w:val="1"/>
                <w:color w:val="auto"/>
              </w:rPr>
              <w:t>Statements of Cash Flows</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4"/>
        </w:trPr>
        <w:tc>
          <w:tcPr>
            <w:tcW w:w="7860" w:type="dxa"/>
            <w:vAlign w:val="bottom"/>
          </w:tcPr>
          <w:p>
            <w:pPr>
              <w:ind w:left="508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31"/>
        </w:trPr>
        <w:tc>
          <w:tcPr>
            <w:tcW w:w="7860" w:type="dxa"/>
            <w:vAlign w:val="bottom"/>
          </w:tcPr>
          <w:p>
            <w:pPr>
              <w:spacing w:after="0"/>
              <w:rPr>
                <w:sz w:val="20"/>
                <w:szCs w:val="20"/>
                <w:color w:val="auto"/>
              </w:rPr>
            </w:pPr>
            <w:r>
              <w:rPr>
                <w:rFonts w:ascii="Arial" w:cs="Arial" w:eastAsia="Arial" w:hAnsi="Arial"/>
                <w:sz w:val="18"/>
                <w:szCs w:val="18"/>
                <w:color w:val="auto"/>
              </w:rPr>
              <w:t>(Continued from the previous page)</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31"/>
        </w:trPr>
        <w:tc>
          <w:tcPr>
            <w:tcW w:w="786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52"/>
        </w:trPr>
        <w:tc>
          <w:tcPr>
            <w:tcW w:w="786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r>
      <w:tr>
        <w:trPr>
          <w:trHeight w:val="238"/>
        </w:trPr>
        <w:tc>
          <w:tcPr>
            <w:tcW w:w="78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20"/>
                <w:szCs w:val="20"/>
                <w:color w:val="auto"/>
              </w:rPr>
            </w:pPr>
          </w:p>
        </w:tc>
      </w:tr>
      <w:tr>
        <w:trPr>
          <w:trHeight w:val="24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issued for deferred offering costs</w:t>
            </w: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7860" w:type="dxa"/>
            <w:vAlign w:val="bottom"/>
          </w:tcPr>
          <w:p>
            <w:pPr>
              <w:ind w:left="20"/>
              <w:spacing w:after="0"/>
              <w:rPr>
                <w:sz w:val="20"/>
                <w:szCs w:val="20"/>
                <w:color w:val="auto"/>
              </w:rPr>
            </w:pPr>
            <w:r>
              <w:rPr>
                <w:rFonts w:ascii="Arial" w:cs="Arial" w:eastAsia="Arial" w:hAnsi="Arial"/>
                <w:sz w:val="18"/>
                <w:szCs w:val="18"/>
                <w:color w:val="auto"/>
              </w:rPr>
              <w:t>Deferred offering costs amortized against Additional paid-in capital</w:t>
            </w:r>
          </w:p>
        </w:tc>
        <w:tc>
          <w:tcPr>
            <w:tcW w:w="10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Perceptive Warrants</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3,051</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7860" w:type="dxa"/>
            <w:vAlign w:val="bottom"/>
          </w:tcPr>
          <w:p>
            <w:pPr>
              <w:ind w:left="20"/>
              <w:spacing w:after="0"/>
              <w:rPr>
                <w:sz w:val="20"/>
                <w:szCs w:val="20"/>
                <w:color w:val="auto"/>
              </w:rPr>
            </w:pPr>
            <w:r>
              <w:rPr>
                <w:rFonts w:ascii="Arial" w:cs="Arial" w:eastAsia="Arial" w:hAnsi="Arial"/>
                <w:sz w:val="18"/>
                <w:szCs w:val="18"/>
                <w:color w:val="auto"/>
              </w:rPr>
              <w:t>Debt issuance costs included in Accounts payable and other accrued liabilities</w:t>
            </w:r>
          </w:p>
        </w:tc>
        <w:tc>
          <w:tcPr>
            <w:tcW w:w="10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4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financing costs included in Accounts payable and other accrued liabilities</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7860" w:type="dxa"/>
            <w:vAlign w:val="bottom"/>
          </w:tcPr>
          <w:p>
            <w:pPr>
              <w:ind w:left="20"/>
              <w:spacing w:after="0"/>
              <w:rPr>
                <w:sz w:val="20"/>
                <w:szCs w:val="20"/>
                <w:color w:val="auto"/>
              </w:rPr>
            </w:pPr>
            <w:r>
              <w:rPr>
                <w:rFonts w:ascii="Arial" w:cs="Arial" w:eastAsia="Arial" w:hAnsi="Arial"/>
                <w:sz w:val="18"/>
                <w:szCs w:val="18"/>
                <w:color w:val="auto"/>
                <w:w w:val="98"/>
              </w:rPr>
              <w:t>Operating lease right-of-use assets obtained in exchange for lease liabilities at adoption of ASC 842</w:t>
            </w:r>
          </w:p>
        </w:tc>
        <w:tc>
          <w:tcPr>
            <w:tcW w:w="10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obtained in exchange for lease liabilities</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3,936</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36"/>
        </w:trPr>
        <w:tc>
          <w:tcPr>
            <w:tcW w:w="7860" w:type="dxa"/>
            <w:vAlign w:val="bottom"/>
          </w:tcPr>
          <w:p>
            <w:pPr>
              <w:ind w:left="20"/>
              <w:spacing w:after="0"/>
              <w:rPr>
                <w:sz w:val="20"/>
                <w:szCs w:val="20"/>
                <w:color w:val="auto"/>
              </w:rPr>
            </w:pPr>
            <w:r>
              <w:rPr>
                <w:rFonts w:ascii="Arial" w:cs="Arial" w:eastAsia="Arial" w:hAnsi="Arial"/>
                <w:sz w:val="18"/>
                <w:szCs w:val="18"/>
                <w:color w:val="auto"/>
              </w:rPr>
              <w:t>Finance lease right-of-use assets obtained in exchange for lease liabilities</w:t>
            </w:r>
          </w:p>
        </w:tc>
        <w:tc>
          <w:tcPr>
            <w:tcW w:w="10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1,676</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10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u w:val="single" w:color="auto"/>
          <w:color w:val="auto"/>
        </w:rPr>
        <w:t>BIODESIX, INC.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Biodesix, Inc. (the “Company”, “Biodesix”, “we” “us” and “our”), formerly Elston Technologies, Inc., was incorporated in Delaware in 2005. The Company’s headquarters are in Colorado and performs its blood-based diagnostic tests in its laboratory facilities, which are located in Boulder, Colorado and De Soto, Kansas. The Company conducts all of its operations within a single legal entity. Biodesix is a leading data-driven diagnostic solutions company leveraging state of the art technologies with its proprietary artificial intelligence platform to discover, develop, and commercialize solutions for clinical unmet needs, with a primary focus in lung disease. The Company develops diagnostic tests addressing important clinical questions by combining multi-omics through the power of artificial intelligence. We derive our revenue from two sources: (i) providing diagnostic testing services associated with</w:t>
      </w:r>
    </w:p>
    <w:p>
      <w:pPr>
        <w:spacing w:after="0" w:line="3" w:lineRule="exact"/>
        <w:rPr>
          <w:sz w:val="20"/>
          <w:szCs w:val="20"/>
          <w:color w:val="auto"/>
        </w:rPr>
      </w:pPr>
    </w:p>
    <w:p>
      <w:pPr>
        <w:jc w:val="both"/>
        <w:ind w:firstLine="8"/>
        <w:spacing w:after="0" w:line="269" w:lineRule="auto"/>
        <w:tabs>
          <w:tab w:leader="none" w:pos="259" w:val="left"/>
        </w:tabs>
        <w:numPr>
          <w:ilvl w:val="0"/>
          <w:numId w:val="67"/>
        </w:numPr>
        <w:rPr>
          <w:rFonts w:ascii="Arial" w:cs="Arial" w:eastAsia="Arial" w:hAnsi="Arial"/>
          <w:sz w:val="17"/>
          <w:szCs w:val="17"/>
          <w:color w:val="auto"/>
        </w:rPr>
      </w:pPr>
      <w:r>
        <w:rPr>
          <w:rFonts w:ascii="Arial" w:cs="Arial" w:eastAsia="Arial" w:hAnsi="Arial"/>
          <w:sz w:val="17"/>
          <w:szCs w:val="17"/>
          <w:color w:val="auto"/>
        </w:rPr>
        <w:t>blood-based lung tests and (b) Coronavirus Disease 2019 (COVID-19) tests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Biodesix offers five Medicare-covered tests for patients with lung diseases. The blood based Nodify Lung® nodule risk assessment testing strategy, consisting of the Nodify XL2® and the Nodify CDT® tests, evaluates the risk of malignancy in incidental pulmonary nodules, enabling physicians to better triage patients to the most appropriate course of action. The blood based IQLung™ strategy for lung cancer patients integrates the GeneStrat® ddPCR test, the GeneStrat NGS™ test and the VeriStrat® test to support treatment decisions across all stages of lung cancer.</w:t>
      </w:r>
    </w:p>
    <w:p>
      <w:pPr>
        <w:spacing w:after="0" w:line="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also offers three SARS-CoV-2 tests. The Bio-Rad SARS-CoV-2 ddPCR test, the cPASS</w:t>
      </w:r>
      <w:r>
        <w:rPr>
          <w:rFonts w:ascii="Arial" w:cs="Arial" w:eastAsia="Arial" w:hAnsi="Arial"/>
          <w:sz w:val="16"/>
          <w:szCs w:val="16"/>
          <w:i w:val="1"/>
          <w:iCs w:val="1"/>
          <w:color w:val="auto"/>
        </w:rPr>
        <w:t>™</w:t>
      </w:r>
      <w:r>
        <w:rPr>
          <w:rFonts w:ascii="Arial" w:cs="Arial" w:eastAsia="Arial" w:hAnsi="Arial"/>
          <w:sz w:val="16"/>
          <w:szCs w:val="16"/>
          <w:color w:val="auto"/>
        </w:rPr>
        <w:t xml:space="preserve"> neutralization antibody test kit, and the Platelia SARS-CoV-2 Total Ab test have been granted Emergency Use Authorization (EUA) by the Federal Drug Administration (FDA) under Section 564 of the Federal Food, Drug, and Cosmetic Act (FDCA).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The EUA declaration under Section 564 of the FDCA is distinct from and independent of the declaration by the Secretary of HHS of a public health emergency under Section 319 of the Public Health Service Act (the PHS Act). On January 30, 2023, the White House issued a Statement of Administration Policy announcing the President’s intention to allow the Public Health Emergency declaration under Section 319 to expire on May 11, 2023. Because the EUA declaration from the FDA is distinct from the declaration under Section 319 of the PHS Act, the FDA EUA may remain in effect beyond the duration of the Section 319 declaration. We cannot predict how long the EUAs for the SARS-CoV-2 tests will remain in place.</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diagnostic tests, the Company provides biopharmaceutical companies with services that include diagnostic research, clinical trial testing, and the discovery, development, and commercialization of companion diagnostics. The Company leverages the proprietary and advanced Diagnostic Cortex® AI (Artificial Intelligence) platform, to collaborate with many of the world’s leading biotechnology and pharmaceutical companies to solve complex diagnostic challenges in lung disease.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Blood-Based Lung Tests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offers five blood-based lung cancer tests across the lung cancer continuum of care: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Diagnosis</w:t>
      </w:r>
    </w:p>
    <w:p>
      <w:pPr>
        <w:spacing w:after="0" w:line="117" w:lineRule="exact"/>
        <w:rPr>
          <w:sz w:val="20"/>
          <w:szCs w:val="20"/>
          <w:color w:val="auto"/>
        </w:rPr>
      </w:pPr>
    </w:p>
    <w:p>
      <w:pPr>
        <w:jc w:val="both"/>
        <w:ind w:left="900" w:hanging="383"/>
        <w:spacing w:after="0" w:line="263"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Nodify XL2 </w:t>
      </w:r>
      <w:r>
        <w:rPr>
          <w:rFonts w:ascii="Arial" w:cs="Arial" w:eastAsia="Arial" w:hAnsi="Arial"/>
          <w:sz w:val="18"/>
          <w:szCs w:val="18"/>
          <w:color w:val="auto"/>
        </w:rPr>
        <w:t>and</w:t>
      </w:r>
      <w:r>
        <w:rPr>
          <w:rFonts w:ascii="Arial" w:cs="Arial" w:eastAsia="Arial" w:hAnsi="Arial"/>
          <w:sz w:val="18"/>
          <w:szCs w:val="18"/>
          <w:i w:val="1"/>
          <w:iCs w:val="1"/>
          <w:color w:val="auto"/>
        </w:rPr>
        <w:t xml:space="preserve"> Nodify CDT </w:t>
      </w:r>
      <w:r>
        <w:rPr>
          <w:rFonts w:ascii="Arial" w:cs="Arial" w:eastAsia="Arial" w:hAnsi="Arial"/>
          <w:sz w:val="18"/>
          <w:szCs w:val="18"/>
          <w:color w:val="auto"/>
        </w:rPr>
        <w:t>tests, marketed as our Nodify Lung Nodule Risk Assessment testing strategy, assess a suspicious lung nodule's</w:t>
      </w:r>
      <w:r>
        <w:rPr>
          <w:rFonts w:ascii="Arial" w:cs="Arial" w:eastAsia="Arial" w:hAnsi="Arial"/>
          <w:sz w:val="18"/>
          <w:szCs w:val="18"/>
          <w:i w:val="1"/>
          <w:iCs w:val="1"/>
          <w:color w:val="auto"/>
        </w:rPr>
        <w:t xml:space="preserve"> </w:t>
      </w:r>
      <w:r>
        <w:rPr>
          <w:rFonts w:ascii="Arial" w:cs="Arial" w:eastAsia="Arial" w:hAnsi="Arial"/>
          <w:sz w:val="18"/>
          <w:szCs w:val="18"/>
          <w:color w:val="auto"/>
        </w:rPr>
        <w:t>risk of lung cancer to help identify the most appropriate treatment pathway. We believe we are the only company to offer two commercial blood-based tests to help physicians reclassify risk of malignancy in patients with suspicious lung nodules.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Treatment &amp; Monitoring</w:t>
      </w:r>
    </w:p>
    <w:p>
      <w:pPr>
        <w:spacing w:after="0" w:line="117" w:lineRule="exact"/>
        <w:rPr>
          <w:sz w:val="20"/>
          <w:szCs w:val="20"/>
          <w:color w:val="auto"/>
        </w:rPr>
      </w:pPr>
    </w:p>
    <w:p>
      <w:pPr>
        <w:jc w:val="both"/>
        <w:ind w:left="900" w:hanging="383"/>
        <w:spacing w:after="0" w:line="259"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GeneStrat ddPCR </w:t>
      </w:r>
      <w:r>
        <w:rPr>
          <w:rFonts w:ascii="Arial" w:cs="Arial" w:eastAsia="Arial" w:hAnsi="Arial"/>
          <w:sz w:val="18"/>
          <w:szCs w:val="18"/>
          <w:color w:val="auto"/>
        </w:rPr>
        <w:t>and</w:t>
      </w:r>
      <w:r>
        <w:rPr>
          <w:rFonts w:ascii="Arial" w:cs="Arial" w:eastAsia="Arial" w:hAnsi="Arial"/>
          <w:sz w:val="18"/>
          <w:szCs w:val="18"/>
          <w:i w:val="1"/>
          <w:iCs w:val="1"/>
          <w:color w:val="auto"/>
        </w:rPr>
        <w:t xml:space="preserve"> VeriStrat </w:t>
      </w:r>
      <w:r>
        <w:rPr>
          <w:rFonts w:ascii="Arial" w:cs="Arial" w:eastAsia="Arial" w:hAnsi="Arial"/>
          <w:sz w:val="18"/>
          <w:szCs w:val="18"/>
          <w:color w:val="auto"/>
        </w:rPr>
        <w:t>tests, marketed as part of our IQLung testing strategy, are used following diagnosis of lung cancer to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the presence of mutations in the tumor and the state of the patient’s immune system to establish the patient’s prognosis and help guide treatment decisions. The GeneStrat ddPCR tumor profiling test and the VeriStrat immune profiling test have a turnaround time of two business days, providing physicians with timely results to facilitate treatment decisions.</w:t>
      </w:r>
    </w:p>
    <w:p>
      <w:pPr>
        <w:spacing w:after="0" w:line="77" w:lineRule="exact"/>
        <w:rPr>
          <w:rFonts w:ascii="Arial" w:cs="Arial" w:eastAsia="Arial" w:hAnsi="Arial"/>
          <w:sz w:val="18"/>
          <w:szCs w:val="18"/>
          <w:color w:val="auto"/>
        </w:rPr>
      </w:pPr>
    </w:p>
    <w:p>
      <w:pPr>
        <w:jc w:val="both"/>
        <w:ind w:left="900" w:hanging="383"/>
        <w:spacing w:after="0" w:line="256"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GeneStrat NGS </w:t>
      </w:r>
      <w:r>
        <w:rPr>
          <w:rFonts w:ascii="Arial" w:cs="Arial" w:eastAsia="Arial" w:hAnsi="Arial"/>
          <w:sz w:val="18"/>
          <w:szCs w:val="18"/>
          <w:color w:val="auto"/>
        </w:rPr>
        <w:t>(NGS) test, also marketed as part of our IQLung testing strategy, is our blood-based NGS test with results in three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days. The NGS test was launched in November 2021 to a select group of physicians, with national launch in January 2022. The 52-gene panel includes guideline recommended mutations to help physicians treating advanced-stage lung cancer patients identify targeted therapy mutations in genes, such as EGFR, ALK, KRAS, MET, NTRK, ERBB2, and others, and delivers them in an expedited timeframe so patient treatment can begin sooner.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COVID-19 Tests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operate and have commercialized the Biodesix WorkSafe™ testing program, under which the Company offers three SARS-CoV-2 tests:</w:t>
      </w:r>
    </w:p>
    <w:p>
      <w:pPr>
        <w:spacing w:after="0" w:line="117" w:lineRule="exact"/>
        <w:rPr>
          <w:sz w:val="20"/>
          <w:szCs w:val="20"/>
          <w:color w:val="auto"/>
        </w:rPr>
      </w:pPr>
    </w:p>
    <w:p>
      <w:pPr>
        <w:jc w:val="both"/>
        <w:ind w:left="900" w:hanging="383"/>
        <w:spacing w:after="0" w:line="263"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Bio-Rad SARS-CoV-2 ddPCR </w:t>
      </w:r>
      <w:r>
        <w:rPr>
          <w:rFonts w:ascii="Arial" w:cs="Arial" w:eastAsia="Arial" w:hAnsi="Arial"/>
          <w:sz w:val="18"/>
          <w:szCs w:val="18"/>
          <w:color w:val="auto"/>
        </w:rPr>
        <w:t>test, which is FDA EUA authorized to be performed by Clinical Laboratory Institute Amendments (CLIA)</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laboratories that perform high complexity tests. The ddPCR test is designed to detect the presence of current infection by the SARS-CoV-2 virus.</w:t>
      </w:r>
    </w:p>
    <w:p>
      <w:pPr>
        <w:spacing w:after="0" w:line="74"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Platelia SARS-CoV-2 Total Ab </w:t>
      </w:r>
      <w:r>
        <w:rPr>
          <w:rFonts w:ascii="Arial" w:cs="Arial" w:eastAsia="Arial" w:hAnsi="Arial"/>
          <w:sz w:val="18"/>
          <w:szCs w:val="18"/>
          <w:color w:val="auto"/>
        </w:rPr>
        <w:t>test, which is an antibody test, FDA EUA authorized by the FDA, intended for detecting a B-cell immune</w:t>
      </w:r>
      <w:r>
        <w:rPr>
          <w:rFonts w:ascii="Arial" w:cs="Arial" w:eastAsia="Arial" w:hAnsi="Arial"/>
          <w:sz w:val="18"/>
          <w:szCs w:val="18"/>
          <w:i w:val="1"/>
          <w:iCs w:val="1"/>
          <w:color w:val="auto"/>
        </w:rPr>
        <w:t xml:space="preserve"> </w:t>
      </w:r>
      <w:r>
        <w:rPr>
          <w:rFonts w:ascii="Arial" w:cs="Arial" w:eastAsia="Arial" w:hAnsi="Arial"/>
          <w:sz w:val="18"/>
          <w:szCs w:val="18"/>
          <w:color w:val="auto"/>
        </w:rPr>
        <w:t>response to SARS-CoV-2, indicating recent or prior infection.</w:t>
      </w:r>
    </w:p>
    <w:p>
      <w:pPr>
        <w:spacing w:after="0" w:line="61" w:lineRule="exact"/>
        <w:rPr>
          <w:rFonts w:ascii="Arial" w:cs="Arial" w:eastAsia="Arial" w:hAnsi="Arial"/>
          <w:sz w:val="18"/>
          <w:szCs w:val="18"/>
          <w:color w:val="auto"/>
        </w:rPr>
      </w:pPr>
    </w:p>
    <w:p>
      <w:pPr>
        <w:jc w:val="both"/>
        <w:ind w:left="900" w:hanging="383"/>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cPass SARS-CoV-2 Neutralization Antibody </w:t>
      </w:r>
      <w:r>
        <w:rPr>
          <w:rFonts w:ascii="Arial" w:cs="Arial" w:eastAsia="Arial" w:hAnsi="Arial"/>
          <w:sz w:val="18"/>
          <w:szCs w:val="18"/>
          <w:color w:val="auto"/>
        </w:rPr>
        <w:t>test, which is the first blood-based surrogate neutralizing antibody test with FDA EUA and uses</w:t>
      </w:r>
      <w:r>
        <w:rPr>
          <w:rFonts w:ascii="Arial" w:cs="Arial" w:eastAsia="Arial" w:hAnsi="Arial"/>
          <w:sz w:val="18"/>
          <w:szCs w:val="18"/>
          <w:i w:val="1"/>
          <w:iCs w:val="1"/>
          <w:color w:val="auto"/>
        </w:rPr>
        <w:t xml:space="preserve"> </w:t>
      </w:r>
      <w:r>
        <w:rPr>
          <w:rFonts w:ascii="Arial" w:cs="Arial" w:eastAsia="Arial" w:hAnsi="Arial"/>
          <w:sz w:val="18"/>
          <w:szCs w:val="18"/>
          <w:color w:val="auto"/>
        </w:rPr>
        <w:t>ELISA technology to qualitatively detect circulating neutralizing antibodies to the receptor binding domain (RBD) in the spike protein of SARS-CoV-2 that are produced in response to a previous SARS-CoV-2 infection. This test was commercially introduced in partnership with GenScript Biotech Corporation.</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tests under the Biodesix WorkSafe testing program are utilized by healthcare providers, including hospitals and nursing homes, and are also offered to businesses and educational systems.</w:t>
      </w:r>
    </w:p>
    <w:p>
      <w:pPr>
        <w:spacing w:after="0" w:line="6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developing the Company's products, the Company has built or gained access to unique biorepositories, proprietary technology, and bioinformatics methods that it believes are important to the development of new targeted therapies, determining clinical trial eligibility and guiding treatment selection. The Company’s testing services are made available through its clinical laboratories.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Estimates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12529"/>
        </w:rPr>
        <w:t>The Company’s financial statements have been prepared in accordance with accounting principles generally accepted in the United States (U.S. GAAP). 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Significant items subject to such estimates include: revenue recognition; the estimation of the fair value of goodwill and other intangible assets; fair value of stock options; income tax uncertainties, including a valuation allowance for deferred tax assets; warrant liabilities;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recognized revenue and expenses that are not readily apparent from other sources. Actual results could differ from those estimates and assumptions.</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As of December 31, 2022, we maintained cash and cash equivalents of $43.1 million and we have $30.0 million in outstanding aggregate principal amount on our Perceptive Term Loan.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COVID-19 testing, and (ii) providing biopharmaceutical companies with development and testing services. In accordance with Accounting Standards Update 2014-15 (ASC Topic 205-40),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the Company is required to evaluate whether there is substantial</w:t>
      </w:r>
      <w:r>
        <w:rPr>
          <w:rFonts w:ascii="Arial" w:cs="Arial" w:eastAsia="Arial" w:hAnsi="Arial"/>
          <w:sz w:val="17"/>
          <w:szCs w:val="17"/>
          <w:i w:val="1"/>
          <w:iCs w:val="1"/>
          <w:color w:val="auto"/>
        </w:rPr>
        <w:t xml:space="preserve"> </w:t>
      </w:r>
      <w:r>
        <w:rPr>
          <w:rFonts w:ascii="Arial" w:cs="Arial" w:eastAsia="Arial" w:hAnsi="Arial"/>
          <w:sz w:val="17"/>
          <w:szCs w:val="17"/>
          <w:color w:val="auto"/>
        </w:rPr>
        <w:t>doubt about its ability to continue as a going concern each reporting period, including interim periods. In evaluating the Company’s ability to continue as a going concern, management projected its cash flow sources, including the debt and equity funding and amendments to the Integrated Diagnostics, Inc. (Indi) Agreement,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current financial condition, sources of liquidity and debt obligations for at least one year from the date of issuance of this Form 10-K in considering whether it has the ability to meet its obligations.</w:t>
      </w:r>
    </w:p>
    <w:p>
      <w:pPr>
        <w:spacing w:after="0" w:line="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Our ability to meet our obligations as they come due may be impacted by our ability to remain compliant with financial covenants in our loan agreement (see Note 8 – </w:t>
      </w:r>
      <w:r>
        <w:rPr>
          <w:rFonts w:ascii="Arial" w:cs="Arial" w:eastAsia="Arial" w:hAnsi="Arial"/>
          <w:sz w:val="16"/>
          <w:szCs w:val="16"/>
          <w:i w:val="1"/>
          <w:iCs w:val="1"/>
          <w:color w:val="auto"/>
        </w:rPr>
        <w:t>Debt</w:t>
      </w:r>
      <w:r>
        <w:rPr>
          <w:rFonts w:ascii="Arial" w:cs="Arial" w:eastAsia="Arial" w:hAnsi="Arial"/>
          <w:sz w:val="16"/>
          <w:szCs w:val="16"/>
          <w:color w:val="auto"/>
        </w:rPr>
        <w:t>) or to obtain waivers or amendments that impact the related covenants. Due to the continued uncertainty caused by the COVID-19 pandemic and the associated impacts on the recovery of our diagnostic testing and services, significant risks remain with respect to our ability to meet these thresholds and any material adverse effect on our revenues, income and expenses could impact our ability to maintain compliance with these covenants.</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Based on our current operating plan, unless we continue to raise additional capital (debt or equity) or obtain a waiver from complying with such financial covenants, we expect that we will be unable to maintain our financial covenants under our existing loan agreement during the next twelve months, which could result in an Event of Default, as defined, causing an acceleration and repayment of the outstanding balances. We have taken steps to improve our liquidity through raising debt and equity capital during 2022, amendments to our 2021 Term Loan and amended the Indi Agreement to delay near term cash requirements and extend the period of milestone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7" w:name="page118"/>
    <w:bookmarkEnd w:id="117"/>
    <w:p>
      <w:pPr>
        <w:jc w:val="both"/>
        <w:spacing w:after="0" w:line="285" w:lineRule="auto"/>
        <w:rPr>
          <w:sz w:val="20"/>
          <w:szCs w:val="20"/>
          <w:color w:val="auto"/>
        </w:rPr>
      </w:pPr>
      <w:r>
        <w:rPr>
          <w:rFonts w:ascii="Arial" w:cs="Arial" w:eastAsia="Arial" w:hAnsi="Arial"/>
          <w:sz w:val="16"/>
          <w:szCs w:val="16"/>
          <w:color w:val="auto"/>
        </w:rPr>
        <w:t>payments. We have also undertaken several proactive measures including, among other things, the reduction of planned capital expenditures and certain operating expenses but we do not expect that these actions alone will be sufficient to maintain our financial covenants. On November 21, 2022, the Company funded and/or closed various financing transactions, including: (i) a term loan facility for up to $50.0 million, with funding of $30.0 million and the issuance of warrants exercisable into 3,000,000 shares of the Company’s common stock occurring on November 21, 2022, and two additional contingently issuable tranches of $10.0 million each subject to certain terms and conditions, including revenue milestones, (ii) a follow-on equity offering of common stock and (iii) a subscription agreement for the issuance of common stock to certain members of the Company’s management team. Collectively, the Company raised gross proceeds of approximately $70.7 million ($65.7 million after deducting commissions, fees and expenses payable). Approximately $23.9 million of the net proceeds were used to retire outstanding debt of the Company with Streeterville Capital, LLC and Silicon Valley Bank. To maintain an adequate amount of available liquidity and execute our current operating plan, we will need to continue to raise additional funds from external sources, such as through the issuance of equity or debt securities; however, we have not secured such funding at the time of this filing and any such financing activities are subject to market conditions. If we raise additional capital through debt financing, we may be subject to covenants limiting or restricting our ability to take specific actions, such as incurring additional debt, making capital expenditures or declaring dividends.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revenues, results of operations and cash flows have been materially adversely impacted by the items noted above. We expect to continue to incur operating losses in the near term while we make investments to support our anticipated growth. Our current operating plan, which is in part determined based on our most recent historical actual results and trends, along with the items noted above, raises substantial doubt about the Company’s ability to continue as a going concern for a period beyond one year after these financial statements are issued. Our audited financial statements have been prepared assuming we will continue as a going concern and do not include any adjustments that might be necessary should we be unable to continue as a going concern.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single operating segment focused on providing diagnostic testing services to customers. All of the Company’s revenue and long-lived assets were derived or located in the United States for the years ended December 31, 2022 and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revenues from (i) diagnostic tests and (ii) assay development and testing services (services revenue).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Diagnostic test revenues consist of blood-based lung tests and COVID-19 tests, which are recognized in the amount expected to be received in exchange for diagnostic tests when the diagnostic tests are delivered. The Company determines the transaction price related to its blood-based lung diagnostic test contracts using a portfolio approach by considering the nature of the payer and historical price concessions granted to groups of customers. The transaction price associated with COVID-19 testing arrangements are determined on the basis of the individual contract with each customer.</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revenue consists of various types of tests or other scientific services for a purpose as defined by any individual customer, which are often larger biopharmaceutical companies, as defined by a written agreement between the Company and the customer. These services are generally completed upon the delivery of testing results, or achievement of contractual milestone(s) as defined in the customer agreements. Revenue for these services is recognized upon delivery of the completed test results, or upon completion of the contractual milestone(s).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revenues related to blood-based lung diagnostic billings based on estimates of the amounts ultimately expected to be collected from customers on a portfolio approach as discussed above.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provides services to patients with whom the Company does not have contracts as defined in Financial Accounting Standards Board (FASB) Accounting Standards Codification 606 (ASC 606). The 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 consists of payments received for research, development, and testing services fees received prior to the completion of performance of these tests and services.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 xml:space="preserve">See Note 11 — </w:t>
      </w:r>
      <w:r>
        <w:rPr>
          <w:rFonts w:ascii="Arial" w:cs="Arial" w:eastAsia="Arial" w:hAnsi="Arial"/>
          <w:sz w:val="18"/>
          <w:szCs w:val="18"/>
          <w:i w:val="1"/>
          <w:iCs w:val="1"/>
          <w:color w:val="auto"/>
        </w:rPr>
        <w:t>Revenue and Accounts Receivable Credit Concentration</w:t>
      </w:r>
      <w:r>
        <w:rPr>
          <w:rFonts w:ascii="Arial" w:cs="Arial" w:eastAsia="Arial" w:hAnsi="Arial"/>
          <w:sz w:val="18"/>
          <w:szCs w:val="18"/>
          <w:color w:val="auto"/>
        </w:rPr>
        <w:t xml:space="preserve">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 and Expenses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components of our cost of diagnostic tests and testing services consist of cost of materials, direct labor, including bonuses, benefit and share-based compensation, depreciation of laboratory equipment, rent costs, amortization of leasehold improvements and information technology costs associated with acquiring and processing test samples, including sample accessioning, test performance, quality control analyses, charges to collect and transport samples; curation of test results for physicians; and in some cases, license or royalty fees due to third parties.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Costs associated with performing tests are expensed as the test is processed regardless of whether and when revenue is recognized with respect to that test.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b w:val="1"/>
          <w:bCs w:val="1"/>
          <w:i w:val="1"/>
          <w:iCs w:val="1"/>
          <w:color w:val="212529"/>
        </w:rPr>
        <w:t>Expenses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Research and development expenses include external and internal costs incurred to develop our technology, collect clinical samples, and conduct clinical studies to develop and support our products. External costs consist primarily of payments to clinical trial sites, sample acquisition costs and laboratory supplies purchased in connection with the Company’s discovery and preclinical activities, process development and clinical development activities, infrastructure expenses, including allocated facility occupancy and information technology costs. Internal expenses include employee-related costs, including salaries, share-based compensation, and related benefits for employees engaged in research and development functions.</w:t>
      </w:r>
    </w:p>
    <w:p>
      <w:pPr>
        <w:spacing w:after="0" w:line="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12529"/>
        </w:rPr>
        <w:t>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payments that do not match the periods over which materials or services are provided under such contracts. The Company’s estimates depend on the timeliness and accuracy of the data provided by consultants and vendors regarding the status of each activity. The Company periodically evaluates the estimates to determine if adjustments are necessary or appropriate based on information received. Research and development costs are expensed as incurred.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Marketing, General and Administrative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expenses consist primarily of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travel, and share-based compensation, as well as marketing and educational activities and allocated overhead expenses.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marketing, general and administrative expenses also include costs for our marketing and sales organizations, and other functions including finance, legal, human resources, and information technology. These expenses consist principally of salaries, bonuses, employee benefits, travel, share-based compensation, as well as professional services fees such as consulting, audit, tax and legal fees, and general corporate costs and allocated overhead expenses.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Uncertainties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the Company’s cash and cash equivalents are deposited with two major financial institutions in the United States. The Company continually monitors its positions with, and the credit quality of, the financial institution with which it holds cash. Periodically throughout the year, the Company has maintained balances in various operating accounts in excess of federally insured limits. The Company has not experienced any losses on its deposits of cash and cash equivalents.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Several of the components for certain of the Company's sample collection kits, test reagents, and test systems are obtained from single-source suppliers. If these single-source suppliers fail to satisfy the Company's requirements on a timely basis, the Company could suffer delays in being able to deliver its diagnostic solutions, a possible loss of revenue, or incur higher costs, any of which could adversely affect its operating results.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 discussion of credit risk concentration of accounts receivable as of December 31, 2022 and 2021, see Note 11 – </w:t>
      </w:r>
      <w:r>
        <w:rPr>
          <w:rFonts w:ascii="Arial" w:cs="Arial" w:eastAsia="Arial" w:hAnsi="Arial"/>
          <w:sz w:val="18"/>
          <w:szCs w:val="18"/>
          <w:i w:val="1"/>
          <w:iCs w:val="1"/>
          <w:color w:val="auto"/>
        </w:rPr>
        <w:t>Revenue and Accounts Receivable</w:t>
      </w:r>
      <w:r>
        <w:rPr>
          <w:rFonts w:ascii="Arial" w:cs="Arial" w:eastAsia="Arial" w:hAnsi="Arial"/>
          <w:sz w:val="18"/>
          <w:szCs w:val="18"/>
          <w:color w:val="auto"/>
        </w:rPr>
        <w:t xml:space="preserve"> </w:t>
      </w:r>
      <w:r>
        <w:rPr>
          <w:rFonts w:ascii="Arial" w:cs="Arial" w:eastAsia="Arial" w:hAnsi="Arial"/>
          <w:sz w:val="18"/>
          <w:szCs w:val="18"/>
          <w:i w:val="1"/>
          <w:iCs w:val="1"/>
          <w:color w:val="auto"/>
        </w:rPr>
        <w:t>Credit Concentration</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of short-term, highly-liquid instruments with an original maturity of three months or less from the date of purchase.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consists of deposits related to the Company’s corporate credit card. As of December 31, 2022 and 2021, the Company had $0.1 million restricted cash, respectively, which was included in ‘Other current assets’ in the accompanying balance sheets.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are stated at the amount management expects to collect from customers based on their outstanding invoices. Management reviews accounts receivable quarterly to determine if any receivable will potentially be uncollectible and to estimate the amount of allowance for doubtful accounts necessary to reduce accounts receivable to its estimated net realizable value based on historical experience, customer creditworthiness, facts, and circumstances specific to outstanding balances, and payment terms.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Inventory consists primarily of material supplies, which are consumed in the performance of testing services and charged to ‘Direct costs and expenses’. Inventory is stated at cost and reported within ‘Other current assets’ in the balance sheet and was $1.4 million and $2.9 million as of December 31, 2022 and 2021, respectively. The Company recorded a reserve for excess inventory of $0.1 million and zero, primarily associated with the wind down of the COVID-19 testing operation, as of December 31, 2022 and 2021, respectively. During the years ended December 31, 2022 and 2021, the Company recorded $0.9 million and zero, respectively, to the statement of operations for excess and obsolete inventory.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Property and equipment are stated at cost less accumulated depreciation.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in the period realized.</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Long-lived assets to be held and used are evaluated for impairment when events or circumstances indicate the carrying value of a long-lived asset or asset group is less than the undiscounted cash flows from the use and eventual disposition over its remaining useful life. The Company assesses recoverability by comparing the sum or projected undiscounted cash flows from the use and eventual disposition of the asset or asset group to its carrying value, and records an impairment loss if the carrying value is greater than the undiscounted future cash flows. There were no impairments for the years ended December 31, 2022 and 2021.</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Intangible assets primarily consist of intangible assets acquired as part of business combinations, external costs associated with patent applications that are probable of future economic benefits, and trademark costs. Finite-lived intangibles are stated at cost, net of accumulated amortization. The Company amortizes finite-lived intangible assets using the straight-line method over their estimated useful lives of 9 to 10 years, based on management's estimate of the period over which their economic benefits will be realized, product life and patent life. Trademarks are considered indefinite lived and are not amortized.</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are reviewed for impairment whenever events or changes in circumstances indicate a reduction to fair value below their carrying amounts.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There was an immaterial impairment during the year ended December 31, 2022 and there were no impairments for the year ended December 31, 2021.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Goodwill represents the excess of purchase price over amounts allocated to acquired assets and liabilities assumed in business combinations. The carrying value of goodwill is evaluated for impairment at least annually or more frequently when events or circumstances occur indicate a potential for impairment. The annual impairment test is performed on the last day of our fourth quarter. Prior to performing a quantitative evaluation, an assessment of qualitative factors may be performed to determine whether it is more likely than not that the fair value of the reporting unit exceeds its carrying value. In the event the Company determines that it is more likely than not the carrying value of our single reporting unit is higher than its estimated fair value, quantitative testing is performed comparing recorded values to estimated fair values. If impairment is present, the impairment loss is measured as the excess of the recorded goodwill over its implied fair value. Through December 31, 2022, there were no accumulated impairment losses.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of December 31, 2022, the Company has a $5.0 million cash refundable deposit to secure the performance of the Company’s obligations associated with the operating lease agreement with Centennial Valley Properties I, LLC (see Note 9 – </w:t>
      </w:r>
      <w:r>
        <w:rPr>
          <w:rFonts w:ascii="Arial" w:cs="Arial" w:eastAsia="Arial" w:hAnsi="Arial"/>
          <w:sz w:val="18"/>
          <w:szCs w:val="18"/>
          <w:i w:val="1"/>
          <w:iCs w:val="1"/>
          <w:color w:val="auto"/>
        </w:rPr>
        <w:t>Leases</w:t>
      </w:r>
      <w:r>
        <w:rPr>
          <w:rFonts w:ascii="Arial" w:cs="Arial" w:eastAsia="Arial" w:hAnsi="Arial"/>
          <w:sz w:val="18"/>
          <w:szCs w:val="18"/>
          <w:color w:val="auto"/>
        </w:rPr>
        <w:t>). The $5.0 million refundable deposit is reported within 'Other long-term assets' in the balance sheet.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0" w:name="page121"/>
    <w:bookmarkEnd w:id="120"/>
    <w:p>
      <w:pPr>
        <w:spacing w:after="0" w:line="277" w:lineRule="auto"/>
        <w:rPr>
          <w:sz w:val="20"/>
          <w:szCs w:val="20"/>
          <w:color w:val="auto"/>
        </w:rPr>
      </w:pPr>
      <w:r>
        <w:rPr>
          <w:rFonts w:ascii="Arial" w:cs="Arial" w:eastAsia="Arial" w:hAnsi="Arial"/>
          <w:sz w:val="18"/>
          <w:szCs w:val="18"/>
          <w:color w:val="auto"/>
        </w:rPr>
        <w:t>fair value hierarchy. Fair value measurements are categorized within the fair value hierarchy based upon the lowest level of the most significant inputs used to determine fair value.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hierarchy and the related inputs are as follows:</w:t>
      </w:r>
    </w:p>
    <w:p>
      <w:pPr>
        <w:spacing w:after="0" w:line="117" w:lineRule="exact"/>
        <w:rPr>
          <w:sz w:val="20"/>
          <w:szCs w:val="20"/>
          <w:color w:val="auto"/>
        </w:rPr>
      </w:pPr>
    </w:p>
    <w:p>
      <w:pPr>
        <w:ind w:left="480"/>
        <w:spacing w:after="0"/>
        <w:tabs>
          <w:tab w:leader="none" w:pos="6160" w:val="left"/>
        </w:tabs>
        <w:rPr>
          <w:sz w:val="20"/>
          <w:szCs w:val="20"/>
          <w:color w:val="auto"/>
        </w:rPr>
      </w:pPr>
      <w:r>
        <w:rPr>
          <w:rFonts w:ascii="Arial" w:cs="Arial" w:eastAsia="Arial" w:hAnsi="Arial"/>
          <w:sz w:val="18"/>
          <w:szCs w:val="18"/>
          <w:color w:val="auto"/>
        </w:rPr>
        <w:t>Level</w:t>
      </w:r>
      <w:r>
        <w:rPr>
          <w:sz w:val="20"/>
          <w:szCs w:val="20"/>
          <w:color w:val="auto"/>
        </w:rPr>
        <w:tab/>
      </w:r>
      <w:r>
        <w:rPr>
          <w:rFonts w:ascii="Arial" w:cs="Arial" w:eastAsia="Arial" w:hAnsi="Arial"/>
          <w:sz w:val="18"/>
          <w:szCs w:val="18"/>
          <w:color w:val="auto"/>
        </w:rPr>
        <w:t>Inputs</w:t>
      </w:r>
    </w:p>
    <w:p>
      <w:pPr>
        <w:spacing w:after="0" w:line="36" w:lineRule="exact"/>
        <w:rPr>
          <w:sz w:val="20"/>
          <w:szCs w:val="20"/>
          <w:color w:val="auto"/>
        </w:rPr>
      </w:pPr>
    </w:p>
    <w:p>
      <w:pPr>
        <w:ind w:left="1580" w:hanging="949"/>
        <w:spacing w:after="0"/>
        <w:tabs>
          <w:tab w:leader="none" w:pos="1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Unadjusted quoted prices in active markets for identical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1580" w:hanging="949"/>
        <w:spacing w:after="0"/>
        <w:tabs>
          <w:tab w:leader="none" w:pos="1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Unadjusted quoted prices in active markets for similar assets and liabilities;</w:t>
      </w:r>
    </w:p>
    <w:p>
      <w:pPr>
        <w:spacing w:after="0" w:line="22" w:lineRule="exact"/>
        <w:rPr>
          <w:rFonts w:ascii="Arial" w:cs="Arial" w:eastAsia="Arial" w:hAnsi="Arial"/>
          <w:sz w:val="18"/>
          <w:szCs w:val="18"/>
          <w:color w:val="auto"/>
        </w:rPr>
      </w:pPr>
    </w:p>
    <w:p>
      <w:pPr>
        <w:ind w:left="1580" w:right="2420"/>
        <w:spacing w:after="0" w:line="265" w:lineRule="auto"/>
        <w:rPr>
          <w:rFonts w:ascii="Arial" w:cs="Arial" w:eastAsia="Arial" w:hAnsi="Arial"/>
          <w:sz w:val="18"/>
          <w:szCs w:val="18"/>
          <w:color w:val="auto"/>
        </w:rPr>
      </w:pPr>
      <w:r>
        <w:rPr>
          <w:rFonts w:ascii="Arial" w:cs="Arial" w:eastAsia="Arial" w:hAnsi="Arial"/>
          <w:sz w:val="18"/>
          <w:szCs w:val="18"/>
          <w:color w:val="auto"/>
        </w:rPr>
        <w:t>Unadjusted quoted prices for identical or similar assets or liabilities in markets that are not active; or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580" w:hanging="949"/>
        <w:spacing w:after="0"/>
        <w:tabs>
          <w:tab w:leader="none" w:pos="1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Unobservable inputs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other long-term assets, accounts payable and accrued liabilities approximate fair value due to their relatively short maturities.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for further discussion related to estimated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purchase transaction with Indi, the Company recorded contingent consideration for amounts potentially payable to Indi’s shareholder upon attainment of a three-consecutive month gross margin target of $2.0 million within the seven-year period after the acquisition date. The fair value of contingent consideration is assessed at each balance sheet date and changes, if any, to the fair value through the date the gross margin target was achieved is recorded as operating expenses in the statements of operations. Subsequent changes to the contingent consideration following the achievement of the gross margin target are recorded as ‘Interest expense’ in the statements of operations resulting from the passage of time and fixed payment schedule.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As consideration for the Perceptive Term Loan Facility (see Note 8 - </w:t>
      </w:r>
      <w:r>
        <w:rPr>
          <w:rFonts w:ascii="Arial" w:cs="Arial" w:eastAsia="Arial" w:hAnsi="Arial"/>
          <w:sz w:val="16"/>
          <w:szCs w:val="16"/>
          <w:i w:val="1"/>
          <w:iCs w:val="1"/>
          <w:color w:val="auto"/>
        </w:rPr>
        <w:t>Debt</w:t>
      </w:r>
      <w:r>
        <w:rPr>
          <w:rFonts w:ascii="Arial" w:cs="Arial" w:eastAsia="Arial" w:hAnsi="Arial"/>
          <w:sz w:val="16"/>
          <w:szCs w:val="16"/>
          <w:color w:val="auto"/>
        </w:rPr>
        <w:t xml:space="preserve">), the Company issued a warrant to purchase common stock to the Lender of up to 5,000,000 shares of the Company's common stock (the Perceptive Warrant), with warrants exercisable into 3,000,000 shares of the Company’s common stock issued on the funding date of the Tranche A Loan (the Initial Warrants) as well as up to 2,000,000 additional warrants that are contingent upon the Company’s borrowing the remaining availability under the Perceptive Term Loan Facility (the Additional Warrants). The Initial Warrants are equity classified (see Note 10 - </w:t>
      </w:r>
      <w:r>
        <w:rPr>
          <w:rFonts w:ascii="Arial" w:cs="Arial" w:eastAsia="Arial" w:hAnsi="Arial"/>
          <w:sz w:val="16"/>
          <w:szCs w:val="16"/>
          <w:i w:val="1"/>
          <w:iCs w:val="1"/>
          <w:color w:val="auto"/>
        </w:rPr>
        <w:t>Equity</w:t>
      </w:r>
      <w:r>
        <w:rPr>
          <w:rFonts w:ascii="Arial" w:cs="Arial" w:eastAsia="Arial" w:hAnsi="Arial"/>
          <w:sz w:val="16"/>
          <w:szCs w:val="16"/>
          <w:color w:val="auto"/>
        </w:rPr>
        <w:t xml:space="preserve">) while the Additional Warrants are classified as liabilities and subject to fair value measurement (see Note 4 – </w:t>
      </w:r>
      <w:r>
        <w:rPr>
          <w:rFonts w:ascii="Arial" w:cs="Arial" w:eastAsia="Arial" w:hAnsi="Arial"/>
          <w:sz w:val="16"/>
          <w:szCs w:val="16"/>
          <w:i w:val="1"/>
          <w:iCs w:val="1"/>
          <w:color w:val="auto"/>
        </w:rPr>
        <w:t>Fair Value</w:t>
      </w:r>
      <w:r>
        <w:rPr>
          <w:rFonts w:ascii="Arial" w:cs="Arial" w:eastAsia="Arial" w:hAnsi="Arial"/>
          <w:sz w:val="16"/>
          <w:szCs w:val="16"/>
          <w:color w:val="auto"/>
        </w:rPr>
        <w:t>).</w:t>
      </w:r>
    </w:p>
    <w:p>
      <w:pPr>
        <w:spacing w:after="0" w:line="5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Share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grants service condition and performance condition stock options. Stock options are granted with exercise prices equal to the fair market value of our common stock on the date of grant. The grant date fair value of each employee stock option is estimated on the date of grant using the Black-Scholes option-pricing model, which requires the use of assumptions, including the expected term of the option, expected volatility of our stock price, expected dividend yield, and the risk-free interest rate, among others. We estimate forfeitures and adjust these estimates to actual forfeitures as they occur. These assumptions involve inherent uncertainties including market conditions and employee behavior that are generally outside of the Company’s control. Service condition stock options are expensed based on the grant date fair value of the awards using the straight-line method over the requisite service period. Performance-condition stock options vest based on achievement of multiple weighted performance goals, certification of performance achievement by the Compensation Committee of the Board of Directors, and continued service. For performance-condition stock options, compensation expense is updated for our expected performance level against performance goals at the end of each reporting period, which involves judgment as to achievement of certain performance metrics.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grants service-condition RSUs. The grant date fair values of these RSUs are based on the closing market price of our common stock on the grant date. We estimate forfeitures and adjust these estimates to actual forfeitures as they occur. The service-condition RSUs vest based on continued service with compensation expense recognized on a straight-line basis over the requisite service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 </w:t>
      </w:r>
      <w:r>
        <w:rPr>
          <w:rFonts w:ascii="Arial" w:cs="Arial" w:eastAsia="Arial" w:hAnsi="Arial"/>
          <w:sz w:val="18"/>
          <w:szCs w:val="18"/>
          <w:i w:val="1"/>
          <w:iCs w:val="1"/>
          <w:color w:val="auto"/>
        </w:rPr>
        <w:t>Share-Based Compensation</w:t>
      </w:r>
      <w:r>
        <w:rPr>
          <w:rFonts w:ascii="Arial" w:cs="Arial" w:eastAsia="Arial" w:hAnsi="Arial"/>
          <w:sz w:val="18"/>
          <w:szCs w:val="18"/>
          <w:color w:val="auto"/>
        </w:rPr>
        <w:t xml:space="preserve"> for additional information related to share-based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accounts for income taxes in accordance with ASC 740 - </w:t>
      </w:r>
      <w:r>
        <w:rPr>
          <w:rFonts w:ascii="Arial" w:cs="Arial" w:eastAsia="Arial" w:hAnsi="Arial"/>
          <w:sz w:val="18"/>
          <w:szCs w:val="18"/>
          <w:i w:val="1"/>
          <w:iCs w:val="1"/>
          <w:color w:val="auto"/>
        </w:rPr>
        <w:t>Income Taxes</w:t>
      </w:r>
      <w:r>
        <w:rPr>
          <w:rFonts w:ascii="Arial" w:cs="Arial" w:eastAsia="Arial" w:hAnsi="Arial"/>
          <w:sz w:val="18"/>
          <w:szCs w:val="18"/>
          <w:color w:val="auto"/>
        </w:rPr>
        <w:t>, under which deferred income taxes are recognized based on the estimated future tax effects of differences between the financial statement and tax bases of assets and liabilities given the provisions of enacted tax laws. Deferred income tax provisions and benefits are based on changes to the assets or liabilities from year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1" w:name="page122"/>
    <w:bookmarkEnd w:id="121"/>
    <w:p>
      <w:pPr>
        <w:jc w:val="both"/>
        <w:spacing w:after="0" w:line="270" w:lineRule="auto"/>
        <w:rPr>
          <w:sz w:val="20"/>
          <w:szCs w:val="20"/>
          <w:color w:val="auto"/>
        </w:rPr>
      </w:pPr>
      <w:r>
        <w:rPr>
          <w:rFonts w:ascii="Arial" w:cs="Arial" w:eastAsia="Arial" w:hAnsi="Arial"/>
          <w:sz w:val="17"/>
          <w:szCs w:val="17"/>
          <w:color w:val="auto"/>
        </w:rPr>
        <w:t>to year. In providing for deferred taxes, the Company considers tax regulations of the jurisdictions in which the Company operates, estimates of future taxable income, and available tax planning strategies. If tax regulations, operating results, or the ability to implement tax-planning strategies vary, adjustments to the carrying value of deferred tax assets and liabilities may be required. A valuation allowance is recorded when it is more likely than not that a deferred tax asset will not be realized. The recorded valuation allowance is based on significant estimates and judgments and if the facts and circumstances change, the valuation allowance could materially change. In accounting for uncertainty in income taxes, the Company recognizes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percent likelihood of being realized upon ultimate settlement with the relevant tax authority. The Company recognizes interest and penalties accrued on any unrecognized tax benefits as a component of income tax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additional information related to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Basic net loss per common share is calculated by dividing net loss by the weighted-average number of common shares outstanding during the period, without consideration of common stock equivalents. Diluted net loss per common share is computed by dividing net loss by the weighted-average number of common share equivalents outstanding for the period, if dilutive, using the treasury stock method. Potentially dilutive securities consisting of options to purchase common stock, warrants to purchase common stock, RSUs and shares subject to purchase under our employee stock purchase plan were excluded from the calculation of diluted net loss per common share because their effect would be anti-dilutive for all periods presented.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 Issued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February 2016, the FASB issued ASU No. 2016-2,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This ASU intends to make accounting for leasing activities more transparent and comparable, and requires substantially all leases be recognized by lessees on their balance sheet as a right-of-use asset and corresponding lease liability, including leases accounted for as operating leases. In addition to other related amendments, the FASB issued ASU No. 2018-11,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t>
      </w:r>
      <w:r>
        <w:rPr>
          <w:rFonts w:ascii="Arial" w:cs="Arial" w:eastAsia="Arial" w:hAnsi="Arial"/>
          <w:sz w:val="17"/>
          <w:szCs w:val="17"/>
          <w:i w:val="1"/>
          <w:iCs w:val="1"/>
          <w:color w:val="auto"/>
        </w:rPr>
        <w:t>Targeted Improvements</w:t>
      </w:r>
      <w:r>
        <w:rPr>
          <w:rFonts w:ascii="Arial" w:cs="Arial" w:eastAsia="Arial" w:hAnsi="Arial"/>
          <w:sz w:val="17"/>
          <w:szCs w:val="17"/>
          <w:color w:val="auto"/>
        </w:rPr>
        <w:t>, which offers an additional transition method whereby entities may apply the new leases standard at the adoption date and recognize</w:t>
      </w:r>
      <w:r>
        <w:rPr>
          <w:rFonts w:ascii="Arial" w:cs="Arial" w:eastAsia="Arial" w:hAnsi="Arial"/>
          <w:sz w:val="17"/>
          <w:szCs w:val="17"/>
          <w:i w:val="1"/>
          <w:iCs w:val="1"/>
          <w:color w:val="auto"/>
        </w:rPr>
        <w:t xml:space="preserve"> </w:t>
      </w:r>
      <w:r>
        <w:rPr>
          <w:rFonts w:ascii="Arial" w:cs="Arial" w:eastAsia="Arial" w:hAnsi="Arial"/>
          <w:sz w:val="17"/>
          <w:szCs w:val="17"/>
          <w:color w:val="auto"/>
        </w:rPr>
        <w:t>a cumulative-effect adjustment to the opening balance of retained earnings rather than application of the new leases standard at the beginning of the earliest period presented in the financial statements. The Company elected this transition method and adopted ASC 842 on January 1, 2022 and as a result, recorded operating lease right-of-use (ROU) assets of $1.3 million, including offsetting deferred rent of $0.1 million, along with the associated operating lease liabilities of $1.3 million. On January 1, 2022, the Company did not have any finance leases. The adoption of ASC 842 did not result in a cumulative effect adjustment to beginning retained earnings, and did not materially affect the Company's statement of operations, statement of stockholders' equity or statement of cash flows for the year ended December 31, 2022.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elected the following practical expedients permitted under the transition guidance within the new standard:</w:t>
      </w:r>
    </w:p>
    <w:p>
      <w:pPr>
        <w:spacing w:after="0" w:line="23" w:lineRule="exact"/>
        <w:rPr>
          <w:sz w:val="20"/>
          <w:szCs w:val="20"/>
          <w:color w:val="auto"/>
        </w:rPr>
      </w:pPr>
    </w:p>
    <w:p>
      <w:pPr>
        <w:ind w:left="1020" w:hanging="504"/>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Package of practical expedients which allows the Company to carry forward the historical lease classification;</w:t>
      </w:r>
    </w:p>
    <w:p>
      <w:pPr>
        <w:spacing w:after="0" w:line="8" w:lineRule="exact"/>
        <w:rPr>
          <w:rFonts w:ascii="Arial" w:cs="Arial" w:eastAsia="Arial" w:hAnsi="Arial"/>
          <w:sz w:val="18"/>
          <w:szCs w:val="18"/>
          <w:color w:val="auto"/>
        </w:rPr>
      </w:pPr>
    </w:p>
    <w:p>
      <w:pPr>
        <w:ind w:left="1020" w:hanging="504"/>
        <w:spacing w:after="0" w:line="250"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Hindsight practical expedient which allows the Company to use hindsight in determining the lease term, in assessing purchase options, and in assessing impairment of ROU assets;</w:t>
      </w:r>
    </w:p>
    <w:p>
      <w:pPr>
        <w:ind w:left="1020" w:hanging="504"/>
        <w:spacing w:after="0" w:line="250"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Short-term lease practical expedient which allows the Company to capitalize only those leases with an initial term of twelve months or more, and;</w:t>
      </w:r>
    </w:p>
    <w:p>
      <w:pPr>
        <w:ind w:left="1020" w:right="20" w:hanging="504"/>
        <w:spacing w:after="0" w:line="260"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practical expedient to account for lease and non-lease components (such as common area maintenance, utilities, insurance and taxes) as a single lease component for all classes of underlying assets.</w:t>
      </w:r>
    </w:p>
    <w:p>
      <w:pPr>
        <w:spacing w:after="0" w:line="2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determines if an arrangement is a lease at inception or upon modification of a contract. Leases are classified as either financing or operating, with classification affecting the pattern of expense recognition in the statements of operations. When determining whether a lease is a finance lease or an operating lease, ASC 842 does not specifically define criteria to determine the “major part of remaining economic life of the underlying asset” and “substantially all of the fair value of the underlying asset.” For lease classification determination, Management continues to use (i) 75% or greater to determine whether the lease term is a major part of the remaining economic life of the underlying asset and (ii) 90% or greater to determine whether the present value of the sum of lease payments is substantially all of the fair value of the underlying asset.</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ROU assets represent the Company's right to use an underlying asset for the lease term. Lease liabilities represent the Company's obligation to make lease payments under the lease. Operating lease ROU assets and liabilities are recognized at the lease commencement date based on the present value of lease payments over the lease term. In determining the present value of lease payments, the Company uses either the rate implicit in the lease or its incremental borrowing rate, as applicable, based on the information available at lease commencement date. The Company applies the estimated incremental borrowing rates on a lease-by-lease level based on the economic environment associated with the lease. The operating lease ROU asset also includes any lease prepayments, net of lease incentives. Certain of the Company's leases include options to extend or terminate the lease. As leases approach maturity, the Company considers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2" w:name="page123"/>
    <w:bookmarkEnd w:id="122"/>
    <w:p>
      <w:pPr>
        <w:jc w:val="both"/>
        <w:spacing w:after="0" w:line="254" w:lineRule="auto"/>
        <w:rPr>
          <w:sz w:val="20"/>
          <w:szCs w:val="20"/>
          <w:color w:val="auto"/>
        </w:rPr>
      </w:pPr>
      <w:r>
        <w:rPr>
          <w:rFonts w:ascii="Arial" w:cs="Arial" w:eastAsia="Arial" w:hAnsi="Arial"/>
          <w:sz w:val="18"/>
          <w:szCs w:val="18"/>
          <w:color w:val="auto"/>
        </w:rPr>
        <w:t>various factors such as market conditions and the terms of any renewal and termination options that may exist to determine whether we will renew or terminate the lease, as such, we generally do not include renewal or termination options in our lease terms for calculating our lease liability, as the options allow us to maintain operational flexibility and we are not reasonably certain we will exercise these options at the time of the lease commencement. The Company's lease agreements do not contain any material residual value guarantees or restrictive covenants. Lease expense for lease payments of operating leases is recognized on a straight-line basis over the term of the lease. The Company uses the long-lived assets impairment guidance to determine recognition and measurement of an ROU asset impairment, if any. The Company monitors for events or changes in circumstances that require a reassessment.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and disclosures required by this new standard are contained in Note 9 —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xml:space="preserve"> (ASC Topic 326). This ASU requires measurement and recognition of expected credit losses for financial assets. This guidance will become effective for the Company beginning January 1, 2023. The Company evaluated the guidance and determined the overall impact of the adoption will have an immaterial impact on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borrowing instruments are recorded at their carrying values in the balance sheets, which may differ from their respective fair values. The fair value of borrowings as of December 31, 2022 is primarily associated with the Perceptive Term Loan entered into with Perceptive Credit Holdings IV, LP, in November 2022 and was determined using a discounted cash flow analysis, excluding the fair value of Perceptive Warrant issued in conjunction with the transaction. The difference between the carrying value and fair value of outstanding borrowings as of December 31, 2022 is due to the debt issuance costs and the fair value of Perceptive Warrant netted against the Perceptive Term Loan. The carrying value of outstanding borrowings as of December 31, 2021, approximates fair value based on interest rates available at that time for similar borrowings. The table below presents the carrying and fair values of outstanding borrowings, which are classified as Level 2, as of the dates indicated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6"/>
              </w:rPr>
              <w:t>2021</w:t>
            </w:r>
          </w:p>
        </w:tc>
        <w:tc>
          <w:tcPr>
            <w:tcW w:w="1140" w:type="dxa"/>
            <w:vAlign w:val="bottom"/>
            <w:tcBorders>
              <w:bottom w:val="single" w:sz="8" w:color="auto"/>
            </w:tcBorders>
          </w:tcPr>
          <w:p>
            <w:pPr>
              <w:spacing w:after="0"/>
              <w:rPr>
                <w:sz w:val="14"/>
                <w:szCs w:val="14"/>
                <w:color w:val="auto"/>
              </w:rPr>
            </w:pPr>
          </w:p>
        </w:tc>
      </w:tr>
      <w:tr>
        <w:trPr>
          <w:trHeight w:val="169"/>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Carrying Value</w:t>
            </w:r>
          </w:p>
        </w:tc>
        <w:tc>
          <w:tcPr>
            <w:tcW w:w="160" w:type="dxa"/>
            <w:vAlign w:val="bottom"/>
          </w:tcPr>
          <w:p>
            <w:pPr>
              <w:spacing w:after="0"/>
              <w:rPr>
                <w:sz w:val="14"/>
                <w:szCs w:val="14"/>
                <w:color w:val="auto"/>
              </w:rPr>
            </w:pPr>
          </w:p>
        </w:tc>
        <w:tc>
          <w:tcPr>
            <w:tcW w:w="960" w:type="dxa"/>
            <w:vAlign w:val="bottom"/>
          </w:tcPr>
          <w:p>
            <w:pPr>
              <w:jc w:val="right"/>
              <w:ind w:right="202"/>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319"/>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5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1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25,053</w:t>
            </w:r>
          </w:p>
        </w:tc>
        <w:tc>
          <w:tcPr>
            <w:tcW w:w="12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26,785</w:t>
            </w:r>
          </w:p>
        </w:tc>
        <w:tc>
          <w:tcPr>
            <w:tcW w:w="140" w:type="dxa"/>
            <w:vAlign w:val="bottom"/>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10,012</w:t>
            </w:r>
          </w:p>
        </w:tc>
        <w:tc>
          <w:tcPr>
            <w:tcW w:w="10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10,012</w:t>
            </w: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financial liabilities that are measured and recorded at estimated fair value on a recurring basis consist of our contingent consideration associated with our previous acquisition of Indi and the warrant liabilities granted as consideration for the Perceptive Term Loan Facility (see Note 8 - </w:t>
      </w:r>
      <w:r>
        <w:rPr>
          <w:rFonts w:ascii="Arial" w:cs="Arial" w:eastAsia="Arial" w:hAnsi="Arial"/>
          <w:sz w:val="18"/>
          <w:szCs w:val="18"/>
          <w:i w:val="1"/>
          <w:iCs w:val="1"/>
          <w:color w:val="auto"/>
        </w:rPr>
        <w:t>Debt</w:t>
      </w:r>
      <w:r>
        <w:rPr>
          <w:rFonts w:ascii="Arial" w:cs="Arial" w:eastAsia="Arial" w:hAnsi="Arial"/>
          <w:sz w:val="18"/>
          <w:szCs w:val="18"/>
          <w:color w:val="auto"/>
        </w:rPr>
        <w:t>), which were accounted for as liabilities and remeasured through our statements of operations.</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presents the reported fair values of contingent consideration and warrant liabilities, which are classified as Level 3 in the fair value hierarchy, as of the dates indicated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8"/>
                <w:szCs w:val="18"/>
                <w:b w:val="1"/>
                <w:bCs w:val="1"/>
                <w:color w:val="auto"/>
              </w:rPr>
              <w:t>As of December 31,</w:t>
            </w:r>
          </w:p>
        </w:tc>
      </w:tr>
      <w:tr>
        <w:trPr>
          <w:trHeight w:val="238"/>
        </w:trPr>
        <w:tc>
          <w:tcPr>
            <w:tcW w:w="43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Description</w:t>
            </w:r>
          </w:p>
        </w:tc>
        <w:tc>
          <w:tcPr>
            <w:tcW w:w="3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r>
      <w:tr>
        <w:trPr>
          <w:trHeight w:val="24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contingent consideration</w:t>
            </w:r>
          </w:p>
        </w:tc>
        <w:tc>
          <w:tcPr>
            <w:tcW w:w="3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17,764</w:t>
            </w:r>
          </w:p>
        </w:tc>
        <w:tc>
          <w:tcPr>
            <w:tcW w:w="100" w:type="dxa"/>
            <w:vAlign w:val="bottom"/>
            <w:shd w:val="clear" w:color="auto" w:fill="CCEEFF"/>
          </w:tcPr>
          <w:p>
            <w:pPr>
              <w:spacing w:after="0"/>
              <w:rPr>
                <w:sz w:val="20"/>
                <w:szCs w:val="20"/>
                <w:color w:val="auto"/>
              </w:rPr>
            </w:pPr>
          </w:p>
        </w:tc>
      </w:tr>
      <w:tr>
        <w:trPr>
          <w:trHeight w:val="236"/>
        </w:trPr>
        <w:tc>
          <w:tcPr>
            <w:tcW w:w="43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18,645</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16,028</w:t>
            </w:r>
          </w:p>
        </w:tc>
        <w:tc>
          <w:tcPr>
            <w:tcW w:w="100" w:type="dxa"/>
            <w:vAlign w:val="bottom"/>
            <w:tcBorders>
              <w:bottom w:val="single" w:sz="8" w:color="auto"/>
            </w:tcBorders>
          </w:tcPr>
          <w:p>
            <w:pPr>
              <w:spacing w:after="0"/>
              <w:rPr>
                <w:sz w:val="20"/>
                <w:szCs w:val="20"/>
                <w:color w:val="auto"/>
              </w:rPr>
            </w:pPr>
          </w:p>
        </w:tc>
      </w:tr>
      <w:tr>
        <w:trPr>
          <w:trHeight w:val="276"/>
        </w:trPr>
        <w:tc>
          <w:tcPr>
            <w:tcW w:w="4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contingent consideration</w:t>
            </w:r>
          </w:p>
        </w:tc>
        <w:tc>
          <w:tcPr>
            <w:tcW w:w="3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28,986</w:t>
            </w: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33,792</w:t>
            </w:r>
          </w:p>
        </w:tc>
        <w:tc>
          <w:tcPr>
            <w:tcW w:w="100" w:type="dxa"/>
            <w:vAlign w:val="bottom"/>
            <w:tcBorders>
              <w:bottom w:val="single" w:sz="8" w:color="auto"/>
            </w:tcBorders>
            <w:shd w:val="clear" w:color="auto" w:fill="CCEEFF"/>
          </w:tcPr>
          <w:p>
            <w:pPr>
              <w:spacing w:after="0"/>
              <w:rPr>
                <w:sz w:val="24"/>
                <w:szCs w:val="24"/>
                <w:color w:val="auto"/>
              </w:rPr>
            </w:pPr>
          </w:p>
        </w:tc>
      </w:tr>
      <w:tr>
        <w:trPr>
          <w:trHeight w:val="229"/>
        </w:trPr>
        <w:tc>
          <w:tcPr>
            <w:tcW w:w="43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liabilities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432"/>
        </w:trPr>
        <w:tc>
          <w:tcPr>
            <w:tcW w:w="9540" w:type="dxa"/>
            <w:vAlign w:val="bottom"/>
            <w:gridSpan w:val="8"/>
          </w:tcPr>
          <w:p>
            <w:pPr>
              <w:spacing w:after="0"/>
              <w:rPr>
                <w:sz w:val="20"/>
                <w:szCs w:val="20"/>
                <w:color w:val="auto"/>
              </w:rPr>
            </w:pPr>
            <w:r>
              <w:rPr>
                <w:rFonts w:ascii="Arial" w:cs="Arial" w:eastAsia="Arial" w:hAnsi="Arial"/>
                <w:sz w:val="18"/>
                <w:szCs w:val="18"/>
                <w:color w:val="auto"/>
                <w:w w:val="92"/>
              </w:rPr>
              <w:t>The following table presents the changes in contingent consideration and warrant liabilities for the dates indicated (in thousands):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4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0"/>
              </w:rPr>
              <w:t>For the year ended December 31, 2022</w:t>
            </w:r>
          </w:p>
        </w:tc>
      </w:tr>
      <w:tr>
        <w:trPr>
          <w:trHeight w:val="211"/>
        </w:trPr>
        <w:tc>
          <w:tcPr>
            <w:tcW w:w="4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Contingent</w:t>
            </w: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Warrant</w:t>
            </w:r>
          </w:p>
        </w:tc>
        <w:tc>
          <w:tcPr>
            <w:tcW w:w="100" w:type="dxa"/>
            <w:vAlign w:val="bottom"/>
          </w:tcPr>
          <w:p>
            <w:pPr>
              <w:spacing w:after="0"/>
              <w:rPr>
                <w:sz w:val="18"/>
                <w:szCs w:val="18"/>
                <w:color w:val="auto"/>
              </w:rPr>
            </w:pPr>
          </w:p>
        </w:tc>
      </w:tr>
      <w:tr>
        <w:trPr>
          <w:trHeight w:val="241"/>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Level 3 Rollforward</w:t>
            </w:r>
          </w:p>
        </w:tc>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Consideration</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Liabilities</w:t>
            </w:r>
          </w:p>
        </w:tc>
      </w:tr>
      <w:tr>
        <w:trPr>
          <w:trHeight w:val="243"/>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balances - January 1, 2022</w:t>
            </w:r>
          </w:p>
        </w:tc>
        <w:tc>
          <w:tcPr>
            <w:tcW w:w="3240" w:type="dxa"/>
            <w:vAlign w:val="bottom"/>
            <w:tcBorders>
              <w:top w:val="single" w:sz="8" w:color="auto"/>
            </w:tcBorders>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6"/>
        </w:trPr>
        <w:tc>
          <w:tcPr>
            <w:tcW w:w="4300" w:type="dxa"/>
            <w:vAlign w:val="bottom"/>
          </w:tcPr>
          <w:p>
            <w:pPr>
              <w:ind w:left="20"/>
              <w:spacing w:after="0"/>
              <w:rPr>
                <w:sz w:val="20"/>
                <w:szCs w:val="20"/>
                <w:color w:val="auto"/>
              </w:rPr>
            </w:pPr>
            <w:r>
              <w:rPr>
                <w:rFonts w:ascii="Arial" w:cs="Arial" w:eastAsia="Arial" w:hAnsi="Arial"/>
                <w:sz w:val="18"/>
                <w:szCs w:val="18"/>
                <w:color w:val="auto"/>
              </w:rPr>
              <w:t>Additions</w:t>
            </w:r>
          </w:p>
        </w:tc>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r>
      <w:tr>
        <w:trPr>
          <w:trHeight w:val="24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w:t>
            </w:r>
          </w:p>
        </w:tc>
        <w:tc>
          <w:tcPr>
            <w:tcW w:w="3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(84 )</w:t>
            </w:r>
          </w:p>
        </w:tc>
      </w:tr>
      <w:tr>
        <w:trPr>
          <w:trHeight w:val="236"/>
        </w:trPr>
        <w:tc>
          <w:tcPr>
            <w:tcW w:w="43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liabilities</w:t>
            </w:r>
          </w:p>
        </w:tc>
        <w:tc>
          <w:tcPr>
            <w:tcW w:w="3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Payments</w:t>
            </w:r>
          </w:p>
        </w:tc>
        <w:tc>
          <w:tcPr>
            <w:tcW w:w="3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(10,822 )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balances - December 31, 2022</w:t>
            </w:r>
          </w:p>
        </w:tc>
        <w:tc>
          <w:tcPr>
            <w:tcW w:w="3400" w:type="dxa"/>
            <w:vAlign w:val="bottom"/>
            <w:tcBorders>
              <w:bottom w:val="single" w:sz="8" w:color="CCEEFF"/>
            </w:tcBorders>
            <w:gridSpan w:val="3"/>
            <w:shd w:val="clear" w:color="auto" w:fill="CCEEFF"/>
          </w:tcPr>
          <w:p>
            <w:pPr>
              <w:spacing w:after="0"/>
              <w:rPr>
                <w:sz w:val="24"/>
                <w:szCs w:val="24"/>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628"/>
        </w:trPr>
        <w:tc>
          <w:tcPr>
            <w:tcW w:w="4300" w:type="dxa"/>
            <w:vAlign w:val="bottom"/>
          </w:tcPr>
          <w:p>
            <w:pPr>
              <w:spacing w:after="0"/>
              <w:rPr>
                <w:sz w:val="24"/>
                <w:szCs w:val="24"/>
                <w:color w:val="auto"/>
              </w:rPr>
            </w:pPr>
          </w:p>
        </w:tc>
        <w:tc>
          <w:tcPr>
            <w:tcW w:w="3600" w:type="dxa"/>
            <w:vAlign w:val="bottom"/>
            <w:gridSpan w:val="5"/>
          </w:tcPr>
          <w:p>
            <w:pPr>
              <w:jc w:val="right"/>
              <w:ind w:right="2010"/>
              <w:spacing w:after="0"/>
              <w:rPr>
                <w:sz w:val="20"/>
                <w:szCs w:val="20"/>
                <w:color w:val="auto"/>
              </w:rPr>
            </w:pPr>
            <w:r>
              <w:rPr>
                <w:rFonts w:ascii="Arial" w:cs="Arial" w:eastAsia="Arial" w:hAnsi="Arial"/>
                <w:sz w:val="18"/>
                <w:szCs w:val="18"/>
                <w:color w:val="auto"/>
              </w:rPr>
              <w:t>F-15</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30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6058535</wp:posOffset>
            </wp:positionH>
            <wp:positionV relativeFrom="paragraph">
              <wp:posOffset>-2739390</wp:posOffset>
            </wp:positionV>
            <wp:extent cx="102870" cy="179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0">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-513080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-495935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The following table presents the changes in contingent consideration as of the date indicated (in thousands):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8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For the year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Level 3 Rollforward</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balances - January 1, 2021</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900" w:type="dxa"/>
            <w:vAlign w:val="bottom"/>
          </w:tcPr>
          <w:p>
            <w:pPr>
              <w:ind w:left="20"/>
              <w:spacing w:after="0"/>
              <w:rPr>
                <w:sz w:val="20"/>
                <w:szCs w:val="20"/>
                <w:color w:val="auto"/>
              </w:rPr>
            </w:pPr>
            <w:r>
              <w:rPr>
                <w:rFonts w:ascii="Arial" w:cs="Arial" w:eastAsia="Arial" w:hAnsi="Arial"/>
                <w:sz w:val="18"/>
                <w:szCs w:val="18"/>
                <w:color w:val="auto"/>
              </w:rPr>
              <w:t>Changes in fair value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900" w:type="dxa"/>
            <w:vAlign w:val="bottom"/>
          </w:tcPr>
          <w:p>
            <w:pPr>
              <w:ind w:left="20"/>
              <w:spacing w:after="0"/>
              <w:rPr>
                <w:sz w:val="20"/>
                <w:szCs w:val="20"/>
                <w:color w:val="auto"/>
              </w:rPr>
            </w:pPr>
            <w:r>
              <w:rPr>
                <w:rFonts w:ascii="Arial" w:cs="Arial" w:eastAsia="Arial" w:hAnsi="Arial"/>
                <w:sz w:val="18"/>
                <w:szCs w:val="18"/>
                <w:color w:val="auto"/>
              </w:rPr>
              <w:t>Loss on extinguishment of liabilities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of 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900" w:type="dxa"/>
            <w:vAlign w:val="bottom"/>
          </w:tcPr>
          <w:p>
            <w:pPr>
              <w:ind w:left="20"/>
              <w:spacing w:after="0"/>
              <w:rPr>
                <w:sz w:val="20"/>
                <w:szCs w:val="20"/>
                <w:color w:val="auto"/>
              </w:rPr>
            </w:pPr>
            <w:r>
              <w:rPr>
                <w:rFonts w:ascii="Arial" w:cs="Arial" w:eastAsia="Arial" w:hAnsi="Arial"/>
                <w:sz w:val="18"/>
                <w:szCs w:val="18"/>
                <w:color w:val="auto"/>
              </w:rPr>
              <w:t>Ending balances - December 31, 2021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33,792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i w:val="1"/>
                <w:iCs w:val="1"/>
                <w:color w:val="auto"/>
              </w:rPr>
              <w:t>Contingent consideration</w:t>
            </w: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-393065</wp:posOffset>
            </wp:positionV>
            <wp:extent cx="6858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acquisition of Indi in 2018, the Company recorded contingent consideration for amounts contingently payable to Indi's selling shareholders pursuant to the terms of the asset purchase agreement (the Indi APA). The contingent consideration arrangement requires additional consideration to be paid by the Company to such shareholders upon attainment of a three-consecutive month gross margin target of $2.0 million within the seven-year period after the acquisition date. Under the terms of the original agreement, when the gross margin target was achieved the Company was required to issue 2,520,108 shares of common stock. For the six months following the achievement of the gross margin target, Indi had the option to require the Company to redeem these common shares for $37.0 million in cash over eight equal quarterly installments. If Indi elected to not exercise its option, the Company had 12 months to repurchase the common stock in two equal and consecutive quarterly cash installments totaling $37.0 million.</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achieved the gross margin target of $2.0 million for three consecutive months during the three months ended June 30, 2021. The Company entered into an amendment to the original agreement in August 2021 in which all parties agreed to forgo the issuance of common stock and agreed that the Company will in lieu thereof make six quarterly installments of approximately $4.6 million each beginning in January 2022 and a final payment of approximately $9.3 million in July 2023 for a total of $37.0 million. (the Milestone Payments and each individually a Milestone Payment). The aggregate amount of payments owed by the Company under this amendment is the same as if Indi had exercised the put right or the Company had exercised the call right provided for in the original agreement.</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April 7, 2022, the Company entered into Amendment No. 3 to the Indi APA in which the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and commencing January 1, 2024, consent from Perceptive (see Note 8 - </w:t>
      </w:r>
      <w:r>
        <w:rPr>
          <w:rFonts w:ascii="Arial" w:cs="Arial" w:eastAsia="Arial" w:hAnsi="Arial"/>
          <w:sz w:val="17"/>
          <w:szCs w:val="17"/>
          <w:i w:val="1"/>
          <w:iCs w:val="1"/>
          <w:color w:val="auto"/>
        </w:rPr>
        <w:t>Debt</w:t>
      </w:r>
      <w:r>
        <w:rPr>
          <w:rFonts w:ascii="Arial" w:cs="Arial" w:eastAsia="Arial" w:hAnsi="Arial"/>
          <w:sz w:val="17"/>
          <w:szCs w:val="17"/>
          <w:color w:val="auto"/>
        </w:rPr>
        <w:t>).</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contingent consideration liability is accounted for at fair value and subject to certain unobservable inputs. The significant unobservable inputs used in the measurement of the fair value include the probability of successful achievement of the specified product gross margin targets, the period in which the targets were expected to be achieved, and discount rates which ranged from 11% to 16%. As a result of the achievement of the gross margin target, the only remaining significant unobservable input used in the measurement of fair value includes the discount rate since all other inputs became fixed and determinable. Significant increases or decreases in the discount rate could result in a significantly higher or lower fair value measurement. During the three months ended June 30, 2022, the Company recorded $1.1 million in interest expense due to the passage of time and fixed payment schedule, partially offset by a reduction to the contingent consideration balance of $1.0 million due to an increase in the discount rate to reflect current market and Company specific conditions, resulting in $0.1 million, net recorded as ‘Interest expense’ in the statements of operations.</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Amendment No. 3 to the Indi APA in accordance with applicable accounting standards under U.S. GAAP which resulted in the extinguishment of the original instrument due to the substantially different terms. As a result, during the three months ended June 30, 2022, we recorded a loss on extinguishment of $2.9 million in the statements of operations.</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years ended December 31, 2022 and 2021, the Company recorded $3.1 million and $2.2 million, respectively, in interest expense due to the passage of time and fixed payment schedule.</w:t>
      </w:r>
    </w:p>
    <w:p>
      <w:pPr>
        <w:spacing w:after="0" w:line="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Contingent consideration expected to be paid in the next twelve months is recorded in the balance sheets as ‘Current portion of contingent consideration’ while the remaining amount to be paid is recorded as ‘Contingent consideration’ within non-current liabilities. The net change to contingent consideration through the date the gross margin target was achieved is recorded as operating expenses in the statements of operations. Subsequent changes to the contingent consideration following the achievement of the gross margin target are recorded as ‘Interest expense’ in the statements of operations resulting from the passage of time and fixed payment schedule.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i w:val="1"/>
          <w:iCs w:val="1"/>
          <w:color w:val="auto"/>
        </w:rPr>
        <w:t>Warrant liabilities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November 21, 2022, as consideration for the Perceptive Term Loan Facility (see Note 8 - </w:t>
      </w:r>
      <w:r>
        <w:rPr>
          <w:rFonts w:ascii="Arial" w:cs="Arial" w:eastAsia="Arial" w:hAnsi="Arial"/>
          <w:sz w:val="18"/>
          <w:szCs w:val="18"/>
          <w:i w:val="1"/>
          <w:iCs w:val="1"/>
          <w:color w:val="auto"/>
        </w:rPr>
        <w:t>Debt</w:t>
      </w:r>
      <w:r>
        <w:rPr>
          <w:rFonts w:ascii="Arial" w:cs="Arial" w:eastAsia="Arial" w:hAnsi="Arial"/>
          <w:sz w:val="18"/>
          <w:szCs w:val="18"/>
          <w:color w:val="auto"/>
        </w:rPr>
        <w:t xml:space="preserve">), the Company issued the Perceptive Warrant to purchase up to 5,000,000 shares of the Company's common stock, including Initial Warrants and Additional Warrants. The Initial Warrants are equity classified (see Note 10 - </w:t>
      </w:r>
      <w:r>
        <w:rPr>
          <w:rFonts w:ascii="Arial" w:cs="Arial" w:eastAsia="Arial" w:hAnsi="Arial"/>
          <w:sz w:val="18"/>
          <w:szCs w:val="18"/>
          <w:i w:val="1"/>
          <w:iCs w:val="1"/>
          <w:color w:val="auto"/>
        </w:rPr>
        <w:t>Equity</w:t>
      </w:r>
      <w:r>
        <w:rPr>
          <w:rFonts w:ascii="Arial" w:cs="Arial" w:eastAsia="Arial" w:hAnsi="Arial"/>
          <w:sz w:val="18"/>
          <w:szCs w:val="18"/>
          <w:color w:val="auto"/>
        </w:rPr>
        <w:t>) while the Additional Warrants are classified as liabilities within 'Other long-term liabilities' and recognized at fair value. The fair value of the Additional Warrants is determined using a Black-Scholes model and subject to certain unobservable inputs. The significant unobservable inputs used in the measurement of the fair value include the fair value of the Company's common stock, risk-free rate, the volatility of common stock which ranged from 78% to 82%, and the probability of the expected borrowing. Significant increases or decreases in the unobservable inputs could result in a significantly higher or lower fair value measurement. The Company determined the initial fair value of the Additional Warrants to be $0.1 million and during the year ended December 31, 2022, the Company recorded $0.1 million as a change in fair value through the statement of operations due to changes in unobservable inputs.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40" w:type="dxa"/>
            <w:vAlign w:val="bottom"/>
            <w:gridSpan w:val="6"/>
          </w:tcPr>
          <w:p>
            <w:pPr>
              <w:jc w:val="right"/>
              <w:ind w:right="106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77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Vehicles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process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(7,018 )</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(6,749 )</w:t>
            </w:r>
          </w:p>
        </w:tc>
        <w:tc>
          <w:tcPr>
            <w:tcW w:w="0" w:type="dxa"/>
            <w:vAlign w:val="bottom"/>
          </w:tcPr>
          <w:p>
            <w:pPr>
              <w:spacing w:after="0"/>
              <w:rPr>
                <w:sz w:val="1"/>
                <w:szCs w:val="1"/>
                <w:color w:val="auto"/>
              </w:rPr>
            </w:pPr>
          </w:p>
        </w:tc>
      </w:tr>
      <w:tr>
        <w:trPr>
          <w:trHeight w:val="236"/>
        </w:trPr>
        <w:tc>
          <w:tcPr>
            <w:tcW w:w="77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5,848</w:t>
            </w: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Depreciation expense related to property and equipment was: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7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4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8"/>
        </w:trPr>
        <w:tc>
          <w:tcPr>
            <w:tcW w:w="77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costs and expenses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Selling, marketing, general and administrative</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-1677670</wp:posOffset>
            </wp:positionV>
            <wp:extent cx="68580" cy="162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-1360805</wp:posOffset>
            </wp:positionV>
            <wp:extent cx="6858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-1360805</wp:posOffset>
            </wp:positionV>
            <wp:extent cx="6858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Note 6 – Goodwill and Intangible Assets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000" w:type="dxa"/>
            <w:vAlign w:val="bottom"/>
            <w:gridSpan w:val="6"/>
          </w:tcPr>
          <w:p>
            <w:pPr>
              <w:spacing w:after="0"/>
              <w:rPr>
                <w:sz w:val="20"/>
                <w:szCs w:val="20"/>
                <w:color w:val="auto"/>
              </w:rPr>
            </w:pPr>
            <w:r>
              <w:rPr>
                <w:rFonts w:ascii="Arial" w:cs="Arial" w:eastAsia="Arial" w:hAnsi="Arial"/>
                <w:sz w:val="18"/>
                <w:szCs w:val="18"/>
                <w:color w:val="auto"/>
                <w:w w:val="98"/>
              </w:rPr>
              <w:t>Intangible assets, excluding goodwill, consist of the following (in thousands):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87"/>
              </w:rPr>
              <w:t>December 31, 2022</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center"/>
              <w:ind w:left="470"/>
              <w:spacing w:after="0"/>
              <w:rPr>
                <w:sz w:val="20"/>
                <w:szCs w:val="20"/>
                <w:color w:val="auto"/>
              </w:rPr>
            </w:pPr>
            <w:r>
              <w:rPr>
                <w:rFonts w:ascii="Arial" w:cs="Arial" w:eastAsia="Arial" w:hAnsi="Arial"/>
                <w:sz w:val="18"/>
                <w:szCs w:val="18"/>
                <w:b w:val="1"/>
                <w:bCs w:val="1"/>
                <w:color w:val="auto"/>
                <w:w w:val="90"/>
              </w:rPr>
              <w:t>December 31, 2021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Accumulate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d</w:t>
            </w:r>
          </w:p>
        </w:tc>
        <w:tc>
          <w:tcPr>
            <w:tcW w:w="16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5"/>
              </w:rPr>
              <w:t>Accumulated</w:t>
            </w: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Amortizatio</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8"/>
              </w:rPr>
              <w:t>Amortization</w:t>
            </w:r>
          </w:p>
        </w:tc>
        <w:tc>
          <w:tcPr>
            <w:tcW w:w="14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Value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n</w:t>
            </w:r>
          </w:p>
        </w:tc>
        <w:tc>
          <w:tcPr>
            <w:tcW w:w="160" w:type="dxa"/>
            <w:vAlign w:val="bottom"/>
          </w:tcPr>
          <w:p>
            <w:pPr>
              <w:spacing w:after="0"/>
              <w:rPr>
                <w:sz w:val="20"/>
                <w:szCs w:val="20"/>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subject to amortization</w:t>
            </w:r>
          </w:p>
        </w:tc>
        <w:tc>
          <w:tcPr>
            <w:tcW w:w="22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Patents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1,880</w:t>
            </w:r>
          </w:p>
        </w:tc>
        <w:tc>
          <w:tcPr>
            <w:tcW w:w="7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(647 )</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1,233</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1,755</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(566 )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Purchased technology</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(8,450 )</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8,450</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(6,572 )</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10,328</w:t>
            </w:r>
          </w:p>
        </w:tc>
        <w:tc>
          <w:tcPr>
            <w:tcW w:w="100" w:type="dxa"/>
            <w:vAlign w:val="bottom"/>
            <w:shd w:val="clear" w:color="auto" w:fill="CFF0FC"/>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Intangible assets not subject to</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Trademarks</w:t>
            </w: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18,894</w:t>
            </w:r>
          </w:p>
        </w:tc>
        <w:tc>
          <w:tcPr>
            <w:tcW w:w="2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(9,097 )</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9,797</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18,755</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(7,138 )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11,617</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F-17</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0" w:type="dxa"/>
            <w:vAlign w:val="bottom"/>
          </w:tcPr>
          <w:p>
            <w:pPr>
              <w:spacing w:after="0"/>
              <w:rPr>
                <w:sz w:val="8"/>
                <w:szCs w:val="8"/>
                <w:color w:val="auto"/>
              </w:rPr>
            </w:pPr>
          </w:p>
        </w:tc>
        <w:tc>
          <w:tcPr>
            <w:tcW w:w="4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-675640</wp:posOffset>
            </wp:positionV>
            <wp:extent cx="76835"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-675640</wp:posOffset>
            </wp:positionV>
            <wp:extent cx="76835"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-675640</wp:posOffset>
            </wp:positionV>
            <wp:extent cx="6858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-675640</wp:posOffset>
            </wp:positionV>
            <wp:extent cx="6858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-675640</wp:posOffset>
            </wp:positionV>
            <wp:extent cx="6858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Amortization expense related to definite-lived intangible assets was (in thousands):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4"/>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9"/>
          </w:tcPr>
          <w:p>
            <w:pPr>
              <w:jc w:val="right"/>
              <w:ind w:right="290"/>
              <w:spacing w:after="0"/>
              <w:rPr>
                <w:sz w:val="20"/>
                <w:szCs w:val="20"/>
                <w:color w:val="auto"/>
              </w:rPr>
            </w:pPr>
            <w:r>
              <w:rPr>
                <w:rFonts w:ascii="Arial" w:cs="Arial" w:eastAsia="Arial" w:hAnsi="Arial"/>
                <w:sz w:val="18"/>
                <w:szCs w:val="18"/>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2022</w:t>
            </w: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Direct costs and expenses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Sales, marketing, general and administrative</w:t>
            </w: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1,973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1"/>
                <w:szCs w:val="21"/>
                <w:color w:val="auto"/>
              </w:rPr>
            </w:pPr>
          </w:p>
        </w:tc>
      </w:tr>
      <w:tr>
        <w:trPr>
          <w:trHeight w:val="276"/>
        </w:trPr>
        <w:tc>
          <w:tcPr>
            <w:tcW w:w="20" w:type="dxa"/>
            <w:vAlign w:val="bottom"/>
          </w:tcPr>
          <w:p>
            <w:pPr>
              <w:spacing w:after="0"/>
              <w:rPr>
                <w:sz w:val="24"/>
                <w:szCs w:val="24"/>
                <w:color w:val="auto"/>
              </w:rPr>
            </w:pPr>
          </w:p>
        </w:tc>
        <w:tc>
          <w:tcPr>
            <w:tcW w:w="73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52"/>
        </w:trPr>
        <w:tc>
          <w:tcPr>
            <w:tcW w:w="7380" w:type="dxa"/>
            <w:vAlign w:val="bottom"/>
            <w:gridSpan w:val="2"/>
          </w:tcPr>
          <w:p>
            <w:pPr>
              <w:spacing w:after="0"/>
              <w:rPr>
                <w:sz w:val="20"/>
                <w:szCs w:val="20"/>
                <w:color w:val="auto"/>
              </w:rPr>
            </w:pPr>
            <w:r>
              <w:rPr>
                <w:rFonts w:ascii="Arial" w:cs="Arial" w:eastAsia="Arial" w:hAnsi="Arial"/>
                <w:sz w:val="18"/>
                <w:szCs w:val="18"/>
                <w:color w:val="auto"/>
              </w:rPr>
              <w:t>Future estimated amortization expense of intangible assets is (in thousands):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9"/>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As of</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73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88"/>
              </w:rPr>
              <w:t>December 31, 2022</w:t>
            </w:r>
          </w:p>
        </w:tc>
        <w:tc>
          <w:tcPr>
            <w:tcW w:w="100" w:type="dxa"/>
            <w:vAlign w:val="bottom"/>
            <w:tcBorders>
              <w:bottom w:val="single" w:sz="8" w:color="auto"/>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20"/>
                <w:szCs w:val="20"/>
                <w:color w:val="auto"/>
              </w:rPr>
            </w:pPr>
          </w:p>
        </w:tc>
      </w:tr>
      <w:tr>
        <w:trPr>
          <w:trHeight w:val="255"/>
        </w:trPr>
        <w:tc>
          <w:tcPr>
            <w:tcW w:w="20" w:type="dxa"/>
            <w:vAlign w:val="bottom"/>
          </w:tcPr>
          <w:p>
            <w:pPr>
              <w:spacing w:after="0"/>
              <w:rPr>
                <w:sz w:val="22"/>
                <w:szCs w:val="22"/>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0"/>
                <w:szCs w:val="20"/>
                <w:color w:val="auto"/>
              </w:rPr>
            </w:pPr>
          </w:p>
        </w:tc>
      </w:tr>
      <w:tr>
        <w:trPr>
          <w:trHeight w:val="255"/>
        </w:trPr>
        <w:tc>
          <w:tcPr>
            <w:tcW w:w="20" w:type="dxa"/>
            <w:vAlign w:val="bottom"/>
          </w:tcPr>
          <w:p>
            <w:pPr>
              <w:spacing w:after="0"/>
              <w:rPr>
                <w:sz w:val="22"/>
                <w:szCs w:val="22"/>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22"/>
                <w:szCs w:val="22"/>
                <w:color w:val="auto"/>
              </w:rPr>
            </w:pPr>
          </w:p>
        </w:tc>
      </w:tr>
      <w:tr>
        <w:trPr>
          <w:trHeight w:val="236"/>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2028 and thereafter</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auto"/>
            </w:tcBorders>
          </w:tcPr>
          <w:p>
            <w:pPr>
              <w:spacing w:after="0"/>
              <w:rPr>
                <w:sz w:val="20"/>
                <w:szCs w:val="20"/>
                <w:color w:val="auto"/>
              </w:rPr>
            </w:pPr>
          </w:p>
        </w:tc>
      </w:tr>
      <w:tr>
        <w:trPr>
          <w:trHeight w:val="276"/>
        </w:trPr>
        <w:tc>
          <w:tcPr>
            <w:tcW w:w="20" w:type="dxa"/>
            <w:vAlign w:val="bottom"/>
          </w:tcPr>
          <w:p>
            <w:pPr>
              <w:spacing w:after="0"/>
              <w:rPr>
                <w:sz w:val="24"/>
                <w:szCs w:val="24"/>
                <w:color w:val="auto"/>
              </w:rPr>
            </w:pPr>
          </w:p>
        </w:tc>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9,683</w:t>
            </w:r>
          </w:p>
        </w:tc>
        <w:tc>
          <w:tcPr>
            <w:tcW w:w="100" w:type="dxa"/>
            <w:vAlign w:val="bottom"/>
            <w:tcBorders>
              <w:bottom w:val="single" w:sz="8" w:color="auto"/>
            </w:tcBorders>
            <w:shd w:val="clear" w:color="auto" w:fill="CCEEFF"/>
          </w:tcPr>
          <w:p>
            <w:pPr>
              <w:spacing w:after="0"/>
              <w:rPr>
                <w:sz w:val="24"/>
                <w:szCs w:val="24"/>
                <w:color w:val="auto"/>
              </w:rPr>
            </w:pPr>
          </w:p>
        </w:tc>
      </w:tr>
      <w:tr>
        <w:trPr>
          <w:trHeight w:val="391"/>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Note 7 – Accrued Liabilities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380" w:type="dxa"/>
            <w:vAlign w:val="bottom"/>
            <w:gridSpan w:val="2"/>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9"/>
          </w:tcPr>
          <w:p>
            <w:pPr>
              <w:jc w:val="right"/>
              <w:ind w:right="350"/>
              <w:spacing w:after="0"/>
              <w:rPr>
                <w:sz w:val="20"/>
                <w:szCs w:val="20"/>
                <w:color w:val="auto"/>
              </w:rPr>
            </w:pPr>
            <w:r>
              <w:rPr>
                <w:rFonts w:ascii="Arial" w:cs="Arial" w:eastAsia="Arial" w:hAnsi="Arial"/>
                <w:sz w:val="18"/>
                <w:szCs w:val="18"/>
                <w:b w:val="1"/>
                <w:bCs w:val="1"/>
                <w:color w:val="auto"/>
              </w:rPr>
              <w:t>As of December 31,</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Compensation related accruals</w:t>
            </w:r>
          </w:p>
        </w:tc>
        <w:tc>
          <w:tcPr>
            <w:tcW w:w="36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10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00" w:type="dxa"/>
            <w:vAlign w:val="bottom"/>
            <w:tcBorders>
              <w:top w:val="single" w:sz="8" w:color="auto"/>
            </w:tcBorders>
            <w:shd w:val="clear" w:color="auto" w:fill="CCEEFF"/>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Accrued clinical trial expense</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6"/>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auto"/>
            </w:tcBorders>
            <w:shd w:val="clear" w:color="auto" w:fill="CCEEFF"/>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6"/>
          </w:tcPr>
          <w:p>
            <w:pPr>
              <w:jc w:val="right"/>
              <w:spacing w:after="0"/>
              <w:rPr>
                <w:sz w:val="20"/>
                <w:szCs w:val="20"/>
                <w:color w:val="auto"/>
              </w:rPr>
            </w:pPr>
            <w:r>
              <w:rPr>
                <w:rFonts w:ascii="Arial" w:cs="Arial" w:eastAsia="Arial" w:hAnsi="Arial"/>
                <w:sz w:val="18"/>
                <w:szCs w:val="18"/>
                <w:color w:val="auto"/>
              </w:rPr>
              <w:t>8,218</w:t>
            </w:r>
          </w:p>
        </w:tc>
        <w:tc>
          <w:tcPr>
            <w:tcW w:w="1320" w:type="dxa"/>
            <w:vAlign w:val="bottom"/>
            <w:gridSpan w:val="3"/>
          </w:tcPr>
          <w:p>
            <w:pPr>
              <w:jc w:val="right"/>
              <w:ind w:right="8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7,665</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-3312795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-3295650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-3312795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-3295650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-187960</wp:posOffset>
            </wp:positionV>
            <wp:extent cx="10287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9">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long-term debt primarily consists of notes payable associated with our Perceptive Term Loan which is described in further detail below. Long-term notes payable were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7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4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Perceptive Term Loan</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2021 Term Loan</w:t>
            </w:r>
          </w:p>
        </w:tc>
        <w:tc>
          <w:tcPr>
            <w:tcW w:w="38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r>
      <w:tr>
        <w:trPr>
          <w:trHeight w:val="24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Unamortized debt discount and debt issuance costs</w:t>
            </w:r>
          </w:p>
        </w:tc>
        <w:tc>
          <w:tcPr>
            <w:tcW w:w="38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(5,074 )</w:t>
            </w:r>
          </w:p>
        </w:tc>
        <w:tc>
          <w:tcPr>
            <w:tcW w:w="5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(63 )</w:t>
            </w:r>
          </w:p>
        </w:tc>
      </w:tr>
      <w:tr>
        <w:trPr>
          <w:trHeight w:val="242"/>
        </w:trPr>
        <w:tc>
          <w:tcPr>
            <w:tcW w:w="7680" w:type="dxa"/>
            <w:vAlign w:val="bottom"/>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25,053</w:t>
            </w:r>
          </w:p>
        </w:tc>
        <w:tc>
          <w:tcPr>
            <w:tcW w:w="260" w:type="dxa"/>
            <w:vAlign w:val="bottom"/>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10,012</w:t>
            </w:r>
          </w:p>
        </w:tc>
        <w:tc>
          <w:tcPr>
            <w:tcW w:w="100" w:type="dxa"/>
            <w:vAlign w:val="bottom"/>
            <w:shd w:val="clear" w:color="auto" w:fill="CCEEFF"/>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r>
      <w:tr>
        <w:trPr>
          <w:trHeight w:val="27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notes payable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25,004</w:t>
            </w: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Perceptive Term Loan Facility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November 16, 2022 (the Closing Date), the Company entered into a Credit Agreement and Guaranty (the Credit Agreement) with Perceptive Credit Holdings IV, LP as the lender and administrative agent (the Lender). The Credit Agreement provides for a senior secured delayed draw term loan facility with Perceptive Advisors LLC (Perceptive), in an aggregate principal amount of up to $50.0 million (the Perceptive Term Loan Facility). The initial funding of the Perceptive Term Loan Facility was subject to a capital raise of at least $30.0 million in gross proceeds from an equity offering of the Company's common stock. On November 21, 2022 (the Funding Date), the Company raised approximately $40.6 million in gross proceeds from the sale of common stock (the Public Offering and November 2022 Subscription Agreements, together, "the Equity Offerings", see Note 10 - </w:t>
      </w:r>
      <w:r>
        <w:rPr>
          <w:rFonts w:ascii="Arial" w:cs="Arial" w:eastAsia="Arial" w:hAnsi="Arial"/>
          <w:sz w:val="17"/>
          <w:szCs w:val="17"/>
          <w:i w:val="1"/>
          <w:iCs w:val="1"/>
          <w:color w:val="auto"/>
        </w:rPr>
        <w:t>Equity</w:t>
      </w:r>
      <w:r>
        <w:rPr>
          <w:rFonts w:ascii="Arial" w:cs="Arial" w:eastAsia="Arial" w:hAnsi="Arial"/>
          <w:sz w:val="17"/>
          <w:szCs w:val="17"/>
          <w:color w:val="auto"/>
        </w:rPr>
        <w:t>). The Tranche A Loan, in an aggregate amount of up to $30.0 million (the Tranche A Loan), was funded under the Perceptive Term Loan Facility substantially and concurrently with the closing of the Equity Offerings on the Funding Date. In addition to the Tranche A Loan, the Perceptive Term Loan Facility includes an additional Tranche B Loan, in an aggregate amount of up to $10.0 million, and an additional Tranche C Loan, in an aggregate amount of up to $10.0 million, which will be accessible by the Company so long as the Company satisfies certain customary conditions precedent, including revenue milestones. The Tranche B and C loans have loan commitments dates through December 31, 2023 and September 30, 2024, respectively. The Perceptive Term Loan Facility has a maturity date of November 21, 2027 (the Maturity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6" w:name="page127"/>
    <w:bookmarkEnd w:id="126"/>
    <w:p>
      <w:pPr>
        <w:jc w:val="both"/>
        <w:spacing w:after="0" w:line="277" w:lineRule="auto"/>
        <w:rPr>
          <w:sz w:val="20"/>
          <w:szCs w:val="20"/>
          <w:color w:val="auto"/>
        </w:rPr>
      </w:pPr>
      <w:r>
        <w:rPr>
          <w:rFonts w:ascii="Arial" w:cs="Arial" w:eastAsia="Arial" w:hAnsi="Arial"/>
          <w:sz w:val="18"/>
          <w:szCs w:val="18"/>
          <w:color w:val="auto"/>
        </w:rPr>
        <w:t>and provides for an interest-only period during the term of the loan with principal due at the Maturity Date. The Company's net proceeds from the Tranche A Loan were approximately $27.9 million, after deducting debt issuance costs and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w:t>
      </w:r>
    </w:p>
    <w:p>
      <w:pPr>
        <w:spacing w:after="0" w:line="117"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The Perceptive Term Loan Facility will accrue interest at an annual rate equal to the greater of (a) forward-looking one-month term SOFR as posted by CME Group Inc. and (b) 3.0% per annum, plus an applicable margin of 9.0%. As of December 31, 2022, the stated interest rate was approximately 13.3%.</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and Prepayment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Maturity Date, the Company is required to pay the Lender the aggregate outstanding principal amount underlying the Loan and any accrued and unpaid interest thereon. Prior to the Maturity Date, there will be no scheduled principal payments under the Perceptive Term Loan Facility. The Perceptive Term Loan Facility may be prepaid at any time, subject to a prepayment premium equal to 2% to 10% of the aggregate outstanding principal amount being prepaid, depending on the date of prepayment.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Instruments and Warrants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 Security Agreement, dated as of the Funding Date (the Security Agreement), between the Company and the Lender, substantially all of the Company’s obligations under the Credit Agreement are secured by a first lien perfected security interest on all of the Company’s assets, subject to customary exceptions.</w:t>
      </w:r>
    </w:p>
    <w:p>
      <w:pPr>
        <w:spacing w:after="0" w:line="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As consideration for the Credit Agreement, the Company has issued, on the Funding Date, the Perceptive Warrant of up to 5,000,000 shares of the Company's common stock, including the Initial Warrants which are equity classified at a per share exercise price equal to $1.0648 which is equal to the lower of (A) the 10-day volume weighted average price (VWAP) of the Company’s common stock, on the business day immediately prior to the Closing Date of the Tranche A Loan or (B) the public offering price per share of Common Stock of $1.15 (see Note 10 - </w:t>
      </w:r>
      <w:r>
        <w:rPr>
          <w:rFonts w:ascii="Arial" w:cs="Arial" w:eastAsia="Arial" w:hAnsi="Arial"/>
          <w:sz w:val="16"/>
          <w:szCs w:val="16"/>
          <w:i w:val="1"/>
          <w:iCs w:val="1"/>
          <w:color w:val="auto"/>
        </w:rPr>
        <w:t>Equity</w:t>
      </w:r>
      <w:r>
        <w:rPr>
          <w:rFonts w:ascii="Arial" w:cs="Arial" w:eastAsia="Arial" w:hAnsi="Arial"/>
          <w:sz w:val="16"/>
          <w:szCs w:val="16"/>
          <w:color w:val="auto"/>
        </w:rPr>
        <w:t xml:space="preserve">). In addition to the Initial Warrants, the Additional Warrants will each become exercisable into 1,000,000 shares of common stock concurrently with the borrowing date of the Tranche B and C Loans, respectively. The per share exercise price for the Additional Warrants will be equal to the lower of (A) the Initial Warrant exercise price or (B) the 10-day VWAP ending on the business day immediately preceding the funding date of the Tranche B Loan or the Tranche C loan, respectively. Each warrant will be exercisable, in whole or in part, until the 10th anniversary of the applicable date of issuance. If the Tranche B or C loans are not drawn by the respective loan commitment dates, the associated Additional Warrants expire and will not become exercisable. The Company accounts for the Additional Warrants as liabilities as the Additional Warrants do not meet the criteria for equity treatment (see Note 4 - </w:t>
      </w:r>
      <w:r>
        <w:rPr>
          <w:rFonts w:ascii="Arial" w:cs="Arial" w:eastAsia="Arial" w:hAnsi="Arial"/>
          <w:sz w:val="16"/>
          <w:szCs w:val="16"/>
          <w:i w:val="1"/>
          <w:iCs w:val="1"/>
          <w:color w:val="auto"/>
        </w:rPr>
        <w:t>Fair Value</w:t>
      </w:r>
      <w:r>
        <w:rPr>
          <w:rFonts w:ascii="Arial" w:cs="Arial" w:eastAsia="Arial" w:hAnsi="Arial"/>
          <w:sz w:val="16"/>
          <w:szCs w:val="16"/>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Representations, Warranties, Covenants, and Events of Default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Material Intellectual Property (each as defined in the Credit Agreement) and other rights, interests or assets (whether tangible or intangible) reasonably necessary for the operations of the Company’s business. The negative covenants restrict or limit the ability of the Company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its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a minimum cash balance of $2.5 million; and (ii) as of the last day of each fiscal quarter commencing on the fiscal quarter ending March 31, 2023, receive revenue in amounts agreed to between the Company and Perceptive from time to time.</w:t>
      </w:r>
    </w:p>
    <w:p>
      <w:pPr>
        <w:spacing w:after="0" w:line="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Credit Agreement also contains certain customary Events of Default which include, among others, non-payment of principal, interest, or fees, violation of covenants, inaccuracy of representations and warranties, bankruptcy and insolvency events, material judgments, cross- defaults to material contracts, certain regulatory-related events and events constituting a change of control. As of December 31, 2022, the Company was in compliance with all restrictive and financial covenants associated with its borrowings. The occurrence of an Event of Default could result in, among other things, the declaration that all outstanding principal and interest under the Perceptive Term Loan Facility are immediately due and payable in whole or in part.</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Warrants and Additional Warrants were valued at $2.9 million and $0.1 million, respectively, using the Black-Scholes option-pricing model, estimated settlement probabilities and estimated exercise prices. As a result of the fees paid to Perceptive and the value of the Perceptive Warrant, the Company recognized a discount on the Perceptive Term Loan in the amount of $5.2 million. The Company recorded the debt discount as a reduction to the principal amount of the debt and is amortized as interest expense over the life of the debt.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9, 2022 (the First Closing Date), the Company entered into a securities purchase agreement (the SPA) with Streeterville Capital, LLC (Streeterville), pursuant to which, among other things, Streeterville: (i) purchased a secured promissory note (Promissory Note One) in the aggregate principal amount totaling $16.0 million in exchange for $15.0 million less certain expenses and (ii) agreed to purchase another secured promissory note at the Company’s election (Promissory Note Two and, together with Promissory Note One, the Promissory Notes), subject to certain conditions precedent in aggregate principal amount totaling $10.3 million in exchange for $10.0 million in cash proceeds. Each of the Promissory Notes, at the Company's option, could be settled in cash or shares of common stock of the Company, upon the terms and subject to the limitations and conditions set forth in the Promissory Notes. The Company's net proceeds from the issuance of Promissory Note One were approximately $12.8 million, after deducting debt issuance costs and original issue discount (OID).</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Promissory Notes had a stated interest rate of 6% per annum. The maturity date of each Promissory Note was 24 months from the issuance date of such Note. Promissory Note One was issued with an OID of $1.0 million while Promissory Note Two, if issued, would have been subject to an OID of $0.3 million subject to certain contingencies which could increase the OID by an additional $0.5 million. The Promissory Notes were eligible for early payment for cash, at the Company’s election, subject to a prepayment premium of 10% of the outstanding principal balance. During the year ended December 31, 2022, the Company recorded $1.8 million for accrued interest, amortization of the OID and debt issuance costs to interest expense in the accompanying statements of operations.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and concurrently with the completion of the Equity Offerings, the Company fully repaid all outstanding principal, accrued and unpaid interest, and prepayment and other fees due under the existing SPA with Streeterville in the amount of $18.2 million. As a result of the extinguishment of Promissory Note One, the Company recorded a loss on debt extinguishment of $3.6 million during the three months ended December 31, 2022, associated with the prepayment premium and with the write-off of unamortized debt issuance costs and OID.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Term Loan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19, 2021 (Effective Date), the Company entered into a Loan and Security Agreement (the 2021 Term Loan) by and between Silicon Valley Bank, a California corporation (SVB) and the Company, as borrower, whereby subject to the terms and conditions of the 2021 Term Loan, SVB advanced to the Company an original principal amount of $30 million.</w:t>
      </w:r>
    </w:p>
    <w:p>
      <w:pPr>
        <w:spacing w:after="0" w:line="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2021 Term Loan provided for an “interest-only” period from the Effective Date through February 28, 2023, with interest due and payable monthly on the first calendar day of each month. However, the Company achieved a revenue milestone of at least $65 million on a trailing twelve-month basis during the three months ended March 31, 2021 which automatically extended the interest-only period through February 28, 2024. Beginning on the first calendar day of the month following the end of the interest-only period, the 2021 Term Loan was payable in (i) consecutive equal installments of principal through March 1, 2026, plus (ii) monthly payments of accrued interest. The principal amount outstanding under the 2021 Term Loan accrued interest at a floating per annum rate equal to the greater of (i) 2.00% above the prime rate, or (ii) 5.25%, which interest, in each case, was payable monthly. Changes to the interest rate applicable to the 2021 Term Loan based on changes to the prime rate were effective on the effective date of any change to the prime rate. The Company’s final payment to SVB included a payment of $2.7 million and was amortized as interest expense over the term of the 2021 Term Loan.</w:t>
      </w:r>
    </w:p>
    <w:p>
      <w:pPr>
        <w:spacing w:after="0" w:line="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2022 and through the Closing Date of the Perceptive Term Loan Facility, the Company repaid $7.0 million in outstanding principal on the 2021 Term Loan. Substantially and concurrently with the completion of the Equity Offerings, the Company fully repaid all outstanding principal, accrued and unpaid interest, and other fees due under the existing 2021 Term Loan with SVB in the amount of $5.7 million, which included $3.0 million in remaining outstanding principal. As a result of the extinguishment of the 2021 Term Loan, the Company recorded a loss on debt extinguishment of $0.4 million during the three months ended December 31, 2022, associated with the final payment and the write-off of unamortized debt issuance costs.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repayments (maturities) of long-term obligations were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ind w:right="710"/>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18"/>
                <w:szCs w:val="18"/>
                <w:color w:val="auto"/>
              </w:rPr>
            </w:pPr>
          </w:p>
        </w:tc>
      </w:tr>
      <w:tr>
        <w:trPr>
          <w:trHeight w:val="241"/>
        </w:trPr>
        <w:tc>
          <w:tcPr>
            <w:tcW w:w="344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December 31, 2022</w:t>
            </w:r>
          </w:p>
        </w:tc>
        <w:tc>
          <w:tcPr>
            <w:tcW w:w="100" w:type="dxa"/>
            <w:vAlign w:val="bottom"/>
          </w:tcPr>
          <w:p>
            <w:pPr>
              <w:spacing w:after="0"/>
              <w:rPr>
                <w:sz w:val="20"/>
                <w:szCs w:val="20"/>
                <w:color w:val="auto"/>
              </w:rPr>
            </w:pPr>
          </w:p>
        </w:tc>
      </w:tr>
      <w:tr>
        <w:trPr>
          <w:trHeight w:val="243"/>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r>
      <w:tr>
        <w:trPr>
          <w:trHeight w:val="236"/>
        </w:trPr>
        <w:tc>
          <w:tcPr>
            <w:tcW w:w="3440" w:type="dxa"/>
            <w:vAlign w:val="bottom"/>
          </w:tcPr>
          <w:p>
            <w:pPr>
              <w:ind w:left="20"/>
              <w:spacing w:after="0"/>
              <w:rPr>
                <w:sz w:val="20"/>
                <w:szCs w:val="20"/>
                <w:color w:val="auto"/>
              </w:rPr>
            </w:pPr>
            <w:r>
              <w:rPr>
                <w:rFonts w:ascii="Arial" w:cs="Arial" w:eastAsia="Arial" w:hAnsi="Arial"/>
                <w:sz w:val="18"/>
                <w:szCs w:val="18"/>
                <w:color w:val="auto"/>
              </w:rPr>
              <w:t>2024</w:t>
            </w:r>
          </w:p>
        </w:tc>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r>
      <w:tr>
        <w:trPr>
          <w:trHeight w:val="24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r>
      <w:tr>
        <w:trPr>
          <w:trHeight w:val="236"/>
        </w:trPr>
        <w:tc>
          <w:tcPr>
            <w:tcW w:w="3440" w:type="dxa"/>
            <w:vAlign w:val="bottom"/>
          </w:tcPr>
          <w:p>
            <w:pPr>
              <w:ind w:left="20"/>
              <w:spacing w:after="0"/>
              <w:rPr>
                <w:sz w:val="20"/>
                <w:szCs w:val="20"/>
                <w:color w:val="auto"/>
              </w:rPr>
            </w:pPr>
            <w:r>
              <w:rPr>
                <w:rFonts w:ascii="Arial" w:cs="Arial" w:eastAsia="Arial" w:hAnsi="Arial"/>
                <w:sz w:val="18"/>
                <w:szCs w:val="18"/>
                <w:color w:val="auto"/>
              </w:rPr>
              <w:t>2026</w:t>
            </w:r>
          </w:p>
        </w:tc>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r>
      <w:tr>
        <w:trPr>
          <w:trHeight w:val="24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21"/>
                <w:szCs w:val="2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5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0"/>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5720" w:type="dxa"/>
            <w:vAlign w:val="bottom"/>
            <w:tcBorders>
              <w:bottom w:val="single" w:sz="8" w:color="CCEEFF"/>
            </w:tcBorders>
            <w:gridSpan w:val="2"/>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634"/>
        </w:trPr>
        <w:tc>
          <w:tcPr>
            <w:tcW w:w="3440" w:type="dxa"/>
            <w:vAlign w:val="bottom"/>
          </w:tcPr>
          <w:p>
            <w:pPr>
              <w:spacing w:after="0"/>
              <w:rPr>
                <w:sz w:val="24"/>
                <w:szCs w:val="24"/>
                <w:color w:val="auto"/>
              </w:rPr>
            </w:pPr>
          </w:p>
        </w:tc>
        <w:tc>
          <w:tcPr>
            <w:tcW w:w="5900" w:type="dxa"/>
            <w:vAlign w:val="bottom"/>
            <w:gridSpan w:val="3"/>
          </w:tcPr>
          <w:p>
            <w:pPr>
              <w:jc w:val="right"/>
              <w:ind w:right="3450"/>
              <w:spacing w:after="0"/>
              <w:rPr>
                <w:sz w:val="20"/>
                <w:szCs w:val="20"/>
                <w:color w:val="auto"/>
              </w:rPr>
            </w:pPr>
            <w:r>
              <w:rPr>
                <w:rFonts w:ascii="Arial" w:cs="Arial" w:eastAsia="Arial" w:hAnsi="Arial"/>
                <w:sz w:val="18"/>
                <w:szCs w:val="18"/>
                <w:color w:val="auto"/>
              </w:rPr>
              <w:t>F-20</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440" w:type="dxa"/>
            <w:vAlign w:val="bottom"/>
            <w:tcBorders>
              <w:bottom w:val="single" w:sz="8" w:color="9A9A9A"/>
            </w:tcBorders>
          </w:tcPr>
          <w:p>
            <w:pPr>
              <w:spacing w:after="0"/>
              <w:rPr>
                <w:sz w:val="9"/>
                <w:szCs w:val="9"/>
                <w:color w:val="auto"/>
              </w:rPr>
            </w:pPr>
          </w:p>
        </w:tc>
        <w:tc>
          <w:tcPr>
            <w:tcW w:w="55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Note 9 –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acts as a lessee under all its lease agreements. The Company leases its headquarters and laboratory facilities in Boulder, Colorado, under a non-cancelable lease agreement for approximately 29,722 square feet that was set to expire in January 2023. In January 2022, the Company amended the agreement to extend the lease agreement through January 2024, resulting in an additional $1.2 million in ROU assets and lease liabilities recorded during the three months ended March 31, 2022. The Company also leases laboratory and office space in De Soto, Kansas, under a non-cancelable lease agreement for approximately 9,066 square feet that expires in October 2023, however, we are currently in discussions to extend this lease agreement. The Company also holds various copier and storage facility leases under non-cancelable lease agreements that expire in the next one to four years.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Centennial Valley Properties I, LLC Lease Agreement</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11, 2022, the Company entered into a Lease Agreement (the Lease) with Centennial Valley Properties I, LLC, a Colorado limited liability company (the Landlord) for office and laboratory space in Louisville, Colorado (the Leased Premises). The purpose of the Lease is to replace the Company’s current leased premises in Boulder, Colorado. The Company intends to move its corporate headquarters to the Leased Premises by mid-2023.</w:t>
      </w:r>
    </w:p>
    <w:p>
      <w:pPr>
        <w:spacing w:after="0" w:line="4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initial term of the Lease is twelve years (the Initial Term) from the commencement date, which is the earlier of: (i) the Company conducting revenue generating business (as defined in the Lease), or (ii) April 1, 2023 (the Commencement Date), unless earlier terminated in accordance with the Lease. The Company has two renewal options to extend the term of the Lease for an additional seven or ten year terms for each renewal. During the three months ended June 30, 2022, the lease commenced for accounting purposes resulting in $2.0 million in ROU assets and lease liabilities being recorded.</w:t>
      </w:r>
    </w:p>
    <w:p>
      <w:pPr>
        <w:spacing w:after="0" w:line="4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Under the Lease, the Company will lease approximately 79,980 square feet at the Leased Premises. The Company will pay base rent over the life of the Lease beginning at approximately $227,000 per month and escalating, based on fixed escalation provisions, to approximately $326,000 per month, plus certain operating expenses and taxes. The Company's obligation to pay base rent shall be abated, commencing as of the Commencement Date and ending on and including the date that is 12 months after the Commencement Date (the Abated Rent Period). Further, the Company's obligation to pay base rent with respect to a portion of the area of the Lease Premises equal to 19,980 square feet shall be abated (the Partial Abated Rent), commencing as of the day after the end of the Abated Rent Period and ending on and including the date that is 24 months after the Commencement Date (the Partial Abated Rent Period). Pursuant to a work letter entered by the parties in connection with the Lease, the Landlord will contribute an aggregate of $18.8 million toward the cost of construction and improvements for the Leased Premises and the Company exercised its option for an additional tenant improvement allowance of $2.0 million (the Extra Allowance Amount). The Company will repay the Extra Allowance Amount actually funded by the Landlord in equal monthly payments with an interest rate of 6% per year over the Initial Term excluding any part of the Abated Rent Period or Partial Abated Rent Period, which shall start to accrue on the date that the Landlord first disburses the Extra Allowance Amount. The Company made an accounting policy election to reduce the right-of-use asset and lease liability at lease commencement because the Lease specifies a maximum level of reimbursement for tenant improvements which are probable of being incurred and within the Company's control. Due to the tenant improvement allowances at the accounting lease commencement date and rent abatement periods described above, the Company expects the lease liability to accrete to approximately $25.7 million by March 2024 after receiving $20.8 million in lessor reimbursements. As of December 31, 2022, the Company has incurred $2.5 million in capital expenditures for leasehold improvements related to the Leased Premises which are tenant improvements and have been reimbursed from the Landlord during the three months ended December 31, 2022. As of December 31, 2022, the Company had remaining capacity under the tenant improvement allowances of approximately $18.3 million.</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Lease includes various covenants, indemnities, defaults, termination rights, and other provisions customary for lease transactions of this nature. During the three months ended September 30, 2022, a $5.0 million cash collateralized letter of credit under the operating lease agreement was released and the funds were subsequently transferred to the Landlord as a refundable deposit (subject to contingent reduction over the term of the lease) to secure the performance of the Company’s obligations. The $5.0 million refundable deposit is included within 'Other long-term assets' in the balance sheet as of December 31, 2022.</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lease expense for all operating leases was $2.6 million and $1.2 million and for the year ended December 31, 2022 and 2021, respectively. As of December 31, 2022, the weighted-average remaining lease term and discount rate associated with our operating leases were 9.0 years and 11.40%,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Future minimum lease payments associated with our operating leases were as follows (in thousands):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9"/>
        </w:trPr>
        <w:tc>
          <w:tcPr>
            <w:tcW w:w="2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As of</w:t>
            </w:r>
          </w:p>
        </w:tc>
      </w:tr>
      <w:tr>
        <w:trPr>
          <w:trHeight w:val="241"/>
        </w:trPr>
        <w:tc>
          <w:tcPr>
            <w:tcW w:w="2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December 31, 2022</w:t>
            </w:r>
          </w:p>
        </w:tc>
      </w:tr>
      <w:tr>
        <w:trPr>
          <w:trHeight w:val="243"/>
        </w:trPr>
        <w:tc>
          <w:tcPr>
            <w:tcW w:w="20" w:type="dxa"/>
            <w:vAlign w:val="bottom"/>
          </w:tcPr>
          <w:p>
            <w:pPr>
              <w:spacing w:after="0"/>
              <w:rPr>
                <w:sz w:val="21"/>
                <w:szCs w:val="21"/>
                <w:color w:val="auto"/>
              </w:rPr>
            </w:pPr>
          </w:p>
        </w:tc>
        <w:tc>
          <w:tcPr>
            <w:tcW w:w="8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20"/>
                <w:szCs w:val="20"/>
                <w:color w:val="auto"/>
              </w:rPr>
            </w:pPr>
          </w:p>
        </w:tc>
      </w:tr>
      <w:tr>
        <w:trPr>
          <w:trHeight w:val="255"/>
        </w:trPr>
        <w:tc>
          <w:tcPr>
            <w:tcW w:w="20" w:type="dxa"/>
            <w:vAlign w:val="bottom"/>
          </w:tcPr>
          <w:p>
            <w:pPr>
              <w:spacing w:after="0"/>
              <w:rPr>
                <w:sz w:val="22"/>
                <w:szCs w:val="22"/>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0"/>
                <w:szCs w:val="20"/>
                <w:color w:val="auto"/>
              </w:rPr>
            </w:pPr>
          </w:p>
        </w:tc>
      </w:tr>
      <w:tr>
        <w:trPr>
          <w:trHeight w:val="255"/>
        </w:trPr>
        <w:tc>
          <w:tcPr>
            <w:tcW w:w="20" w:type="dxa"/>
            <w:vAlign w:val="bottom"/>
          </w:tcPr>
          <w:p>
            <w:pPr>
              <w:spacing w:after="0"/>
              <w:rPr>
                <w:sz w:val="22"/>
                <w:szCs w:val="22"/>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0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2028 and thereafter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32,263</w:t>
            </w:r>
          </w:p>
        </w:tc>
        <w:tc>
          <w:tcPr>
            <w:tcW w:w="100" w:type="dxa"/>
            <w:vAlign w:val="bottom"/>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future minimum lease payments</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48,922</w:t>
            </w:r>
          </w:p>
        </w:tc>
        <w:tc>
          <w:tcPr>
            <w:tcW w:w="100" w:type="dxa"/>
            <w:vAlign w:val="bottom"/>
            <w:shd w:val="clear" w:color="auto" w:fill="CCEEFF"/>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(23,802 )</w:t>
            </w:r>
          </w:p>
        </w:tc>
      </w:tr>
      <w:tr>
        <w:trPr>
          <w:trHeight w:val="249"/>
        </w:trPr>
        <w:tc>
          <w:tcPr>
            <w:tcW w:w="20" w:type="dxa"/>
            <w:vAlign w:val="bottom"/>
          </w:tcPr>
          <w:p>
            <w:pPr>
              <w:spacing w:after="0"/>
              <w:rPr>
                <w:sz w:val="21"/>
                <w:szCs w:val="21"/>
                <w:color w:val="auto"/>
              </w:rPr>
            </w:pPr>
          </w:p>
        </w:tc>
        <w:tc>
          <w:tcPr>
            <w:tcW w:w="8740" w:type="dxa"/>
            <w:vAlign w:val="bottom"/>
            <w:shd w:val="clear" w:color="auto" w:fill="CCEEFF"/>
          </w:tcPr>
          <w:p>
            <w:pPr>
              <w:spacing w:after="0" w:line="249" w:lineRule="exact"/>
              <w:rPr>
                <w:sz w:val="20"/>
                <w:szCs w:val="20"/>
                <w:color w:val="auto"/>
              </w:rPr>
            </w:pPr>
            <w:r>
              <w:rPr>
                <w:rFonts w:ascii="Arial" w:cs="Arial" w:eastAsia="Arial" w:hAnsi="Arial"/>
                <w:sz w:val="18"/>
                <w:szCs w:val="18"/>
                <w:color w:val="auto"/>
              </w:rPr>
              <w:t>Less amount representing tenant improvement allowances</w:t>
            </w:r>
            <w:r>
              <w:rPr>
                <w:rFonts w:ascii="Arial" w:cs="Arial" w:eastAsia="Arial" w:hAnsi="Arial"/>
                <w:sz w:val="24"/>
                <w:szCs w:val="24"/>
                <w:color w:val="auto"/>
                <w:vertAlign w:val="superscript"/>
              </w:rPr>
              <w:t>(1)</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(18,323 )</w:t>
            </w:r>
          </w:p>
        </w:tc>
      </w:tr>
      <w:tr>
        <w:trPr>
          <w:trHeight w:val="230"/>
        </w:trPr>
        <w:tc>
          <w:tcPr>
            <w:tcW w:w="20" w:type="dxa"/>
            <w:vAlign w:val="bottom"/>
          </w:tcPr>
          <w:p>
            <w:pPr>
              <w:spacing w:after="0"/>
              <w:rPr>
                <w:sz w:val="19"/>
                <w:szCs w:val="19"/>
                <w:color w:val="auto"/>
              </w:rPr>
            </w:pPr>
          </w:p>
        </w:tc>
        <w:tc>
          <w:tcPr>
            <w:tcW w:w="87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6,797</w:t>
            </w:r>
          </w:p>
        </w:tc>
        <w:tc>
          <w:tcPr>
            <w:tcW w:w="100" w:type="dxa"/>
            <w:vAlign w:val="bottom"/>
            <w:tcBorders>
              <w:top w:val="single" w:sz="8" w:color="CCEEFF"/>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53" w:lineRule="exact"/>
        <w:rPr>
          <w:sz w:val="20"/>
          <w:szCs w:val="20"/>
          <w:color w:val="auto"/>
        </w:rPr>
      </w:pPr>
    </w:p>
    <w:p>
      <w:pPr>
        <w:ind w:left="200" w:hanging="192"/>
        <w:spacing w:after="0"/>
        <w:tabs>
          <w:tab w:leader="none" w:pos="200" w:val="left"/>
        </w:tabs>
        <w:numPr>
          <w:ilvl w:val="0"/>
          <w:numId w:val="75"/>
        </w:numPr>
        <w:rPr>
          <w:rFonts w:ascii="Arial" w:cs="Arial" w:eastAsia="Arial" w:hAnsi="Arial"/>
          <w:sz w:val="23"/>
          <w:szCs w:val="23"/>
          <w:color w:val="auto"/>
          <w:vertAlign w:val="superscript"/>
        </w:rPr>
      </w:pPr>
      <w:r>
        <w:rPr>
          <w:rFonts w:ascii="Arial" w:cs="Arial" w:eastAsia="Arial" w:hAnsi="Arial"/>
          <w:sz w:val="17"/>
          <w:szCs w:val="17"/>
          <w:color w:val="auto"/>
        </w:rPr>
        <w:t>The remaining contractually agreed upon tenant improvement allowances of $18.3 million are expected to be received during fiscal year 2023.</w:t>
      </w:r>
    </w:p>
    <w:p>
      <w:pPr>
        <w:spacing w:after="0" w:line="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Future minimum lease payments, which do not include amounts for common area maintenance, insurance, or taxes, for operating lease obligations in accordance with ASC 840 -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were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jc w:val="right"/>
              <w:ind w:right="890"/>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18"/>
                <w:szCs w:val="18"/>
                <w:color w:val="auto"/>
              </w:rPr>
            </w:pPr>
          </w:p>
        </w:tc>
      </w:tr>
      <w:tr>
        <w:trPr>
          <w:trHeight w:val="241"/>
        </w:trPr>
        <w:tc>
          <w:tcPr>
            <w:tcW w:w="8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8"/>
              </w:rPr>
              <w:t>December 31, 2021</w:t>
            </w:r>
          </w:p>
        </w:tc>
        <w:tc>
          <w:tcPr>
            <w:tcW w:w="100" w:type="dxa"/>
            <w:vAlign w:val="bottom"/>
          </w:tcPr>
          <w:p>
            <w:pPr>
              <w:spacing w:after="0"/>
              <w:rPr>
                <w:sz w:val="20"/>
                <w:szCs w:val="20"/>
                <w:color w:val="auto"/>
              </w:rPr>
            </w:pPr>
          </w:p>
        </w:tc>
      </w:tr>
      <w:tr>
        <w:trPr>
          <w:trHeight w:val="24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21"/>
                <w:szCs w:val="21"/>
                <w:color w:val="auto"/>
              </w:rPr>
            </w:pPr>
          </w:p>
        </w:tc>
      </w:tr>
      <w:tr>
        <w:trPr>
          <w:trHeight w:val="236"/>
        </w:trPr>
        <w:tc>
          <w:tcPr>
            <w:tcW w:w="864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r>
      <w:tr>
        <w:trPr>
          <w:trHeight w:val="24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r>
      <w:tr>
        <w:trPr>
          <w:trHeight w:val="236"/>
        </w:trPr>
        <w:tc>
          <w:tcPr>
            <w:tcW w:w="864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4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2027 and thereafter</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0"/>
        </w:trPr>
        <w:tc>
          <w:tcPr>
            <w:tcW w:w="8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Company’s Restated Certificate of Incorporation authorizes the Company to issue up to 200,000,000 shares of common stock with a par value of $0.001 per share. The holder of each share of common stock is entitled to one vote per share. The common shareholders are entitled to dividends whenever funds and assets are legally available and when and if declared by the Board of Directors. The Company is currently subject to restrictions on the payment of dividends (see Note 8 - </w:t>
      </w:r>
      <w:r>
        <w:rPr>
          <w:rFonts w:ascii="Arial" w:cs="Arial" w:eastAsia="Arial" w:hAnsi="Arial"/>
          <w:sz w:val="17"/>
          <w:szCs w:val="17"/>
          <w:i w:val="1"/>
          <w:iCs w:val="1"/>
          <w:color w:val="auto"/>
        </w:rPr>
        <w:t>Debt</w:t>
      </w:r>
      <w:r>
        <w:rPr>
          <w:rFonts w:ascii="Arial" w:cs="Arial" w:eastAsia="Arial" w:hAnsi="Arial"/>
          <w:sz w:val="17"/>
          <w:szCs w:val="17"/>
          <w:color w:val="auto"/>
        </w:rPr>
        <w:t>) and no dividends have been declared as of December 31,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Restated Certificate of Incorporation authorizes the Company to issue up to 5,000,000 shares of preferred stock with a par value of $0.001 per share. As of December 31, 2022 and 2021, no shares of preferred stock were issued or outstanding.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 Programs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maintains two facilities that enable equity financing on an ongoing basis at the Company’s sole discretion, our at-the-market offering and our common stock purchase agreement with Lincoln Park Capital Fund, LLC (the LPC facility). In November 2021, the Company entered into a sales agreement with a financial institution, pursuant to which the Company may issue and sell, from time to time, shares of its common stock having an aggregate offering price of up to $50.0 million (the Shares), subject to terms and conditions. The Shares will be offered and sold by the Company pursuant to its previously filed and currently effective registration statement on Form S-3. The Shares may only be offered and sold by means of a prospectus, including a prospectus supplement, forming part of the effective registration statement. Sales of the common stock,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7, 2022 (the LPC Effective Date), the Company entered into a purchase agreement with Lincoln Park Capital Fund, LLC (Lincoln Park), pursuant to which Lincoln Park has committed to purchase up to $50.0 million of the Company's common stock (the Purchase Agreement). Under the terms and subject to the conditions of the Purchase Agreement, the Company has the right, but not the obligation, to sell to Lincoln Park, and Lincoln Park is obligated to purchase up to $50.0 million of the Company’s common stock. Such sales of common stock by the Company, if any, will be subject to certain limitations, and may occur from time to time, at the Company’s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0" w:name="page131"/>
    <w:bookmarkEnd w:id="130"/>
    <w:p>
      <w:pPr>
        <w:jc w:val="both"/>
        <w:spacing w:after="0" w:line="255" w:lineRule="auto"/>
        <w:rPr>
          <w:sz w:val="20"/>
          <w:szCs w:val="20"/>
          <w:color w:val="auto"/>
        </w:rPr>
      </w:pPr>
      <w:r>
        <w:rPr>
          <w:rFonts w:ascii="Arial" w:cs="Arial" w:eastAsia="Arial" w:hAnsi="Arial"/>
          <w:sz w:val="18"/>
          <w:szCs w:val="18"/>
          <w:color w:val="auto"/>
        </w:rPr>
        <w:t>sole discretion, over the 36-month period commencing on the LPC Effective Date. The number of shares the Company may sell to Lincoln Park on any single business day in a regular purchase is 50,000 shares, but that amount may be increased up to 100,000 shares, depending upon the market price of the Company’s common stock at the time of sale and subject to a maximum limit of $1.5 million per regular purchase. The purchase price per share for each such regular purchase will be based on prevailing market prices of the Company’s common stock immediately preceding the time of sale as computed under the Purchase Agreement. In addition to regular purchases, the Company may also direct Lincoln Park to purchase other amounts as accelerated purchases or as additional accelerated purchases.</w:t>
      </w:r>
    </w:p>
    <w:p>
      <w:pPr>
        <w:spacing w:after="0" w:line="8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applicable rules of the NASDAQ Capital Market, in no event may the Company issue or sell to Lincoln Park under the Purchase Agreement more than 19.99% of the shares of the Company’s common stock outstanding immediately prior to the execution of the Purchase Agreement (the Exchange Cap), unless (i) the Company obtains stockholder approval to issue shares of common stock in excess of the Exchange Cap or (ii) the average price of all applicable sales of common stock to Lincoln Park under the Purchase Agreement equals or exceeds $2.20 per share, such that issuances and sales of the common stock to Lincoln Park under the Purchase Agreement would be exempt from the Exchange Cap limitation under applicable NASDAQ rules.</w:t>
      </w:r>
    </w:p>
    <w:p>
      <w:pPr>
        <w:spacing w:after="0" w:line="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Lincoln Park has no right to require the Company to sell any shares of common stock to Lincoln Park, but Lincoln Park is obligated to make purchases as the Company directs, subject to certain conditions. In all instances, the Company may not sell shares of its common stock to Lincoln Park under the Purchase Agreement if doing so would result in Lincoln Park beneficially owning more than 9.99% of its common stock.</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Actual sales of shares of common stock to Lincoln Park under the Purchase Agreement will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if any, under the Purchase Agreement will depend on the frequency and prices at which the Company sells shares of its common stock to Lincoln Park. The Company intends to use any net proceeds from the sale of its common stock to Lincoln Park to advance its growth strategy and for general corporate purposes. On the LPC Effective Date, the Company issued 184,275 shares of common stock to Lincoln Park as a commitment fee (the Initial Commitment Shares) for which the Company did not receive consideration and, upon the available amount being reduced to an amount equal to or less than $20.0 million, the Company will be required to issue 61,425 shares (the Additional Commitment Shares and together with the Initial Commitment Shares, collectively, the Commitment Shares). The Initial Commitment Shares issued were valued at $600,000 and, together with due diligence expenses and legal fees of $129,000, reflect deferred offering costs of $729,000, which are included on the balance sheet in 'Other long-term assets'. The deferred offering costs will be charged against 'Additional paid-in capital' upon future proceeds from the sale of common stock under the Purchase Agreement. During the year ended December 31, 2022, $75,000 of deferred offering costs were charged against 'Additional paid-in capital'. As of December 31, 2022, $654,000 of deferred offering costs remain.</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Purchase Agreement may be terminated by the Company at any time, at its sole discretion, without any cost or penalty, by giving one business day notice to Lincoln Park to terminate the Purchase Agreement. Lincoln Park has covenanted not to cause or engage in any manner whatsoever, any direct or indirect short selling or hedging of the common stock. Although the Company has agreed to reimburse Lincoln Park for a limited portion of the fees it incurred in connection with the Purchase Agreement, the Company did not pay any additional amounts to reimburse or otherwise compensate Lincoln Park in connection with the transaction, other than the issuance of the Commitment Shares.</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year ended December 31, 2022, the Company raised approximately $7.3 million ($6.8 million after deducting underwriting discounts and commissions and offering expenses payable), in gross proceeds from the sale of 3,886,893 common shares at a weighted average price per share of $1.87 under these programs. As of December 31, 2022, the Company had remaining available capacity for share issuances of approximately $29.5 million under the at-the-market facility and up to $46.9 million under the LPC facility, each subject to the restrictions and limitations of the underlying facilities, as well as volume limitations under applicable SEC rules and regulations that limit their availability as sources of funding.</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30, 2021, the Company raised approximately $16.3 million in gross proceeds from the sale of 3,756,994 common shares at a public offering price of $4.35 per share in an at-the-market offering. The Company received net proceeds of $15.7 million, after deducting underwriting discounts and commissions and offering expenses payable of approximately $0.7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November 21, 2022, the Company closed an underwritten public offering (the Public Offering) of 35,075,000 shares of its common stock (the Public Offering Shares), including 4,575,000 shares purchased by the underwriter pursuant to an option to purchase additional shares. The Public Offering Shares were issued and sold pursuant to an underwriting agreement, dated November 16, 2022, by and between the Company and William Blair &amp; Company, L.L.C., as sole underwriter, at a public offering price per share of $1.15. The Company received net proceeds of approximately $37.5 million from the Public Offering after deducting underwriting discounts, commissions, and offering expenses payable by the Company.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1" w:name="page132"/>
    <w:bookmarkEnd w:id="131"/>
    <w:p>
      <w:pPr>
        <w:jc w:val="both"/>
        <w:spacing w:after="0" w:line="277" w:lineRule="auto"/>
        <w:rPr>
          <w:sz w:val="20"/>
          <w:szCs w:val="20"/>
          <w:color w:val="auto"/>
        </w:rPr>
      </w:pPr>
      <w:r>
        <w:rPr>
          <w:rFonts w:ascii="Arial" w:cs="Arial" w:eastAsia="Arial" w:hAnsi="Arial"/>
          <w:sz w:val="18"/>
          <w:szCs w:val="18"/>
          <w:color w:val="auto"/>
        </w:rPr>
        <w:t>The Public Offering was made pursuant to the Company’s effective Registration Statement on Form S-3 previously filed with the Securities and Exchange Commission on November 29, 2021 and a prospectus supplement, dated November 16, 2022, relating to the Offering.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7, 2022, the Company entered into subscription agreements (the April 2022 Subscription Agreements) with a consortium of investors (the April 2022 Investors), including three members of our Board of Directors and other existing shareholders of the Company, for the issuance and sale by the Company of 6,508,376 shares of the Company’s common stock in a private placement offering. The three members of our Board of Directors acquired an aggregate of 3,631,284 shares pursuant to the form of a Subscription Agreement that did not include any registration rights. The remaining 2,877,092 shares were acquired by others pursuant to the form of a Subscription Agreement whereby the Company agreed to file, subject to certain exceptions, a shelf registration statement with respect to resales of such shares with the Securities and Exchange Commission no later than 60 days from April 7, 2022, which the Company filed on June 6, 2022.</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April 2022 Subscription Agreements, the April 2022 Investors purchased shares at a purchase price (determined in accordance with NASDAQ rules relating to the “Minimum Value” of the Company’s common stock) of $1.79 per share, which is equal to the closing price of the Company's common stock on April 7, 2022, for an aggregate purchase price of approximately $11.7 million. The April 2022 Subscription Agreements include customary representations, warranties and covenants by the parties to the agreement.</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21, 2022, the Company entered into subscription agreements (the November 2022 Subscription Agreements) with certain members of management (the November 2022 Investors), including the Company’s Chief Executive Officer and Chief Financial Officer, for the issuance and sale by the Company of an aggregate of 235,056 shares of the Company’s common stock in a private placement offering. The November 2022 Subscription Agreement did not include any registration rights and included lock up restrictions that will be in effect during the period ending 90 days subsequent to November 21, 2022.</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November 2022 Subscription Agreements, the November 2022 Investors purchased shares at a purchase price (determined in accordance with NASDAQ rules relating to the “Minimum Value” of the Company’s common stock) of $1.15 per share, which is equal to the public offer price in the Public Offering, for an aggregate purchase price of approximately $270,000. The November 2022 Subscription Agreements include customary representations, warranties and covenants by the parties to the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2018, the Company issued warrants to purchase shares of convertible preferred stock in conjunction with the sale of certain convertible preferred shares and issuance of debt.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Through the effective date of the Company’s initial public offering (IPO) in October 2020, the Series G warrants were remeasured to an estimate of fair value using a Black-Scholes pricing model. As a result of the Company’s IPO, the preferred stock warrants were automatically converted to warrants to purchase 103,326 shares of common stock with a weighted average exercise price of $4.46 and were also transferred to additional paid-in capital. All Series G common stock warrants remain outstanding as of December 31, 2022.</w:t>
      </w:r>
    </w:p>
    <w:p>
      <w:pPr>
        <w:spacing w:after="0" w:line="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On November 21, 2022, as consideration for the Perceptive Term Loan Facility (see Note 8 - </w:t>
      </w:r>
      <w:r>
        <w:rPr>
          <w:rFonts w:ascii="Arial" w:cs="Arial" w:eastAsia="Arial" w:hAnsi="Arial"/>
          <w:sz w:val="16"/>
          <w:szCs w:val="16"/>
          <w:i w:val="1"/>
          <w:iCs w:val="1"/>
          <w:color w:val="auto"/>
        </w:rPr>
        <w:t>Debt</w:t>
      </w:r>
      <w:r>
        <w:rPr>
          <w:rFonts w:ascii="Arial" w:cs="Arial" w:eastAsia="Arial" w:hAnsi="Arial"/>
          <w:sz w:val="16"/>
          <w:szCs w:val="16"/>
          <w:color w:val="auto"/>
        </w:rPr>
        <w:t xml:space="preserve">), the Company issued the Perceptive Warrant to purchase up to 5,000,000 shares of the Company's common stock, including the Initial Warrants. In addition to the Initial Warrants, the Additional Warrants will each become exercisable into 1,000,000 shares of common stock concurrently with the borrowing date of the Tranche B and C Loans, respectively. The Company accounts for the Additional Warrants as liabilities as the Additional Warrants do not meet the criteria for equity treatment (see Note 4 - </w:t>
      </w:r>
      <w:r>
        <w:rPr>
          <w:rFonts w:ascii="Arial" w:cs="Arial" w:eastAsia="Arial" w:hAnsi="Arial"/>
          <w:sz w:val="16"/>
          <w:szCs w:val="16"/>
          <w:i w:val="1"/>
          <w:iCs w:val="1"/>
          <w:color w:val="auto"/>
        </w:rPr>
        <w:t>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The per share exercise price for the Initial Warrants is equal to $1.0648, which is equal to the lower of (A) the 10-day VWAP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on the business day immediately prior to the Closing Date of the Tranche A Loan or (B) the public offering price per share of common stock of $1.15. The Initial Warrants are equity classified and were immediately exercisable upon issuance and expire on November 21, 2032. The Initial Warrants were valued at $2.9 million using the Black-Scholes option-pricing model assuming an expected term of 10 years, a volatility of 81.3%, a dividend yield of 0% and a risk-free interest rate of 3.67%. All Initial Warrants remain outstanding as of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Revenue and Accounts Receivable Credit Concentration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Diagnostic test revenues consist of blood-based lung tests and COVID-19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2" w:name="page133"/>
    <w:bookmarkEnd w:id="132"/>
    <w:p>
      <w:pPr>
        <w:jc w:val="both"/>
        <w:ind w:right="60"/>
        <w:spacing w:after="0" w:line="259" w:lineRule="auto"/>
        <w:rPr>
          <w:sz w:val="20"/>
          <w:szCs w:val="20"/>
          <w:color w:val="auto"/>
        </w:rPr>
      </w:pPr>
      <w:r>
        <w:rPr>
          <w:rFonts w:ascii="Arial" w:cs="Arial" w:eastAsia="Arial" w:hAnsi="Arial"/>
          <w:sz w:val="18"/>
          <w:szCs w:val="18"/>
          <w:color w:val="auto"/>
        </w:rPr>
        <w:t>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spacing w:after="0" w:line="7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or other contractually defined milestone(s), to the customer. Revenue for these services is recognized upon delivery of the completed test results, or upon completion of the contractual milestone(s).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Revenues consisted of the following (in thousands):</w:t>
            </w: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44"/>
        </w:trPr>
        <w:tc>
          <w:tcPr>
            <w:tcW w:w="770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r>
      <w:tr>
        <w:trPr>
          <w:trHeight w:val="238"/>
        </w:trPr>
        <w:tc>
          <w:tcPr>
            <w:tcW w:w="7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20"/>
                <w:szCs w:val="20"/>
                <w:color w:val="auto"/>
              </w:rPr>
            </w:pPr>
          </w:p>
        </w:tc>
      </w:tr>
      <w:tr>
        <w:trPr>
          <w:trHeight w:val="24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tests</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34,538</w:t>
            </w:r>
          </w:p>
        </w:tc>
        <w:tc>
          <w:tcPr>
            <w:tcW w:w="160" w:type="dxa"/>
            <w:vAlign w:val="bottom"/>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48,937</w:t>
            </w: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Services</w:t>
            </w:r>
          </w:p>
        </w:tc>
        <w:tc>
          <w:tcPr>
            <w:tcW w:w="10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3,674</w:t>
            </w:r>
          </w:p>
        </w:tc>
        <w:tc>
          <w:tcPr>
            <w:tcW w:w="16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5,569</w:t>
            </w:r>
          </w:p>
        </w:tc>
      </w:tr>
      <w:tr>
        <w:trPr>
          <w:trHeight w:val="276"/>
        </w:trPr>
        <w:tc>
          <w:tcPr>
            <w:tcW w:w="7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38,212</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54,506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5989955</wp:posOffset>
            </wp:positionH>
            <wp:positionV relativeFrom="paragraph">
              <wp:posOffset>-24765</wp:posOffset>
            </wp:positionV>
            <wp:extent cx="1111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1111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Deferred revenue consists of cash payments from customers received in advance of delivery. As test results are delivered, the Company recognizes the deferred revenue in ‘Revenues’ in the statements of operations. Of the $1.9 million in ‘Deferred revenue’ recorded in the balance sheet as of December 31, 2021, $1.2 million was recognized in revenues during the year ended December 31, 2022. In addition, $0.7 million was added to ‘Deferred revenue’ for up-front cash payments received for which the revenue recognition criteria have not been met and $0.4 million was reclassed to non-current deferred revenue. The ‘Deferred revenue’ of $1.0 million recorded in the balance sheet as of December 31, 2022 is expected to be recognized in revenues over the next twelve months as test results are delivered and services are performed. As of December 31, 2022 and 2021, the Company had $0.4 million and $0.8 million in non-current deferred revenue, respectively, recorded within ‘Other long-term liabilities’ in the balance sheets which represent amounts to be recognized in excess of twelve months from the respective balance sheet date.</w:t>
      </w:r>
    </w:p>
    <w:p>
      <w:pPr>
        <w:spacing w:after="0" w:line="7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Company’s customers in excess of 10% of total revenue both pertain to our COVID-19 diagnostic testing services, and their related revenue as a percentage of total revenue were as follows:</w:t>
      </w:r>
    </w:p>
    <w:p>
      <w:pPr>
        <w:spacing w:after="0" w:line="138"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0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State of Colorado</w:t>
            </w:r>
          </w:p>
        </w:tc>
        <w:tc>
          <w:tcPr>
            <w:tcW w:w="13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580" w:type="dxa"/>
            <w:vAlign w:val="bottom"/>
            <w:shd w:val="clear" w:color="auto" w:fill="CCEEFF"/>
          </w:tcPr>
          <w:p>
            <w:pPr>
              <w:ind w:left="13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The Big Ten Conference</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740" w:type="dxa"/>
            <w:vAlign w:val="bottom"/>
            <w:gridSpan w:val="3"/>
          </w:tcPr>
          <w:p>
            <w:pPr>
              <w:ind w:left="1380"/>
              <w:spacing w:after="0"/>
              <w:rPr>
                <w:sz w:val="20"/>
                <w:szCs w:val="20"/>
                <w:color w:val="auto"/>
              </w:rPr>
            </w:pPr>
            <w:r>
              <w:rPr>
                <w:rFonts w:ascii="Arial" w:cs="Arial" w:eastAsia="Arial" w:hAnsi="Arial"/>
                <w:sz w:val="18"/>
                <w:szCs w:val="18"/>
                <w:color w:val="auto"/>
                <w:w w:val="82"/>
              </w:rPr>
              <w:t>40 %</w:t>
            </w:r>
          </w:p>
        </w:tc>
      </w:tr>
    </w:tbl>
    <w:p>
      <w:pPr>
        <w:spacing w:after="0" w:line="18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addition to the above table, we collect reimbursement on behalf of customers covered by Medicare, which accounted for 37% and 18% of the Company’s total revenue for the years ended December 31, 2022 and 2021, respectively. The Company is subject to credit risk from its accounts receivable related to services provided to its customers.</w:t>
      </w:r>
    </w:p>
    <w:p>
      <w:pPr>
        <w:spacing w:after="0" w:line="7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Company’s third-party payors and other customers in excess of 10% of accounts receivable, and their related accounts receivable as a percentage of total accounts receivable were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00" w:type="dxa"/>
            <w:vAlign w:val="bottom"/>
          </w:tcPr>
          <w:p>
            <w:pPr>
              <w:spacing w:after="0"/>
              <w:rPr>
                <w:sz w:val="20"/>
                <w:szCs w:val="20"/>
                <w:color w:val="auto"/>
              </w:rPr>
            </w:pPr>
          </w:p>
        </w:tc>
        <w:tc>
          <w:tcPr>
            <w:tcW w:w="254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b w:val="1"/>
                <w:bCs w:val="1"/>
                <w:color w:val="auto"/>
                <w:w w:val="89"/>
              </w:rPr>
              <w:t>As of December 31,</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7600" w:type="dxa"/>
            <w:vAlign w:val="bottom"/>
          </w:tcPr>
          <w:p>
            <w:pPr>
              <w:spacing w:after="0"/>
              <w:rPr>
                <w:sz w:val="20"/>
                <w:szCs w:val="20"/>
                <w:color w:val="auto"/>
              </w:rPr>
            </w:pPr>
          </w:p>
        </w:tc>
        <w:tc>
          <w:tcPr>
            <w:tcW w:w="17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Medicare</w:t>
            </w:r>
          </w:p>
        </w:tc>
        <w:tc>
          <w:tcPr>
            <w:tcW w:w="1760" w:type="dxa"/>
            <w:vAlign w:val="bottom"/>
          </w:tcPr>
          <w:p>
            <w:pPr>
              <w:ind w:left="1560"/>
              <w:spacing w:after="0"/>
              <w:rPr>
                <w:sz w:val="20"/>
                <w:szCs w:val="20"/>
                <w:color w:val="auto"/>
              </w:rPr>
            </w:pPr>
            <w:r>
              <w:rPr>
                <w:rFonts w:ascii="Arial" w:cs="Arial" w:eastAsia="Arial" w:hAnsi="Arial"/>
                <w:sz w:val="18"/>
                <w:szCs w:val="18"/>
                <w:color w:val="auto"/>
                <w:w w:val="89"/>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tcPr>
          <w:p>
            <w:pPr>
              <w:spacing w:after="0"/>
              <w:rPr>
                <w:sz w:val="20"/>
                <w:szCs w:val="20"/>
                <w:color w:val="auto"/>
              </w:rPr>
            </w:pPr>
          </w:p>
        </w:tc>
        <w:tc>
          <w:tcPr>
            <w:tcW w:w="1000" w:type="dxa"/>
            <w:vAlign w:val="bottom"/>
          </w:tcPr>
          <w:p>
            <w:pPr>
              <w:ind w:left="800"/>
              <w:spacing w:after="0"/>
              <w:rPr>
                <w:sz w:val="20"/>
                <w:szCs w:val="20"/>
                <w:color w:val="auto"/>
              </w:rPr>
            </w:pPr>
            <w:r>
              <w:rPr>
                <w:rFonts w:ascii="Arial" w:cs="Arial" w:eastAsia="Arial" w:hAnsi="Arial"/>
                <w:sz w:val="18"/>
                <w:szCs w:val="18"/>
                <w:color w:val="auto"/>
                <w:w w:val="89"/>
              </w:rPr>
              <w:t>30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7600" w:type="dxa"/>
            <w:vAlign w:val="bottom"/>
          </w:tcPr>
          <w:p>
            <w:pPr>
              <w:ind w:left="20"/>
              <w:spacing w:after="0"/>
              <w:rPr>
                <w:sz w:val="20"/>
                <w:szCs w:val="20"/>
                <w:color w:val="auto"/>
              </w:rPr>
            </w:pPr>
            <w:r>
              <w:rPr>
                <w:rFonts w:ascii="Arial" w:cs="Arial" w:eastAsia="Arial" w:hAnsi="Arial"/>
                <w:sz w:val="18"/>
                <w:szCs w:val="18"/>
                <w:color w:val="auto"/>
              </w:rPr>
              <w:t>Astrazeneca UK</w:t>
            </w:r>
          </w:p>
        </w:tc>
        <w:tc>
          <w:tcPr>
            <w:tcW w:w="1960" w:type="dxa"/>
            <w:vAlign w:val="bottom"/>
            <w:gridSpan w:val="2"/>
          </w:tcPr>
          <w:p>
            <w:pPr>
              <w:ind w:left="1560"/>
              <w:spacing w:after="0"/>
              <w:rPr>
                <w:sz w:val="20"/>
                <w:szCs w:val="20"/>
                <w:color w:val="auto"/>
              </w:rPr>
            </w:pPr>
            <w:r>
              <w:rPr>
                <w:rFonts w:ascii="Arial" w:cs="Arial" w:eastAsia="Arial" w:hAnsi="Arial"/>
                <w:sz w:val="18"/>
                <w:szCs w:val="18"/>
                <w:color w:val="auto"/>
                <w:w w:val="92"/>
              </w:rPr>
              <w:t>18 %</w:t>
            </w:r>
          </w:p>
        </w:tc>
        <w:tc>
          <w:tcPr>
            <w:tcW w:w="58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Janssen Research and Development, LLC</w:t>
            </w:r>
          </w:p>
        </w:tc>
        <w:tc>
          <w:tcPr>
            <w:tcW w:w="2540" w:type="dxa"/>
            <w:vAlign w:val="bottom"/>
            <w:gridSpan w:val="3"/>
          </w:tcPr>
          <w:p>
            <w:pPr>
              <w:ind w:left="15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w w:val="82"/>
              </w:rPr>
              <w:t>14 %</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LabCorp DD (formerly Covance)</w:t>
            </w:r>
          </w:p>
        </w:tc>
        <w:tc>
          <w:tcPr>
            <w:tcW w:w="2540" w:type="dxa"/>
            <w:vAlign w:val="bottom"/>
            <w:gridSpan w:val="3"/>
          </w:tcPr>
          <w:p>
            <w:pPr>
              <w:ind w:left="15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w w:val="82"/>
              </w:rPr>
              <w:t>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 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Predecessor 2016 and 2006 Equity Incentive Plans</w:t>
      </w:r>
    </w:p>
    <w:p>
      <w:pPr>
        <w:spacing w:after="0" w:line="11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Under the 2006 Equity Incentive Plan (2006 Plan), the Company was authorized to grant incentive stock options, non-statutory stock options, stock appreciation rights, restricted stock awards and RSUs. No additional awards may be granted under the 2006 Plan.</w:t>
      </w:r>
    </w:p>
    <w:p>
      <w:pPr>
        <w:spacing w:after="0" w:line="6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February 2016, the Company adopted the 2016 Equity Incentive Plan (2016 Plan) as a successor to and continuation of the prior 2006 Plan. The 2016 Plan provided for the grant of incentive stock options, non-statutory stock options, stock appreciation rights, restricted stock awards, RSUs, and other stock awards to directors, employees, and consultant. Awards granted under the 2016 Plan or the 2006</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133" w:name="page134"/>
    <w:bookmarkEnd w:id="133"/>
    <w:p>
      <w:pPr>
        <w:jc w:val="both"/>
        <w:spacing w:after="0" w:line="259" w:lineRule="auto"/>
        <w:rPr>
          <w:sz w:val="20"/>
          <w:szCs w:val="20"/>
          <w:color w:val="auto"/>
        </w:rPr>
      </w:pPr>
      <w:r>
        <w:rPr>
          <w:rFonts w:ascii="Arial" w:cs="Arial" w:eastAsia="Arial" w:hAnsi="Arial"/>
          <w:sz w:val="18"/>
          <w:szCs w:val="18"/>
          <w:color w:val="auto"/>
        </w:rPr>
        <w:t>Plan that were unallocated, expired or otherwise terminated, or were forfeited, cancelled, or repurchased by the Company, became available for future issuance under the 2016 Plan. In addition, shares subject to an award were withheld to satisfy a participant’s tax withholding obligations, or were reacquired by the Company as consideration for the exercise or purchase price of a stock award also became available for future issuance under the 2016 Incentive Plan. No additional awards may be granted under the 2016 Plan.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Equity Incentive Plan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upon the closing of our IPO, the Company’s Board of Directors approved the 2020 Equity Incentive Plan (2020 Plan), which replaced the 2016 Plan. The 2020 Plan provides for the grant of incentive stock options, non-statutory stock options, stock appreciation rights, restricted stock awards, RSUs, performance awards and other stock awards. Officers, directors, employees, consultants, agents, and independent contractors who provide services to the Company may receive awards. The terms of all awards are governed by an agreement between the Company and the recipients, as administered and approved by the Compensation Committee of the Board of Directors). Any awards that expire or are forfeited under the 2016 Plan or 2006 Plan become available for issuance under the 2020 Plan.</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number of shares originally reserved for issuance under the 2020 Plan was 1,893,395. The 2020 Plan includes an annual increase on the first day of each calendar year, beginning with the calendar year ending December 31, 2022, and continuing until, and including, the calendar year ending December 31, 2030. The annual increase will be equal to the lesser of (i) 4% of the number of shares of our common stock issued and outstanding as of December 31st of the immediately preceding calendar year and (ii) such lesser amount determined by the Board of Directors.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the extent an equity award granted under the 2020 Plan (other than any substitute award) or granted under any other equity plan maintained by us under which awards are outstanding as of the effective date of the 2020 Plan (the Prior Plans) expires or otherwise terminates without having been exercised or paid in full, or is settled in cash, the shares subject to such award will become available for future grant under the 2020 Plan. In addition, to the extent shares subject to an award are withheld to satisfy a participant’s tax withholding obligation upon the exercise or settlement of such award (other than any substitute award) or to pay the exercise price of a stock option granted under the 2020 Plan or a prior plan, such shares will become available for future grant under the 2020 Plan. The total number of shares available for grant under all plans as of December 31, 2022 was 233,519.</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with our IPO in October 2020, the Company’s Board of Directors and its stockholders approved the Company’s Employee Stock Purchase Plan (the ESPP). The number of shares originally reserved for issuance under the ESPP was 338,106. The maximum number of shares of our common stock available under the ESPP will automatically increase on the first trading day of each calendar year by an amount equal to the lesser of (i) 1% of the shares of our common stock issued and outstanding on December 31st of the immediately preceding calendar year, and (ii) an amount determined by our Board of Directors.</w:t>
      </w:r>
    </w:p>
    <w:p>
      <w:pPr>
        <w:spacing w:after="0" w:line="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No employee may participate in an offering period if the employee owns 5% or more of the total combined voting power or value of the Company’s stock. The initial offering period was from January 1, 2021 through August 31, 2021. On a go-forward basis, the ESPP provides for successive six-month offering periods beginning on September 1st and March 1st of each year. As of December 31, 2022, 237,961 shares have been issued under the ESPP leaving 100,145 shares remaining for future issuance.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Awards Granted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granted incentive stock options, non-statutory stock options, performance-based stock options, and RSUs.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Incentive stock options, which may only be issued to employees, are granted at an exercise price per share equal to the closing market price of the Company’s common stock on the grant date, and vest over time as determined by the Compensation Committee, provided that the term of the options may not exceed ten years from the date of grant. Accelerated vesting may occur in the event of an optionee's death, disability, or other events.</w:t>
      </w:r>
    </w:p>
    <w:p>
      <w:pPr>
        <w:spacing w:after="0" w:line="4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Non-statutory stock options, which may be issued to employees, non-employees and directors, are granted at an exercise price per share equal to the closing market price of the Company’s common stock on the grant date, and vest over time as determined by the Compensation Committee, provided that the term of the options may not exceed ten years from the date of grant. Accelerated vesting may occur in the event of an optionee's death, disability, or other events.</w:t>
      </w:r>
    </w:p>
    <w:p>
      <w:pPr>
        <w:spacing w:after="0" w:line="4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Performance-based stock options are typically granted on an annual basis and consist of a performance-based and service-based component. The performance targets and vesting conditions for performance-condition options are based on achievement of recognized revenue targets. Performance-based options vest in three equal annual installments beginning one year after the grant date, pending certification of performance achievement by the Compensation Committee and continued service. The fair value of performance-condition awards is based on the closing market price of the Company’s common stock on the grant date. There are no performance-based stock options outstanding as of December 31, 2022.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4" w:name="page135"/>
    <w:bookmarkEnd w:id="134"/>
    <w:p>
      <w:pPr>
        <w:jc w:val="both"/>
        <w:spacing w:after="0" w:line="263" w:lineRule="auto"/>
        <w:rPr>
          <w:sz w:val="20"/>
          <w:szCs w:val="20"/>
          <w:color w:val="auto"/>
        </w:rPr>
      </w:pPr>
      <w:r>
        <w:rPr>
          <w:rFonts w:ascii="Arial" w:cs="Arial" w:eastAsia="Arial" w:hAnsi="Arial"/>
          <w:sz w:val="18"/>
          <w:szCs w:val="18"/>
          <w:color w:val="auto"/>
        </w:rPr>
        <w:t>RSUs and the related terms and conditions are awarded at the discretion of the Compensation Committee. RSU holders have a contractual right to receive a share of common stock when vested. RSUs vest over time as determined by the Compensation Committee. RSU agreements may provide for accelerated vesting in the event of a stock unit holder's death, disability, or retirement or other events.</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Compensation Committee may grant other stock awards that are based on or related to shares of our common stock, such as awards of shares of common stock granted as bonus and not subject to any vesting conditions, deferred stock units, stock purchase rights, and shares of our common stock issued in lieu of our obligations to pay cash under any compensatory plan or arrangement.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Bonus-To-Options Program</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also has a Bonus-to-Options Program (the Bonus Option Program) which is separate from previously described plans and was initially adopted by the Board of Directors in 2008, and subsequently amended and restated in 2010, 2011, 2015, and 2022. For fiscal year 2022, the Bonus Option Program is subject to the shares reserved under the 2020 Plan. The Bonus Option Program, which is limited to participation of the Chief Executive Officer, direct reports to the Chief Executive Officer and Vice Presidents of the Company, allows participants who so elect to convert all or a portion of their annual cash bonus into fully vested, non-qualified stock options to purchase shares of common stock (Bonus Options). The exercise price for the options under the Bonus Option Program equals the closing market price of the Company's common stock on the grant date, as disclosed below under “</w:t>
      </w:r>
      <w:r>
        <w:rPr>
          <w:rFonts w:ascii="Arial" w:cs="Arial" w:eastAsia="Arial" w:hAnsi="Arial"/>
          <w:sz w:val="17"/>
          <w:szCs w:val="17"/>
          <w:i w:val="1"/>
          <w:iCs w:val="1"/>
          <w:color w:val="auto"/>
        </w:rPr>
        <w:t>Fair Value of</w:t>
      </w:r>
      <w:r>
        <w:rPr>
          <w:rFonts w:ascii="Arial" w:cs="Arial" w:eastAsia="Arial" w:hAnsi="Arial"/>
          <w:sz w:val="17"/>
          <w:szCs w:val="17"/>
          <w:color w:val="auto"/>
        </w:rPr>
        <w:t xml:space="preserve"> </w:t>
      </w:r>
      <w:r>
        <w:rPr>
          <w:rFonts w:ascii="Arial" w:cs="Arial" w:eastAsia="Arial" w:hAnsi="Arial"/>
          <w:sz w:val="17"/>
          <w:szCs w:val="17"/>
          <w:i w:val="1"/>
          <w:iCs w:val="1"/>
          <w:color w:val="auto"/>
        </w:rPr>
        <w:t>Common Stock</w:t>
      </w:r>
      <w:r>
        <w:rPr>
          <w:rFonts w:ascii="Arial" w:cs="Arial" w:eastAsia="Arial" w:hAnsi="Arial"/>
          <w:sz w:val="17"/>
          <w:szCs w:val="17"/>
          <w:color w:val="auto"/>
        </w:rPr>
        <w:t>”. Bonus Options issued must be exercised within a ten-year term.</w:t>
      </w:r>
    </w:p>
    <w:p>
      <w:pPr>
        <w:spacing w:after="0" w:line="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recorded the following activity related to the Bonus Option Program during the year ended December 31, 2022 (in thousands, excepted weighted average exercise price and weighted average contractual life):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270"/>
              <w:spacing w:after="0"/>
              <w:rPr>
                <w:sz w:val="20"/>
                <w:szCs w:val="20"/>
                <w:color w:val="auto"/>
              </w:rPr>
            </w:pPr>
            <w:r>
              <w:rPr>
                <w:rFonts w:ascii="Arial" w:cs="Arial" w:eastAsia="Arial" w:hAnsi="Arial"/>
                <w:sz w:val="18"/>
                <w:szCs w:val="18"/>
                <w:b w:val="1"/>
                <w:bCs w:val="1"/>
                <w:color w:val="auto"/>
                <w:w w:val="93"/>
              </w:rPr>
              <w:t>Number of</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Weighted Average</w:t>
            </w:r>
          </w:p>
        </w:tc>
        <w:tc>
          <w:tcPr>
            <w:tcW w:w="24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Intrinsic</w:t>
            </w:r>
          </w:p>
        </w:tc>
        <w:tc>
          <w:tcPr>
            <w:tcW w:w="100" w:type="dxa"/>
            <w:vAlign w:val="bottom"/>
          </w:tcPr>
          <w:p>
            <w:pPr>
              <w:spacing w:after="0"/>
              <w:rPr>
                <w:sz w:val="18"/>
                <w:szCs w:val="18"/>
                <w:color w:val="auto"/>
              </w:rPr>
            </w:pPr>
          </w:p>
        </w:tc>
      </w:tr>
      <w:tr>
        <w:trPr>
          <w:trHeight w:val="241"/>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8"/>
              </w:rPr>
              <w:t>Options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Exercise Price</w:t>
            </w:r>
          </w:p>
        </w:tc>
        <w:tc>
          <w:tcPr>
            <w:tcW w:w="24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 (Years)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r>
      <w:tr>
        <w:trPr>
          <w:trHeight w:val="243"/>
        </w:trPr>
        <w:tc>
          <w:tcPr>
            <w:tcW w:w="4000" w:type="dxa"/>
            <w:vAlign w:val="bottom"/>
            <w:gridSpan w:val="2"/>
            <w:shd w:val="clear" w:color="auto" w:fill="CFF0FC"/>
          </w:tcPr>
          <w:p>
            <w:pPr>
              <w:ind w:left="20"/>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January 1, 2022</w:t>
            </w:r>
          </w:p>
        </w:tc>
        <w:tc>
          <w:tcPr>
            <w:tcW w:w="13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40" w:type="dxa"/>
            <w:vAlign w:val="bottom"/>
            <w:shd w:val="clear" w:color="auto" w:fill="CFF0FC"/>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21"/>
                <w:szCs w:val="21"/>
                <w:color w:val="auto"/>
              </w:rPr>
            </w:pPr>
          </w:p>
        </w:tc>
      </w:tr>
      <w:tr>
        <w:trPr>
          <w:trHeight w:val="236"/>
        </w:trPr>
        <w:tc>
          <w:tcPr>
            <w:tcW w:w="400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1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32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Forfeited/canceled</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(91 )</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5320" w:type="dxa"/>
            <w:vAlign w:val="bottom"/>
            <w:gridSpan w:val="3"/>
          </w:tcPr>
          <w:p>
            <w:pPr>
              <w:ind w:left="200"/>
              <w:spacing w:after="0"/>
              <w:rPr>
                <w:sz w:val="20"/>
                <w:szCs w:val="20"/>
                <w:color w:val="auto"/>
              </w:rPr>
            </w:pPr>
            <w:r>
              <w:rPr>
                <w:rFonts w:ascii="Arial" w:cs="Arial" w:eastAsia="Arial" w:hAnsi="Arial"/>
                <w:sz w:val="18"/>
                <w:szCs w:val="18"/>
                <w:color w:val="auto"/>
              </w:rPr>
              <w:t>Exercised</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0"/>
        </w:trPr>
        <w:tc>
          <w:tcPr>
            <w:tcW w:w="388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December 31, 2022</w:t>
            </w:r>
          </w:p>
        </w:tc>
        <w:tc>
          <w:tcPr>
            <w:tcW w:w="12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top w:val="single" w:sz="8" w:color="auto"/>
              <w:bottom w:val="single" w:sz="8" w:color="auto"/>
            </w:tcBorders>
            <w:shd w:val="clear" w:color="auto" w:fill="CFF0FC"/>
          </w:tcPr>
          <w:p>
            <w:pPr>
              <w:spacing w:after="0"/>
              <w:rPr>
                <w:sz w:val="23"/>
                <w:szCs w:val="23"/>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240" w:type="dxa"/>
            <w:vAlign w:val="bottom"/>
            <w:tcBorders>
              <w:bottom w:val="single" w:sz="8" w:color="CFF0FC"/>
            </w:tcBorders>
            <w:shd w:val="clear" w:color="auto" w:fill="CFF0FC"/>
          </w:tcPr>
          <w:p>
            <w:pPr>
              <w:spacing w:after="0"/>
              <w:rPr>
                <w:sz w:val="23"/>
                <w:szCs w:val="23"/>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bottom w:val="single" w:sz="8" w:color="CFF0FC"/>
            </w:tcBorders>
            <w:gridSpan w:val="2"/>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3"/>
        </w:trPr>
        <w:tc>
          <w:tcPr>
            <w:tcW w:w="38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Exercisable </w:t>
            </w:r>
            <w:r>
              <w:rPr>
                <w:rFonts w:ascii="MS PGothic" w:cs="MS PGothic" w:eastAsia="MS PGothic" w:hAnsi="MS PGothic"/>
                <w:sz w:val="18"/>
                <w:szCs w:val="18"/>
                <w:color w:val="auto"/>
              </w:rPr>
              <w:t>‑</w:t>
            </w:r>
            <w:r>
              <w:rPr>
                <w:rFonts w:ascii="Arial" w:cs="Arial" w:eastAsia="Arial" w:hAnsi="Arial"/>
                <w:sz w:val="18"/>
                <w:szCs w:val="18"/>
                <w:color w:val="auto"/>
              </w:rPr>
              <w:t xml:space="preserve"> December 31, 2022</w:t>
            </w:r>
          </w:p>
        </w:tc>
        <w:tc>
          <w:tcPr>
            <w:tcW w:w="1440" w:type="dxa"/>
            <w:vAlign w:val="bottom"/>
            <w:gridSpan w:val="2"/>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10.69</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-205105</wp:posOffset>
            </wp:positionV>
            <wp:extent cx="3536315" cy="2057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3">
                      <a:extLst>
                        <a:ext uri="{28A0092B-C50C-407E-A947-70E740481C1C}"/>
                      </a:extLst>
                    </a:blip>
                    <a:srcRect/>
                    <a:stretch>
                      <a:fillRect/>
                    </a:stretch>
                  </pic:blipFill>
                  <pic:spPr bwMode="auto">
                    <a:xfrm>
                      <a:off x="0" y="0"/>
                      <a:ext cx="3536315" cy="205740"/>
                    </a:xfrm>
                    <a:prstGeom prst="rect">
                      <a:avLst/>
                    </a:prstGeom>
                    <a:noFill/>
                  </pic:spPr>
                </pic:pic>
              </a:graphicData>
            </a:graphic>
          </wp:anchor>
        </w:drawing>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recorded $1.1 million and $0.8 million during the years ended December 31, 2022 and 2021, respectively, associated with the estimate of options to be delivered to eligible participants under the Bonus Option Program and which were granted in the first quarter of 2023 and 2022, respectively, by the Compensation Committee of the Board of Directors. In determining the amount of share-based compensation to recognize under the Bonus Option Program, the Company estimates the bonus attainment for the year and determines the expected number of options to be delivered to eligible participants. A Black-Scholes option pricing model is used to determine the estimated fair value of the expected number of options to be delivered to eligible participants. The key elements in determining the estimated fair value include assumptions for volatility, the risk-free interest rate, expected dividends and strike price, utilizing the measurement date closing stock price until the grants are authorized.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reported in the Company’s statements of operations was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2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4"/>
              </w:rPr>
              <w:t>Year Ended December 31,</w:t>
            </w:r>
          </w:p>
        </w:tc>
        <w:tc>
          <w:tcPr>
            <w:tcW w:w="1620" w:type="dxa"/>
            <w:vAlign w:val="bottom"/>
            <w:tcBorders>
              <w:bottom w:val="single" w:sz="8" w:color="auto"/>
            </w:tcBorders>
          </w:tcPr>
          <w:p>
            <w:pPr>
              <w:spacing w:after="0"/>
              <w:rPr>
                <w:sz w:val="20"/>
                <w:szCs w:val="20"/>
                <w:color w:val="auto"/>
              </w:rPr>
            </w:pPr>
          </w:p>
        </w:tc>
      </w:tr>
      <w:tr>
        <w:trPr>
          <w:trHeight w:val="238"/>
        </w:trPr>
        <w:tc>
          <w:tcPr>
            <w:tcW w:w="5920" w:type="dxa"/>
            <w:vAlign w:val="bottom"/>
          </w:tcPr>
          <w:p>
            <w:pPr>
              <w:spacing w:after="0"/>
              <w:rPr>
                <w:sz w:val="20"/>
                <w:szCs w:val="20"/>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2021</w:t>
            </w:r>
          </w:p>
        </w:tc>
      </w:tr>
      <w:tr>
        <w:trPr>
          <w:trHeight w:val="24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costs and expenses</w:t>
            </w:r>
          </w:p>
        </w:tc>
        <w:tc>
          <w:tcPr>
            <w:tcW w:w="15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r>
      <w:tr>
        <w:trPr>
          <w:trHeight w:val="236"/>
        </w:trPr>
        <w:tc>
          <w:tcPr>
            <w:tcW w:w="59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427</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572</w:t>
            </w:r>
          </w:p>
        </w:tc>
      </w:tr>
      <w:tr>
        <w:trPr>
          <w:trHeight w:val="243"/>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marketing, general and administrative</w:t>
            </w:r>
          </w:p>
        </w:tc>
        <w:tc>
          <w:tcPr>
            <w:tcW w:w="1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5,469</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4,323</w:t>
            </w:r>
          </w:p>
        </w:tc>
      </w:tr>
      <w:tr>
        <w:trPr>
          <w:trHeight w:val="236"/>
        </w:trPr>
        <w:tc>
          <w:tcPr>
            <w:tcW w:w="5920" w:type="dxa"/>
            <w:vAlign w:val="bottom"/>
          </w:tcPr>
          <w:p>
            <w:pPr>
              <w:ind w:left="200"/>
              <w:spacing w:after="0"/>
              <w:rPr>
                <w:sz w:val="20"/>
                <w:szCs w:val="20"/>
                <w:color w:val="auto"/>
              </w:rPr>
            </w:pPr>
            <w:r>
              <w:rPr>
                <w:rFonts w:ascii="Arial" w:cs="Arial" w:eastAsia="Arial" w:hAnsi="Arial"/>
                <w:sz w:val="18"/>
                <w:szCs w:val="18"/>
                <w:color w:val="auto"/>
              </w:rPr>
              <w:t>Total</w:t>
            </w:r>
          </w:p>
        </w:tc>
        <w:tc>
          <w:tcPr>
            <w:tcW w:w="1500" w:type="dxa"/>
            <w:vAlign w:val="bottom"/>
          </w:tcPr>
          <w:p>
            <w:pPr>
              <w:jc w:val="right"/>
              <w:ind w:right="1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5,961</w:t>
            </w:r>
          </w:p>
        </w:tc>
        <w:tc>
          <w:tcPr>
            <w:tcW w:w="118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4,944</w:t>
            </w:r>
          </w:p>
        </w:tc>
      </w:tr>
      <w:tr>
        <w:trPr>
          <w:trHeight w:val="20"/>
        </w:trPr>
        <w:tc>
          <w:tcPr>
            <w:tcW w:w="59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-187960</wp:posOffset>
            </wp:positionV>
            <wp:extent cx="154305"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4">
                      <a:extLst>
                        <a:ext uri="{28A0092B-C50C-407E-A947-70E740481C1C}"/>
                      </a:extLst>
                    </a:blip>
                    <a:srcRect/>
                    <a:stretch>
                      <a:fillRect/>
                    </a:stretch>
                  </pic:blipFill>
                  <pic:spPr bwMode="auto">
                    <a:xfrm>
                      <a:off x="0" y="0"/>
                      <a:ext cx="154305" cy="188595"/>
                    </a:xfrm>
                    <a:prstGeom prst="rect">
                      <a:avLst/>
                    </a:prstGeom>
                    <a:noFill/>
                  </pic:spPr>
                </pic:pic>
              </a:graphicData>
            </a:graphic>
          </wp:anchor>
        </w:drawing>
      </w:r>
    </w:p>
    <w:p>
      <w:pPr>
        <w:spacing w:after="0" w:line="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unrecognized remaining share-based compensation expense for options and RSUs was approximately $7.1 million as of December 31, 2022 and is expected to be amortized to expense over the next 2.8 years.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Stock option activity during the year ended December 31, 2022, excluding the Bonus Option Program described above, was (in thousands, except weighted average exercise price and weighted average contractual life):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Weighted Average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000" w:type="dxa"/>
            <w:vAlign w:val="bottom"/>
          </w:tcPr>
          <w:p>
            <w:pPr>
              <w:spacing w:after="0"/>
              <w:rPr>
                <w:sz w:val="18"/>
                <w:szCs w:val="18"/>
                <w:color w:val="auto"/>
              </w:rPr>
            </w:pPr>
          </w:p>
        </w:tc>
        <w:tc>
          <w:tcPr>
            <w:tcW w:w="1260" w:type="dxa"/>
            <w:vAlign w:val="bottom"/>
          </w:tcPr>
          <w:p>
            <w:pPr>
              <w:jc w:val="center"/>
              <w:ind w:left="330"/>
              <w:spacing w:after="0"/>
              <w:rPr>
                <w:sz w:val="20"/>
                <w:szCs w:val="20"/>
                <w:color w:val="auto"/>
              </w:rPr>
            </w:pPr>
            <w:r>
              <w:rPr>
                <w:rFonts w:ascii="Arial" w:cs="Arial" w:eastAsia="Arial" w:hAnsi="Arial"/>
                <w:sz w:val="18"/>
                <w:szCs w:val="18"/>
                <w:b w:val="1"/>
                <w:bCs w:val="1"/>
                <w:color w:val="auto"/>
                <w:w w:val="93"/>
              </w:rPr>
              <w:t>Number of</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4000" w:type="dxa"/>
            <w:vAlign w:val="bottom"/>
          </w:tcPr>
          <w:p>
            <w:pPr>
              <w:spacing w:after="0"/>
              <w:rPr>
                <w:sz w:val="20"/>
                <w:szCs w:val="20"/>
                <w:color w:val="auto"/>
              </w:rPr>
            </w:pPr>
          </w:p>
        </w:tc>
        <w:tc>
          <w:tcPr>
            <w:tcW w:w="126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88"/>
              </w:rPr>
              <w:t>Options</w:t>
            </w:r>
          </w:p>
        </w:tc>
        <w:tc>
          <w:tcPr>
            <w:tcW w:w="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Exercise Price</w:t>
            </w:r>
          </w:p>
        </w:tc>
        <w:tc>
          <w:tcPr>
            <w:tcW w:w="120" w:type="dxa"/>
            <w:vAlign w:val="bottom"/>
          </w:tcPr>
          <w:p>
            <w:pPr>
              <w:spacing w:after="0"/>
              <w:rPr>
                <w:sz w:val="20"/>
                <w:szCs w:val="20"/>
                <w:color w:val="auto"/>
              </w:rPr>
            </w:pPr>
          </w:p>
        </w:tc>
        <w:tc>
          <w:tcPr>
            <w:tcW w:w="17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Life (Years)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7"/>
              </w:rPr>
              <w:t>Value</w:t>
            </w: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 January 1, 2022</w:t>
            </w:r>
          </w:p>
        </w:tc>
        <w:tc>
          <w:tcPr>
            <w:tcW w:w="12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4"/>
              </w:rPr>
              <w:t>2,878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6,288</w:t>
            </w:r>
          </w:p>
        </w:tc>
      </w:tr>
      <w:tr>
        <w:trPr>
          <w:trHeight w:val="236"/>
        </w:trPr>
        <w:tc>
          <w:tcPr>
            <w:tcW w:w="526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Forfeited/canceled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(333 )</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gridSpan w:val="2"/>
          </w:tcPr>
          <w:p>
            <w:pPr>
              <w:ind w:left="200"/>
              <w:spacing w:after="0"/>
              <w:rPr>
                <w:sz w:val="20"/>
                <w:szCs w:val="20"/>
                <w:color w:val="auto"/>
              </w:rPr>
            </w:pPr>
            <w:r>
              <w:rPr>
                <w:rFonts w:ascii="Arial" w:cs="Arial" w:eastAsia="Arial" w:hAnsi="Arial"/>
                <w:sz w:val="18"/>
                <w:szCs w:val="18"/>
                <w:color w:val="auto"/>
              </w:rPr>
              <w:t>Exercised</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(384 )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December 31, 2022</w:t>
            </w:r>
          </w:p>
        </w:tc>
        <w:tc>
          <w:tcPr>
            <w:tcW w:w="1260" w:type="dxa"/>
            <w:vAlign w:val="bottom"/>
            <w:tcBorders>
              <w:top w:val="single" w:sz="8" w:color="auto"/>
              <w:bottom w:val="single" w:sz="8" w:color="auto"/>
            </w:tcBorders>
            <w:shd w:val="clear" w:color="auto" w:fill="CCEEFF"/>
          </w:tcPr>
          <w:p>
            <w:pPr>
              <w:spacing w:after="0"/>
              <w:rPr>
                <w:sz w:val="23"/>
                <w:szCs w:val="23"/>
                <w:color w:val="auto"/>
              </w:rPr>
            </w:pPr>
          </w:p>
        </w:tc>
        <w:tc>
          <w:tcPr>
            <w:tcW w:w="5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2,541</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1,489</w:t>
            </w:r>
          </w:p>
        </w:tc>
      </w:tr>
      <w:tr>
        <w:trPr>
          <w:trHeight w:val="223"/>
        </w:trPr>
        <w:tc>
          <w:tcPr>
            <w:tcW w:w="52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Exercisable </w:t>
            </w:r>
            <w:r>
              <w:rPr>
                <w:rFonts w:ascii="MS PGothic" w:cs="MS PGothic" w:eastAsia="MS PGothic" w:hAnsi="MS PGothic"/>
                <w:sz w:val="18"/>
                <w:szCs w:val="18"/>
                <w:color w:val="auto"/>
              </w:rPr>
              <w:t>‑</w:t>
            </w:r>
            <w:r>
              <w:rPr>
                <w:rFonts w:ascii="Arial" w:cs="Arial" w:eastAsia="Arial" w:hAnsi="Arial"/>
                <w:sz w:val="18"/>
                <w:szCs w:val="18"/>
                <w:color w:val="auto"/>
              </w:rPr>
              <w:t xml:space="preserve"> December 31, 2022</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1,525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7.28</w:t>
            </w:r>
          </w:p>
        </w:tc>
        <w:tc>
          <w:tcPr>
            <w:tcW w:w="1860" w:type="dxa"/>
            <w:vAlign w:val="bottom"/>
            <w:gridSpan w:val="2"/>
          </w:tcPr>
          <w:p>
            <w:pPr>
              <w:jc w:val="right"/>
              <w:ind w:right="30"/>
              <w:spacing w:after="0"/>
              <w:rPr>
                <w:sz w:val="20"/>
                <w:szCs w:val="20"/>
                <w:color w:val="auto"/>
              </w:rPr>
            </w:pPr>
            <w:r>
              <w:rPr>
                <w:rFonts w:ascii="Arial" w:cs="Arial" w:eastAsia="Arial" w:hAnsi="Arial"/>
                <w:sz w:val="18"/>
                <w:szCs w:val="18"/>
                <w:color w:val="auto"/>
              </w:rPr>
              <w:t>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1,067</w:t>
            </w:r>
          </w:p>
        </w:tc>
      </w:tr>
      <w:tr>
        <w:trPr>
          <w:trHeight w:val="20"/>
        </w:trPr>
        <w:tc>
          <w:tcPr>
            <w:tcW w:w="40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-205105</wp:posOffset>
            </wp:positionV>
            <wp:extent cx="2551430" cy="2057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6">
                      <a:extLst>
                        <a:ext uri="{28A0092B-C50C-407E-A947-70E740481C1C}"/>
                      </a:extLst>
                    </a:blip>
                    <a:srcRect/>
                    <a:stretch>
                      <a:fillRect/>
                    </a:stretch>
                  </pic:blipFill>
                  <pic:spPr bwMode="auto">
                    <a:xfrm>
                      <a:off x="0" y="0"/>
                      <a:ext cx="2551430" cy="20574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Common Stock</w:t>
      </w:r>
    </w:p>
    <w:p>
      <w:pPr>
        <w:spacing w:after="0" w:line="11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fair value of the Company’s common stock is determined based on its closing market price on the date of grant. The estimated grant date fair value of stock options was calculated using the Black-Scholes option-pricing model, based on the following assumptions:</w:t>
      </w:r>
    </w:p>
    <w:p>
      <w:pPr>
        <w:spacing w:after="0" w:line="62" w:lineRule="exact"/>
        <w:rPr>
          <w:sz w:val="20"/>
          <w:szCs w:val="20"/>
          <w:color w:val="auto"/>
        </w:rPr>
      </w:pPr>
    </w:p>
    <w:p>
      <w:pPr>
        <w:ind w:left="900" w:right="60" w:hanging="383"/>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options granted are expected to be outstanding using the simplified method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mid-point between the vesting date and the end of the contractual term).</w:t>
      </w:r>
    </w:p>
    <w:p>
      <w:pPr>
        <w:spacing w:after="0" w:line="61" w:lineRule="exact"/>
        <w:rPr>
          <w:rFonts w:ascii="Arial" w:cs="Arial" w:eastAsia="Arial" w:hAnsi="Arial"/>
          <w:sz w:val="18"/>
          <w:szCs w:val="18"/>
          <w:color w:val="auto"/>
        </w:rPr>
      </w:pPr>
    </w:p>
    <w:p>
      <w:pPr>
        <w:ind w:left="900" w:right="60" w:hanging="383"/>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an average historical stock price of selected comparable companies over the expected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as the Company does not have sufficient trading history for its common stock.</w:t>
      </w:r>
    </w:p>
    <w:p>
      <w:pPr>
        <w:spacing w:after="0" w:line="61" w:lineRule="exact"/>
        <w:rPr>
          <w:rFonts w:ascii="Arial" w:cs="Arial" w:eastAsia="Arial" w:hAnsi="Arial"/>
          <w:sz w:val="18"/>
          <w:szCs w:val="18"/>
          <w:color w:val="auto"/>
        </w:rPr>
      </w:pPr>
    </w:p>
    <w:p>
      <w:pPr>
        <w:ind w:left="900" w:right="80" w:hanging="383"/>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Company uses the risk-free interest rate over the expected term of the options based on the constant maturity rate</w:t>
      </w:r>
      <w:r>
        <w:rPr>
          <w:rFonts w:ascii="Arial" w:cs="Arial" w:eastAsia="Arial" w:hAnsi="Arial"/>
          <w:sz w:val="18"/>
          <w:szCs w:val="18"/>
          <w:i w:val="1"/>
          <w:iCs w:val="1"/>
          <w:color w:val="auto"/>
        </w:rPr>
        <w:t xml:space="preserve"> </w:t>
      </w:r>
      <w:r>
        <w:rPr>
          <w:rFonts w:ascii="Arial" w:cs="Arial" w:eastAsia="Arial" w:hAnsi="Arial"/>
          <w:sz w:val="18"/>
          <w:szCs w:val="18"/>
          <w:color w:val="auto"/>
        </w:rPr>
        <w:t>of U.S. Treasury securities with similar maturities as of the date of the grant.</w:t>
      </w:r>
    </w:p>
    <w:p>
      <w:pPr>
        <w:spacing w:after="0" w:line="61" w:lineRule="exact"/>
        <w:rPr>
          <w:rFonts w:ascii="Arial" w:cs="Arial" w:eastAsia="Arial" w:hAnsi="Arial"/>
          <w:sz w:val="18"/>
          <w:szCs w:val="18"/>
          <w:color w:val="auto"/>
        </w:rPr>
      </w:pPr>
    </w:p>
    <w:p>
      <w:pPr>
        <w:jc w:val="both"/>
        <w:ind w:left="900" w:right="80" w:hanging="383"/>
        <w:spacing w:after="0" w:line="263"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is currently subject to restrictions on the payment of dividends (see Note 8 -</w:t>
      </w:r>
      <w:r>
        <w:rPr>
          <w:rFonts w:ascii="Arial" w:cs="Arial" w:eastAsia="Arial" w:hAnsi="Arial"/>
          <w:sz w:val="18"/>
          <w:szCs w:val="18"/>
          <w:i w:val="1"/>
          <w:iCs w:val="1"/>
          <w:color w:val="auto"/>
        </w:rPr>
        <w:t xml:space="preserve"> Debt</w:t>
      </w:r>
      <w:r>
        <w:rPr>
          <w:rFonts w:ascii="Arial" w:cs="Arial" w:eastAsia="Arial" w:hAnsi="Arial"/>
          <w:sz w:val="18"/>
          <w:szCs w:val="18"/>
          <w:color w:val="auto"/>
        </w:rPr>
        <w:t>) and no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declared as of December 31, 2022 and 2021. The Company has not paid and does not anticipate paying any dividends in the near future. Therefore, the expected dividend yield was zero.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grant was estimated on the grant date with the following weighted average assumptions for the years indicated:</w:t>
      </w:r>
    </w:p>
    <w:p>
      <w:pPr>
        <w:spacing w:after="0" w:line="126"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80" w:type="dxa"/>
            <w:vAlign w:val="bottom"/>
          </w:tcPr>
          <w:p>
            <w:pPr>
              <w:spacing w:after="0"/>
              <w:rPr>
                <w:sz w:val="21"/>
                <w:szCs w:val="21"/>
                <w:color w:val="auto"/>
              </w:rPr>
            </w:pPr>
          </w:p>
        </w:tc>
        <w:tc>
          <w:tcPr>
            <w:tcW w:w="1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56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1"/>
                <w:szCs w:val="21"/>
                <w:color w:val="auto"/>
              </w:rPr>
            </w:pPr>
          </w:p>
        </w:tc>
      </w:tr>
      <w:tr>
        <w:trPr>
          <w:trHeight w:val="24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8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5.65</w:t>
            </w:r>
          </w:p>
        </w:tc>
        <w:tc>
          <w:tcPr>
            <w:tcW w:w="200" w:type="dxa"/>
            <w:vAlign w:val="bottom"/>
            <w:shd w:val="clear" w:color="auto" w:fill="CCEEFF"/>
          </w:tcPr>
          <w:p>
            <w:pPr>
              <w:spacing w:after="0"/>
              <w:rPr>
                <w:sz w:val="20"/>
                <w:szCs w:val="20"/>
                <w:color w:val="auto"/>
              </w:rPr>
            </w:pPr>
          </w:p>
        </w:tc>
        <w:tc>
          <w:tcPr>
            <w:tcW w:w="2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20"/>
                <w:szCs w:val="20"/>
                <w:color w:val="auto"/>
              </w:rPr>
            </w:pPr>
          </w:p>
        </w:tc>
      </w:tr>
      <w:tr>
        <w:trPr>
          <w:trHeight w:val="230"/>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72.6 %</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68.5 %</w:t>
            </w:r>
          </w:p>
        </w:tc>
      </w:tr>
      <w:tr>
        <w:trPr>
          <w:trHeight w:val="242"/>
        </w:trPr>
        <w:tc>
          <w:tcPr>
            <w:tcW w:w="76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rate</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1.32 %</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0.79 %</w:t>
            </w:r>
          </w:p>
        </w:tc>
      </w:tr>
      <w:tr>
        <w:trPr>
          <w:trHeight w:val="24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unit activity during the year ended December 31, 2022 was (in thousands, except weighted average grant date fair value per share):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Grant Date Fair Value Per</w:t>
            </w:r>
          </w:p>
        </w:tc>
        <w:tc>
          <w:tcPr>
            <w:tcW w:w="100" w:type="dxa"/>
            <w:vAlign w:val="bottom"/>
          </w:tcPr>
          <w:p>
            <w:pPr>
              <w:spacing w:after="0"/>
              <w:rPr>
                <w:sz w:val="18"/>
                <w:szCs w:val="18"/>
                <w:color w:val="auto"/>
              </w:rPr>
            </w:pPr>
          </w:p>
        </w:tc>
      </w:tr>
      <w:tr>
        <w:trPr>
          <w:trHeight w:val="241"/>
        </w:trPr>
        <w:tc>
          <w:tcPr>
            <w:tcW w:w="5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2"/>
              </w:rPr>
              <w:t>Number of Shares</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r>
      <w:tr>
        <w:trPr>
          <w:trHeight w:val="243"/>
        </w:trPr>
        <w:tc>
          <w:tcPr>
            <w:tcW w:w="5720" w:type="dxa"/>
            <w:vAlign w:val="bottom"/>
            <w:shd w:val="clear" w:color="auto" w:fill="CCEEFF"/>
          </w:tcPr>
          <w:p>
            <w:pPr>
              <w:ind w:left="20"/>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January 1, 2022</w:t>
            </w:r>
          </w:p>
        </w:tc>
        <w:tc>
          <w:tcPr>
            <w:tcW w:w="16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1"/>
                <w:szCs w:val="21"/>
                <w:color w:val="auto"/>
              </w:rPr>
            </w:pPr>
          </w:p>
        </w:tc>
      </w:tr>
      <w:tr>
        <w:trPr>
          <w:trHeight w:val="236"/>
        </w:trPr>
        <w:tc>
          <w:tcPr>
            <w:tcW w:w="7860" w:type="dxa"/>
            <w:vAlign w:val="bottom"/>
            <w:gridSpan w:val="3"/>
          </w:tcPr>
          <w:p>
            <w:pPr>
              <w:ind w:left="20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r>
      <w:tr>
        <w:trPr>
          <w:trHeight w:val="249"/>
        </w:trPr>
        <w:tc>
          <w:tcPr>
            <w:tcW w:w="5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Forfeited/canceled</w:t>
            </w:r>
          </w:p>
        </w:tc>
        <w:tc>
          <w:tcPr>
            <w:tcW w:w="198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(56 )</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1"/>
                <w:szCs w:val="21"/>
                <w:color w:val="auto"/>
              </w:rPr>
            </w:pPr>
          </w:p>
        </w:tc>
      </w:tr>
      <w:tr>
        <w:trPr>
          <w:trHeight w:val="243"/>
        </w:trPr>
        <w:tc>
          <w:tcPr>
            <w:tcW w:w="7860" w:type="dxa"/>
            <w:vAlign w:val="bottom"/>
            <w:gridSpan w:val="3"/>
          </w:tcPr>
          <w:p>
            <w:pPr>
              <w:ind w:left="200"/>
              <w:spacing w:after="0"/>
              <w:rPr>
                <w:sz w:val="20"/>
                <w:szCs w:val="20"/>
                <w:color w:val="auto"/>
              </w:rPr>
            </w:pPr>
            <w:r>
              <w:rPr>
                <w:rFonts w:ascii="Arial" w:cs="Arial" w:eastAsia="Arial" w:hAnsi="Arial"/>
                <w:sz w:val="18"/>
                <w:szCs w:val="18"/>
                <w:color w:val="auto"/>
              </w:rPr>
              <w:t>Released</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(357 )</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r>
      <w:tr>
        <w:trPr>
          <w:trHeight w:val="270"/>
        </w:trPr>
        <w:tc>
          <w:tcPr>
            <w:tcW w:w="5880" w:type="dxa"/>
            <w:vAlign w:val="bottom"/>
            <w:tcBorders>
              <w:bottom w:val="single" w:sz="8" w:color="CCEEFF"/>
            </w:tcBorders>
            <w:gridSpan w:val="2"/>
            <w:shd w:val="clear" w:color="auto" w:fill="CCEEFF"/>
          </w:tcPr>
          <w:p>
            <w:pPr>
              <w:ind w:left="20"/>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December 31, 2022</w:t>
            </w:r>
          </w:p>
        </w:tc>
        <w:tc>
          <w:tcPr>
            <w:tcW w:w="1980" w:type="dxa"/>
            <w:vAlign w:val="bottom"/>
            <w:tcBorders>
              <w:top w:val="single" w:sz="8" w:color="auto"/>
              <w:bottom w:val="single" w:sz="8" w:color="auto"/>
            </w:tcBorders>
            <w:shd w:val="clear" w:color="auto" w:fill="CCEEFF"/>
          </w:tcPr>
          <w:p>
            <w:pPr>
              <w:spacing w:after="0"/>
              <w:rPr>
                <w:sz w:val="23"/>
                <w:szCs w:val="2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5288280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Net Loss per Common Share</w:t>
      </w:r>
    </w:p>
    <w:p>
      <w:pPr>
        <w:spacing w:after="0" w:line="12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Basic net loss per share excludes dilution and is computed by dividing net loss attributable to the common stockholders by the weighted-average shares outstanding during the period. Diluted net loss per common share reflects the potential dilution that could occur if securities or other contracts to issue common stock were exercised, resulting in the issuance of shares of common stock that would then share in the earnings or losses of the Company.</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136" w:name="page137"/>
    <w:bookmarkEnd w:id="136"/>
    <w:p>
      <w:pPr>
        <w:jc w:val="both"/>
        <w:ind w:right="60"/>
        <w:spacing w:after="0" w:line="269" w:lineRule="auto"/>
        <w:rPr>
          <w:sz w:val="20"/>
          <w:szCs w:val="20"/>
          <w:color w:val="auto"/>
        </w:rPr>
      </w:pPr>
      <w:r>
        <w:rPr>
          <w:rFonts w:ascii="Arial" w:cs="Arial" w:eastAsia="Arial" w:hAnsi="Arial"/>
          <w:sz w:val="17"/>
          <w:szCs w:val="17"/>
          <w:color w:val="auto"/>
        </w:rPr>
        <w:t xml:space="preserve">In connection with the acquisition of Indi in 2018, the Company recorded contingent consideration (See Note 4 – </w:t>
      </w:r>
      <w:r>
        <w:rPr>
          <w:rFonts w:ascii="Arial" w:cs="Arial" w:eastAsia="Arial" w:hAnsi="Arial"/>
          <w:sz w:val="17"/>
          <w:szCs w:val="17"/>
          <w:i w:val="1"/>
          <w:iCs w:val="1"/>
          <w:color w:val="auto"/>
        </w:rPr>
        <w:t>Fair Value</w:t>
      </w:r>
      <w:r>
        <w:rPr>
          <w:rFonts w:ascii="Arial" w:cs="Arial" w:eastAsia="Arial" w:hAnsi="Arial"/>
          <w:sz w:val="17"/>
          <w:szCs w:val="17"/>
          <w:color w:val="auto"/>
        </w:rPr>
        <w:t>) for amounts contingently payable to Indi's selling shareholders pursuant to the terms of the Indi APA. The contingent consideration arrangement requires additional consideration to be paid by the Company to Indi upon attainment of a three-consecutive month gross margin target of $2.0 million within the seven-year period after the acquisition date. When the gross margin target was achieved, the Company was required to issue 2,520,108 shares of common stock. The Company achieved the gross margin target of $2.0 million for three consecutive months during the three months ended June 30, 2021. As a result of the achievement of the gross margin target, the Company included the 2,520,108 shares of common stock in the calculation of weighted-average shares outstanding used in computing basic and diluted net loss per share for the three and six months ended June 30, 2021. In August 2021, the Company entered into an amendment of the original agreement in which the Company has agreed to forgo the issuance of its common stock. Therefore, these shares are not included in the statements of stockholders' equity or shares issued and outstanding in the balance sheets and are not included in our earnings per share calculation subsequent to August 2021.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for the years ended December 31, 2022 and 2021 were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31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(65,447 )</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(43,159 )</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 used</w:t>
            </w:r>
          </w:p>
        </w:tc>
        <w:tc>
          <w:tcPr>
            <w:tcW w:w="114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42,103</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27,365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 computing net loss per share, basic and diluted</w:t>
            </w:r>
          </w:p>
        </w:tc>
        <w:tc>
          <w:tcPr>
            <w:tcW w:w="1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(1.55 )</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5775960</wp:posOffset>
            </wp:positionH>
            <wp:positionV relativeFrom="paragraph">
              <wp:posOffset>-187960</wp:posOffset>
            </wp:positionV>
            <wp:extent cx="68580"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1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 xml:space="preserve">The potentially dilutive securities as of December 31, 2022 and 2021 primarily represent the shares subject to future issuance under stock options awards, warrants, RSUs, and shares subject to purchase under our employee stock purchase plan, the terms of which are described in further detail in Note 12 – </w:t>
      </w:r>
      <w:r>
        <w:rPr>
          <w:rFonts w:ascii="Arial" w:cs="Arial" w:eastAsia="Arial" w:hAnsi="Arial"/>
          <w:sz w:val="18"/>
          <w:szCs w:val="18"/>
          <w:i w:val="1"/>
          <w:iCs w:val="1"/>
          <w:color w:val="auto"/>
        </w:rPr>
        <w:t>Share Based Compensation</w:t>
      </w:r>
      <w:r>
        <w:rPr>
          <w:rFonts w:ascii="Arial" w:cs="Arial" w:eastAsia="Arial" w:hAnsi="Arial"/>
          <w:sz w:val="18"/>
          <w:szCs w:val="18"/>
          <w:color w:val="auto"/>
        </w:rPr>
        <w:t>. The potentially dilutive securities would be subject to the treasury stock method when dilutive. The following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equivalents were excluded from diluted net loss attributable to common stockholders for the periods presented because inclusion would be anti-dilutive (in thousands):</w:t>
      </w:r>
    </w:p>
    <w:p>
      <w:pPr>
        <w:spacing w:after="0" w:line="13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60" w:type="dxa"/>
            <w:vAlign w:val="bottom"/>
          </w:tcPr>
          <w:p>
            <w:pPr>
              <w:spacing w:after="0"/>
              <w:rPr>
                <w:sz w:val="21"/>
                <w:szCs w:val="21"/>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4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20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220" w:type="dxa"/>
            <w:vAlign w:val="bottom"/>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00" w:type="dxa"/>
            <w:vAlign w:val="bottom"/>
            <w:shd w:val="clear" w:color="auto" w:fill="CCEEFF"/>
          </w:tcPr>
          <w:p>
            <w:pPr>
              <w:spacing w:after="0"/>
              <w:rPr>
                <w:sz w:val="20"/>
                <w:szCs w:val="20"/>
                <w:color w:val="auto"/>
              </w:rPr>
            </w:pPr>
          </w:p>
        </w:tc>
      </w:tr>
      <w:tr>
        <w:trPr>
          <w:trHeight w:val="236"/>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Shares committed under ESPP</w:t>
            </w: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r>
      <w:tr>
        <w:trPr>
          <w:trHeight w:val="249"/>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1"/>
                <w:szCs w:val="21"/>
                <w:color w:val="auto"/>
              </w:rPr>
            </w:pPr>
          </w:p>
        </w:tc>
      </w:tr>
      <w:tr>
        <w:trPr>
          <w:trHeight w:val="236"/>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560" w:type="dxa"/>
            <w:vAlign w:val="bottom"/>
          </w:tcPr>
          <w:p>
            <w:pPr>
              <w:jc w:val="right"/>
              <w:spacing w:after="0"/>
              <w:rPr>
                <w:sz w:val="20"/>
                <w:szCs w:val="20"/>
                <w:color w:val="auto"/>
              </w:rPr>
            </w:pPr>
            <w:r>
              <w:rPr>
                <w:rFonts w:ascii="Arial" w:cs="Arial" w:eastAsia="Arial" w:hAnsi="Arial"/>
                <w:sz w:val="18"/>
                <w:szCs w:val="18"/>
                <w:color w:val="auto"/>
              </w:rPr>
              <w:t>1,211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r>
      <w:tr>
        <w:trPr>
          <w:trHeight w:val="276"/>
        </w:trPr>
        <w:tc>
          <w:tcPr>
            <w:tcW w:w="7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2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2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Since inception, the Company has incurred net taxable losses, and accordingly, no current provision for income taxes has been recorded. The effective income tax rate of the provision for income taxes differs from the federal statutory rate as follows:</w:t>
      </w:r>
    </w:p>
    <w:p>
      <w:pPr>
        <w:spacing w:after="0" w:line="71"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8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8"/>
        </w:trPr>
        <w:tc>
          <w:tcPr>
            <w:tcW w:w="7580" w:type="dxa"/>
            <w:vAlign w:val="bottom"/>
          </w:tcPr>
          <w:p>
            <w:pPr>
              <w:ind w:left="20"/>
              <w:spacing w:after="0"/>
              <w:rPr>
                <w:sz w:val="20"/>
                <w:szCs w:val="20"/>
                <w:color w:val="auto"/>
              </w:rPr>
            </w:pPr>
            <w:r>
              <w:rPr>
                <w:rFonts w:ascii="Arial" w:cs="Arial" w:eastAsia="Arial" w:hAnsi="Arial"/>
                <w:sz w:val="18"/>
                <w:szCs w:val="18"/>
                <w:color w:val="auto"/>
              </w:rPr>
              <w:t>Federal statutory income tax rate</w:t>
            </w:r>
          </w:p>
        </w:tc>
        <w:tc>
          <w:tcPr>
            <w:tcW w:w="1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88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Research and developments credits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Permanent items</w:t>
            </w: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(4 )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60" w:type="dxa"/>
            <w:vAlign w:val="bottom"/>
          </w:tcPr>
          <w:p>
            <w:pPr>
              <w:spacing w:after="0"/>
              <w:rPr>
                <w:sz w:val="20"/>
                <w:szCs w:val="20"/>
                <w:color w:val="auto"/>
              </w:rPr>
            </w:pPr>
          </w:p>
        </w:tc>
      </w:tr>
      <w:tr>
        <w:trPr>
          <w:trHeight w:val="24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valuation allowance</w:t>
            </w:r>
          </w:p>
        </w:tc>
        <w:tc>
          <w:tcPr>
            <w:tcW w:w="13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(23 )</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(26 )</w:t>
            </w:r>
          </w:p>
        </w:tc>
        <w:tc>
          <w:tcPr>
            <w:tcW w:w="60" w:type="dxa"/>
            <w:vAlign w:val="bottom"/>
          </w:tcPr>
          <w:p>
            <w:pPr>
              <w:spacing w:after="0"/>
              <w:rPr>
                <w:sz w:val="21"/>
                <w:szCs w:val="21"/>
                <w:color w:val="auto"/>
              </w:rPr>
            </w:pPr>
          </w:p>
        </w:tc>
      </w:tr>
      <w:tr>
        <w:trPr>
          <w:trHeight w:val="20"/>
        </w:trPr>
        <w:tc>
          <w:tcPr>
            <w:tcW w:w="75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580" w:type="dxa"/>
            <w:vAlign w:val="bottom"/>
          </w:tcPr>
          <w:p>
            <w:pPr>
              <w:ind w:left="200"/>
              <w:spacing w:after="0"/>
              <w:rPr>
                <w:sz w:val="20"/>
                <w:szCs w:val="20"/>
                <w:color w:val="auto"/>
              </w:rPr>
            </w:pPr>
            <w:r>
              <w:rPr>
                <w:rFonts w:ascii="Arial" w:cs="Arial" w:eastAsia="Arial" w:hAnsi="Arial"/>
                <w:sz w:val="18"/>
                <w:szCs w:val="18"/>
                <w:color w:val="auto"/>
              </w:rPr>
              <w:t>Effective income tax rate</w:t>
            </w:r>
          </w:p>
        </w:tc>
        <w:tc>
          <w:tcPr>
            <w:tcW w:w="1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auto"/>
                <w:highlight w:val="white"/>
              </w:rPr>
              <w:t>%</w:t>
            </w:r>
          </w:p>
        </w:tc>
        <w:tc>
          <w:tcPr>
            <w:tcW w:w="1740" w:type="dxa"/>
            <w:vAlign w:val="bottom"/>
            <w:gridSpan w:val="3"/>
          </w:tcPr>
          <w:p>
            <w:pPr>
              <w:jc w:val="right"/>
              <w:ind w:righ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auto"/>
                <w:highlight w:val="white"/>
              </w:rPr>
              <w:t>%</w:t>
            </w:r>
          </w:p>
        </w:tc>
      </w:tr>
      <w:tr>
        <w:trPr>
          <w:trHeight w:val="20"/>
        </w:trPr>
        <w:tc>
          <w:tcPr>
            <w:tcW w:w="75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8880" w:type="dxa"/>
            <w:vAlign w:val="bottom"/>
            <w:gridSpan w:val="2"/>
          </w:tcPr>
          <w:p>
            <w:pPr>
              <w:ind w:left="5460"/>
              <w:spacing w:after="0"/>
              <w:rPr>
                <w:sz w:val="20"/>
                <w:szCs w:val="20"/>
                <w:color w:val="auto"/>
              </w:rPr>
            </w:pPr>
            <w:r>
              <w:rPr>
                <w:rFonts w:ascii="Arial" w:cs="Arial" w:eastAsia="Arial" w:hAnsi="Arial"/>
                <w:sz w:val="18"/>
                <w:szCs w:val="18"/>
                <w:color w:val="auto"/>
              </w:rPr>
              <w:t>F-29</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75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-1437640</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color w:val="auto"/>
        </w:rPr>
        <w:t>The tax effects of temporary differences that give rise to significant portions of the deferred income tax assets and liabilities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7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4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6"/>
        </w:trPr>
        <w:tc>
          <w:tcPr>
            <w:tcW w:w="762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70,822</w:t>
            </w:r>
          </w:p>
        </w:tc>
        <w:tc>
          <w:tcPr>
            <w:tcW w:w="28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61,874</w:t>
            </w:r>
          </w:p>
        </w:tc>
        <w:tc>
          <w:tcPr>
            <w:tcW w:w="100" w:type="dxa"/>
            <w:vAlign w:val="bottom"/>
          </w:tcPr>
          <w:p>
            <w:pPr>
              <w:spacing w:after="0"/>
              <w:rPr>
                <w:sz w:val="20"/>
                <w:szCs w:val="20"/>
                <w:color w:val="auto"/>
              </w:rPr>
            </w:pPr>
          </w:p>
        </w:tc>
      </w:tr>
      <w:tr>
        <w:trPr>
          <w:trHeight w:val="249"/>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 tax credits</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2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00" w:type="dxa"/>
            <w:vAlign w:val="bottom"/>
            <w:shd w:val="clear" w:color="auto" w:fill="CCEEFF"/>
          </w:tcPr>
          <w:p>
            <w:pPr>
              <w:spacing w:after="0"/>
              <w:rPr>
                <w:sz w:val="21"/>
                <w:szCs w:val="21"/>
                <w:color w:val="auto"/>
              </w:rPr>
            </w:pPr>
          </w:p>
        </w:tc>
      </w:tr>
      <w:tr>
        <w:trPr>
          <w:trHeight w:val="236"/>
        </w:trPr>
        <w:tc>
          <w:tcPr>
            <w:tcW w:w="7620" w:type="dxa"/>
            <w:vAlign w:val="bottom"/>
          </w:tcPr>
          <w:p>
            <w:pPr>
              <w:ind w:left="200"/>
              <w:spacing w:after="0"/>
              <w:rPr>
                <w:sz w:val="20"/>
                <w:szCs w:val="20"/>
                <w:color w:val="auto"/>
              </w:rPr>
            </w:pPr>
            <w:r>
              <w:rPr>
                <w:rFonts w:ascii="Arial" w:cs="Arial" w:eastAsia="Arial" w:hAnsi="Arial"/>
                <w:sz w:val="18"/>
                <w:szCs w:val="18"/>
                <w:color w:val="auto"/>
              </w:rPr>
              <w:t>Interest expense limitation</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3,036</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0"/>
                <w:szCs w:val="20"/>
                <w:color w:val="auto"/>
              </w:rPr>
            </w:pPr>
          </w:p>
        </w:tc>
      </w:tr>
      <w:tr>
        <w:trPr>
          <w:trHeight w:val="249"/>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1"/>
                <w:szCs w:val="21"/>
                <w:color w:val="auto"/>
              </w:rPr>
            </w:pPr>
          </w:p>
        </w:tc>
      </w:tr>
      <w:tr>
        <w:trPr>
          <w:trHeight w:val="236"/>
        </w:trPr>
        <w:tc>
          <w:tcPr>
            <w:tcW w:w="7620" w:type="dxa"/>
            <w:vAlign w:val="bottom"/>
          </w:tcPr>
          <w:p>
            <w:pPr>
              <w:ind w:left="200"/>
              <w:spacing w:after="0"/>
              <w:rPr>
                <w:sz w:val="20"/>
                <w:szCs w:val="20"/>
                <w:color w:val="auto"/>
              </w:rPr>
            </w:pPr>
            <w:r>
              <w:rPr>
                <w:rFonts w:ascii="Arial" w:cs="Arial" w:eastAsia="Arial" w:hAnsi="Arial"/>
                <w:sz w:val="18"/>
                <w:szCs w:val="18"/>
                <w:color w:val="auto"/>
              </w:rPr>
              <w:t>Capitalized research costs</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2,874</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465"/>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CEEFF"/>
          </w:tcPr>
          <w:p>
            <w:pPr>
              <w:spacing w:after="0"/>
              <w:rPr>
                <w:sz w:val="24"/>
                <w:szCs w:val="24"/>
                <w:color w:val="auto"/>
              </w:rPr>
            </w:pPr>
          </w:p>
        </w:tc>
      </w:tr>
      <w:tr>
        <w:trPr>
          <w:trHeight w:val="243"/>
        </w:trPr>
        <w:tc>
          <w:tcPr>
            <w:tcW w:w="7620" w:type="dxa"/>
            <w:vAlign w:val="bottom"/>
          </w:tcPr>
          <w:p>
            <w:pPr>
              <w:ind w:left="200"/>
              <w:spacing w:after="0"/>
              <w:rPr>
                <w:sz w:val="20"/>
                <w:szCs w:val="20"/>
                <w:color w:val="auto"/>
              </w:rPr>
            </w:pPr>
            <w:r>
              <w:rPr>
                <w:rFonts w:ascii="Arial" w:cs="Arial" w:eastAsia="Arial" w:hAnsi="Arial"/>
                <w:sz w:val="18"/>
                <w:szCs w:val="18"/>
                <w:color w:val="auto"/>
              </w:rPr>
              <w:t>Accruals and reserves</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2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21"/>
                <w:szCs w:val="21"/>
                <w:color w:val="auto"/>
              </w:rPr>
            </w:pPr>
          </w:p>
        </w:tc>
      </w:tr>
      <w:tr>
        <w:trPr>
          <w:trHeight w:val="236"/>
        </w:trPr>
        <w:tc>
          <w:tcPr>
            <w:tcW w:w="7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84,324</w:t>
            </w: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69,610</w:t>
            </w:r>
          </w:p>
        </w:tc>
        <w:tc>
          <w:tcPr>
            <w:tcW w:w="100" w:type="dxa"/>
            <w:vAlign w:val="bottom"/>
            <w:shd w:val="clear" w:color="auto" w:fill="CCEEFF"/>
          </w:tcPr>
          <w:p>
            <w:pPr>
              <w:spacing w:after="0"/>
              <w:rPr>
                <w:sz w:val="20"/>
                <w:szCs w:val="20"/>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400" w:type="dxa"/>
            <w:vAlign w:val="bottom"/>
          </w:tcPr>
          <w:p>
            <w:pPr>
              <w:spacing w:after="0"/>
              <w:rPr>
                <w:sz w:val="21"/>
                <w:szCs w:val="21"/>
                <w:color w:val="auto"/>
              </w:rPr>
            </w:pP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(82,552 )</w:t>
            </w:r>
          </w:p>
        </w:tc>
        <w:tc>
          <w:tcPr>
            <w:tcW w:w="5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(67,457 )</w:t>
            </w:r>
          </w:p>
        </w:tc>
      </w:tr>
      <w:tr>
        <w:trPr>
          <w:trHeight w:val="236"/>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 after valuation allowance</w:t>
            </w:r>
          </w:p>
        </w:tc>
        <w:tc>
          <w:tcPr>
            <w:tcW w:w="40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w:t>
            </w:r>
          </w:p>
        </w:tc>
        <w:tc>
          <w:tcPr>
            <w:tcW w:w="28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2,153</w:t>
            </w:r>
          </w:p>
        </w:tc>
        <w:tc>
          <w:tcPr>
            <w:tcW w:w="100" w:type="dxa"/>
            <w:vAlign w:val="bottom"/>
            <w:shd w:val="clear" w:color="auto" w:fill="CFF0FC"/>
          </w:tcPr>
          <w:p>
            <w:pPr>
              <w:spacing w:after="0"/>
              <w:rPr>
                <w:sz w:val="20"/>
                <w:szCs w:val="20"/>
                <w:color w:val="auto"/>
              </w:rPr>
            </w:pPr>
          </w:p>
        </w:tc>
      </w:tr>
      <w:tr>
        <w:trPr>
          <w:trHeight w:val="243"/>
        </w:trPr>
        <w:tc>
          <w:tcPr>
            <w:tcW w:w="7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762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400" w:type="dxa"/>
            <w:vAlign w:val="bottom"/>
          </w:tcPr>
          <w:p>
            <w:pPr>
              <w:spacing w:after="0"/>
              <w:rPr>
                <w:sz w:val="21"/>
                <w:szCs w:val="21"/>
                <w:color w:val="auto"/>
              </w:rPr>
            </w:pP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(1,772 )</w:t>
            </w:r>
          </w:p>
        </w:tc>
        <w:tc>
          <w:tcPr>
            <w:tcW w:w="5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(2,153 )</w:t>
            </w:r>
          </w:p>
        </w:tc>
      </w:tr>
      <w:tr>
        <w:trPr>
          <w:trHeight w:val="236"/>
        </w:trPr>
        <w:tc>
          <w:tcPr>
            <w:tcW w:w="7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deferred tax liabilities</w:t>
            </w:r>
          </w:p>
        </w:tc>
        <w:tc>
          <w:tcPr>
            <w:tcW w:w="40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7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gridSpan w:val="2"/>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r>
      <w:tr>
        <w:trPr>
          <w:trHeight w:val="276"/>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 and liabilities</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2022, the Company had $299.9 million and $4.8 million of federal net operating loss and research and experimentation tax carryforwards, respectively, which are set to expire beginning in 2026. The Internal Revenue Code contains provisions that may limit the net operating loss carryovers available to be used in any year if certain events occur, including significant changes in ownership interest.</w:t>
      </w:r>
    </w:p>
    <w:p>
      <w:pPr>
        <w:spacing w:after="0" w:line="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assessing the realizability of its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taxable income, and tax planning strategies in making this assessment. As the Company does not have any historical taxable income, projections of future taxable income over the periods in which the deferred tax assets are deductible, and after consideration of the history of operating losses, the Company does not believe it is more likely than not that it will realize the benefits of net deferred tax assets and, accordingly, has established a valuation allowance equal to 100% of net deferred tax assets. The valuation allowance increased by $15.1 million during 2022 and $11.4 million during 2021.</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determined that it had uncertain tax positions related to its U.S. research and development credits. As of December 31, 2022 and 2021, there was no accrued interest related to uncertain tax positions. The Company does not believe it is reasonably possible that its unrecognized tax benefits will significantly change in the next twelve months. A reconciliation of beginning and ending balances for unrecognized tax benefits is as follows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40" w:type="dxa"/>
            <w:vAlign w:val="bottom"/>
          </w:tcPr>
          <w:p>
            <w:pPr>
              <w:spacing w:after="0"/>
              <w:rPr>
                <w:sz w:val="20"/>
                <w:szCs w:val="20"/>
                <w:color w:val="auto"/>
              </w:rPr>
            </w:pPr>
          </w:p>
        </w:tc>
        <w:tc>
          <w:tcPr>
            <w:tcW w:w="30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764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20"/>
                <w:szCs w:val="20"/>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80" w:type="dxa"/>
            <w:vAlign w:val="bottom"/>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20"/>
                <w:szCs w:val="20"/>
                <w:color w:val="auto"/>
              </w:rPr>
            </w:pPr>
          </w:p>
        </w:tc>
      </w:tr>
      <w:tr>
        <w:trPr>
          <w:trHeight w:val="236"/>
        </w:trPr>
        <w:tc>
          <w:tcPr>
            <w:tcW w:w="7640" w:type="dxa"/>
            <w:vAlign w:val="bottom"/>
          </w:tcPr>
          <w:p>
            <w:pPr>
              <w:ind w:left="200"/>
              <w:spacing w:after="0"/>
              <w:rPr>
                <w:sz w:val="20"/>
                <w:szCs w:val="20"/>
                <w:color w:val="auto"/>
              </w:rPr>
            </w:pPr>
            <w:r>
              <w:rPr>
                <w:rFonts w:ascii="Arial" w:cs="Arial" w:eastAsia="Arial" w:hAnsi="Arial"/>
                <w:sz w:val="18"/>
                <w:szCs w:val="18"/>
                <w:color w:val="auto"/>
              </w:rPr>
              <w:t>Additions for tax positions related to the current year</w:t>
            </w:r>
          </w:p>
        </w:tc>
        <w:tc>
          <w:tcPr>
            <w:tcW w:w="1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r>
      <w:tr>
        <w:trPr>
          <w:trHeight w:val="249"/>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for tax positions related to prior years</w:t>
            </w:r>
          </w:p>
        </w:tc>
        <w:tc>
          <w:tcPr>
            <w:tcW w:w="12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6"/>
        </w:trPr>
        <w:tc>
          <w:tcPr>
            <w:tcW w:w="7640" w:type="dxa"/>
            <w:vAlign w:val="bottom"/>
          </w:tcPr>
          <w:p>
            <w:pPr>
              <w:ind w:left="200"/>
              <w:spacing w:after="0"/>
              <w:rPr>
                <w:sz w:val="20"/>
                <w:szCs w:val="20"/>
                <w:color w:val="auto"/>
              </w:rPr>
            </w:pPr>
            <w:r>
              <w:rPr>
                <w:rFonts w:ascii="Arial" w:cs="Arial" w:eastAsia="Arial" w:hAnsi="Arial"/>
                <w:sz w:val="18"/>
                <w:szCs w:val="18"/>
                <w:color w:val="auto"/>
              </w:rPr>
              <w:t>Reductions for tax positions related to prior years</w:t>
            </w:r>
          </w:p>
        </w:tc>
        <w:tc>
          <w:tcPr>
            <w:tcW w:w="1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Reductions related to settlements</w:t>
            </w:r>
          </w:p>
        </w:tc>
        <w:tc>
          <w:tcPr>
            <w:tcW w:w="12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6"/>
        </w:trPr>
        <w:tc>
          <w:tcPr>
            <w:tcW w:w="7640" w:type="dxa"/>
            <w:vAlign w:val="bottom"/>
          </w:tcPr>
          <w:p>
            <w:pPr>
              <w:ind w:left="200"/>
              <w:spacing w:after="0"/>
              <w:rPr>
                <w:sz w:val="20"/>
                <w:szCs w:val="20"/>
                <w:color w:val="auto"/>
              </w:rPr>
            </w:pPr>
            <w:r>
              <w:rPr>
                <w:rFonts w:ascii="Arial" w:cs="Arial" w:eastAsia="Arial" w:hAnsi="Arial"/>
                <w:sz w:val="18"/>
                <w:szCs w:val="18"/>
                <w:color w:val="auto"/>
              </w:rPr>
              <w:t>Reductions related to a lapse of statute</w:t>
            </w:r>
          </w:p>
        </w:tc>
        <w:tc>
          <w:tcPr>
            <w:tcW w:w="1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monitors proposed and issued tax law, regulations, and cases to determine the potential impact of uncertain income tax positions. At December 31, 2022, the Company had not identified any potential subsequent events that would have a material impact on unrecognized income tax benefits within the next twelve months.</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federal and state returns for all years will remain open to examination by federal and state tax authorities for three and four years, respectively, from the date of utilization of any net operating loss carryforwards.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2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Co</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Development Agreement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 of concept (POC) clinical study of ficlatuzumab for NSCLC in which BDX004 will be used to select clinical trial subjects (the NSCLC POC Trial). Under the agreement, the Company and AVEO would share equally in the costs of the NSCLC POC Trial, and each would be responsible for 50% of development and regulatory costs associated with all future clinical trials agreed upon by the Company and AVEO. The Company and AVEO continue to conduct POC clinical trials of ficlatuzumab in combination with BDX004.</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September 2020, the Company exercised its opt-out right with AVEO for the payment of 50% of development and regulatory costs for ficlatuzumab effective December 2, 2020 (the AVEO Effective Date). In September 2021, AVEO announced that the FDA has granted Fast Track Designation (FTD) to ficlatuzumab for the treatment of patients with relapsed or recurrent head and neck squamous cell carcinoma. In November 2021 AVEO also announced plans to initiate a potential registrational Phase 3 clinical trial for ficlatuzumab in the first half of 2023. The Company had $0.1 million in remaining obligations related to the AVEO agreement as of December 31, 2022. Following the AVEO Effective Date, the Company is entitled to a 10% royalty of net sales of ficlatuzumab and 25% of license income generated from the licensing of ficlatuzumab from AVEO. There were no royalties received or expenses related to this agreement for the years ended December 31, 2022 and 2021.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(the Supply Agreement) with Bio-Rad. As further consideration for the non-exclusive license, the Company agreed to pay a royalty of 2.5% on the net revenue received for the performance of such ddPCR testing collected from third parties. On May 24, 2021, the Company entered into the First Amendment to the Non-Exclusive License Agreement with Bio-Rad which amended the Bio-Rad License such that, effective May 1, 2021, the Company will no longer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 There were no expenses related to this agreement for the year ended December 31, 2022 and were insignificant for the year ended December 31, 2021.</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13, 2021 (the CellCarta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CellCarta Effective Date as an upfront make-good payment covering past royalties due and a royalty rate of 0.675% on future Nodify XL2 test net sales worldwide for 15 years from the first commercial sale, ending in 2034. Royalty expense under the CellCarta License for each of the years ended December 31, 2022 and 2021 was $0.1 million, respectively.</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acquisition of the assets of Oncimmune USA, the Company entered into several agreements to govern the relationship between the parties. The Company agreed to a license agreement and royalty payment related to an acquired diagnostic test of 8% of recognized revenue for non-screening tests up to an annual minimum volume and 5% thereafter, with an escalating minimum through the first four years of sales. Royalty expenses were $0.9 million and $0.7 million for the years ended December 31, 2022 and 2021,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Claims and Assessments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10.8.3</w:t>
      </w:r>
    </w:p>
    <w:p>
      <w:pPr>
        <w:spacing w:after="0" w:line="20" w:lineRule="exact"/>
        <w:rPr>
          <w:sz w:val="20"/>
          <w:szCs w:val="20"/>
          <w:color w:val="auto"/>
        </w:rPr>
      </w:pPr>
    </w:p>
    <w:p>
      <w:pPr>
        <w:jc w:val="center"/>
        <w:ind w:right="54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mendment</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umber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wo</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w:t>
      </w:r>
    </w:p>
    <w:p>
      <w:pPr>
        <w:jc w:val="center"/>
        <w:ind w:right="540"/>
        <w:spacing w:after="0"/>
        <w:rPr>
          <w:sz w:val="20"/>
          <w:szCs w:val="20"/>
          <w:color w:val="auto"/>
        </w:rPr>
      </w:pPr>
      <w:r>
        <w:rPr>
          <w:rFonts w:ascii="Arial" w:cs="Arial" w:eastAsia="Arial" w:hAnsi="Arial"/>
          <w:sz w:val="20"/>
          <w:szCs w:val="20"/>
          <w:b w:val="1"/>
          <w:bCs w:val="1"/>
          <w:color w:val="auto"/>
        </w:rPr>
        <w:t>B</w:t>
      </w:r>
      <w:r>
        <w:rPr>
          <w:rFonts w:ascii="Arial" w:cs="Arial" w:eastAsia="Arial" w:hAnsi="Arial"/>
          <w:sz w:val="13"/>
          <w:szCs w:val="13"/>
          <w:b w:val="1"/>
          <w:bCs w:val="1"/>
          <w:color w:val="auto"/>
        </w:rPr>
        <w:t>iodesix</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jc w:val="center"/>
        <w:ind w:right="540"/>
        <w:spacing w:after="0"/>
        <w:rPr>
          <w:sz w:val="20"/>
          <w:szCs w:val="20"/>
          <w:color w:val="auto"/>
        </w:rPr>
      </w:pPr>
      <w:r>
        <w:rPr>
          <w:rFonts w:ascii="Arial" w:cs="Arial" w:eastAsia="Arial" w:hAnsi="Arial"/>
          <w:sz w:val="20"/>
          <w:szCs w:val="20"/>
          <w:b w:val="1"/>
          <w:bCs w:val="1"/>
          <w:color w:val="auto"/>
        </w:rPr>
        <w:t>2021 S</w:t>
      </w:r>
      <w:r>
        <w:rPr>
          <w:rFonts w:ascii="Arial" w:cs="Arial" w:eastAsia="Arial" w:hAnsi="Arial"/>
          <w:sz w:val="13"/>
          <w:szCs w:val="13"/>
          <w:b w:val="1"/>
          <w:bCs w:val="1"/>
          <w:color w:val="auto"/>
        </w:rPr>
        <w:t>enior</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anagement</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onus to</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quity</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p>
    <w:p>
      <w:pPr>
        <w:spacing w:after="0" w:line="206"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W</w:t>
      </w:r>
      <w:r>
        <w:rPr>
          <w:rFonts w:ascii="Arial" w:cs="Arial" w:eastAsia="Arial" w:hAnsi="Arial"/>
          <w:sz w:val="12"/>
          <w:szCs w:val="12"/>
          <w:b w:val="1"/>
          <w:bCs w:val="1"/>
          <w:color w:val="auto"/>
        </w:rPr>
        <w:t>hereas</w:t>
      </w:r>
      <w:r>
        <w:rPr>
          <w:rFonts w:ascii="Arial" w:cs="Arial" w:eastAsia="Arial" w:hAnsi="Arial"/>
          <w:sz w:val="19"/>
          <w:szCs w:val="19"/>
          <w:b w:val="1"/>
          <w:bCs w:val="1"/>
          <w:color w:val="auto"/>
        </w:rPr>
        <w:t xml:space="preserve">, </w:t>
      </w:r>
      <w:r>
        <w:rPr>
          <w:rFonts w:ascii="Arial" w:cs="Arial" w:eastAsia="Arial" w:hAnsi="Arial"/>
          <w:sz w:val="19"/>
          <w:szCs w:val="19"/>
          <w:color w:val="auto"/>
        </w:rPr>
        <w:t>Biodesix,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heretofore has adopted and maintains the Biodesix, Inc.</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2021 Senior Management Bonus to Equity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 subplan of the Biodesix, Inc. 2020 Equity Incentive Plan (the</w:t>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Equity Incentive Plan</w:t>
      </w:r>
      <w:r>
        <w:rPr>
          <w:rFonts w:ascii="Arial" w:cs="Arial" w:eastAsia="Arial" w:hAnsi="Arial"/>
          <w:sz w:val="19"/>
          <w:szCs w:val="19"/>
          <w:color w:val="auto"/>
        </w:rPr>
        <w:t>”) to provide certain designated employees of the Company or its subsidiaries with the opportunity to receive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 portion of their annual cash bonus in the form of a Nonstatutory Stock Option (as defined under the Equity Incentive Plan);</w:t>
      </w:r>
    </w:p>
    <w:p>
      <w:pPr>
        <w:spacing w:after="0" w:line="220"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of Directors of the Company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may amend the Plan at any time; and</w:t>
      </w:r>
    </w:p>
    <w:p>
      <w:pPr>
        <w:spacing w:after="0" w:line="242" w:lineRule="exact"/>
        <w:rPr>
          <w:sz w:val="20"/>
          <w:szCs w:val="20"/>
          <w:color w:val="auto"/>
        </w:rPr>
      </w:pPr>
    </w:p>
    <w:p>
      <w:pPr>
        <w:ind w:right="660" w:firstLine="747"/>
        <w:spacing w:after="0" w:line="252"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desires to amend the Plan to provide the Company with additional flexibility to limit the amount an</w:t>
      </w:r>
      <w:r>
        <w:rPr>
          <w:rFonts w:ascii="Arial" w:cs="Arial" w:eastAsia="Arial" w:hAnsi="Arial"/>
          <w:sz w:val="20"/>
          <w:szCs w:val="20"/>
          <w:b w:val="1"/>
          <w:bCs w:val="1"/>
          <w:color w:val="auto"/>
        </w:rPr>
        <w:t xml:space="preserve"> </w:t>
      </w:r>
      <w:r>
        <w:rPr>
          <w:rFonts w:ascii="Arial" w:cs="Arial" w:eastAsia="Arial" w:hAnsi="Arial"/>
          <w:sz w:val="20"/>
          <w:szCs w:val="20"/>
          <w:color w:val="auto"/>
        </w:rPr>
        <w:t>eligible employee may elect to forgo in exchange for an Option (as defined in the Plan) and to change the formula used to determine the number of shares of the Company’s common stock subject to an Option.</w:t>
      </w:r>
    </w:p>
    <w:p>
      <w:pPr>
        <w:spacing w:after="0" w:line="192" w:lineRule="exact"/>
        <w:rPr>
          <w:sz w:val="20"/>
          <w:szCs w:val="20"/>
          <w:color w:val="auto"/>
        </w:rPr>
      </w:pPr>
    </w:p>
    <w:p>
      <w:pPr>
        <w:ind w:right="600" w:firstLine="747"/>
        <w:spacing w:after="0" w:line="266"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xml:space="preserve">, </w:t>
      </w:r>
      <w:r>
        <w:rPr>
          <w:rFonts w:ascii="Arial" w:cs="Arial" w:eastAsia="Arial" w:hAnsi="Arial"/>
          <w:sz w:val="13"/>
          <w:szCs w:val="13"/>
          <w:b w:val="1"/>
          <w:bCs w:val="1"/>
          <w:color w:val="auto"/>
        </w:rPr>
        <w:t>therefore</w:t>
      </w:r>
      <w:r>
        <w:rPr>
          <w:rFonts w:ascii="Arial" w:cs="Arial" w:eastAsia="Arial" w:hAnsi="Arial"/>
          <w:sz w:val="20"/>
          <w:szCs w:val="20"/>
          <w:b w:val="1"/>
          <w:bCs w:val="1"/>
          <w:color w:val="auto"/>
        </w:rPr>
        <w:t xml:space="preserve">, </w:t>
      </w:r>
      <w:r>
        <w:rPr>
          <w:rFonts w:ascii="Arial" w:cs="Arial" w:eastAsia="Arial" w:hAnsi="Arial"/>
          <w:sz w:val="13"/>
          <w:szCs w:val="13"/>
          <w:b w:val="1"/>
          <w:bCs w:val="1"/>
          <w:color w:val="auto"/>
        </w:rPr>
        <w:t>be it</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esolved</w:t>
      </w:r>
      <w:r>
        <w:rPr>
          <w:rFonts w:ascii="Arial" w:cs="Arial" w:eastAsia="Arial" w:hAnsi="Arial"/>
          <w:sz w:val="20"/>
          <w:szCs w:val="20"/>
          <w:b w:val="1"/>
          <w:bCs w:val="1"/>
          <w:color w:val="auto"/>
        </w:rPr>
        <w:t xml:space="preserve">, </w:t>
      </w:r>
      <w:r>
        <w:rPr>
          <w:rFonts w:ascii="Arial" w:cs="Arial" w:eastAsia="Arial" w:hAnsi="Arial"/>
          <w:sz w:val="20"/>
          <w:szCs w:val="20"/>
          <w:color w:val="auto"/>
        </w:rPr>
        <w:t>that the Plan hereby is amended, effective for Option Elections (as defined in the Plan) in</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of Bonus Year 2023 and subsequent Bonus Years, as follows:</w:t>
      </w:r>
    </w:p>
    <w:p>
      <w:pPr>
        <w:spacing w:after="0" w:line="197" w:lineRule="exact"/>
        <w:rPr>
          <w:sz w:val="20"/>
          <w:szCs w:val="20"/>
          <w:color w:val="auto"/>
        </w:rPr>
      </w:pPr>
    </w:p>
    <w:p>
      <w:pPr>
        <w:ind w:left="1500" w:hanging="384"/>
        <w:spacing w:after="0"/>
        <w:tabs>
          <w:tab w:leader="none" w:pos="1500"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The second sentence of each of Section 5(a) (relating to Annual Elections) and</w:t>
      </w:r>
    </w:p>
    <w:p>
      <w:pPr>
        <w:spacing w:after="0" w:line="15" w:lineRule="exact"/>
        <w:rPr>
          <w:rFonts w:ascii="Arial" w:cs="Arial" w:eastAsia="Arial" w:hAnsi="Arial"/>
          <w:sz w:val="20"/>
          <w:szCs w:val="20"/>
          <w:b w:val="1"/>
          <w:bCs w:val="1"/>
          <w:color w:val="auto"/>
        </w:rPr>
      </w:pPr>
    </w:p>
    <w:p>
      <w:pPr>
        <w:ind w:left="1480" w:right="720"/>
        <w:spacing w:after="0" w:line="239" w:lineRule="auto"/>
        <w:rPr>
          <w:rFonts w:ascii="Arial" w:cs="Arial" w:eastAsia="Arial" w:hAnsi="Arial"/>
          <w:sz w:val="20"/>
          <w:szCs w:val="20"/>
          <w:b w:val="1"/>
          <w:bCs w:val="1"/>
          <w:color w:val="auto"/>
        </w:rPr>
      </w:pPr>
      <w:r>
        <w:rPr>
          <w:rFonts w:ascii="Arial" w:cs="Arial" w:eastAsia="Arial" w:hAnsi="Arial"/>
          <w:sz w:val="20"/>
          <w:szCs w:val="20"/>
          <w:color w:val="auto"/>
        </w:rPr>
        <w:t>Section 5(b) (relating to Initial Participant Elections) is hereby amended in its entirety, to read as follows: “Notwithstanding the foregoing, any election under this paragraph will be limited by the Individual Cap set forth in Section 5(c), and may be limited by either a maximum dollar amount set forth by the Company or the Eligible Employee in such</w:t>
      </w:r>
    </w:p>
    <w:p>
      <w:pPr>
        <w:ind w:left="1480"/>
        <w:spacing w:after="0"/>
        <w:rPr>
          <w:rFonts w:ascii="Arial" w:cs="Arial" w:eastAsia="Arial" w:hAnsi="Arial"/>
          <w:sz w:val="20"/>
          <w:szCs w:val="20"/>
          <w:b w:val="1"/>
          <w:bCs w:val="1"/>
          <w:color w:val="auto"/>
        </w:rPr>
      </w:pPr>
      <w:r>
        <w:rPr>
          <w:rFonts w:ascii="Arial" w:cs="Arial" w:eastAsia="Arial" w:hAnsi="Arial"/>
          <w:sz w:val="20"/>
          <w:szCs w:val="20"/>
          <w:color w:val="auto"/>
        </w:rPr>
        <w:t>election, or by a maximum percentage set forth by the Company in such election.”</w:t>
      </w:r>
    </w:p>
    <w:p>
      <w:pPr>
        <w:spacing w:after="0" w:line="225" w:lineRule="exact"/>
        <w:rPr>
          <w:rFonts w:ascii="Arial" w:cs="Arial" w:eastAsia="Arial" w:hAnsi="Arial"/>
          <w:sz w:val="20"/>
          <w:szCs w:val="20"/>
          <w:b w:val="1"/>
          <w:bCs w:val="1"/>
          <w:color w:val="auto"/>
        </w:rPr>
      </w:pPr>
    </w:p>
    <w:p>
      <w:pPr>
        <w:ind w:left="1500" w:hanging="384"/>
        <w:spacing w:after="0"/>
        <w:tabs>
          <w:tab w:leader="none" w:pos="1500"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The first sentence of Section 5(d) (relating to the Conversion Formula) is hereby</w:t>
      </w:r>
    </w:p>
    <w:p>
      <w:pPr>
        <w:spacing w:after="0" w:line="15" w:lineRule="exact"/>
        <w:rPr>
          <w:rFonts w:ascii="Arial" w:cs="Arial" w:eastAsia="Arial" w:hAnsi="Arial"/>
          <w:sz w:val="20"/>
          <w:szCs w:val="20"/>
          <w:b w:val="1"/>
          <w:bCs w:val="1"/>
          <w:color w:val="auto"/>
        </w:rPr>
      </w:pPr>
    </w:p>
    <w:p>
      <w:pPr>
        <w:ind w:left="1480"/>
        <w:spacing w:after="0"/>
        <w:rPr>
          <w:rFonts w:ascii="Arial" w:cs="Arial" w:eastAsia="Arial" w:hAnsi="Arial"/>
          <w:sz w:val="20"/>
          <w:szCs w:val="20"/>
          <w:b w:val="1"/>
          <w:bCs w:val="1"/>
          <w:color w:val="auto"/>
        </w:rPr>
      </w:pPr>
      <w:r>
        <w:rPr>
          <w:rFonts w:ascii="Arial" w:cs="Arial" w:eastAsia="Arial" w:hAnsi="Arial"/>
          <w:sz w:val="19"/>
          <w:szCs w:val="19"/>
          <w:color w:val="auto"/>
        </w:rPr>
        <w:t>amended in its entirety, to read as follows: “The number of shares of Common Stock subject to an Option shall be</w:t>
      </w:r>
    </w:p>
    <w:p>
      <w:pPr>
        <w:spacing w:after="0" w:line="10" w:lineRule="exact"/>
        <w:rPr>
          <w:rFonts w:ascii="Arial" w:cs="Arial" w:eastAsia="Arial" w:hAnsi="Arial"/>
          <w:sz w:val="20"/>
          <w:szCs w:val="20"/>
          <w:b w:val="1"/>
          <w:bCs w:val="1"/>
          <w:color w:val="auto"/>
        </w:rPr>
      </w:pPr>
    </w:p>
    <w:p>
      <w:pPr>
        <w:ind w:left="1480"/>
        <w:spacing w:after="0"/>
        <w:rPr>
          <w:rFonts w:ascii="Arial" w:cs="Arial" w:eastAsia="Arial" w:hAnsi="Arial"/>
          <w:sz w:val="20"/>
          <w:szCs w:val="20"/>
          <w:b w:val="1"/>
          <w:bCs w:val="1"/>
          <w:color w:val="auto"/>
        </w:rPr>
      </w:pPr>
      <w:r>
        <w:rPr>
          <w:rFonts w:ascii="Arial" w:cs="Arial" w:eastAsia="Arial" w:hAnsi="Arial"/>
          <w:sz w:val="20"/>
          <w:szCs w:val="20"/>
          <w:color w:val="auto"/>
        </w:rPr>
        <w:t>determined using the following formula: (Cash Value * 3)/ Average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64135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8"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registration statements (No. 333-265445, No. 333-269536, and No. 333-249805) on Form S-8 and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333-265448 and No. 333-261095) on Form S-3 of our report dated March 6, 2023, with respect to the financial statements of Biodesix, Inc.</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0"/>
          <w:szCs w:val="20"/>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Scott Hutton, certify that:</w:t>
      </w:r>
    </w:p>
    <w:p>
      <w:pPr>
        <w:spacing w:after="0" w:line="225" w:lineRule="exact"/>
        <w:rPr>
          <w:sz w:val="20"/>
          <w:szCs w:val="20"/>
          <w:color w:val="auto"/>
        </w:rPr>
      </w:pPr>
    </w:p>
    <w:p>
      <w:pPr>
        <w:ind w:left="760" w:hanging="752"/>
        <w:spacing w:after="0"/>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Biodesix, Inc.;</w:t>
      </w:r>
    </w:p>
    <w:p>
      <w:pPr>
        <w:spacing w:after="0" w:line="224" w:lineRule="exact"/>
        <w:rPr>
          <w:rFonts w:ascii="Arial" w:cs="Arial" w:eastAsia="Arial" w:hAnsi="Arial"/>
          <w:sz w:val="18"/>
          <w:szCs w:val="18"/>
          <w:color w:val="auto"/>
        </w:rPr>
      </w:pPr>
    </w:p>
    <w:p>
      <w:pPr>
        <w:jc w:val="both"/>
        <w:ind w:left="760" w:hanging="752"/>
        <w:spacing w:after="0" w:line="263" w:lineRule="auto"/>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760" w:hanging="752"/>
        <w:spacing w:after="0" w:line="307" w:lineRule="auto"/>
        <w:tabs>
          <w:tab w:leader="none" w:pos="7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760" w:hanging="752"/>
        <w:spacing w:after="0" w:line="263" w:lineRule="auto"/>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500" w:hanging="743"/>
        <w:spacing w:after="0" w:line="341" w:lineRule="auto"/>
        <w:tabs>
          <w:tab w:leader="none" w:pos="15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jc w:val="both"/>
        <w:ind w:left="1500" w:hanging="743"/>
        <w:spacing w:after="0" w:line="263" w:lineRule="auto"/>
        <w:tabs>
          <w:tab w:leader="none" w:pos="15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760" w:hanging="752"/>
        <w:spacing w:after="0" w:line="341" w:lineRule="auto"/>
        <w:tabs>
          <w:tab w:leader="none" w:pos="7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00" w:hanging="743"/>
        <w:spacing w:after="0" w:line="307" w:lineRule="auto"/>
        <w:tabs>
          <w:tab w:leader="none" w:pos="15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500" w:hanging="743"/>
        <w:spacing w:after="0" w:line="277" w:lineRule="auto"/>
        <w:tabs>
          <w:tab w:leader="none" w:pos="15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4960" w:val="left"/>
          <w:tab w:leader="none" w:pos="7520" w:val="left"/>
        </w:tabs>
        <w:rPr>
          <w:sz w:val="20"/>
          <w:szCs w:val="20"/>
          <w:color w:val="auto"/>
        </w:rPr>
      </w:pPr>
      <w:r>
        <w:rPr>
          <w:rFonts w:ascii="Arial" w:cs="Arial" w:eastAsia="Arial" w:hAnsi="Arial"/>
          <w:sz w:val="18"/>
          <w:szCs w:val="18"/>
          <w:color w:val="auto"/>
        </w:rPr>
        <w:t>Date: March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23495</wp:posOffset>
            </wp:positionV>
            <wp:extent cx="37077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4">
                      <a:extLst>
                        <a:ext uri="{28A0092B-C50C-407E-A947-70E740481C1C}"/>
                      </a:extLst>
                    </a:blip>
                    <a:srcRect/>
                    <a:stretch>
                      <a:fillRect/>
                    </a:stretch>
                  </pic:blipFill>
                  <pic:spPr bwMode="auto">
                    <a:xfrm>
                      <a:off x="0" y="0"/>
                      <a:ext cx="3707765" cy="8255"/>
                    </a:xfrm>
                    <a:prstGeom prst="rect">
                      <a:avLst/>
                    </a:prstGeom>
                    <a:noFill/>
                  </pic:spPr>
                </pic:pic>
              </a:graphicData>
            </a:graphic>
          </wp:anchor>
        </w:drawing>
      </w:r>
    </w:p>
    <w:p>
      <w:pPr>
        <w:spacing w:after="0" w:line="29"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Scott Hutton</w:t>
      </w:r>
    </w:p>
    <w:p>
      <w:pPr>
        <w:spacing w:after="0" w:line="36"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0"/>
          <w:szCs w:val="20"/>
          <w:b w:val="1"/>
          <w:bCs w:val="1"/>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Robin Harper Cowie, certify that:</w:t>
      </w:r>
    </w:p>
    <w:p>
      <w:pPr>
        <w:spacing w:after="0" w:line="225" w:lineRule="exact"/>
        <w:rPr>
          <w:sz w:val="20"/>
          <w:szCs w:val="20"/>
          <w:color w:val="auto"/>
        </w:rPr>
      </w:pPr>
    </w:p>
    <w:p>
      <w:pPr>
        <w:ind w:left="760" w:hanging="752"/>
        <w:spacing w:after="0"/>
        <w:tabs>
          <w:tab w:leader="none" w:pos="7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Biodesix, Inc.;</w:t>
      </w:r>
    </w:p>
    <w:p>
      <w:pPr>
        <w:spacing w:after="0" w:line="224" w:lineRule="exact"/>
        <w:rPr>
          <w:rFonts w:ascii="Arial" w:cs="Arial" w:eastAsia="Arial" w:hAnsi="Arial"/>
          <w:sz w:val="18"/>
          <w:szCs w:val="18"/>
          <w:color w:val="auto"/>
        </w:rPr>
      </w:pPr>
    </w:p>
    <w:p>
      <w:pPr>
        <w:jc w:val="both"/>
        <w:ind w:left="760" w:hanging="752"/>
        <w:spacing w:after="0" w:line="263" w:lineRule="auto"/>
        <w:tabs>
          <w:tab w:leader="none" w:pos="7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760" w:hanging="752"/>
        <w:spacing w:after="0" w:line="307" w:lineRule="auto"/>
        <w:tabs>
          <w:tab w:leader="none" w:pos="7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760" w:hanging="752"/>
        <w:spacing w:after="0" w:line="263" w:lineRule="auto"/>
        <w:tabs>
          <w:tab w:leader="none" w:pos="7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500" w:hanging="743"/>
        <w:spacing w:after="0" w:line="341" w:lineRule="auto"/>
        <w:tabs>
          <w:tab w:leader="none" w:pos="15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jc w:val="both"/>
        <w:ind w:left="1500" w:hanging="743"/>
        <w:spacing w:after="0" w:line="263" w:lineRule="auto"/>
        <w:tabs>
          <w:tab w:leader="none" w:pos="15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760" w:hanging="752"/>
        <w:spacing w:after="0" w:line="341" w:lineRule="auto"/>
        <w:tabs>
          <w:tab w:leader="none" w:pos="7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00" w:hanging="743"/>
        <w:spacing w:after="0" w:line="307" w:lineRule="auto"/>
        <w:tabs>
          <w:tab w:leader="none" w:pos="15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500" w:hanging="743"/>
        <w:spacing w:after="0" w:line="277" w:lineRule="auto"/>
        <w:tabs>
          <w:tab w:leader="none" w:pos="15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5180" w:val="left"/>
          <w:tab w:leader="none" w:pos="7360" w:val="left"/>
        </w:tabs>
        <w:rPr>
          <w:sz w:val="20"/>
          <w:szCs w:val="20"/>
          <w:color w:val="auto"/>
        </w:rPr>
      </w:pPr>
      <w:r>
        <w:rPr>
          <w:rFonts w:ascii="Arial" w:cs="Arial" w:eastAsia="Arial" w:hAnsi="Arial"/>
          <w:sz w:val="18"/>
          <w:szCs w:val="18"/>
          <w:color w:val="auto"/>
        </w:rPr>
        <w:t>Date: March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23495</wp:posOffset>
            </wp:positionV>
            <wp:extent cx="35274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6">
                      <a:extLst>
                        <a:ext uri="{28A0092B-C50C-407E-A947-70E740481C1C}"/>
                      </a:extLst>
                    </a:blip>
                    <a:srcRect/>
                    <a:stretch>
                      <a:fillRect/>
                    </a:stretch>
                  </pic:blipFill>
                  <pic:spPr bwMode="auto">
                    <a:xfrm>
                      <a:off x="0" y="0"/>
                      <a:ext cx="3527425" cy="8255"/>
                    </a:xfrm>
                    <a:prstGeom prst="rect">
                      <a:avLst/>
                    </a:prstGeom>
                    <a:noFill/>
                  </pic:spPr>
                </pic:pic>
              </a:graphicData>
            </a:graphic>
          </wp:anchor>
        </w:drawing>
      </w:r>
    </w:p>
    <w:p>
      <w:pPr>
        <w:spacing w:after="0" w:line="29" w:lineRule="exact"/>
        <w:rPr>
          <w:sz w:val="20"/>
          <w:szCs w:val="20"/>
          <w:color w:val="auto"/>
        </w:rPr>
      </w:pPr>
    </w:p>
    <w:p>
      <w:pPr>
        <w:jc w:val="center"/>
        <w:ind w:left="5660"/>
        <w:spacing w:after="0"/>
        <w:rPr>
          <w:sz w:val="20"/>
          <w:szCs w:val="20"/>
          <w:color w:val="auto"/>
        </w:rPr>
      </w:pPr>
      <w:r>
        <w:rPr>
          <w:rFonts w:ascii="Arial" w:cs="Arial" w:eastAsia="Arial" w:hAnsi="Arial"/>
          <w:sz w:val="18"/>
          <w:szCs w:val="18"/>
          <w:color w:val="auto"/>
        </w:rPr>
        <w:t>Robin Harper Cowie</w:t>
      </w:r>
    </w:p>
    <w:p>
      <w:pPr>
        <w:spacing w:after="0" w:line="36" w:lineRule="exact"/>
        <w:rPr>
          <w:sz w:val="20"/>
          <w:szCs w:val="20"/>
          <w:color w:val="auto"/>
        </w:rPr>
      </w:pPr>
    </w:p>
    <w:p>
      <w:pPr>
        <w:jc w:val="center"/>
        <w:ind w:left="56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301625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b w:val="1"/>
          <w:bCs w:val="1"/>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In connection with the Annual Report of Biodesix, Inc. (the “Company”) on Form 10-K for the year ending December 31, 2022 as filed with the Securities and Exchange Commission on the date hereof (the “Report”), I certify, pursuant to 18 U.S.C. § 1350, as adopted pursuant to § 906 of the Sarbanes-Oxley Act of 2002, that, to my knowledge:</w:t>
      </w:r>
    </w:p>
    <w:p>
      <w:pPr>
        <w:spacing w:after="0" w:line="183" w:lineRule="exact"/>
        <w:rPr>
          <w:sz w:val="20"/>
          <w:szCs w:val="20"/>
          <w:color w:val="auto"/>
        </w:rPr>
      </w:pPr>
    </w:p>
    <w:p>
      <w:pPr>
        <w:ind w:left="1500" w:hanging="743"/>
        <w:spacing w:after="0"/>
        <w:tabs>
          <w:tab w:leader="none" w:pos="1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500" w:hanging="743"/>
        <w:spacing w:after="0" w:line="277" w:lineRule="auto"/>
        <w:tabs>
          <w:tab w:leader="none" w:pos="1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20"/>
        <w:spacing w:after="0"/>
        <w:tabs>
          <w:tab w:leader="none" w:pos="5780" w:val="left"/>
          <w:tab w:leader="none" w:pos="7920" w:val="left"/>
        </w:tabs>
        <w:rPr>
          <w:sz w:val="20"/>
          <w:szCs w:val="20"/>
          <w:color w:val="auto"/>
        </w:rPr>
      </w:pPr>
      <w:r>
        <w:rPr>
          <w:rFonts w:ascii="Arial" w:cs="Arial" w:eastAsia="Arial" w:hAnsi="Arial"/>
          <w:sz w:val="18"/>
          <w:szCs w:val="18"/>
          <w:color w:val="auto"/>
        </w:rPr>
        <w:t>Date: March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23495</wp:posOffset>
            </wp:positionV>
            <wp:extent cx="319405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8">
                      <a:extLst>
                        <a:ext uri="{28A0092B-C50C-407E-A947-70E740481C1C}"/>
                      </a:extLst>
                    </a:blip>
                    <a:srcRect/>
                    <a:stretch>
                      <a:fillRect/>
                    </a:stretch>
                  </pic:blipFill>
                  <pic:spPr bwMode="auto">
                    <a:xfrm>
                      <a:off x="0" y="0"/>
                      <a:ext cx="3194050" cy="8255"/>
                    </a:xfrm>
                    <a:prstGeom prst="rect">
                      <a:avLst/>
                    </a:prstGeom>
                    <a:noFill/>
                  </pic:spPr>
                </pic:pic>
              </a:graphicData>
            </a:graphic>
          </wp:anchor>
        </w:drawing>
      </w:r>
    </w:p>
    <w:p>
      <w:pPr>
        <w:spacing w:after="0" w:line="29" w:lineRule="exact"/>
        <w:rPr>
          <w:sz w:val="20"/>
          <w:szCs w:val="20"/>
          <w:color w:val="auto"/>
        </w:rPr>
      </w:pPr>
    </w:p>
    <w:p>
      <w:pPr>
        <w:jc w:val="center"/>
        <w:ind w:left="6200"/>
        <w:spacing w:after="0"/>
        <w:rPr>
          <w:sz w:val="20"/>
          <w:szCs w:val="20"/>
          <w:color w:val="auto"/>
        </w:rPr>
      </w:pPr>
      <w:r>
        <w:rPr>
          <w:rFonts w:ascii="Arial" w:cs="Arial" w:eastAsia="Arial" w:hAnsi="Arial"/>
          <w:sz w:val="18"/>
          <w:szCs w:val="18"/>
          <w:color w:val="auto"/>
        </w:rPr>
        <w:t>Scott Hutton</w:t>
      </w:r>
    </w:p>
    <w:p>
      <w:pPr>
        <w:spacing w:after="0" w:line="36" w:lineRule="exact"/>
        <w:rPr>
          <w:sz w:val="20"/>
          <w:szCs w:val="20"/>
          <w:color w:val="auto"/>
        </w:rPr>
      </w:pPr>
    </w:p>
    <w:p>
      <w:pPr>
        <w:jc w:val="center"/>
        <w:ind w:left="62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0"/>
          <w:szCs w:val="20"/>
          <w:b w:val="1"/>
          <w:bCs w:val="1"/>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In connection with the Annual Report of Biodesix, Inc. (the “Company”) on Form 10-K for the year ending December 31, 2022 as filed with the Securities and Exchange Commission on the date hereof (the “Report”), I certify, pursuant to 18 U.S.C. § 1350, as adopted pursuant to § 906 of the Sarbanes-Oxley Act of 2002, that, to my knowledge:</w:t>
      </w:r>
    </w:p>
    <w:p>
      <w:pPr>
        <w:spacing w:after="0" w:line="183" w:lineRule="exact"/>
        <w:rPr>
          <w:sz w:val="20"/>
          <w:szCs w:val="20"/>
          <w:color w:val="auto"/>
        </w:rPr>
      </w:pPr>
    </w:p>
    <w:p>
      <w:pPr>
        <w:ind w:left="1500" w:hanging="743"/>
        <w:spacing w:after="0"/>
        <w:tabs>
          <w:tab w:leader="none" w:pos="1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500" w:hanging="743"/>
        <w:spacing w:after="0" w:line="277" w:lineRule="auto"/>
        <w:tabs>
          <w:tab w:leader="none" w:pos="1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20"/>
        <w:spacing w:after="0"/>
        <w:tabs>
          <w:tab w:leader="none" w:pos="5780" w:val="left"/>
          <w:tab w:leader="none" w:pos="7620" w:val="left"/>
        </w:tabs>
        <w:rPr>
          <w:sz w:val="20"/>
          <w:szCs w:val="20"/>
          <w:color w:val="auto"/>
        </w:rPr>
      </w:pPr>
      <w:r>
        <w:rPr>
          <w:rFonts w:ascii="Arial" w:cs="Arial" w:eastAsia="Arial" w:hAnsi="Arial"/>
          <w:sz w:val="18"/>
          <w:szCs w:val="18"/>
          <w:color w:val="auto"/>
        </w:rPr>
        <w:t>Date: March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23495</wp:posOffset>
            </wp:positionV>
            <wp:extent cx="319405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0">
                      <a:extLst>
                        <a:ext uri="{28A0092B-C50C-407E-A947-70E740481C1C}"/>
                      </a:extLst>
                    </a:blip>
                    <a:srcRect/>
                    <a:stretch>
                      <a:fillRect/>
                    </a:stretch>
                  </pic:blipFill>
                  <pic:spPr bwMode="auto">
                    <a:xfrm>
                      <a:off x="0" y="0"/>
                      <a:ext cx="3194050" cy="8255"/>
                    </a:xfrm>
                    <a:prstGeom prst="rect">
                      <a:avLst/>
                    </a:prstGeom>
                    <a:noFill/>
                  </pic:spPr>
                </pic:pic>
              </a:graphicData>
            </a:graphic>
          </wp:anchor>
        </w:drawing>
      </w:r>
    </w:p>
    <w:p>
      <w:pPr>
        <w:spacing w:after="0" w:line="29" w:lineRule="exact"/>
        <w:rPr>
          <w:sz w:val="20"/>
          <w:szCs w:val="20"/>
          <w:color w:val="auto"/>
        </w:rPr>
      </w:pPr>
    </w:p>
    <w:p>
      <w:pPr>
        <w:jc w:val="center"/>
        <w:ind w:left="6200"/>
        <w:spacing w:after="0"/>
        <w:rPr>
          <w:sz w:val="20"/>
          <w:szCs w:val="20"/>
          <w:color w:val="auto"/>
        </w:rPr>
      </w:pPr>
      <w:r>
        <w:rPr>
          <w:rFonts w:ascii="Arial" w:cs="Arial" w:eastAsia="Arial" w:hAnsi="Arial"/>
          <w:sz w:val="18"/>
          <w:szCs w:val="18"/>
          <w:color w:val="auto"/>
        </w:rPr>
        <w:t>Robin Harper Cowie</w:t>
      </w:r>
    </w:p>
    <w:p>
      <w:pPr>
        <w:spacing w:after="0" w:line="36" w:lineRule="exact"/>
        <w:rPr>
          <w:sz w:val="20"/>
          <w:szCs w:val="20"/>
          <w:color w:val="auto"/>
        </w:rPr>
      </w:pPr>
    </w:p>
    <w:p>
      <w:pPr>
        <w:jc w:val="center"/>
        <w:ind w:left="62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lvl w:ilvl="1">
      <w:lvlJc w:val="left"/>
      <w:lvlText w:val="o"/>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lvl w:ilvl="1">
      <w:lvlJc w:val="left"/>
      <w:lvlText w:val="o"/>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o"/>
      <w:numFmt w:val="bullet"/>
      <w:start w:val="1"/>
    </w:lvl>
  </w:abstractNum>
  <w:abstractNum w:abstractNumId="20">
    <w:nsid w:val="1BA026FA"/>
    <w:multiLevelType w:val="hybridMultilevel"/>
    <w:lvl w:ilvl="0">
      <w:lvlJc w:val="left"/>
      <w:lvlText w:val="%1)"/>
      <w:numFmt w:val="decimal"/>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1)"/>
      <w:numFmt w:val="decimal"/>
      <w:start w:val="3"/>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1)"/>
      <w:numFmt w:val="decimal"/>
      <w:start w:val="1"/>
    </w:lvl>
  </w:abstractNum>
  <w:abstractNum w:abstractNumId="61">
    <w:nsid w:val="6B94764"/>
    <w:multiLevelType w:val="hybridMultilevel"/>
    <w:lvl w:ilvl="0">
      <w:lvlJc w:val="left"/>
      <w:lvlText w:val="(%1)"/>
      <w:numFmt w:val="upperLetter"/>
      <w:start w:val="2"/>
    </w:lvl>
  </w:abstractNum>
  <w:abstractNum w:abstractNumId="62">
    <w:nsid w:val="42C296BD"/>
    <w:multiLevelType w:val="hybridMultilevel"/>
    <w:lvl w:ilvl="0">
      <w:lvlJc w:val="left"/>
      <w:lvlText w:val="(%1)"/>
      <w:numFmt w:val="lowerLetter"/>
      <w:start w:val="1"/>
    </w:lvl>
  </w:abstractNum>
  <w:abstractNum w:abstractNumId="63">
    <w:nsid w:val="168E121F"/>
    <w:multiLevelType w:val="hybridMultilevel"/>
    <w:lvl w:ilvl="0">
      <w:lvlJc w:val="left"/>
      <w:lvlText w:val="%1."/>
      <w:numFmt w:val="decimal"/>
      <w:start w:val="2"/>
    </w:lvl>
  </w:abstractNum>
  <w:abstractNum w:abstractNumId="64">
    <w:nsid w:val="1EBA5D23"/>
    <w:multiLevelType w:val="hybridMultilevel"/>
    <w:lvl w:ilvl="0">
      <w:lvlJc w:val="left"/>
      <w:lvlText w:val="(%1)"/>
      <w:numFmt w:val="lowerLetter"/>
      <w:start w:val="2"/>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1)"/>
      <w:numFmt w:val="lowerLetter"/>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1"/>
      <w:numFmt w:val="bullet"/>
      <w:start w:val="1"/>
    </w:lvl>
  </w:abstractNum>
  <w:abstractNum w:abstractNumId="71">
    <w:nsid w:val="BF72B14"/>
    <w:multiLevelType w:val="hybridMultilevel"/>
    <w:lvl w:ilvl="0">
      <w:lvlJc w:val="left"/>
      <w:lvlText w:val="2"/>
      <w:numFmt w:val="bullet"/>
      <w:start w:val="1"/>
    </w:lvl>
  </w:abstractNum>
  <w:abstractNum w:abstractNumId="72">
    <w:nsid w:val="11447B73"/>
    <w:multiLevelType w:val="hybridMultilevel"/>
    <w:lvl w:ilvl="0">
      <w:lvlJc w:val="left"/>
      <w:lvlText w:val="3"/>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18" Type="http://schemas.openxmlformats.org/officeDocument/2006/relationships/image" Target="media/image143.png"/><Relationship Id="rId219" Type="http://schemas.openxmlformats.org/officeDocument/2006/relationships/image" Target="media/image144.png"/><Relationship Id="rId222" Type="http://schemas.openxmlformats.org/officeDocument/2006/relationships/image" Target="media/image145.png"/><Relationship Id="rId223" Type="http://schemas.openxmlformats.org/officeDocument/2006/relationships/image" Target="media/image146.png"/><Relationship Id="rId224" Type="http://schemas.openxmlformats.org/officeDocument/2006/relationships/image" Target="media/image147.png"/><Relationship Id="rId225" Type="http://schemas.openxmlformats.org/officeDocument/2006/relationships/image" Target="media/image148.png"/><Relationship Id="rId226" Type="http://schemas.openxmlformats.org/officeDocument/2006/relationships/image" Target="media/image149.png"/><Relationship Id="rId227" Type="http://schemas.openxmlformats.org/officeDocument/2006/relationships/image" Target="media/image150.png"/><Relationship Id="rId228" Type="http://schemas.openxmlformats.org/officeDocument/2006/relationships/image" Target="media/image151.png"/><Relationship Id="rId229" Type="http://schemas.openxmlformats.org/officeDocument/2006/relationships/image" Target="media/image152.png"/><Relationship Id="rId230" Type="http://schemas.openxmlformats.org/officeDocument/2006/relationships/image" Target="media/image153.png"/><Relationship Id="rId231" Type="http://schemas.openxmlformats.org/officeDocument/2006/relationships/image" Target="media/image154.png"/><Relationship Id="rId232" Type="http://schemas.openxmlformats.org/officeDocument/2006/relationships/image" Target="media/image155.png"/><Relationship Id="rId233" Type="http://schemas.openxmlformats.org/officeDocument/2006/relationships/image" Target="media/image156.png"/><Relationship Id="rId234" Type="http://schemas.openxmlformats.org/officeDocument/2006/relationships/image" Target="media/image157.png"/><Relationship Id="rId235" Type="http://schemas.openxmlformats.org/officeDocument/2006/relationships/image" Target="media/image158.png"/><Relationship Id="rId236" Type="http://schemas.openxmlformats.org/officeDocument/2006/relationships/image" Target="media/image159.png"/><Relationship Id="rId237" Type="http://schemas.openxmlformats.org/officeDocument/2006/relationships/image" Target="media/image160.png"/><Relationship Id="rId238" Type="http://schemas.openxmlformats.org/officeDocument/2006/relationships/image" Target="media/image161.png"/><Relationship Id="rId239" Type="http://schemas.openxmlformats.org/officeDocument/2006/relationships/image" Target="media/image162.png"/><Relationship Id="rId240" Type="http://schemas.openxmlformats.org/officeDocument/2006/relationships/image" Target="media/image163.png"/><Relationship Id="rId241" Type="http://schemas.openxmlformats.org/officeDocument/2006/relationships/image" Target="media/image164.png"/><Relationship Id="rId242" Type="http://schemas.openxmlformats.org/officeDocument/2006/relationships/image" Target="media/image165.png"/><Relationship Id="rId243" Type="http://schemas.openxmlformats.org/officeDocument/2006/relationships/image" Target="media/image166.png"/><Relationship Id="rId244" Type="http://schemas.openxmlformats.org/officeDocument/2006/relationships/image" Target="media/image167.png"/><Relationship Id="rId245" Type="http://schemas.openxmlformats.org/officeDocument/2006/relationships/image" Target="media/image168.png"/><Relationship Id="rId246" Type="http://schemas.openxmlformats.org/officeDocument/2006/relationships/image" Target="media/image169.png"/><Relationship Id="rId247" Type="http://schemas.openxmlformats.org/officeDocument/2006/relationships/image" Target="media/image170.png"/><Relationship Id="rId248" Type="http://schemas.openxmlformats.org/officeDocument/2006/relationships/image" Target="media/image171.png"/><Relationship Id="rId249" Type="http://schemas.openxmlformats.org/officeDocument/2006/relationships/image" Target="media/image172.png"/><Relationship Id="rId250" Type="http://schemas.openxmlformats.org/officeDocument/2006/relationships/image" Target="media/image173.png"/><Relationship Id="rId251" Type="http://schemas.openxmlformats.org/officeDocument/2006/relationships/image" Target="media/image174.png"/><Relationship Id="rId252" Type="http://schemas.openxmlformats.org/officeDocument/2006/relationships/image" Target="media/image175.png"/><Relationship Id="rId253" Type="http://schemas.openxmlformats.org/officeDocument/2006/relationships/image" Target="media/image176.png"/><Relationship Id="rId254" Type="http://schemas.openxmlformats.org/officeDocument/2006/relationships/image" Target="media/image177.png"/><Relationship Id="rId255" Type="http://schemas.openxmlformats.org/officeDocument/2006/relationships/image" Target="media/image178.png"/><Relationship Id="rId256" Type="http://schemas.openxmlformats.org/officeDocument/2006/relationships/image" Target="media/image179.png"/><Relationship Id="rId257" Type="http://schemas.openxmlformats.org/officeDocument/2006/relationships/image" Target="media/image180.png"/><Relationship Id="rId258" Type="http://schemas.openxmlformats.org/officeDocument/2006/relationships/image" Target="media/image181.png"/><Relationship Id="rId259" Type="http://schemas.openxmlformats.org/officeDocument/2006/relationships/image" Target="media/image182.png"/><Relationship Id="rId260" Type="http://schemas.openxmlformats.org/officeDocument/2006/relationships/image" Target="media/image183.png"/><Relationship Id="rId261" Type="http://schemas.openxmlformats.org/officeDocument/2006/relationships/image" Target="media/image184.png"/><Relationship Id="rId262" Type="http://schemas.openxmlformats.org/officeDocument/2006/relationships/image" Target="media/image185.png"/><Relationship Id="rId263" Type="http://schemas.openxmlformats.org/officeDocument/2006/relationships/image" Target="media/image186.png"/><Relationship Id="rId264" Type="http://schemas.openxmlformats.org/officeDocument/2006/relationships/image" Target="media/image187.png"/><Relationship Id="rId265" Type="http://schemas.openxmlformats.org/officeDocument/2006/relationships/image" Target="media/image188.png"/><Relationship Id="rId266" Type="http://schemas.openxmlformats.org/officeDocument/2006/relationships/image" Target="media/image189.png"/><Relationship Id="rId267" Type="http://schemas.openxmlformats.org/officeDocument/2006/relationships/image" Target="media/image190.png"/><Relationship Id="rId268" Type="http://schemas.openxmlformats.org/officeDocument/2006/relationships/image" Target="media/image191.png"/><Relationship Id="rId269" Type="http://schemas.openxmlformats.org/officeDocument/2006/relationships/image" Target="media/image192.png"/><Relationship Id="rId270" Type="http://schemas.openxmlformats.org/officeDocument/2006/relationships/image" Target="media/image193.png"/><Relationship Id="rId271" Type="http://schemas.openxmlformats.org/officeDocument/2006/relationships/image" Target="media/image194.png"/><Relationship Id="rId272" Type="http://schemas.openxmlformats.org/officeDocument/2006/relationships/image" Target="media/image195.png"/><Relationship Id="rId273" Type="http://schemas.openxmlformats.org/officeDocument/2006/relationships/image" Target="media/image196.png"/><Relationship Id="rId274" Type="http://schemas.openxmlformats.org/officeDocument/2006/relationships/image" Target="media/image197.png"/><Relationship Id="rId275" Type="http://schemas.openxmlformats.org/officeDocument/2006/relationships/image" Target="media/image198.png"/><Relationship Id="rId276" Type="http://schemas.openxmlformats.org/officeDocument/2006/relationships/image" Target="media/image199.png"/><Relationship Id="rId277" Type="http://schemas.openxmlformats.org/officeDocument/2006/relationships/image" Target="media/image200.png"/><Relationship Id="rId278" Type="http://schemas.openxmlformats.org/officeDocument/2006/relationships/image" Target="media/image201.png"/><Relationship Id="rId279" Type="http://schemas.openxmlformats.org/officeDocument/2006/relationships/image" Target="media/image202.png"/><Relationship Id="rId280" Type="http://schemas.openxmlformats.org/officeDocument/2006/relationships/image" Target="media/image203.png"/><Relationship Id="rId281" Type="http://schemas.openxmlformats.org/officeDocument/2006/relationships/image" Target="media/image204.png"/><Relationship Id="rId282" Type="http://schemas.openxmlformats.org/officeDocument/2006/relationships/image" Target="media/image205.png"/><Relationship Id="rId283" Type="http://schemas.openxmlformats.org/officeDocument/2006/relationships/image" Target="media/image206.png"/><Relationship Id="rId284" Type="http://schemas.openxmlformats.org/officeDocument/2006/relationships/image" Target="media/image207.png"/><Relationship Id="rId285" Type="http://schemas.openxmlformats.org/officeDocument/2006/relationships/image" Target="media/image208.png"/><Relationship Id="rId286" Type="http://schemas.openxmlformats.org/officeDocument/2006/relationships/image" Target="media/image209.png"/><Relationship Id="rId287" Type="http://schemas.openxmlformats.org/officeDocument/2006/relationships/image" Target="media/image210.png"/><Relationship Id="rId288" Type="http://schemas.openxmlformats.org/officeDocument/2006/relationships/image" Target="media/image211.png"/><Relationship Id="rId289" Type="http://schemas.openxmlformats.org/officeDocument/2006/relationships/image" Target="media/image212.png"/><Relationship Id="rId290" Type="http://schemas.openxmlformats.org/officeDocument/2006/relationships/image" Target="media/image213.png"/><Relationship Id="rId291" Type="http://schemas.openxmlformats.org/officeDocument/2006/relationships/image" Target="media/image214.png"/><Relationship Id="rId292" Type="http://schemas.openxmlformats.org/officeDocument/2006/relationships/image" Target="media/image215.png"/><Relationship Id="rId293" Type="http://schemas.openxmlformats.org/officeDocument/2006/relationships/image" Target="media/image216.png"/><Relationship Id="rId294" Type="http://schemas.openxmlformats.org/officeDocument/2006/relationships/image" Target="media/image217.png"/><Relationship Id="rId295" Type="http://schemas.openxmlformats.org/officeDocument/2006/relationships/image" Target="media/image218.png"/><Relationship Id="rId296" Type="http://schemas.openxmlformats.org/officeDocument/2006/relationships/image" Target="media/image219.png"/><Relationship Id="rId297" Type="http://schemas.openxmlformats.org/officeDocument/2006/relationships/image" Target="media/image220.png"/><Relationship Id="rId298" Type="http://schemas.openxmlformats.org/officeDocument/2006/relationships/image" Target="media/image221.png"/><Relationship Id="rId299" Type="http://schemas.openxmlformats.org/officeDocument/2006/relationships/image" Target="media/image222.png"/><Relationship Id="rId300" Type="http://schemas.openxmlformats.org/officeDocument/2006/relationships/image" Target="media/image223.png"/><Relationship Id="rId301" Type="http://schemas.openxmlformats.org/officeDocument/2006/relationships/image" Target="media/image224.png"/><Relationship Id="rId302" Type="http://schemas.openxmlformats.org/officeDocument/2006/relationships/image" Target="media/image225.png"/><Relationship Id="rId303" Type="http://schemas.openxmlformats.org/officeDocument/2006/relationships/image" Target="media/image226.png"/><Relationship Id="rId304" Type="http://schemas.openxmlformats.org/officeDocument/2006/relationships/image" Target="media/image227.png"/><Relationship Id="rId305" Type="http://schemas.openxmlformats.org/officeDocument/2006/relationships/image" Target="media/image228.png"/><Relationship Id="rId306" Type="http://schemas.openxmlformats.org/officeDocument/2006/relationships/image" Target="media/image229.png"/><Relationship Id="rId307" Type="http://schemas.openxmlformats.org/officeDocument/2006/relationships/image" Target="media/image230.png"/><Relationship Id="rId308" Type="http://schemas.openxmlformats.org/officeDocument/2006/relationships/image" Target="media/image231.png"/><Relationship Id="rId309" Type="http://schemas.openxmlformats.org/officeDocument/2006/relationships/image" Target="media/image232.png"/><Relationship Id="rId310" Type="http://schemas.openxmlformats.org/officeDocument/2006/relationships/image" Target="media/image233.png"/><Relationship Id="rId311" Type="http://schemas.openxmlformats.org/officeDocument/2006/relationships/image" Target="media/image234.png"/><Relationship Id="rId312" Type="http://schemas.openxmlformats.org/officeDocument/2006/relationships/image" Target="media/image235.png"/><Relationship Id="rId313" Type="http://schemas.openxmlformats.org/officeDocument/2006/relationships/image" Target="media/image236.png"/><Relationship Id="rId314" Type="http://schemas.openxmlformats.org/officeDocument/2006/relationships/image" Target="media/image237.png"/><Relationship Id="rId315" Type="http://schemas.openxmlformats.org/officeDocument/2006/relationships/image" Target="media/image238.png"/><Relationship Id="rId316" Type="http://schemas.openxmlformats.org/officeDocument/2006/relationships/image" Target="media/image239.png"/><Relationship Id="rId317" Type="http://schemas.openxmlformats.org/officeDocument/2006/relationships/image" Target="media/image240.png"/><Relationship Id="rId318" Type="http://schemas.openxmlformats.org/officeDocument/2006/relationships/image" Target="media/image241.png"/><Relationship Id="rId319" Type="http://schemas.openxmlformats.org/officeDocument/2006/relationships/image" Target="media/image242.png"/><Relationship Id="rId320" Type="http://schemas.openxmlformats.org/officeDocument/2006/relationships/image" Target="media/image243.png"/><Relationship Id="rId321" Type="http://schemas.openxmlformats.org/officeDocument/2006/relationships/image" Target="media/image244.png"/><Relationship Id="rId322" Type="http://schemas.openxmlformats.org/officeDocument/2006/relationships/image" Target="media/image245.png"/><Relationship Id="rId323" Type="http://schemas.openxmlformats.org/officeDocument/2006/relationships/image" Target="media/image246.png"/><Relationship Id="rId324" Type="http://schemas.openxmlformats.org/officeDocument/2006/relationships/image" Target="media/image247.png"/><Relationship Id="rId325" Type="http://schemas.openxmlformats.org/officeDocument/2006/relationships/image" Target="media/image248.png"/><Relationship Id="rId326" Type="http://schemas.openxmlformats.org/officeDocument/2006/relationships/image" Target="media/image249.png"/><Relationship Id="rId327" Type="http://schemas.openxmlformats.org/officeDocument/2006/relationships/image" Target="media/image250.png"/><Relationship Id="rId328" Type="http://schemas.openxmlformats.org/officeDocument/2006/relationships/image" Target="media/image251.png"/><Relationship Id="rId329" Type="http://schemas.openxmlformats.org/officeDocument/2006/relationships/image" Target="media/image252.png"/><Relationship Id="rId330" Type="http://schemas.openxmlformats.org/officeDocument/2006/relationships/image" Target="media/image253.png"/><Relationship Id="rId331" Type="http://schemas.openxmlformats.org/officeDocument/2006/relationships/image" Target="media/image254.png"/><Relationship Id="rId332" Type="http://schemas.openxmlformats.org/officeDocument/2006/relationships/image" Target="media/image255.png"/><Relationship Id="rId333" Type="http://schemas.openxmlformats.org/officeDocument/2006/relationships/image" Target="media/image256.png"/><Relationship Id="rId334" Type="http://schemas.openxmlformats.org/officeDocument/2006/relationships/image" Target="media/image257.png"/><Relationship Id="rId335" Type="http://schemas.openxmlformats.org/officeDocument/2006/relationships/image" Target="media/image258.png"/><Relationship Id="rId336" Type="http://schemas.openxmlformats.org/officeDocument/2006/relationships/image" Target="media/image259.png"/><Relationship Id="rId337" Type="http://schemas.openxmlformats.org/officeDocument/2006/relationships/image" Target="media/image260.png"/><Relationship Id="rId338" Type="http://schemas.openxmlformats.org/officeDocument/2006/relationships/image" Target="media/image261.png"/><Relationship Id="rId339" Type="http://schemas.openxmlformats.org/officeDocument/2006/relationships/image" Target="media/image262.png"/><Relationship Id="rId340" Type="http://schemas.openxmlformats.org/officeDocument/2006/relationships/image" Target="media/image263.png"/><Relationship Id="rId341" Type="http://schemas.openxmlformats.org/officeDocument/2006/relationships/image" Target="media/image264.png"/><Relationship Id="rId342" Type="http://schemas.openxmlformats.org/officeDocument/2006/relationships/image" Target="media/image265.png"/><Relationship Id="rId343" Type="http://schemas.openxmlformats.org/officeDocument/2006/relationships/image" Target="media/image266.png"/><Relationship Id="rId344" Type="http://schemas.openxmlformats.org/officeDocument/2006/relationships/image" Target="media/image267.png"/><Relationship Id="rId345" Type="http://schemas.openxmlformats.org/officeDocument/2006/relationships/image" Target="media/image268.png"/><Relationship Id="rId346" Type="http://schemas.openxmlformats.org/officeDocument/2006/relationships/image" Target="media/image269.png"/><Relationship Id="rId347" Type="http://schemas.openxmlformats.org/officeDocument/2006/relationships/image" Target="media/image270.png"/><Relationship Id="rId348" Type="http://schemas.openxmlformats.org/officeDocument/2006/relationships/image" Target="media/image271.png"/><Relationship Id="rId349" Type="http://schemas.openxmlformats.org/officeDocument/2006/relationships/image" Target="media/image272.png"/><Relationship Id="rId350" Type="http://schemas.openxmlformats.org/officeDocument/2006/relationships/image" Target="media/image273.png"/><Relationship Id="rId351" Type="http://schemas.openxmlformats.org/officeDocument/2006/relationships/image" Target="media/image274.png"/><Relationship Id="rId144" Type="http://schemas.openxmlformats.org/officeDocument/2006/relationships/hyperlink" Target="https://www.sec.gov/Archives/edgar/data/1439725/000156459020056735/bdsx-ex31_716.htm" TargetMode="External"/><Relationship Id="rId145" Type="http://schemas.openxmlformats.org/officeDocument/2006/relationships/hyperlink" Target="https://www.sec.gov/Archives/edgar/data/1439725/000156459020056735/bdsx-ex32_717.htm" TargetMode="External"/><Relationship Id="rId146" Type="http://schemas.openxmlformats.org/officeDocument/2006/relationships/hyperlink" Target="https://www.sec.gov/Archives/edgar/data/1439725/000119312520273369/d937421dex41.htm" TargetMode="External"/><Relationship Id="rId147" Type="http://schemas.openxmlformats.org/officeDocument/2006/relationships/hyperlink" Target="https://www.sec.gov/Archives/edgar/data/1439725/000119312520262422/d937421dex42.htm" TargetMode="External"/><Relationship Id="rId148" Type="http://schemas.openxmlformats.org/officeDocument/2006/relationships/hyperlink" Target="https://www.sec.gov/Archives/edgar/data/1439725/000119312520262422/d937421dex43.htm" TargetMode="External"/><Relationship Id="rId149" Type="http://schemas.openxmlformats.org/officeDocument/2006/relationships/hyperlink" Target="https://www.sec.gov/Archives/edgar/data/1439725/000156459021013512/bdsx-ex45_270.htm" TargetMode="External"/><Relationship Id="rId150" Type="http://schemas.openxmlformats.org/officeDocument/2006/relationships/hyperlink" Target="https://www.sec.gov/Archives/edgar/data/1439725/000095017022025530/bdsx-ex10_1.htm" TargetMode="External"/><Relationship Id="rId151" Type="http://schemas.openxmlformats.org/officeDocument/2006/relationships/hyperlink" Target="https://www.sec.gov/Archives/edgar/data/1439725/000095017022025530/bdsx-ex4_2.htm" TargetMode="External"/><Relationship Id="rId152" Type="http://schemas.openxmlformats.org/officeDocument/2006/relationships/hyperlink" Target="https://www.sec.gov/Archives/edgar/data/1439725/000119312520266992/d937421dex101.htm" TargetMode="External"/><Relationship Id="rId153" Type="http://schemas.openxmlformats.org/officeDocument/2006/relationships/hyperlink" Target="https://www.sec.gov/Archives/edgar/data/1439725/000119312520266992/d937421dex1021.htm" TargetMode="External"/><Relationship Id="rId154" Type="http://schemas.openxmlformats.org/officeDocument/2006/relationships/hyperlink" Target="https://www.sec.gov/Archives/edgar/data/1439725/000119312520266992/d937421dex1022.htm" TargetMode="External"/><Relationship Id="rId155" Type="http://schemas.openxmlformats.org/officeDocument/2006/relationships/hyperlink" Target="https://www.sec.gov/Archives/edgar/data/1439725/000119312520266992/d937421dex1023.htm" TargetMode="External"/><Relationship Id="rId156" Type="http://schemas.openxmlformats.org/officeDocument/2006/relationships/hyperlink" Target="https://www.sec.gov/Archives/edgar/data/1439725/000119312520262422/d937421dex103.htm" TargetMode="External"/><Relationship Id="rId157" Type="http://schemas.openxmlformats.org/officeDocument/2006/relationships/hyperlink" Target="https://www.sec.gov/Archives/edgar/data/1439725/000119312520266992/d937421dex1041.htm" TargetMode="External"/><Relationship Id="rId158" Type="http://schemas.openxmlformats.org/officeDocument/2006/relationships/hyperlink" Target="https://www.sec.gov/Archives/edgar/data/1439725/000119312520266992/d937421dex1042.htm" TargetMode="External"/><Relationship Id="rId159" Type="http://schemas.openxmlformats.org/officeDocument/2006/relationships/hyperlink" Target="https://www.sec.gov/Archives/edgar/data/1439725/000119312520266992/d937421dex1043.htm" TargetMode="External"/><Relationship Id="rId160" Type="http://schemas.openxmlformats.org/officeDocument/2006/relationships/hyperlink" Target="https://www.sec.gov/Archives/edgar/data/1439725/000119312520275630/d937421dex105.htm" TargetMode="External"/><Relationship Id="rId163" Type="http://schemas.openxmlformats.org/officeDocument/2006/relationships/hyperlink" Target="https://www.sec.gov/Archives/edgar/data/1439725/000156459021013512/bdsx-ex1051_388.htm" TargetMode="External"/><Relationship Id="rId164" Type="http://schemas.openxmlformats.org/officeDocument/2006/relationships/hyperlink" Target="https://www.sec.gov/Archives/edgar/data/1439725/000156459021043081/bdsx-ex1052_236.htm" TargetMode="External"/><Relationship Id="rId165" Type="http://schemas.openxmlformats.org/officeDocument/2006/relationships/hyperlink" Target="https://www.sec.gov/Archives/edgar/data/1439725/000119312520275630/d937421dex106.htm" TargetMode="External"/><Relationship Id="rId166" Type="http://schemas.openxmlformats.org/officeDocument/2006/relationships/hyperlink" Target="https://www.sec.gov/Archives/edgar/data/1439725/000119312520262422/d937421dex1051.htm" TargetMode="External"/><Relationship Id="rId167" Type="http://schemas.openxmlformats.org/officeDocument/2006/relationships/hyperlink" Target="https://www.sec.gov/Archives/edgar/data/1439725/000119312520262422/d937421dex1052.htm" TargetMode="External"/><Relationship Id="rId168" Type="http://schemas.openxmlformats.org/officeDocument/2006/relationships/hyperlink" Target="https://www.sec.gov/Archives/edgar/data/1439725/000119312520262422/d937421dex1053.htm" TargetMode="External"/><Relationship Id="rId169" Type="http://schemas.openxmlformats.org/officeDocument/2006/relationships/hyperlink" Target="https://www.sec.gov/Archives/edgar/data/1439725/000095017022014433/bdsx-ex10_1.htm" TargetMode="External"/><Relationship Id="rId170" Type="http://schemas.openxmlformats.org/officeDocument/2006/relationships/hyperlink" Target="https://www.sec.gov/Archives/edgar/data/1439725/000095017022014433/bdsx-ex10_2.htm" TargetMode="External"/><Relationship Id="rId171" Type="http://schemas.openxmlformats.org/officeDocument/2006/relationships/hyperlink" Target="https://www.sec.gov/Archives/edgar/data/1439725/000119312520266992/d937421dex1061.htm" TargetMode="External"/><Relationship Id="rId172" Type="http://schemas.openxmlformats.org/officeDocument/2006/relationships/hyperlink" Target="https://www.sec.gov/Archives/edgar/data/1439725/000119312520266992/d937421dex1062.htm" TargetMode="External"/><Relationship Id="rId173" Type="http://schemas.openxmlformats.org/officeDocument/2006/relationships/hyperlink" Target="https://www.sec.gov/Archives/edgar/data/1439725/000119312520268763/d937421dex107.htm" TargetMode="External"/><Relationship Id="rId174" Type="http://schemas.openxmlformats.org/officeDocument/2006/relationships/hyperlink" Target="https://www.sec.gov/Archives/edgar/data/1439725/000119312520262422/d937421dex1091.htm" TargetMode="External"/><Relationship Id="rId175" Type="http://schemas.openxmlformats.org/officeDocument/2006/relationships/hyperlink" Target="https://www.sec.gov/Archives/edgar/data/1439725/000119312520262422/d937421dex1092.htm" TargetMode="External"/><Relationship Id="rId176" Type="http://schemas.openxmlformats.org/officeDocument/2006/relationships/hyperlink" Target="https://www.sec.gov/Archives/edgar/data/1439725/000119312520262422/d937421dex10101.htm" TargetMode="External"/><Relationship Id="rId177" Type="http://schemas.openxmlformats.org/officeDocument/2006/relationships/hyperlink" Target="https://www.sec.gov/Archives/edgar/data/1439725/000119312520262422/d937421dex10102.htm" TargetMode="External"/><Relationship Id="rId178" Type="http://schemas.openxmlformats.org/officeDocument/2006/relationships/hyperlink" Target="https://www.sec.gov/Archives/edgar/data/1439725/000119312520262422/d937421dex1011.htm" TargetMode="External"/><Relationship Id="rId179" Type="http://schemas.openxmlformats.org/officeDocument/2006/relationships/hyperlink" Target="https://www.sec.gov/Archives/edgar/data/1439725/000119312520266992/d937421dex1011.htm" TargetMode="External"/><Relationship Id="rId182" Type="http://schemas.openxmlformats.org/officeDocument/2006/relationships/hyperlink" Target="https://www.sec.gov/Archives/edgar/data/1439725/000095017022003495/bdsx-ex10_132.htm" TargetMode="External"/><Relationship Id="rId183" Type="http://schemas.openxmlformats.org/officeDocument/2006/relationships/hyperlink" Target="https://www.sec.gov/Archives/edgar/data/1439725/000119312520262422/d937421dex1013.htm" TargetMode="External"/><Relationship Id="rId184" Type="http://schemas.openxmlformats.org/officeDocument/2006/relationships/hyperlink" Target="https://www.sec.gov/Archives/edgar/data/1439725/000095017022009126/bdsx-ex10_1.htm" TargetMode="External"/><Relationship Id="rId185" Type="http://schemas.openxmlformats.org/officeDocument/2006/relationships/hyperlink" Target="https://www.sec.gov/Archives/edgar/data/1439725/000095017022009126/bdsx-ex10_2.htm" TargetMode="External"/><Relationship Id="rId186" Type="http://schemas.openxmlformats.org/officeDocument/2006/relationships/hyperlink" Target="https://www.sec.gov/Archives/edgar/data/1439725/000119312520262422/d937421dex1015.htm" TargetMode="External"/><Relationship Id="rId187" Type="http://schemas.openxmlformats.org/officeDocument/2006/relationships/hyperlink" Target="https://www.sec.gov/Archives/edgar/data/1439725/000119312520266992/d937421dex1015.htm" TargetMode="External"/><Relationship Id="rId188" Type="http://schemas.openxmlformats.org/officeDocument/2006/relationships/hyperlink" Target="https://www.sec.gov/Archives/edgar/data/1439725/000119312520266992/d937421dex1016.htm" TargetMode="External"/><Relationship Id="rId189" Type="http://schemas.openxmlformats.org/officeDocument/2006/relationships/hyperlink" Target="https://www.sec.gov/Archives/edgar/data/1439725/000119312520266992/d937421dex1017.htm" TargetMode="External"/><Relationship Id="rId190" Type="http://schemas.openxmlformats.org/officeDocument/2006/relationships/hyperlink" Target="https://www.sec.gov/Archives/edgar/data/1439725/000119312520266992/d937421dex1018.htm" TargetMode="External"/><Relationship Id="rId191" Type="http://schemas.openxmlformats.org/officeDocument/2006/relationships/hyperlink" Target="https://www.sec.gov/Archives/edgar/data/1439725/000119312520266992/d937421dex1019.htm" TargetMode="External"/><Relationship Id="rId192" Type="http://schemas.openxmlformats.org/officeDocument/2006/relationships/hyperlink" Target="https://www.sec.gov/Archives/edgar/data/1439725/000119312520266992/d937421dex1020.htm" TargetMode="External"/><Relationship Id="rId193" Type="http://schemas.openxmlformats.org/officeDocument/2006/relationships/hyperlink" Target="https://www.sec.gov/Archives/edgar/data/1439725/000119312520262422/d937421dex1023.htm" TargetMode="External"/><Relationship Id="rId194" Type="http://schemas.openxmlformats.org/officeDocument/2006/relationships/hyperlink" Target="https://www.sec.gov/Archives/edgar/data/1439725/000156459021043081/bdsx-ex1038_489.htm" TargetMode="External"/><Relationship Id="rId195" Type="http://schemas.openxmlformats.org/officeDocument/2006/relationships/hyperlink" Target="https://www.sec.gov/Archives/edgar/data/1439725/000095017022009126/bdsx-ex10_6.htm" TargetMode="External"/><Relationship Id="rId196" Type="http://schemas.openxmlformats.org/officeDocument/2006/relationships/hyperlink" Target="https://www.sec.gov/Archives/edgar/data/1439725/000119312520262422/d937421dex1024.htm" TargetMode="External"/><Relationship Id="rId197" Type="http://schemas.openxmlformats.org/officeDocument/2006/relationships/hyperlink" Target="https://www.sec.gov/Archives/edgar/data/1439725/000119312520262422/d937421dex1029.htm" TargetMode="External"/><Relationship Id="rId198" Type="http://schemas.openxmlformats.org/officeDocument/2006/relationships/hyperlink" Target="https://www.sec.gov/Archives/edgar/data/1439725/000119312520262422/d937421dex1030.htm" TargetMode="External"/><Relationship Id="rId201" Type="http://schemas.openxmlformats.org/officeDocument/2006/relationships/hyperlink" Target="https://www.sec.gov/Archives/edgar/data/1439725/000119312520262422/d937421dex1031.htm" TargetMode="External"/><Relationship Id="rId202" Type="http://schemas.openxmlformats.org/officeDocument/2006/relationships/hyperlink" Target="https://www.sec.gov/Archives/edgar/data/1439725/000119312520262422/d937421dex1032.htm" TargetMode="External"/><Relationship Id="rId203" Type="http://schemas.openxmlformats.org/officeDocument/2006/relationships/hyperlink" Target="https://www.sec.gov/Archives/edgar/data/1439725/000119312520262422/d937421dex1033.htm" TargetMode="External"/><Relationship Id="rId204" Type="http://schemas.openxmlformats.org/officeDocument/2006/relationships/hyperlink" Target="https://www.sec.gov/Archives/edgar/data/1439725/000119312520273369/d937421dex1033.htm" TargetMode="External"/><Relationship Id="rId205" Type="http://schemas.openxmlformats.org/officeDocument/2006/relationships/hyperlink" Target="https://www.sec.gov/Archives/edgar/data/1439725/000119312520273369/d937421dex1034.htm" TargetMode="External"/><Relationship Id="rId206" Type="http://schemas.openxmlformats.org/officeDocument/2006/relationships/hyperlink" Target="https://www.sec.gov/Archives/edgar/data/1439725/000156459021043081/bdsx-ex1037_47.htm" TargetMode="External"/><Relationship Id="rId207" Type="http://schemas.openxmlformats.org/officeDocument/2006/relationships/hyperlink" Target="https://www.sec.gov/Archives/edgar/data/1439725/000156459021014880/bdsx-ex101_29.htm" TargetMode="External"/><Relationship Id="rId208" Type="http://schemas.openxmlformats.org/officeDocument/2006/relationships/hyperlink" Target="https://www.sec.gov/Archives/edgar/data/1439725/000156459021056811/bdsx-ex1039_135.htm" TargetMode="External"/><Relationship Id="rId209" Type="http://schemas.openxmlformats.org/officeDocument/2006/relationships/hyperlink" Target="https://www.sec.gov/Archives/edgar/data/1439725/000095017022000036/bdsx-ex10_40.htm" TargetMode="External"/><Relationship Id="rId210" Type="http://schemas.openxmlformats.org/officeDocument/2006/relationships/hyperlink" Target="https://www.sec.gov/Archives/edgar/data/1439725/000095017022005536/bdsx-ex10_3.htm" TargetMode="External"/><Relationship Id="rId211" Type="http://schemas.openxmlformats.org/officeDocument/2006/relationships/hyperlink" Target="https://www.sec.gov/Archives/edgar/data/1439725/000095017022021488/bdsx-ex10_1.htm" TargetMode="External"/><Relationship Id="rId212" Type="http://schemas.openxmlformats.org/officeDocument/2006/relationships/hyperlink" Target="https://www.sec.gov/Archives/edgar/data/1439725/000095017022003002/bdsx-ex10_1.htm" TargetMode="External"/><Relationship Id="rId213" Type="http://schemas.openxmlformats.org/officeDocument/2006/relationships/hyperlink" Target="https://www.sec.gov/Archives/edgar/data/1439725/000095017022003002/bdsx-ex10_2.htm" TargetMode="External"/><Relationship Id="rId214" Type="http://schemas.openxmlformats.org/officeDocument/2006/relationships/hyperlink" Target="https://www.sec.gov/Archives/edgar/data/1439725/000095017022009126/bdsx-ex10_7.htm" TargetMode="External"/><Relationship Id="rId215" Type="http://schemas.openxmlformats.org/officeDocument/2006/relationships/hyperlink" Target="https://www.sec.gov/Archives/edgar/data/1439725/000095017022009126/bdsx-ex10_8.htm" TargetMode="External"/><Relationship Id="rId216" Type="http://schemas.openxmlformats.org/officeDocument/2006/relationships/hyperlink" Target="https://www.sec.gov/Archives/edgar/data/1439725/000095017022005536/bdsx-ex10_1.htm" TargetMode="External"/><Relationship Id="rId217" Type="http://schemas.openxmlformats.org/officeDocument/2006/relationships/hyperlink" Target="https://www.sec.gov/Archives/edgar/data/1439725/000095017022005536/bdsx-ex10_2.htm" TargetMode="External"/><Relationship Id="rId220" Type="http://schemas.openxmlformats.org/officeDocument/2006/relationships/hyperlink" Target="https://www.sec.gov/Archives/edgar/data/1439725/000095017022025530/bdsx-ex10_2.htm" TargetMode="External"/><Relationship Id="rId221" Type="http://schemas.openxmlformats.org/officeDocument/2006/relationships/hyperlink" Target="https://www.sec.gov/Archives/edgar/data/1439725/000095017022025530/bdsx-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2023-03-06T05:26:29Z</dcterms:created>
  <dcterms:modified xsi:type="dcterms:W3CDTF">2023-03-06T05:26:29Z</dcterms:modified>
</cp:coreProperties>
</file>