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277495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4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6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SCHEDULE 13D</w:t>
      </w:r>
    </w:p>
    <w:p>
      <w:pPr>
        <w:spacing w:after="0" w:line="4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Under the Securities Exchange Act of 1934</w:t>
      </w:r>
    </w:p>
    <w:p>
      <w:pPr>
        <w:spacing w:after="0" w:line="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(Amendment No. 2)*</w:t>
      </w:r>
    </w:p>
    <w:p>
      <w:pPr>
        <w:spacing w:after="0" w:line="17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43"/>
          <w:szCs w:val="43"/>
          <w:b w:val="1"/>
          <w:bCs w:val="1"/>
          <w:u w:val="single" w:color="auto"/>
          <w:color w:val="auto"/>
        </w:rPr>
        <w:t>Biodesix, Inc.</w:t>
      </w:r>
    </w:p>
    <w:p>
      <w:pPr>
        <w:spacing w:after="0" w:line="5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u w:val="single" w:color="auto"/>
          <w:color w:val="auto"/>
        </w:rPr>
        <w:t>(Name of Issuer)</w:t>
      </w:r>
    </w:p>
    <w:p>
      <w:pPr>
        <w:spacing w:after="0" w:line="20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Common Stock, par value $0.001 per share</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(Title of Class of Securities)</w:t>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09075X108</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(CUSIP Number)</w:t>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John Patience</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 Biodesix, Inc.</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919 West Dillon Rd</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Louisville, Colorado 80027</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(520) 365-3100</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(Name, Address and Telephone Number of Person</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Authorized to Receive Notices and Communications)</w:t>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April 5, 2024</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(Date of Event which Requires Filing of this Statement)</w:t>
      </w:r>
    </w:p>
    <w:p>
      <w:pPr>
        <w:spacing w:after="0" w:line="207" w:lineRule="exact"/>
        <w:rPr>
          <w:sz w:val="24"/>
          <w:szCs w:val="24"/>
          <w:color w:val="auto"/>
        </w:rPr>
      </w:pPr>
    </w:p>
    <w:p>
      <w:pPr>
        <w:spacing w:after="0" w:line="239" w:lineRule="exact"/>
        <w:rPr>
          <w:sz w:val="20"/>
          <w:szCs w:val="20"/>
          <w:color w:val="auto"/>
        </w:rPr>
      </w:pPr>
      <w:r>
        <w:rPr>
          <w:rFonts w:ascii="Times New Roman" w:cs="Times New Roman" w:eastAsia="Times New Roman" w:hAnsi="Times New Roman"/>
          <w:sz w:val="18"/>
          <w:szCs w:val="18"/>
          <w:color w:val="auto"/>
        </w:rPr>
        <w:t xml:space="preserve">If the filing person has previously filed a statement on Schedule 13G to report the acquisition that is the subject of this Schedule 13D, and is filing this schedule because of §§240.13d-1(e), 240.13d-1(f) or 240.13d-1(g), check the following box. </w:t>
      </w:r>
      <w:r>
        <w:rPr>
          <w:rFonts w:ascii="MS PGothic" w:cs="MS PGothic" w:eastAsia="MS PGothic" w:hAnsi="MS PGothic"/>
          <w:sz w:val="18"/>
          <w:szCs w:val="18"/>
          <w:color w:val="auto"/>
        </w:rPr>
        <w:t>☐</w:t>
      </w:r>
    </w:p>
    <w:p>
      <w:pPr>
        <w:spacing w:after="0" w:line="170"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Note: Schedules filed in paper format shall include a signed original and five copies of the schedule, including all exhibits. See Rule 13d-7 for other parties to whom copies are to be sent.</w:t>
      </w:r>
    </w:p>
    <w:p>
      <w:pPr>
        <w:spacing w:after="0" w:line="162" w:lineRule="exact"/>
        <w:rPr>
          <w:sz w:val="24"/>
          <w:szCs w:val="24"/>
          <w:color w:val="auto"/>
        </w:rPr>
      </w:pPr>
    </w:p>
    <w:p>
      <w:pPr>
        <w:ind w:firstLine="8"/>
        <w:spacing w:after="0" w:line="282" w:lineRule="auto"/>
        <w:tabs>
          <w:tab w:leader="none" w:pos="135"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62" w:lineRule="exact"/>
        <w:rPr>
          <w:sz w:val="24"/>
          <w:szCs w:val="24"/>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174625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269240</wp:posOffset>
            </wp:positionV>
            <wp:extent cx="71323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423545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16" w:right="339" w:bottom="1440" w:gutter="0" w:footer="0" w:header="0"/>
        </w:sectPr>
      </w:pPr>
    </w:p>
    <w:bookmarkStart w:id="1" w:name="page2"/>
    <w:bookmarkEnd w:id="1"/>
    <w:tbl>
      <w:tblPr>
        <w:tblLayout w:type="fixed"/>
        <w:tblInd w:w="10" w:type="dxa"/>
        <w:tblCellMar>
          <w:top w:w="0" w:type="dxa"/>
          <w:left w:w="0" w:type="dxa"/>
          <w:bottom w:w="0" w:type="dxa"/>
          <w:right w:w="0" w:type="dxa"/>
        </w:tblCellMar>
      </w:tblPr>
      <w:tr>
        <w:trPr>
          <w:trHeight w:val="234"/>
        </w:trPr>
        <w:tc>
          <w:tcPr>
            <w:tcW w:w="21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CUSIP No: 09075X108</w:t>
            </w:r>
          </w:p>
        </w:tc>
        <w:tc>
          <w:tcPr>
            <w:tcW w:w="580" w:type="dxa"/>
            <w:vAlign w:val="bottom"/>
          </w:tcPr>
          <w:p>
            <w:pPr>
              <w:spacing w:after="0"/>
              <w:rPr>
                <w:sz w:val="20"/>
                <w:szCs w:val="20"/>
                <w:color w:val="auto"/>
              </w:rPr>
            </w:pPr>
          </w:p>
        </w:tc>
        <w:tc>
          <w:tcPr>
            <w:tcW w:w="6960" w:type="dxa"/>
            <w:vAlign w:val="bottom"/>
          </w:tcPr>
          <w:p>
            <w:pPr>
              <w:ind w:left="2260"/>
              <w:spacing w:after="0"/>
              <w:rPr>
                <w:sz w:val="20"/>
                <w:szCs w:val="20"/>
                <w:color w:val="auto"/>
              </w:rPr>
            </w:pPr>
            <w:r>
              <w:rPr>
                <w:rFonts w:ascii="Times New Roman" w:cs="Times New Roman" w:eastAsia="Times New Roman" w:hAnsi="Times New Roman"/>
                <w:sz w:val="18"/>
                <w:szCs w:val="18"/>
                <w:color w:val="auto"/>
              </w:rPr>
              <w:t>SCHEDULE 13D</w:t>
            </w:r>
          </w:p>
        </w:tc>
        <w:tc>
          <w:tcPr>
            <w:tcW w:w="15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Page 2 of 6 Pages</w:t>
            </w:r>
          </w:p>
        </w:tc>
        <w:tc>
          <w:tcPr>
            <w:tcW w:w="0" w:type="dxa"/>
            <w:vAlign w:val="bottom"/>
          </w:tcPr>
          <w:p>
            <w:pPr>
              <w:spacing w:after="0"/>
              <w:rPr>
                <w:sz w:val="1"/>
                <w:szCs w:val="1"/>
                <w:color w:val="auto"/>
              </w:rPr>
            </w:pPr>
          </w:p>
        </w:tc>
      </w:tr>
      <w:tr>
        <w:trPr>
          <w:trHeight w:val="175"/>
        </w:trPr>
        <w:tc>
          <w:tcPr>
            <w:tcW w:w="1400" w:type="dxa"/>
            <w:vAlign w:val="bottom"/>
            <w:tcBorders>
              <w:bottom w:val="single" w:sz="8" w:color="auto"/>
            </w:tcBorders>
          </w:tcPr>
          <w:p>
            <w:pPr>
              <w:spacing w:after="0"/>
              <w:rPr>
                <w:sz w:val="15"/>
                <w:szCs w:val="15"/>
                <w:color w:val="auto"/>
              </w:rPr>
            </w:pPr>
          </w:p>
        </w:tc>
        <w:tc>
          <w:tcPr>
            <w:tcW w:w="8280" w:type="dxa"/>
            <w:vAlign w:val="bottom"/>
            <w:tcBorders>
              <w:bottom w:val="single" w:sz="8" w:color="auto"/>
            </w:tcBorders>
            <w:gridSpan w:val="4"/>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1</w:t>
            </w:r>
          </w:p>
        </w:tc>
        <w:tc>
          <w:tcPr>
            <w:tcW w:w="8280" w:type="dxa"/>
            <w:vAlign w:val="bottom"/>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rPr>
              <w:t>NAMES OF REPORTING PERSONS</w:t>
            </w:r>
          </w:p>
        </w:tc>
        <w:tc>
          <w:tcPr>
            <w:tcW w:w="10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13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John Patience</w:t>
            </w:r>
          </w:p>
        </w:tc>
        <w:tc>
          <w:tcPr>
            <w:tcW w:w="69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8280" w:type="dxa"/>
            <w:vAlign w:val="bottom"/>
            <w:tcBorders>
              <w:bottom w:val="single" w:sz="8" w:color="auto"/>
            </w:tcBorders>
            <w:gridSpan w:val="4"/>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520" w:type="dxa"/>
            <w:vAlign w:val="bottom"/>
            <w:tcBorders>
              <w:bottom w:val="single" w:sz="8" w:color="auto"/>
              <w:right w:val="single" w:sz="8" w:color="auto"/>
            </w:tcBorders>
            <w:gridSpan w:val="2"/>
          </w:tcPr>
          <w:p>
            <w:pPr>
              <w:spacing w:after="0"/>
              <w:rPr>
                <w:sz w:val="14"/>
                <w:szCs w:val="14"/>
                <w:color w:val="auto"/>
              </w:rPr>
            </w:pPr>
          </w:p>
        </w:tc>
        <w:tc>
          <w:tcPr>
            <w:tcW w:w="0" w:type="dxa"/>
            <w:vAlign w:val="bottom"/>
          </w:tcPr>
          <w:p>
            <w:pPr>
              <w:spacing w:after="0"/>
              <w:rPr>
                <w:sz w:val="1"/>
                <w:szCs w:val="1"/>
                <w:color w:val="auto"/>
              </w:rPr>
            </w:pPr>
          </w:p>
        </w:tc>
      </w:tr>
      <w:tr>
        <w:trPr>
          <w:trHeight w:val="232"/>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2</w:t>
            </w:r>
          </w:p>
        </w:tc>
        <w:tc>
          <w:tcPr>
            <w:tcW w:w="8280" w:type="dxa"/>
            <w:vAlign w:val="bottom"/>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rPr>
              <w:t>CHECK THE APPROPRIATE BOX IF A MEMBER OF A GROUP</w:t>
            </w:r>
          </w:p>
        </w:tc>
        <w:tc>
          <w:tcPr>
            <w:tcW w:w="1040" w:type="dxa"/>
            <w:vAlign w:val="bottom"/>
          </w:tcPr>
          <w:p>
            <w:pPr>
              <w:spacing w:after="0"/>
              <w:rPr>
                <w:sz w:val="20"/>
                <w:szCs w:val="20"/>
                <w:color w:val="auto"/>
              </w:rPr>
            </w:pPr>
          </w:p>
        </w:tc>
        <w:tc>
          <w:tcPr>
            <w:tcW w:w="520" w:type="dxa"/>
            <w:vAlign w:val="bottom"/>
            <w:tcBorders>
              <w:right w:val="single" w:sz="8" w:color="auto"/>
            </w:tcBorders>
            <w:gridSpan w:val="2"/>
          </w:tcPr>
          <w:p>
            <w:pPr>
              <w:jc w:val="right"/>
              <w:spacing w:after="0" w:line="207" w:lineRule="exact"/>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359"/>
        </w:trPr>
        <w:tc>
          <w:tcPr>
            <w:tcW w:w="1400" w:type="dxa"/>
            <w:vAlign w:val="bottom"/>
            <w:tcBorders>
              <w:left w:val="single" w:sz="8" w:color="auto"/>
              <w:right w:val="single" w:sz="8" w:color="auto"/>
            </w:tcBorders>
            <w:vMerge w:val="continue"/>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9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520" w:type="dxa"/>
            <w:vAlign w:val="bottom"/>
            <w:tcBorders>
              <w:right w:val="single" w:sz="8" w:color="auto"/>
            </w:tcBorders>
            <w:gridSpan w:val="2"/>
          </w:tcPr>
          <w:p>
            <w:pPr>
              <w:jc w:val="right"/>
              <w:spacing w:after="0" w:line="207" w:lineRule="exact"/>
              <w:rPr>
                <w:sz w:val="20"/>
                <w:szCs w:val="20"/>
                <w:color w:val="auto"/>
              </w:rPr>
            </w:pPr>
            <w:r>
              <w:rPr>
                <w:rFonts w:ascii="Times New Roman" w:cs="Times New Roman" w:eastAsia="Times New Roman" w:hAnsi="Times New Roman"/>
                <w:sz w:val="18"/>
                <w:szCs w:val="18"/>
                <w:color w:val="auto"/>
              </w:rPr>
              <w:t xml:space="preserve">(b)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12"/>
        </w:trPr>
        <w:tc>
          <w:tcPr>
            <w:tcW w:w="1400" w:type="dxa"/>
            <w:vAlign w:val="bottom"/>
            <w:tcBorders>
              <w:left w:val="single" w:sz="8" w:color="auto"/>
              <w:bottom w:val="single" w:sz="8" w:color="auto"/>
              <w:right w:val="single" w:sz="8" w:color="auto"/>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gridSpan w:val="2"/>
          </w:tcPr>
          <w:p>
            <w:pPr>
              <w:spacing w:after="0"/>
              <w:rPr>
                <w:sz w:val="18"/>
                <w:szCs w:val="18"/>
                <w:color w:val="auto"/>
              </w:rPr>
            </w:pPr>
          </w:p>
        </w:tc>
        <w:tc>
          <w:tcPr>
            <w:tcW w:w="69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2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3</w:t>
            </w:r>
          </w:p>
        </w:tc>
        <w:tc>
          <w:tcPr>
            <w:tcW w:w="1320" w:type="dxa"/>
            <w:vAlign w:val="bottom"/>
            <w:tcBorders>
              <w:right w:val="single" w:sz="8" w:color="BFBFBF"/>
            </w:tcBorders>
            <w:gridSpan w:val="3"/>
            <w:shd w:val="clear" w:color="auto" w:fill="BFBFBF"/>
          </w:tcPr>
          <w:p>
            <w:pPr>
              <w:ind w:left="20"/>
              <w:spacing w:after="0"/>
              <w:rPr>
                <w:sz w:val="20"/>
                <w:szCs w:val="20"/>
                <w:color w:val="auto"/>
              </w:rPr>
            </w:pPr>
            <w:r>
              <w:rPr>
                <w:rFonts w:ascii="Times New Roman" w:cs="Times New Roman" w:eastAsia="Times New Roman" w:hAnsi="Times New Roman"/>
                <w:sz w:val="18"/>
                <w:szCs w:val="18"/>
                <w:b w:val="1"/>
                <w:bCs w:val="1"/>
                <w:color w:val="auto"/>
                <w:w w:val="96"/>
              </w:rPr>
              <w:t>SEC USE ONLY</w:t>
            </w:r>
          </w:p>
        </w:tc>
        <w:tc>
          <w:tcPr>
            <w:tcW w:w="6960" w:type="dxa"/>
            <w:vAlign w:val="bottom"/>
            <w:shd w:val="clear" w:color="auto" w:fill="BFBFBF"/>
          </w:tcPr>
          <w:p>
            <w:pPr>
              <w:spacing w:after="0"/>
              <w:rPr>
                <w:sz w:val="20"/>
                <w:szCs w:val="20"/>
                <w:color w:val="auto"/>
              </w:rPr>
            </w:pPr>
          </w:p>
        </w:tc>
        <w:tc>
          <w:tcPr>
            <w:tcW w:w="1040" w:type="dxa"/>
            <w:vAlign w:val="bottom"/>
            <w:shd w:val="clear" w:color="auto" w:fill="BFBFBF"/>
          </w:tcPr>
          <w:p>
            <w:pPr>
              <w:spacing w:after="0"/>
              <w:rPr>
                <w:sz w:val="20"/>
                <w:szCs w:val="20"/>
                <w:color w:val="auto"/>
              </w:rPr>
            </w:pPr>
          </w:p>
        </w:tc>
        <w:tc>
          <w:tcPr>
            <w:tcW w:w="300" w:type="dxa"/>
            <w:vAlign w:val="bottom"/>
            <w:shd w:val="clear" w:color="auto" w:fill="BFBFBF"/>
          </w:tcPr>
          <w:p>
            <w:pPr>
              <w:spacing w:after="0"/>
              <w:rPr>
                <w:sz w:val="20"/>
                <w:szCs w:val="20"/>
                <w:color w:val="auto"/>
              </w:rPr>
            </w:pPr>
          </w:p>
        </w:tc>
        <w:tc>
          <w:tcPr>
            <w:tcW w:w="220" w:type="dxa"/>
            <w:vAlign w:val="bottom"/>
            <w:tcBorders>
              <w:right w:val="single" w:sz="8" w:color="auto"/>
            </w:tcBorders>
            <w:shd w:val="clear" w:color="auto" w:fill="BFBFBF"/>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1400" w:type="dxa"/>
            <w:vAlign w:val="bottom"/>
            <w:tcBorders>
              <w:left w:val="single" w:sz="8" w:color="auto"/>
              <w:right w:val="single" w:sz="8" w:color="auto"/>
            </w:tcBorders>
            <w:vMerge w:val="continue"/>
          </w:tcPr>
          <w:p>
            <w:pPr>
              <w:spacing w:after="0"/>
              <w:rPr>
                <w:sz w:val="24"/>
                <w:szCs w:val="24"/>
                <w:color w:val="auto"/>
              </w:rPr>
            </w:pPr>
          </w:p>
        </w:tc>
        <w:tc>
          <w:tcPr>
            <w:tcW w:w="640" w:type="dxa"/>
            <w:vAlign w:val="bottom"/>
            <w:tcBorders>
              <w:right w:val="single" w:sz="8" w:color="BFBFBF"/>
            </w:tcBorders>
            <w:shd w:val="clear" w:color="auto" w:fill="BFBFBF"/>
          </w:tcPr>
          <w:p>
            <w:pPr>
              <w:spacing w:after="0"/>
              <w:rPr>
                <w:sz w:val="24"/>
                <w:szCs w:val="24"/>
                <w:color w:val="auto"/>
              </w:rPr>
            </w:pPr>
          </w:p>
        </w:tc>
        <w:tc>
          <w:tcPr>
            <w:tcW w:w="100" w:type="dxa"/>
            <w:vAlign w:val="bottom"/>
            <w:shd w:val="clear" w:color="auto" w:fill="BFBFBF"/>
          </w:tcPr>
          <w:p>
            <w:pPr>
              <w:spacing w:after="0"/>
              <w:rPr>
                <w:sz w:val="24"/>
                <w:szCs w:val="24"/>
                <w:color w:val="auto"/>
              </w:rPr>
            </w:pPr>
          </w:p>
        </w:tc>
        <w:tc>
          <w:tcPr>
            <w:tcW w:w="580" w:type="dxa"/>
            <w:vAlign w:val="bottom"/>
            <w:tcBorders>
              <w:right w:val="single" w:sz="8" w:color="BFBFBF"/>
            </w:tcBorders>
            <w:shd w:val="clear" w:color="auto" w:fill="BFBFBF"/>
          </w:tcPr>
          <w:p>
            <w:pPr>
              <w:spacing w:after="0"/>
              <w:rPr>
                <w:sz w:val="24"/>
                <w:szCs w:val="24"/>
                <w:color w:val="auto"/>
              </w:rPr>
            </w:pPr>
          </w:p>
        </w:tc>
        <w:tc>
          <w:tcPr>
            <w:tcW w:w="6960" w:type="dxa"/>
            <w:vAlign w:val="bottom"/>
            <w:shd w:val="clear" w:color="auto" w:fill="BFBFBF"/>
          </w:tcPr>
          <w:p>
            <w:pPr>
              <w:spacing w:after="0"/>
              <w:rPr>
                <w:sz w:val="24"/>
                <w:szCs w:val="24"/>
                <w:color w:val="auto"/>
              </w:rPr>
            </w:pPr>
          </w:p>
        </w:tc>
        <w:tc>
          <w:tcPr>
            <w:tcW w:w="1040" w:type="dxa"/>
            <w:vAlign w:val="bottom"/>
            <w:shd w:val="clear" w:color="auto" w:fill="BFBFBF"/>
          </w:tcPr>
          <w:p>
            <w:pPr>
              <w:spacing w:after="0"/>
              <w:rPr>
                <w:sz w:val="24"/>
                <w:szCs w:val="24"/>
                <w:color w:val="auto"/>
              </w:rPr>
            </w:pPr>
          </w:p>
        </w:tc>
        <w:tc>
          <w:tcPr>
            <w:tcW w:w="300" w:type="dxa"/>
            <w:vAlign w:val="bottom"/>
            <w:shd w:val="clear" w:color="auto" w:fill="BFBFBF"/>
          </w:tcPr>
          <w:p>
            <w:pPr>
              <w:spacing w:after="0"/>
              <w:rPr>
                <w:sz w:val="24"/>
                <w:szCs w:val="24"/>
                <w:color w:val="auto"/>
              </w:rPr>
            </w:pPr>
          </w:p>
        </w:tc>
        <w:tc>
          <w:tcPr>
            <w:tcW w:w="220" w:type="dxa"/>
            <w:vAlign w:val="bottom"/>
            <w:tcBorders>
              <w:right w:val="single" w:sz="8" w:color="auto"/>
            </w:tcBorders>
            <w:shd w:val="clear" w:color="auto" w:fill="BFBFBF"/>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400" w:type="dxa"/>
            <w:vAlign w:val="bottom"/>
            <w:tcBorders>
              <w:left w:val="single" w:sz="8" w:color="auto"/>
              <w:bottom w:val="single" w:sz="8" w:color="auto"/>
              <w:right w:val="single" w:sz="8" w:color="auto"/>
            </w:tcBorders>
          </w:tcPr>
          <w:p>
            <w:pPr>
              <w:spacing w:after="0"/>
              <w:rPr>
                <w:sz w:val="23"/>
                <w:szCs w:val="23"/>
                <w:color w:val="auto"/>
              </w:rPr>
            </w:pPr>
          </w:p>
        </w:tc>
        <w:tc>
          <w:tcPr>
            <w:tcW w:w="640" w:type="dxa"/>
            <w:vAlign w:val="bottom"/>
            <w:tcBorders>
              <w:bottom w:val="single" w:sz="8" w:color="auto"/>
              <w:right w:val="single" w:sz="8" w:color="BFBFBF"/>
            </w:tcBorders>
            <w:shd w:val="clear" w:color="auto" w:fill="BFBFBF"/>
          </w:tcPr>
          <w:p>
            <w:pPr>
              <w:spacing w:after="0"/>
              <w:rPr>
                <w:sz w:val="23"/>
                <w:szCs w:val="23"/>
                <w:color w:val="auto"/>
              </w:rPr>
            </w:pPr>
          </w:p>
        </w:tc>
        <w:tc>
          <w:tcPr>
            <w:tcW w:w="680" w:type="dxa"/>
            <w:vAlign w:val="bottom"/>
            <w:tcBorders>
              <w:bottom w:val="single" w:sz="8" w:color="auto"/>
              <w:right w:val="single" w:sz="8" w:color="BFBFBF"/>
            </w:tcBorders>
            <w:gridSpan w:val="2"/>
            <w:shd w:val="clear" w:color="auto" w:fill="BFBFBF"/>
          </w:tcPr>
          <w:p>
            <w:pPr>
              <w:spacing w:after="0"/>
              <w:rPr>
                <w:sz w:val="23"/>
                <w:szCs w:val="23"/>
                <w:color w:val="auto"/>
              </w:rPr>
            </w:pPr>
          </w:p>
        </w:tc>
        <w:tc>
          <w:tcPr>
            <w:tcW w:w="6960" w:type="dxa"/>
            <w:vAlign w:val="bottom"/>
            <w:tcBorders>
              <w:bottom w:val="single" w:sz="8" w:color="auto"/>
            </w:tcBorders>
            <w:shd w:val="clear" w:color="auto" w:fill="BFBFBF"/>
          </w:tcPr>
          <w:p>
            <w:pPr>
              <w:spacing w:after="0"/>
              <w:rPr>
                <w:sz w:val="23"/>
                <w:szCs w:val="23"/>
                <w:color w:val="auto"/>
              </w:rPr>
            </w:pPr>
          </w:p>
        </w:tc>
        <w:tc>
          <w:tcPr>
            <w:tcW w:w="1040" w:type="dxa"/>
            <w:vAlign w:val="bottom"/>
            <w:tcBorders>
              <w:bottom w:val="single" w:sz="8" w:color="auto"/>
            </w:tcBorders>
            <w:shd w:val="clear" w:color="auto" w:fill="BFBFBF"/>
          </w:tcPr>
          <w:p>
            <w:pPr>
              <w:spacing w:after="0"/>
              <w:rPr>
                <w:sz w:val="23"/>
                <w:szCs w:val="23"/>
                <w:color w:val="auto"/>
              </w:rPr>
            </w:pPr>
          </w:p>
        </w:tc>
        <w:tc>
          <w:tcPr>
            <w:tcW w:w="300" w:type="dxa"/>
            <w:vAlign w:val="bottom"/>
            <w:tcBorders>
              <w:bottom w:val="single" w:sz="8" w:color="auto"/>
            </w:tcBorders>
            <w:shd w:val="clear" w:color="auto" w:fill="BFBFBF"/>
          </w:tcPr>
          <w:p>
            <w:pPr>
              <w:spacing w:after="0"/>
              <w:rPr>
                <w:sz w:val="23"/>
                <w:szCs w:val="23"/>
                <w:color w:val="auto"/>
              </w:rPr>
            </w:pPr>
          </w:p>
        </w:tc>
        <w:tc>
          <w:tcPr>
            <w:tcW w:w="220" w:type="dxa"/>
            <w:vAlign w:val="bottom"/>
            <w:tcBorders>
              <w:bottom w:val="single" w:sz="8" w:color="auto"/>
              <w:right w:val="single" w:sz="8" w:color="auto"/>
            </w:tcBorders>
            <w:shd w:val="clear" w:color="auto" w:fill="BFBFB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4</w:t>
            </w:r>
          </w:p>
        </w:tc>
        <w:tc>
          <w:tcPr>
            <w:tcW w:w="8280" w:type="dxa"/>
            <w:vAlign w:val="bottom"/>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rPr>
              <w:t>SOURCE OF FUNDS (SEE INSTRUCTIONS)</w:t>
            </w:r>
          </w:p>
        </w:tc>
        <w:tc>
          <w:tcPr>
            <w:tcW w:w="10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7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PF</w:t>
            </w:r>
          </w:p>
        </w:tc>
        <w:tc>
          <w:tcPr>
            <w:tcW w:w="580" w:type="dxa"/>
            <w:vAlign w:val="bottom"/>
          </w:tcPr>
          <w:p>
            <w:pPr>
              <w:spacing w:after="0"/>
              <w:rPr>
                <w:sz w:val="24"/>
                <w:szCs w:val="24"/>
                <w:color w:val="auto"/>
              </w:rPr>
            </w:pPr>
          </w:p>
        </w:tc>
        <w:tc>
          <w:tcPr>
            <w:tcW w:w="69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9320" w:type="dxa"/>
            <w:vAlign w:val="bottom"/>
            <w:tcBorders>
              <w:bottom w:val="single" w:sz="8" w:color="auto"/>
            </w:tcBorders>
            <w:gridSpan w:val="5"/>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96"/>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5</w:t>
            </w:r>
          </w:p>
        </w:tc>
        <w:tc>
          <w:tcPr>
            <w:tcW w:w="9320" w:type="dxa"/>
            <w:vAlign w:val="bottom"/>
            <w:gridSpan w:val="5"/>
          </w:tcPr>
          <w:p>
            <w:pPr>
              <w:ind w:left="20"/>
              <w:spacing w:after="0"/>
              <w:rPr>
                <w:sz w:val="20"/>
                <w:szCs w:val="20"/>
                <w:color w:val="auto"/>
              </w:rPr>
            </w:pPr>
            <w:r>
              <w:rPr>
                <w:rFonts w:ascii="Times New Roman" w:cs="Times New Roman" w:eastAsia="Times New Roman" w:hAnsi="Times New Roman"/>
                <w:sz w:val="18"/>
                <w:szCs w:val="18"/>
                <w:b w:val="1"/>
                <w:bCs w:val="1"/>
                <w:color w:val="auto"/>
              </w:rPr>
              <w:t>CHECK BOX IF DISCLOSURE OF LEGAL PROCEEDINGS IS REQUIRED PURSUANT TO ITEM 2(D) OR 2(E)</w:t>
            </w:r>
          </w:p>
        </w:tc>
        <w:tc>
          <w:tcPr>
            <w:tcW w:w="300" w:type="dxa"/>
            <w:vAlign w:val="bottom"/>
          </w:tcPr>
          <w:p>
            <w:pPr>
              <w:spacing w:after="0"/>
              <w:rPr>
                <w:sz w:val="24"/>
                <w:szCs w:val="24"/>
                <w:color w:val="auto"/>
              </w:rPr>
            </w:pPr>
          </w:p>
        </w:tc>
        <w:tc>
          <w:tcPr>
            <w:tcW w:w="220" w:type="dxa"/>
            <w:vAlign w:val="bottom"/>
            <w:tcBorders>
              <w:right w:val="single" w:sz="8" w:color="auto"/>
            </w:tcBorders>
          </w:tcPr>
          <w:p>
            <w:pPr>
              <w:jc w:val="right"/>
              <w:spacing w:after="0" w:line="181" w:lineRule="exact"/>
              <w:rPr>
                <w:sz w:val="20"/>
                <w:szCs w:val="20"/>
                <w:color w:val="auto"/>
              </w:rPr>
            </w:pPr>
            <w:r>
              <w:rPr>
                <w:rFonts w:ascii="MS PGothic" w:cs="MS PGothic" w:eastAsia="MS PGothic" w:hAnsi="MS PGothic"/>
                <w:sz w:val="18"/>
                <w:szCs w:val="18"/>
                <w:color w:val="auto"/>
                <w:w w:val="88"/>
              </w:rPr>
              <w:t>☐</w:t>
            </w:r>
          </w:p>
        </w:tc>
        <w:tc>
          <w:tcPr>
            <w:tcW w:w="0" w:type="dxa"/>
            <w:vAlign w:val="bottom"/>
          </w:tcPr>
          <w:p>
            <w:pPr>
              <w:spacing w:after="0"/>
              <w:rPr>
                <w:sz w:val="1"/>
                <w:szCs w:val="1"/>
                <w:color w:val="auto"/>
              </w:rPr>
            </w:pPr>
          </w:p>
        </w:tc>
      </w:tr>
      <w:tr>
        <w:trPr>
          <w:trHeight w:val="295"/>
        </w:trPr>
        <w:tc>
          <w:tcPr>
            <w:tcW w:w="1400" w:type="dxa"/>
            <w:vAlign w:val="bottom"/>
            <w:tcBorders>
              <w:left w:val="single" w:sz="8" w:color="auto"/>
              <w:right w:val="single" w:sz="8" w:color="auto"/>
            </w:tcBorders>
            <w:vMerge w:val="continue"/>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9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1400" w:type="dxa"/>
            <w:vAlign w:val="bottom"/>
            <w:tcBorders>
              <w:left w:val="single" w:sz="8" w:color="auto"/>
              <w:bottom w:val="single" w:sz="8" w:color="auto"/>
              <w:right w:val="single" w:sz="8" w:color="auto"/>
            </w:tcBorders>
          </w:tcPr>
          <w:p>
            <w:pPr>
              <w:spacing w:after="0"/>
              <w:rPr>
                <w:sz w:val="18"/>
                <w:szCs w:val="18"/>
                <w:color w:val="auto"/>
              </w:rPr>
            </w:pPr>
          </w:p>
        </w:tc>
        <w:tc>
          <w:tcPr>
            <w:tcW w:w="8280" w:type="dxa"/>
            <w:vAlign w:val="bottom"/>
            <w:tcBorders>
              <w:bottom w:val="single" w:sz="8" w:color="auto"/>
            </w:tcBorders>
            <w:gridSpan w:val="4"/>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2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6</w:t>
            </w:r>
          </w:p>
        </w:tc>
        <w:tc>
          <w:tcPr>
            <w:tcW w:w="8280" w:type="dxa"/>
            <w:vAlign w:val="bottom"/>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rPr>
              <w:t>CITIZENSHIP OR PLACE OF ORGANIZATION</w:t>
            </w:r>
          </w:p>
        </w:tc>
        <w:tc>
          <w:tcPr>
            <w:tcW w:w="10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13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United States</w:t>
            </w:r>
          </w:p>
        </w:tc>
        <w:tc>
          <w:tcPr>
            <w:tcW w:w="69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696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tcBorders>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rPr>
              <w:t>7</w:t>
            </w:r>
          </w:p>
        </w:tc>
        <w:tc>
          <w:tcPr>
            <w:tcW w:w="69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SOLE VOTING POWER</w:t>
            </w:r>
          </w:p>
        </w:tc>
        <w:tc>
          <w:tcPr>
            <w:tcW w:w="10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tcBorders>
          </w:tcPr>
          <w:p>
            <w:pPr>
              <w:spacing w:after="0"/>
              <w:rPr>
                <w:sz w:val="24"/>
                <w:szCs w:val="24"/>
                <w:color w:val="auto"/>
              </w:rPr>
            </w:pPr>
          </w:p>
        </w:tc>
        <w:tc>
          <w:tcPr>
            <w:tcW w:w="640" w:type="dxa"/>
            <w:vAlign w:val="bottom"/>
            <w:tcBorders>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Borders>
              <w:right w:val="single" w:sz="8" w:color="auto"/>
            </w:tcBorders>
            <w:vMerge w:val="continue"/>
          </w:tcPr>
          <w:p>
            <w:pPr>
              <w:spacing w:after="0"/>
              <w:rPr>
                <w:sz w:val="24"/>
                <w:szCs w:val="24"/>
                <w:color w:val="auto"/>
              </w:rPr>
            </w:pPr>
          </w:p>
        </w:tc>
        <w:tc>
          <w:tcPr>
            <w:tcW w:w="6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669,001 (1)</w:t>
            </w:r>
          </w:p>
        </w:tc>
        <w:tc>
          <w:tcPr>
            <w:tcW w:w="1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tcBorders>
          </w:tcPr>
          <w:p>
            <w:pPr>
              <w:spacing w:after="0"/>
              <w:rPr>
                <w:sz w:val="14"/>
                <w:szCs w:val="14"/>
                <w:color w:val="auto"/>
              </w:rPr>
            </w:pPr>
          </w:p>
        </w:tc>
        <w:tc>
          <w:tcPr>
            <w:tcW w:w="640" w:type="dxa"/>
            <w:vAlign w:val="bottom"/>
            <w:tcBorders>
              <w:right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right w:val="single" w:sz="8" w:color="auto"/>
            </w:tcBorders>
          </w:tcPr>
          <w:p>
            <w:pPr>
              <w:spacing w:after="0"/>
              <w:rPr>
                <w:sz w:val="14"/>
                <w:szCs w:val="14"/>
                <w:color w:val="auto"/>
              </w:rPr>
            </w:pPr>
          </w:p>
        </w:tc>
        <w:tc>
          <w:tcPr>
            <w:tcW w:w="696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tcBorders>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rPr>
              <w:t>8</w:t>
            </w:r>
          </w:p>
        </w:tc>
        <w:tc>
          <w:tcPr>
            <w:tcW w:w="69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SHARED VOTING POWER</w:t>
            </w:r>
          </w:p>
        </w:tc>
        <w:tc>
          <w:tcPr>
            <w:tcW w:w="10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1"/>
        </w:trPr>
        <w:tc>
          <w:tcPr>
            <w:tcW w:w="2040" w:type="dxa"/>
            <w:vAlign w:val="bottom"/>
            <w:tcBorders>
              <w:left w:val="single" w:sz="8" w:color="auto"/>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NUMBER OF SHARES</w:t>
            </w:r>
          </w:p>
        </w:tc>
        <w:tc>
          <w:tcPr>
            <w:tcW w:w="100" w:type="dxa"/>
            <w:vAlign w:val="bottom"/>
          </w:tcPr>
          <w:p>
            <w:pPr>
              <w:spacing w:after="0"/>
              <w:rPr>
                <w:sz w:val="19"/>
                <w:szCs w:val="19"/>
                <w:color w:val="auto"/>
              </w:rPr>
            </w:pPr>
          </w:p>
        </w:tc>
        <w:tc>
          <w:tcPr>
            <w:tcW w:w="580" w:type="dxa"/>
            <w:vAlign w:val="bottom"/>
            <w:tcBorders>
              <w:right w:val="single" w:sz="8" w:color="auto"/>
            </w:tcBorders>
            <w:vMerge w:val="continue"/>
          </w:tcPr>
          <w:p>
            <w:pPr>
              <w:spacing w:after="0"/>
              <w:rPr>
                <w:sz w:val="19"/>
                <w:szCs w:val="19"/>
                <w:color w:val="auto"/>
              </w:rPr>
            </w:pPr>
          </w:p>
        </w:tc>
        <w:tc>
          <w:tcPr>
            <w:tcW w:w="696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6,990,410</w:t>
            </w:r>
          </w:p>
        </w:tc>
        <w:tc>
          <w:tcPr>
            <w:tcW w:w="10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40" w:type="dxa"/>
            <w:vAlign w:val="bottom"/>
            <w:tcBorders>
              <w:left w:val="single" w:sz="8" w:color="auto"/>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BENEFICIALLY</w:t>
            </w:r>
          </w:p>
        </w:tc>
        <w:tc>
          <w:tcPr>
            <w:tcW w:w="100" w:type="dxa"/>
            <w:vAlign w:val="bottom"/>
          </w:tcPr>
          <w:p>
            <w:pPr>
              <w:spacing w:after="0"/>
              <w:rPr>
                <w:sz w:val="18"/>
                <w:szCs w:val="18"/>
                <w:color w:val="auto"/>
              </w:rPr>
            </w:pPr>
          </w:p>
        </w:tc>
        <w:tc>
          <w:tcPr>
            <w:tcW w:w="580" w:type="dxa"/>
            <w:vAlign w:val="bottom"/>
            <w:tcBorders>
              <w:right w:val="single" w:sz="8" w:color="auto"/>
            </w:tcBorders>
          </w:tcPr>
          <w:p>
            <w:pPr>
              <w:spacing w:after="0"/>
              <w:rPr>
                <w:sz w:val="18"/>
                <w:szCs w:val="18"/>
                <w:color w:val="auto"/>
              </w:rPr>
            </w:pPr>
          </w:p>
        </w:tc>
        <w:tc>
          <w:tcPr>
            <w:tcW w:w="6960" w:type="dxa"/>
            <w:vAlign w:val="bottom"/>
            <w:vMerge w:val="continue"/>
          </w:tcPr>
          <w:p>
            <w:pPr>
              <w:spacing w:after="0"/>
              <w:rPr>
                <w:sz w:val="18"/>
                <w:szCs w:val="18"/>
                <w:color w:val="auto"/>
              </w:rPr>
            </w:pPr>
          </w:p>
        </w:tc>
        <w:tc>
          <w:tcPr>
            <w:tcW w:w="10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30"/>
        </w:trPr>
        <w:tc>
          <w:tcPr>
            <w:tcW w:w="2040" w:type="dxa"/>
            <w:vAlign w:val="bottom"/>
            <w:tcBorders>
              <w:left w:val="single" w:sz="8" w:color="auto"/>
              <w:right w:val="single" w:sz="8" w:color="auto"/>
            </w:tcBorders>
            <w:gridSpan w:val="2"/>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OWNED BY EACH</w:t>
            </w:r>
          </w:p>
        </w:tc>
        <w:tc>
          <w:tcPr>
            <w:tcW w:w="100" w:type="dxa"/>
            <w:vAlign w:val="bottom"/>
            <w:tcBorders>
              <w:bottom w:val="single" w:sz="8" w:color="auto"/>
            </w:tcBorders>
          </w:tcPr>
          <w:p>
            <w:pPr>
              <w:spacing w:after="0"/>
              <w:rPr>
                <w:sz w:val="11"/>
                <w:szCs w:val="11"/>
                <w:color w:val="auto"/>
              </w:rPr>
            </w:pPr>
          </w:p>
        </w:tc>
        <w:tc>
          <w:tcPr>
            <w:tcW w:w="580" w:type="dxa"/>
            <w:vAlign w:val="bottom"/>
            <w:tcBorders>
              <w:bottom w:val="single" w:sz="8" w:color="auto"/>
              <w:right w:val="single" w:sz="8" w:color="auto"/>
            </w:tcBorders>
          </w:tcPr>
          <w:p>
            <w:pPr>
              <w:spacing w:after="0"/>
              <w:rPr>
                <w:sz w:val="11"/>
                <w:szCs w:val="11"/>
                <w:color w:val="auto"/>
              </w:rPr>
            </w:pPr>
          </w:p>
        </w:tc>
        <w:tc>
          <w:tcPr>
            <w:tcW w:w="6960" w:type="dxa"/>
            <w:vAlign w:val="bottom"/>
            <w:tcBorders>
              <w:bottom w:val="single" w:sz="8" w:color="auto"/>
            </w:tcBorders>
          </w:tcPr>
          <w:p>
            <w:pPr>
              <w:spacing w:after="0"/>
              <w:rPr>
                <w:sz w:val="11"/>
                <w:szCs w:val="11"/>
                <w:color w:val="auto"/>
              </w:rPr>
            </w:pPr>
          </w:p>
        </w:tc>
        <w:tc>
          <w:tcPr>
            <w:tcW w:w="1040" w:type="dxa"/>
            <w:vAlign w:val="bottom"/>
            <w:tcBorders>
              <w:bottom w:val="single" w:sz="8" w:color="auto"/>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22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66"/>
        </w:trPr>
        <w:tc>
          <w:tcPr>
            <w:tcW w:w="2040" w:type="dxa"/>
            <w:vAlign w:val="bottom"/>
            <w:tcBorders>
              <w:left w:val="single" w:sz="8" w:color="auto"/>
              <w:right w:val="single" w:sz="8" w:color="auto"/>
            </w:tcBorders>
            <w:gridSpan w:val="2"/>
            <w:vMerge w:val="continue"/>
          </w:tcPr>
          <w:p>
            <w:pPr>
              <w:spacing w:after="0"/>
              <w:rPr>
                <w:sz w:val="5"/>
                <w:szCs w:val="5"/>
                <w:color w:val="auto"/>
              </w:rPr>
            </w:pPr>
          </w:p>
        </w:tc>
        <w:tc>
          <w:tcPr>
            <w:tcW w:w="100" w:type="dxa"/>
            <w:vAlign w:val="bottom"/>
          </w:tcPr>
          <w:p>
            <w:pPr>
              <w:spacing w:after="0"/>
              <w:rPr>
                <w:sz w:val="5"/>
                <w:szCs w:val="5"/>
                <w:color w:val="auto"/>
              </w:rPr>
            </w:pPr>
          </w:p>
        </w:tc>
        <w:tc>
          <w:tcPr>
            <w:tcW w:w="580" w:type="dxa"/>
            <w:vAlign w:val="bottom"/>
            <w:tcBorders>
              <w:right w:val="single" w:sz="8" w:color="auto"/>
            </w:tcBorders>
          </w:tcPr>
          <w:p>
            <w:pPr>
              <w:spacing w:after="0"/>
              <w:rPr>
                <w:sz w:val="5"/>
                <w:szCs w:val="5"/>
                <w:color w:val="auto"/>
              </w:rPr>
            </w:pPr>
          </w:p>
        </w:tc>
        <w:tc>
          <w:tcPr>
            <w:tcW w:w="696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SOLE DISPOSITIVE POWER</w:t>
            </w:r>
          </w:p>
        </w:tc>
        <w:tc>
          <w:tcPr>
            <w:tcW w:w="1040" w:type="dxa"/>
            <w:vAlign w:val="bottom"/>
          </w:tcPr>
          <w:p>
            <w:pPr>
              <w:spacing w:after="0"/>
              <w:rPr>
                <w:sz w:val="5"/>
                <w:szCs w:val="5"/>
                <w:color w:val="auto"/>
              </w:rPr>
            </w:pPr>
          </w:p>
        </w:tc>
        <w:tc>
          <w:tcPr>
            <w:tcW w:w="300" w:type="dxa"/>
            <w:vAlign w:val="bottom"/>
          </w:tcPr>
          <w:p>
            <w:pPr>
              <w:spacing w:after="0"/>
              <w:rPr>
                <w:sz w:val="5"/>
                <w:szCs w:val="5"/>
                <w:color w:val="auto"/>
              </w:rPr>
            </w:pPr>
          </w:p>
        </w:tc>
        <w:tc>
          <w:tcPr>
            <w:tcW w:w="22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040" w:type="dxa"/>
            <w:vAlign w:val="bottom"/>
            <w:tcBorders>
              <w:left w:val="single" w:sz="8" w:color="auto"/>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REPORTING PERSON</w:t>
            </w:r>
          </w:p>
        </w:tc>
        <w:tc>
          <w:tcPr>
            <w:tcW w:w="100" w:type="dxa"/>
            <w:vAlign w:val="bottom"/>
          </w:tcPr>
          <w:p>
            <w:pPr>
              <w:spacing w:after="0"/>
              <w:rPr>
                <w:sz w:val="18"/>
                <w:szCs w:val="18"/>
                <w:color w:val="auto"/>
              </w:rPr>
            </w:pPr>
          </w:p>
        </w:tc>
        <w:tc>
          <w:tcPr>
            <w:tcW w:w="5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rPr>
              <w:t>9</w:t>
            </w:r>
          </w:p>
        </w:tc>
        <w:tc>
          <w:tcPr>
            <w:tcW w:w="6960" w:type="dxa"/>
            <w:vAlign w:val="bottom"/>
            <w:vMerge w:val="continue"/>
          </w:tcPr>
          <w:p>
            <w:pPr>
              <w:spacing w:after="0"/>
              <w:rPr>
                <w:sz w:val="18"/>
                <w:szCs w:val="18"/>
                <w:color w:val="auto"/>
              </w:rPr>
            </w:pPr>
          </w:p>
        </w:tc>
        <w:tc>
          <w:tcPr>
            <w:tcW w:w="10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1400" w:type="dxa"/>
            <w:vAlign w:val="bottom"/>
            <w:tcBorders>
              <w:left w:val="single" w:sz="8" w:color="auto"/>
            </w:tcBorders>
          </w:tcPr>
          <w:p>
            <w:pPr>
              <w:jc w:val="center"/>
              <w:ind w:left="505"/>
              <w:spacing w:after="0"/>
              <w:rPr>
                <w:sz w:val="20"/>
                <w:szCs w:val="20"/>
                <w:color w:val="auto"/>
              </w:rPr>
            </w:pPr>
            <w:r>
              <w:rPr>
                <w:rFonts w:ascii="Times New Roman" w:cs="Times New Roman" w:eastAsia="Times New Roman" w:hAnsi="Times New Roman"/>
                <w:sz w:val="18"/>
                <w:szCs w:val="18"/>
                <w:b w:val="1"/>
                <w:bCs w:val="1"/>
                <w:color w:val="auto"/>
              </w:rPr>
              <w:t>WITH</w:t>
            </w:r>
          </w:p>
        </w:tc>
        <w:tc>
          <w:tcPr>
            <w:tcW w:w="64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Borders>
              <w:right w:val="single" w:sz="8" w:color="auto"/>
            </w:tcBorders>
            <w:vMerge w:val="continue"/>
          </w:tcPr>
          <w:p>
            <w:pPr>
              <w:spacing w:after="0"/>
              <w:rPr>
                <w:sz w:val="20"/>
                <w:szCs w:val="20"/>
                <w:color w:val="auto"/>
              </w:rPr>
            </w:pPr>
          </w:p>
        </w:tc>
        <w:tc>
          <w:tcPr>
            <w:tcW w:w="696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669,001 (1)</w:t>
            </w:r>
          </w:p>
        </w:tc>
        <w:tc>
          <w:tcPr>
            <w:tcW w:w="10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21"/>
        </w:trPr>
        <w:tc>
          <w:tcPr>
            <w:tcW w:w="1400" w:type="dxa"/>
            <w:vAlign w:val="bottom"/>
            <w:tcBorders>
              <w:left w:val="single" w:sz="8" w:color="auto"/>
            </w:tcBorders>
          </w:tcPr>
          <w:p>
            <w:pPr>
              <w:spacing w:after="0"/>
              <w:rPr>
                <w:sz w:val="10"/>
                <w:szCs w:val="10"/>
                <w:color w:val="auto"/>
              </w:rPr>
            </w:pPr>
          </w:p>
        </w:tc>
        <w:tc>
          <w:tcPr>
            <w:tcW w:w="640" w:type="dxa"/>
            <w:vAlign w:val="bottom"/>
            <w:tcBorders>
              <w:right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Borders>
              <w:right w:val="single" w:sz="8" w:color="auto"/>
            </w:tcBorders>
            <w:vMerge w:val="continue"/>
          </w:tcPr>
          <w:p>
            <w:pPr>
              <w:spacing w:after="0"/>
              <w:rPr>
                <w:sz w:val="10"/>
                <w:szCs w:val="10"/>
                <w:color w:val="auto"/>
              </w:rPr>
            </w:pPr>
          </w:p>
        </w:tc>
        <w:tc>
          <w:tcPr>
            <w:tcW w:w="6960" w:type="dxa"/>
            <w:vAlign w:val="bottom"/>
            <w:vMerge w:val="continue"/>
          </w:tcPr>
          <w:p>
            <w:pPr>
              <w:spacing w:after="0"/>
              <w:rPr>
                <w:sz w:val="10"/>
                <w:szCs w:val="10"/>
                <w:color w:val="auto"/>
              </w:rPr>
            </w:pPr>
          </w:p>
        </w:tc>
        <w:tc>
          <w:tcPr>
            <w:tcW w:w="10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2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tcBorders>
          </w:tcPr>
          <w:p>
            <w:pPr>
              <w:spacing w:after="0"/>
              <w:rPr>
                <w:sz w:val="14"/>
                <w:szCs w:val="14"/>
                <w:color w:val="auto"/>
              </w:rPr>
            </w:pPr>
          </w:p>
        </w:tc>
        <w:tc>
          <w:tcPr>
            <w:tcW w:w="640" w:type="dxa"/>
            <w:vAlign w:val="bottom"/>
            <w:tcBorders>
              <w:right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right w:val="single" w:sz="8" w:color="auto"/>
            </w:tcBorders>
          </w:tcPr>
          <w:p>
            <w:pPr>
              <w:spacing w:after="0"/>
              <w:rPr>
                <w:sz w:val="14"/>
                <w:szCs w:val="14"/>
                <w:color w:val="auto"/>
              </w:rPr>
            </w:pPr>
          </w:p>
        </w:tc>
        <w:tc>
          <w:tcPr>
            <w:tcW w:w="696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6"/>
        </w:trPr>
        <w:tc>
          <w:tcPr>
            <w:tcW w:w="1400" w:type="dxa"/>
            <w:vAlign w:val="bottom"/>
            <w:tcBorders>
              <w:left w:val="single" w:sz="8" w:color="auto"/>
            </w:tcBorders>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rPr>
              <w:t>10</w:t>
            </w:r>
          </w:p>
        </w:tc>
        <w:tc>
          <w:tcPr>
            <w:tcW w:w="69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SHARED DISPOSITIVE POWER</w:t>
            </w:r>
          </w:p>
        </w:tc>
        <w:tc>
          <w:tcPr>
            <w:tcW w:w="10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tcBorders>
          </w:tcPr>
          <w:p>
            <w:pPr>
              <w:spacing w:after="0"/>
              <w:rPr>
                <w:sz w:val="24"/>
                <w:szCs w:val="24"/>
                <w:color w:val="auto"/>
              </w:rPr>
            </w:pPr>
          </w:p>
        </w:tc>
        <w:tc>
          <w:tcPr>
            <w:tcW w:w="640" w:type="dxa"/>
            <w:vAlign w:val="bottom"/>
            <w:tcBorders>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Borders>
              <w:right w:val="single" w:sz="8" w:color="auto"/>
            </w:tcBorders>
            <w:vMerge w:val="continue"/>
          </w:tcPr>
          <w:p>
            <w:pPr>
              <w:spacing w:after="0"/>
              <w:rPr>
                <w:sz w:val="24"/>
                <w:szCs w:val="24"/>
                <w:color w:val="auto"/>
              </w:rPr>
            </w:pPr>
          </w:p>
        </w:tc>
        <w:tc>
          <w:tcPr>
            <w:tcW w:w="6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6,990,410</w:t>
            </w:r>
          </w:p>
        </w:tc>
        <w:tc>
          <w:tcPr>
            <w:tcW w:w="1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tcBorders>
          </w:tcPr>
          <w:p>
            <w:pPr>
              <w:spacing w:after="0"/>
              <w:rPr>
                <w:sz w:val="14"/>
                <w:szCs w:val="14"/>
                <w:color w:val="auto"/>
              </w:rPr>
            </w:pPr>
          </w:p>
        </w:tc>
        <w:tc>
          <w:tcPr>
            <w:tcW w:w="640" w:type="dxa"/>
            <w:vAlign w:val="bottom"/>
            <w:tcBorders>
              <w:bottom w:val="single" w:sz="8" w:color="auto"/>
              <w:right w:val="single" w:sz="8" w:color="auto"/>
            </w:tcBorders>
          </w:tcPr>
          <w:p>
            <w:pPr>
              <w:spacing w:after="0"/>
              <w:rPr>
                <w:sz w:val="14"/>
                <w:szCs w:val="14"/>
                <w:color w:val="auto"/>
              </w:rPr>
            </w:pPr>
          </w:p>
        </w:tc>
        <w:tc>
          <w:tcPr>
            <w:tcW w:w="680" w:type="dxa"/>
            <w:vAlign w:val="bottom"/>
            <w:tcBorders>
              <w:bottom w:val="single" w:sz="8" w:color="auto"/>
              <w:right w:val="single" w:sz="8" w:color="auto"/>
            </w:tcBorders>
            <w:gridSpan w:val="2"/>
          </w:tcPr>
          <w:p>
            <w:pPr>
              <w:spacing w:after="0"/>
              <w:rPr>
                <w:sz w:val="14"/>
                <w:szCs w:val="14"/>
                <w:color w:val="auto"/>
              </w:rPr>
            </w:pPr>
          </w:p>
        </w:tc>
        <w:tc>
          <w:tcPr>
            <w:tcW w:w="696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3"/>
              </w:rPr>
              <w:t>11</w:t>
            </w:r>
          </w:p>
        </w:tc>
        <w:tc>
          <w:tcPr>
            <w:tcW w:w="8280" w:type="dxa"/>
            <w:vAlign w:val="bottom"/>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rPr>
              <w:t>AGGREGATE AMOUNT BENEFICIALLY OWNED BY EACH REPORTING PERSON</w:t>
            </w:r>
          </w:p>
        </w:tc>
        <w:tc>
          <w:tcPr>
            <w:tcW w:w="10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13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7,659,411 (1)</w:t>
            </w:r>
          </w:p>
        </w:tc>
        <w:tc>
          <w:tcPr>
            <w:tcW w:w="69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gridSpan w:val="2"/>
          </w:tcPr>
          <w:p>
            <w:pPr>
              <w:spacing w:after="0"/>
              <w:rPr>
                <w:sz w:val="14"/>
                <w:szCs w:val="14"/>
                <w:color w:val="auto"/>
              </w:rPr>
            </w:pPr>
          </w:p>
        </w:tc>
        <w:tc>
          <w:tcPr>
            <w:tcW w:w="696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14"/>
        </w:trPr>
        <w:tc>
          <w:tcPr>
            <w:tcW w:w="1400" w:type="dxa"/>
            <w:vAlign w:val="bottom"/>
            <w:tcBorders>
              <w:left w:val="single" w:sz="8" w:color="auto"/>
              <w:right w:val="single" w:sz="8" w:color="auto"/>
            </w:tcBorders>
          </w:tcPr>
          <w:p>
            <w:pPr>
              <w:spacing w:after="0"/>
              <w:rPr>
                <w:sz w:val="18"/>
                <w:szCs w:val="18"/>
                <w:color w:val="auto"/>
              </w:rPr>
            </w:pPr>
          </w:p>
        </w:tc>
        <w:tc>
          <w:tcPr>
            <w:tcW w:w="8280" w:type="dxa"/>
            <w:vAlign w:val="bottom"/>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rPr>
              <w:t>CHECK BOX IF THE AGGREGATE AMOUNT IN ROW (11) EXCLUDES CERTAIN SHARES (SEE</w:t>
            </w:r>
          </w:p>
        </w:tc>
        <w:tc>
          <w:tcPr>
            <w:tcW w:w="10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Borders>
              <w:right w:val="single" w:sz="8" w:color="auto"/>
            </w:tcBorders>
            <w:vMerge w:val="restart"/>
          </w:tcPr>
          <w:p>
            <w:pPr>
              <w:jc w:val="right"/>
              <w:spacing w:after="0" w:line="181" w:lineRule="exact"/>
              <w:rPr>
                <w:sz w:val="20"/>
                <w:szCs w:val="20"/>
                <w:color w:val="auto"/>
              </w:rPr>
            </w:pPr>
            <w:r>
              <w:rPr>
                <w:rFonts w:ascii="MS PGothic" w:cs="MS PGothic" w:eastAsia="MS PGothic" w:hAnsi="MS PGothic"/>
                <w:sz w:val="18"/>
                <w:szCs w:val="18"/>
                <w:color w:val="auto"/>
                <w:w w:val="88"/>
              </w:rPr>
              <w:t>☐</w:t>
            </w:r>
          </w:p>
        </w:tc>
        <w:tc>
          <w:tcPr>
            <w:tcW w:w="0" w:type="dxa"/>
            <w:vAlign w:val="bottom"/>
          </w:tcPr>
          <w:p>
            <w:pPr>
              <w:spacing w:after="0"/>
              <w:rPr>
                <w:sz w:val="1"/>
                <w:szCs w:val="1"/>
                <w:color w:val="auto"/>
              </w:rPr>
            </w:pPr>
          </w:p>
        </w:tc>
      </w:tr>
      <w:tr>
        <w:trPr>
          <w:trHeight w:val="158"/>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12</w:t>
            </w:r>
          </w:p>
        </w:tc>
        <w:tc>
          <w:tcPr>
            <w:tcW w:w="8280" w:type="dxa"/>
            <w:vAlign w:val="bottom"/>
            <w:gridSpan w:val="4"/>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INSTRUCTIONS)</w:t>
            </w:r>
          </w:p>
        </w:tc>
        <w:tc>
          <w:tcPr>
            <w:tcW w:w="10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20" w:type="dxa"/>
            <w:vAlign w:val="bottom"/>
            <w:tcBorders>
              <w:right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0"/>
        </w:trPr>
        <w:tc>
          <w:tcPr>
            <w:tcW w:w="1400" w:type="dxa"/>
            <w:vAlign w:val="bottom"/>
            <w:tcBorders>
              <w:left w:val="single" w:sz="8" w:color="auto"/>
              <w:right w:val="single" w:sz="8" w:color="auto"/>
            </w:tcBorders>
            <w:vMerge w:val="continue"/>
          </w:tcPr>
          <w:p>
            <w:pPr>
              <w:spacing w:after="0"/>
              <w:rPr>
                <w:sz w:val="6"/>
                <w:szCs w:val="6"/>
                <w:color w:val="auto"/>
              </w:rPr>
            </w:pPr>
          </w:p>
        </w:tc>
        <w:tc>
          <w:tcPr>
            <w:tcW w:w="8280" w:type="dxa"/>
            <w:vAlign w:val="bottom"/>
            <w:gridSpan w:val="4"/>
            <w:vMerge w:val="continue"/>
          </w:tcPr>
          <w:p>
            <w:pPr>
              <w:spacing w:after="0"/>
              <w:rPr>
                <w:sz w:val="6"/>
                <w:szCs w:val="6"/>
                <w:color w:val="auto"/>
              </w:rPr>
            </w:pPr>
          </w:p>
        </w:tc>
        <w:tc>
          <w:tcPr>
            <w:tcW w:w="1040" w:type="dxa"/>
            <w:vAlign w:val="bottom"/>
          </w:tcPr>
          <w:p>
            <w:pPr>
              <w:spacing w:after="0"/>
              <w:rPr>
                <w:sz w:val="6"/>
                <w:szCs w:val="6"/>
                <w:color w:val="auto"/>
              </w:rPr>
            </w:pPr>
          </w:p>
        </w:tc>
        <w:tc>
          <w:tcPr>
            <w:tcW w:w="300" w:type="dxa"/>
            <w:vAlign w:val="bottom"/>
          </w:tcPr>
          <w:p>
            <w:pPr>
              <w:spacing w:after="0"/>
              <w:rPr>
                <w:sz w:val="6"/>
                <w:szCs w:val="6"/>
                <w:color w:val="auto"/>
              </w:rPr>
            </w:pPr>
          </w:p>
        </w:tc>
        <w:tc>
          <w:tcPr>
            <w:tcW w:w="22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46"/>
        </w:trPr>
        <w:tc>
          <w:tcPr>
            <w:tcW w:w="1400" w:type="dxa"/>
            <w:vAlign w:val="bottom"/>
            <w:tcBorders>
              <w:left w:val="single" w:sz="8" w:color="auto"/>
              <w:right w:val="single" w:sz="8" w:color="auto"/>
            </w:tcBorders>
            <w:vMerge w:val="continue"/>
          </w:tcPr>
          <w:p>
            <w:pPr>
              <w:spacing w:after="0"/>
              <w:rPr>
                <w:sz w:val="21"/>
                <w:szCs w:val="21"/>
                <w:color w:val="auto"/>
              </w:rPr>
            </w:pPr>
          </w:p>
        </w:tc>
        <w:tc>
          <w:tcPr>
            <w:tcW w:w="6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696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2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321"/>
        </w:trPr>
        <w:tc>
          <w:tcPr>
            <w:tcW w:w="1400" w:type="dxa"/>
            <w:vAlign w:val="bottom"/>
            <w:tcBorders>
              <w:left w:val="single" w:sz="8" w:color="auto"/>
              <w:bottom w:val="single" w:sz="8" w:color="auto"/>
              <w:right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gridSpan w:val="2"/>
          </w:tcPr>
          <w:p>
            <w:pPr>
              <w:spacing w:after="0"/>
              <w:rPr>
                <w:sz w:val="24"/>
                <w:szCs w:val="24"/>
                <w:color w:val="auto"/>
              </w:rPr>
            </w:pPr>
          </w:p>
        </w:tc>
        <w:tc>
          <w:tcPr>
            <w:tcW w:w="696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13</w:t>
            </w:r>
          </w:p>
        </w:tc>
        <w:tc>
          <w:tcPr>
            <w:tcW w:w="8280" w:type="dxa"/>
            <w:vAlign w:val="bottom"/>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rPr>
              <w:t>PERCENT OF CLASS REPRESENTED BY AMOUNT IN ROW (11)</w:t>
            </w:r>
          </w:p>
        </w:tc>
        <w:tc>
          <w:tcPr>
            <w:tcW w:w="10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7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6.7% (2)</w:t>
            </w:r>
          </w:p>
        </w:tc>
        <w:tc>
          <w:tcPr>
            <w:tcW w:w="580" w:type="dxa"/>
            <w:vAlign w:val="bottom"/>
          </w:tcPr>
          <w:p>
            <w:pPr>
              <w:spacing w:after="0"/>
              <w:rPr>
                <w:sz w:val="24"/>
                <w:szCs w:val="24"/>
                <w:color w:val="auto"/>
              </w:rPr>
            </w:pPr>
          </w:p>
        </w:tc>
        <w:tc>
          <w:tcPr>
            <w:tcW w:w="69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gridSpan w:val="2"/>
          </w:tcPr>
          <w:p>
            <w:pPr>
              <w:spacing w:after="0"/>
              <w:rPr>
                <w:sz w:val="14"/>
                <w:szCs w:val="14"/>
                <w:color w:val="auto"/>
              </w:rPr>
            </w:pPr>
          </w:p>
        </w:tc>
        <w:tc>
          <w:tcPr>
            <w:tcW w:w="696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14</w:t>
            </w:r>
          </w:p>
        </w:tc>
        <w:tc>
          <w:tcPr>
            <w:tcW w:w="8280" w:type="dxa"/>
            <w:vAlign w:val="bottom"/>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rPr>
              <w:t>TYPE OF REPORTING PERSON (SEE INSTRUCTIONS)</w:t>
            </w:r>
          </w:p>
        </w:tc>
        <w:tc>
          <w:tcPr>
            <w:tcW w:w="10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7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w:t>
            </w:r>
          </w:p>
        </w:tc>
        <w:tc>
          <w:tcPr>
            <w:tcW w:w="580" w:type="dxa"/>
            <w:vAlign w:val="bottom"/>
          </w:tcPr>
          <w:p>
            <w:pPr>
              <w:spacing w:after="0"/>
              <w:rPr>
                <w:sz w:val="24"/>
                <w:szCs w:val="24"/>
                <w:color w:val="auto"/>
              </w:rPr>
            </w:pPr>
          </w:p>
        </w:tc>
        <w:tc>
          <w:tcPr>
            <w:tcW w:w="69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696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340" w:hanging="332"/>
        <w:spacing w:after="0"/>
        <w:tabs>
          <w:tab w:leader="none" w:pos="3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amount includes 331,075 Shares (as defined herein) that the Reporting Person has the right to acquire within 60 days of the date of this filing.</w:t>
      </w:r>
    </w:p>
    <w:p>
      <w:pPr>
        <w:spacing w:after="0" w:line="27" w:lineRule="exact"/>
        <w:rPr>
          <w:rFonts w:ascii="Times New Roman" w:cs="Times New Roman" w:eastAsia="Times New Roman" w:hAnsi="Times New Roman"/>
          <w:sz w:val="18"/>
          <w:szCs w:val="18"/>
          <w:color w:val="auto"/>
        </w:rPr>
      </w:pPr>
    </w:p>
    <w:p>
      <w:pPr>
        <w:ind w:left="340" w:right="580" w:hanging="332"/>
        <w:spacing w:after="0" w:line="255" w:lineRule="auto"/>
        <w:tabs>
          <w:tab w:leader="none" w:pos="3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percentage is based on a total of 113,627,715 Shares expected to be outstanding following the closing of the Issuer’s Concurrent Private Placement (as defined herein) on April 9, 2024, as reported in the Issuer’s current report on Form 8-K filed with the SEC on April 9, 2024, plus 331,075 Shares that the Reporting Person has the right to acquire within 60 days of the date of this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249555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 w:name="page3"/>
    <w:bookmarkEnd w:id="2"/>
    <w:tbl>
      <w:tblPr>
        <w:tblLayout w:type="fixed"/>
        <w:tblInd w:w="10" w:type="dxa"/>
        <w:tblCellMar>
          <w:top w:w="0" w:type="dxa"/>
          <w:left w:w="0" w:type="dxa"/>
          <w:bottom w:w="0" w:type="dxa"/>
          <w:right w:w="0" w:type="dxa"/>
        </w:tblCellMar>
      </w:tblPr>
      <w:tr>
        <w:trPr>
          <w:trHeight w:val="234"/>
        </w:trPr>
        <w:tc>
          <w:tcPr>
            <w:tcW w:w="21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CUSIP No: 09075X108</w:t>
            </w:r>
          </w:p>
        </w:tc>
        <w:tc>
          <w:tcPr>
            <w:tcW w:w="540" w:type="dxa"/>
            <w:vAlign w:val="bottom"/>
          </w:tcPr>
          <w:p>
            <w:pPr>
              <w:spacing w:after="0"/>
              <w:rPr>
                <w:sz w:val="20"/>
                <w:szCs w:val="20"/>
                <w:color w:val="auto"/>
              </w:rPr>
            </w:pPr>
          </w:p>
        </w:tc>
        <w:tc>
          <w:tcPr>
            <w:tcW w:w="6960" w:type="dxa"/>
            <w:vAlign w:val="bottom"/>
          </w:tcPr>
          <w:p>
            <w:pPr>
              <w:ind w:left="2260"/>
              <w:spacing w:after="0"/>
              <w:rPr>
                <w:sz w:val="20"/>
                <w:szCs w:val="20"/>
                <w:color w:val="auto"/>
              </w:rPr>
            </w:pPr>
            <w:r>
              <w:rPr>
                <w:rFonts w:ascii="Times New Roman" w:cs="Times New Roman" w:eastAsia="Times New Roman" w:hAnsi="Times New Roman"/>
                <w:sz w:val="18"/>
                <w:szCs w:val="18"/>
                <w:color w:val="auto"/>
              </w:rPr>
              <w:t>SCHEDULE 13D</w:t>
            </w:r>
          </w:p>
        </w:tc>
        <w:tc>
          <w:tcPr>
            <w:tcW w:w="15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Page 3 of 6 Pages</w:t>
            </w:r>
          </w:p>
        </w:tc>
        <w:tc>
          <w:tcPr>
            <w:tcW w:w="0" w:type="dxa"/>
            <w:vAlign w:val="bottom"/>
          </w:tcPr>
          <w:p>
            <w:pPr>
              <w:spacing w:after="0"/>
              <w:rPr>
                <w:sz w:val="1"/>
                <w:szCs w:val="1"/>
                <w:color w:val="auto"/>
              </w:rPr>
            </w:pPr>
          </w:p>
        </w:tc>
      </w:tr>
      <w:tr>
        <w:trPr>
          <w:trHeight w:val="175"/>
        </w:trPr>
        <w:tc>
          <w:tcPr>
            <w:tcW w:w="1400" w:type="dxa"/>
            <w:vAlign w:val="bottom"/>
            <w:tcBorders>
              <w:bottom w:val="single" w:sz="8" w:color="auto"/>
            </w:tcBorders>
          </w:tcPr>
          <w:p>
            <w:pPr>
              <w:spacing w:after="0"/>
              <w:rPr>
                <w:sz w:val="15"/>
                <w:szCs w:val="15"/>
                <w:color w:val="auto"/>
              </w:rPr>
            </w:pPr>
          </w:p>
        </w:tc>
        <w:tc>
          <w:tcPr>
            <w:tcW w:w="8280" w:type="dxa"/>
            <w:vAlign w:val="bottom"/>
            <w:tcBorders>
              <w:bottom w:val="single" w:sz="8" w:color="auto"/>
            </w:tcBorders>
            <w:gridSpan w:val="4"/>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1</w:t>
            </w:r>
          </w:p>
        </w:tc>
        <w:tc>
          <w:tcPr>
            <w:tcW w:w="8280" w:type="dxa"/>
            <w:vAlign w:val="bottom"/>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rPr>
              <w:t>NAMES OF REPORTING PERSONS</w:t>
            </w:r>
          </w:p>
        </w:tc>
        <w:tc>
          <w:tcPr>
            <w:tcW w:w="10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828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John Patience Living Trust dated 7/23/1993</w:t>
            </w:r>
          </w:p>
        </w:tc>
        <w:tc>
          <w:tcPr>
            <w:tcW w:w="1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8280" w:type="dxa"/>
            <w:vAlign w:val="bottom"/>
            <w:tcBorders>
              <w:bottom w:val="single" w:sz="8" w:color="auto"/>
            </w:tcBorders>
            <w:gridSpan w:val="4"/>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520" w:type="dxa"/>
            <w:vAlign w:val="bottom"/>
            <w:tcBorders>
              <w:bottom w:val="single" w:sz="8" w:color="auto"/>
              <w:right w:val="single" w:sz="8" w:color="auto"/>
            </w:tcBorders>
            <w:gridSpan w:val="2"/>
          </w:tcPr>
          <w:p>
            <w:pPr>
              <w:spacing w:after="0"/>
              <w:rPr>
                <w:sz w:val="14"/>
                <w:szCs w:val="14"/>
                <w:color w:val="auto"/>
              </w:rPr>
            </w:pPr>
          </w:p>
        </w:tc>
        <w:tc>
          <w:tcPr>
            <w:tcW w:w="0" w:type="dxa"/>
            <w:vAlign w:val="bottom"/>
          </w:tcPr>
          <w:p>
            <w:pPr>
              <w:spacing w:after="0"/>
              <w:rPr>
                <w:sz w:val="1"/>
                <w:szCs w:val="1"/>
                <w:color w:val="auto"/>
              </w:rPr>
            </w:pPr>
          </w:p>
        </w:tc>
      </w:tr>
      <w:tr>
        <w:trPr>
          <w:trHeight w:val="232"/>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2</w:t>
            </w:r>
          </w:p>
        </w:tc>
        <w:tc>
          <w:tcPr>
            <w:tcW w:w="8280" w:type="dxa"/>
            <w:vAlign w:val="bottom"/>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rPr>
              <w:t>CHECK THE APPROPRIATE BOX IF A MEMBER OF A GROUP</w:t>
            </w:r>
          </w:p>
        </w:tc>
        <w:tc>
          <w:tcPr>
            <w:tcW w:w="1040" w:type="dxa"/>
            <w:vAlign w:val="bottom"/>
          </w:tcPr>
          <w:p>
            <w:pPr>
              <w:spacing w:after="0"/>
              <w:rPr>
                <w:sz w:val="20"/>
                <w:szCs w:val="20"/>
                <w:color w:val="auto"/>
              </w:rPr>
            </w:pPr>
          </w:p>
        </w:tc>
        <w:tc>
          <w:tcPr>
            <w:tcW w:w="520" w:type="dxa"/>
            <w:vAlign w:val="bottom"/>
            <w:tcBorders>
              <w:right w:val="single" w:sz="8" w:color="auto"/>
            </w:tcBorders>
            <w:gridSpan w:val="2"/>
          </w:tcPr>
          <w:p>
            <w:pPr>
              <w:jc w:val="right"/>
              <w:spacing w:after="0" w:line="207" w:lineRule="exact"/>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359"/>
        </w:trPr>
        <w:tc>
          <w:tcPr>
            <w:tcW w:w="1400" w:type="dxa"/>
            <w:vAlign w:val="bottom"/>
            <w:tcBorders>
              <w:left w:val="single" w:sz="8" w:color="auto"/>
              <w:right w:val="single" w:sz="8" w:color="auto"/>
            </w:tcBorders>
            <w:vMerge w:val="continue"/>
          </w:tcPr>
          <w:p>
            <w:pPr>
              <w:spacing w:after="0"/>
              <w:rPr>
                <w:sz w:val="24"/>
                <w:szCs w:val="24"/>
                <w:color w:val="auto"/>
              </w:rPr>
            </w:pP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9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520" w:type="dxa"/>
            <w:vAlign w:val="bottom"/>
            <w:tcBorders>
              <w:right w:val="single" w:sz="8" w:color="auto"/>
            </w:tcBorders>
            <w:gridSpan w:val="2"/>
          </w:tcPr>
          <w:p>
            <w:pPr>
              <w:jc w:val="right"/>
              <w:spacing w:after="0" w:line="207" w:lineRule="exact"/>
              <w:rPr>
                <w:sz w:val="20"/>
                <w:szCs w:val="20"/>
                <w:color w:val="auto"/>
              </w:rPr>
            </w:pPr>
            <w:r>
              <w:rPr>
                <w:rFonts w:ascii="Times New Roman" w:cs="Times New Roman" w:eastAsia="Times New Roman" w:hAnsi="Times New Roman"/>
                <w:sz w:val="18"/>
                <w:szCs w:val="18"/>
                <w:color w:val="auto"/>
              </w:rPr>
              <w:t xml:space="preserve">(b)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12"/>
        </w:trPr>
        <w:tc>
          <w:tcPr>
            <w:tcW w:w="1400" w:type="dxa"/>
            <w:vAlign w:val="bottom"/>
            <w:tcBorders>
              <w:left w:val="single" w:sz="8" w:color="auto"/>
              <w:bottom w:val="single" w:sz="8" w:color="auto"/>
              <w:right w:val="single" w:sz="8" w:color="auto"/>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gridSpan w:val="2"/>
          </w:tcPr>
          <w:p>
            <w:pPr>
              <w:spacing w:after="0"/>
              <w:rPr>
                <w:sz w:val="18"/>
                <w:szCs w:val="18"/>
                <w:color w:val="auto"/>
              </w:rPr>
            </w:pPr>
          </w:p>
        </w:tc>
        <w:tc>
          <w:tcPr>
            <w:tcW w:w="69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2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3</w:t>
            </w:r>
          </w:p>
        </w:tc>
        <w:tc>
          <w:tcPr>
            <w:tcW w:w="1320" w:type="dxa"/>
            <w:vAlign w:val="bottom"/>
            <w:tcBorders>
              <w:right w:val="single" w:sz="8" w:color="BFBFBF"/>
            </w:tcBorders>
            <w:gridSpan w:val="3"/>
            <w:shd w:val="clear" w:color="auto" w:fill="BFBFBF"/>
          </w:tcPr>
          <w:p>
            <w:pPr>
              <w:ind w:left="20"/>
              <w:spacing w:after="0"/>
              <w:rPr>
                <w:sz w:val="20"/>
                <w:szCs w:val="20"/>
                <w:color w:val="auto"/>
              </w:rPr>
            </w:pPr>
            <w:r>
              <w:rPr>
                <w:rFonts w:ascii="Times New Roman" w:cs="Times New Roman" w:eastAsia="Times New Roman" w:hAnsi="Times New Roman"/>
                <w:sz w:val="18"/>
                <w:szCs w:val="18"/>
                <w:b w:val="1"/>
                <w:bCs w:val="1"/>
                <w:color w:val="auto"/>
                <w:w w:val="96"/>
              </w:rPr>
              <w:t>SEC USE ONLY</w:t>
            </w:r>
          </w:p>
        </w:tc>
        <w:tc>
          <w:tcPr>
            <w:tcW w:w="6960" w:type="dxa"/>
            <w:vAlign w:val="bottom"/>
            <w:shd w:val="clear" w:color="auto" w:fill="BFBFBF"/>
          </w:tcPr>
          <w:p>
            <w:pPr>
              <w:spacing w:after="0"/>
              <w:rPr>
                <w:sz w:val="20"/>
                <w:szCs w:val="20"/>
                <w:color w:val="auto"/>
              </w:rPr>
            </w:pPr>
          </w:p>
        </w:tc>
        <w:tc>
          <w:tcPr>
            <w:tcW w:w="1040" w:type="dxa"/>
            <w:vAlign w:val="bottom"/>
            <w:shd w:val="clear" w:color="auto" w:fill="BFBFBF"/>
          </w:tcPr>
          <w:p>
            <w:pPr>
              <w:spacing w:after="0"/>
              <w:rPr>
                <w:sz w:val="20"/>
                <w:szCs w:val="20"/>
                <w:color w:val="auto"/>
              </w:rPr>
            </w:pPr>
          </w:p>
        </w:tc>
        <w:tc>
          <w:tcPr>
            <w:tcW w:w="300" w:type="dxa"/>
            <w:vAlign w:val="bottom"/>
            <w:shd w:val="clear" w:color="auto" w:fill="BFBFBF"/>
          </w:tcPr>
          <w:p>
            <w:pPr>
              <w:spacing w:after="0"/>
              <w:rPr>
                <w:sz w:val="20"/>
                <w:szCs w:val="20"/>
                <w:color w:val="auto"/>
              </w:rPr>
            </w:pPr>
          </w:p>
        </w:tc>
        <w:tc>
          <w:tcPr>
            <w:tcW w:w="220" w:type="dxa"/>
            <w:vAlign w:val="bottom"/>
            <w:tcBorders>
              <w:right w:val="single" w:sz="8" w:color="auto"/>
            </w:tcBorders>
            <w:shd w:val="clear" w:color="auto" w:fill="BFBFBF"/>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1400" w:type="dxa"/>
            <w:vAlign w:val="bottom"/>
            <w:tcBorders>
              <w:left w:val="single" w:sz="8" w:color="auto"/>
              <w:right w:val="single" w:sz="8" w:color="auto"/>
            </w:tcBorders>
            <w:vMerge w:val="continue"/>
          </w:tcPr>
          <w:p>
            <w:pPr>
              <w:spacing w:after="0"/>
              <w:rPr>
                <w:sz w:val="24"/>
                <w:szCs w:val="24"/>
                <w:color w:val="auto"/>
              </w:rPr>
            </w:pPr>
          </w:p>
        </w:tc>
        <w:tc>
          <w:tcPr>
            <w:tcW w:w="640" w:type="dxa"/>
            <w:vAlign w:val="bottom"/>
            <w:tcBorders>
              <w:right w:val="single" w:sz="8" w:color="BFBFBF"/>
            </w:tcBorders>
            <w:shd w:val="clear" w:color="auto" w:fill="BFBFBF"/>
          </w:tcPr>
          <w:p>
            <w:pPr>
              <w:spacing w:after="0"/>
              <w:rPr>
                <w:sz w:val="24"/>
                <w:szCs w:val="24"/>
                <w:color w:val="auto"/>
              </w:rPr>
            </w:pPr>
          </w:p>
        </w:tc>
        <w:tc>
          <w:tcPr>
            <w:tcW w:w="140" w:type="dxa"/>
            <w:vAlign w:val="bottom"/>
            <w:shd w:val="clear" w:color="auto" w:fill="BFBFBF"/>
          </w:tcPr>
          <w:p>
            <w:pPr>
              <w:spacing w:after="0"/>
              <w:rPr>
                <w:sz w:val="24"/>
                <w:szCs w:val="24"/>
                <w:color w:val="auto"/>
              </w:rPr>
            </w:pPr>
          </w:p>
        </w:tc>
        <w:tc>
          <w:tcPr>
            <w:tcW w:w="540" w:type="dxa"/>
            <w:vAlign w:val="bottom"/>
            <w:tcBorders>
              <w:right w:val="single" w:sz="8" w:color="BFBFBF"/>
            </w:tcBorders>
            <w:shd w:val="clear" w:color="auto" w:fill="BFBFBF"/>
          </w:tcPr>
          <w:p>
            <w:pPr>
              <w:spacing w:after="0"/>
              <w:rPr>
                <w:sz w:val="24"/>
                <w:szCs w:val="24"/>
                <w:color w:val="auto"/>
              </w:rPr>
            </w:pPr>
          </w:p>
        </w:tc>
        <w:tc>
          <w:tcPr>
            <w:tcW w:w="6960" w:type="dxa"/>
            <w:vAlign w:val="bottom"/>
            <w:shd w:val="clear" w:color="auto" w:fill="BFBFBF"/>
          </w:tcPr>
          <w:p>
            <w:pPr>
              <w:spacing w:after="0"/>
              <w:rPr>
                <w:sz w:val="24"/>
                <w:szCs w:val="24"/>
                <w:color w:val="auto"/>
              </w:rPr>
            </w:pPr>
          </w:p>
        </w:tc>
        <w:tc>
          <w:tcPr>
            <w:tcW w:w="1040" w:type="dxa"/>
            <w:vAlign w:val="bottom"/>
            <w:shd w:val="clear" w:color="auto" w:fill="BFBFBF"/>
          </w:tcPr>
          <w:p>
            <w:pPr>
              <w:spacing w:after="0"/>
              <w:rPr>
                <w:sz w:val="24"/>
                <w:szCs w:val="24"/>
                <w:color w:val="auto"/>
              </w:rPr>
            </w:pPr>
          </w:p>
        </w:tc>
        <w:tc>
          <w:tcPr>
            <w:tcW w:w="300" w:type="dxa"/>
            <w:vAlign w:val="bottom"/>
            <w:shd w:val="clear" w:color="auto" w:fill="BFBFBF"/>
          </w:tcPr>
          <w:p>
            <w:pPr>
              <w:spacing w:after="0"/>
              <w:rPr>
                <w:sz w:val="24"/>
                <w:szCs w:val="24"/>
                <w:color w:val="auto"/>
              </w:rPr>
            </w:pPr>
          </w:p>
        </w:tc>
        <w:tc>
          <w:tcPr>
            <w:tcW w:w="220" w:type="dxa"/>
            <w:vAlign w:val="bottom"/>
            <w:tcBorders>
              <w:right w:val="single" w:sz="8" w:color="auto"/>
            </w:tcBorders>
            <w:shd w:val="clear" w:color="auto" w:fill="BFBFBF"/>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400" w:type="dxa"/>
            <w:vAlign w:val="bottom"/>
            <w:tcBorders>
              <w:left w:val="single" w:sz="8" w:color="auto"/>
              <w:bottom w:val="single" w:sz="8" w:color="auto"/>
              <w:right w:val="single" w:sz="8" w:color="auto"/>
            </w:tcBorders>
          </w:tcPr>
          <w:p>
            <w:pPr>
              <w:spacing w:after="0"/>
              <w:rPr>
                <w:sz w:val="23"/>
                <w:szCs w:val="23"/>
                <w:color w:val="auto"/>
              </w:rPr>
            </w:pPr>
          </w:p>
        </w:tc>
        <w:tc>
          <w:tcPr>
            <w:tcW w:w="640" w:type="dxa"/>
            <w:vAlign w:val="bottom"/>
            <w:tcBorders>
              <w:bottom w:val="single" w:sz="8" w:color="auto"/>
              <w:right w:val="single" w:sz="8" w:color="BFBFBF"/>
            </w:tcBorders>
            <w:shd w:val="clear" w:color="auto" w:fill="BFBFBF"/>
          </w:tcPr>
          <w:p>
            <w:pPr>
              <w:spacing w:after="0"/>
              <w:rPr>
                <w:sz w:val="23"/>
                <w:szCs w:val="23"/>
                <w:color w:val="auto"/>
              </w:rPr>
            </w:pPr>
          </w:p>
        </w:tc>
        <w:tc>
          <w:tcPr>
            <w:tcW w:w="680" w:type="dxa"/>
            <w:vAlign w:val="bottom"/>
            <w:tcBorders>
              <w:bottom w:val="single" w:sz="8" w:color="auto"/>
              <w:right w:val="single" w:sz="8" w:color="BFBFBF"/>
            </w:tcBorders>
            <w:gridSpan w:val="2"/>
            <w:shd w:val="clear" w:color="auto" w:fill="BFBFBF"/>
          </w:tcPr>
          <w:p>
            <w:pPr>
              <w:spacing w:after="0"/>
              <w:rPr>
                <w:sz w:val="23"/>
                <w:szCs w:val="23"/>
                <w:color w:val="auto"/>
              </w:rPr>
            </w:pPr>
          </w:p>
        </w:tc>
        <w:tc>
          <w:tcPr>
            <w:tcW w:w="6960" w:type="dxa"/>
            <w:vAlign w:val="bottom"/>
            <w:tcBorders>
              <w:bottom w:val="single" w:sz="8" w:color="auto"/>
            </w:tcBorders>
            <w:shd w:val="clear" w:color="auto" w:fill="BFBFBF"/>
          </w:tcPr>
          <w:p>
            <w:pPr>
              <w:spacing w:after="0"/>
              <w:rPr>
                <w:sz w:val="23"/>
                <w:szCs w:val="23"/>
                <w:color w:val="auto"/>
              </w:rPr>
            </w:pPr>
          </w:p>
        </w:tc>
        <w:tc>
          <w:tcPr>
            <w:tcW w:w="1040" w:type="dxa"/>
            <w:vAlign w:val="bottom"/>
            <w:tcBorders>
              <w:bottom w:val="single" w:sz="8" w:color="auto"/>
            </w:tcBorders>
            <w:shd w:val="clear" w:color="auto" w:fill="BFBFBF"/>
          </w:tcPr>
          <w:p>
            <w:pPr>
              <w:spacing w:after="0"/>
              <w:rPr>
                <w:sz w:val="23"/>
                <w:szCs w:val="23"/>
                <w:color w:val="auto"/>
              </w:rPr>
            </w:pPr>
          </w:p>
        </w:tc>
        <w:tc>
          <w:tcPr>
            <w:tcW w:w="300" w:type="dxa"/>
            <w:vAlign w:val="bottom"/>
            <w:tcBorders>
              <w:bottom w:val="single" w:sz="8" w:color="auto"/>
            </w:tcBorders>
            <w:shd w:val="clear" w:color="auto" w:fill="BFBFBF"/>
          </w:tcPr>
          <w:p>
            <w:pPr>
              <w:spacing w:after="0"/>
              <w:rPr>
                <w:sz w:val="23"/>
                <w:szCs w:val="23"/>
                <w:color w:val="auto"/>
              </w:rPr>
            </w:pPr>
          </w:p>
        </w:tc>
        <w:tc>
          <w:tcPr>
            <w:tcW w:w="220" w:type="dxa"/>
            <w:vAlign w:val="bottom"/>
            <w:tcBorders>
              <w:bottom w:val="single" w:sz="8" w:color="auto"/>
              <w:right w:val="single" w:sz="8" w:color="auto"/>
            </w:tcBorders>
            <w:shd w:val="clear" w:color="auto" w:fill="BFBFB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4</w:t>
            </w:r>
          </w:p>
        </w:tc>
        <w:tc>
          <w:tcPr>
            <w:tcW w:w="8280" w:type="dxa"/>
            <w:vAlign w:val="bottom"/>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rPr>
              <w:t>SOURCE OF FUNDS (SEE INSTRUCTIONS)</w:t>
            </w:r>
          </w:p>
        </w:tc>
        <w:tc>
          <w:tcPr>
            <w:tcW w:w="10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7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WC</w:t>
            </w:r>
          </w:p>
        </w:tc>
        <w:tc>
          <w:tcPr>
            <w:tcW w:w="540" w:type="dxa"/>
            <w:vAlign w:val="bottom"/>
          </w:tcPr>
          <w:p>
            <w:pPr>
              <w:spacing w:after="0"/>
              <w:rPr>
                <w:sz w:val="24"/>
                <w:szCs w:val="24"/>
                <w:color w:val="auto"/>
              </w:rPr>
            </w:pPr>
          </w:p>
        </w:tc>
        <w:tc>
          <w:tcPr>
            <w:tcW w:w="69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9320" w:type="dxa"/>
            <w:vAlign w:val="bottom"/>
            <w:tcBorders>
              <w:bottom w:val="single" w:sz="8" w:color="auto"/>
            </w:tcBorders>
            <w:gridSpan w:val="5"/>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96"/>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5</w:t>
            </w:r>
          </w:p>
        </w:tc>
        <w:tc>
          <w:tcPr>
            <w:tcW w:w="9320" w:type="dxa"/>
            <w:vAlign w:val="bottom"/>
            <w:gridSpan w:val="5"/>
          </w:tcPr>
          <w:p>
            <w:pPr>
              <w:ind w:left="20"/>
              <w:spacing w:after="0"/>
              <w:rPr>
                <w:sz w:val="20"/>
                <w:szCs w:val="20"/>
                <w:color w:val="auto"/>
              </w:rPr>
            </w:pPr>
            <w:r>
              <w:rPr>
                <w:rFonts w:ascii="Times New Roman" w:cs="Times New Roman" w:eastAsia="Times New Roman" w:hAnsi="Times New Roman"/>
                <w:sz w:val="18"/>
                <w:szCs w:val="18"/>
                <w:b w:val="1"/>
                <w:bCs w:val="1"/>
                <w:color w:val="auto"/>
              </w:rPr>
              <w:t>CHECK BOX IF DISCLOSURE OF LEGAL PROCEEDINGS IS REQUIRED PURSUANT TO ITEM 2(D) OR 2(E)</w:t>
            </w:r>
          </w:p>
        </w:tc>
        <w:tc>
          <w:tcPr>
            <w:tcW w:w="300" w:type="dxa"/>
            <w:vAlign w:val="bottom"/>
          </w:tcPr>
          <w:p>
            <w:pPr>
              <w:spacing w:after="0"/>
              <w:rPr>
                <w:sz w:val="24"/>
                <w:szCs w:val="24"/>
                <w:color w:val="auto"/>
              </w:rPr>
            </w:pPr>
          </w:p>
        </w:tc>
        <w:tc>
          <w:tcPr>
            <w:tcW w:w="220" w:type="dxa"/>
            <w:vAlign w:val="bottom"/>
            <w:tcBorders>
              <w:right w:val="single" w:sz="8" w:color="auto"/>
            </w:tcBorders>
          </w:tcPr>
          <w:p>
            <w:pPr>
              <w:jc w:val="right"/>
              <w:spacing w:after="0" w:line="181" w:lineRule="exact"/>
              <w:rPr>
                <w:sz w:val="20"/>
                <w:szCs w:val="20"/>
                <w:color w:val="auto"/>
              </w:rPr>
            </w:pPr>
            <w:r>
              <w:rPr>
                <w:rFonts w:ascii="MS PGothic" w:cs="MS PGothic" w:eastAsia="MS PGothic" w:hAnsi="MS PGothic"/>
                <w:sz w:val="18"/>
                <w:szCs w:val="18"/>
                <w:color w:val="auto"/>
                <w:w w:val="88"/>
              </w:rPr>
              <w:t>☐</w:t>
            </w:r>
          </w:p>
        </w:tc>
        <w:tc>
          <w:tcPr>
            <w:tcW w:w="0" w:type="dxa"/>
            <w:vAlign w:val="bottom"/>
          </w:tcPr>
          <w:p>
            <w:pPr>
              <w:spacing w:after="0"/>
              <w:rPr>
                <w:sz w:val="1"/>
                <w:szCs w:val="1"/>
                <w:color w:val="auto"/>
              </w:rPr>
            </w:pPr>
          </w:p>
        </w:tc>
      </w:tr>
      <w:tr>
        <w:trPr>
          <w:trHeight w:val="295"/>
        </w:trPr>
        <w:tc>
          <w:tcPr>
            <w:tcW w:w="1400" w:type="dxa"/>
            <w:vAlign w:val="bottom"/>
            <w:tcBorders>
              <w:left w:val="single" w:sz="8" w:color="auto"/>
              <w:right w:val="single" w:sz="8" w:color="auto"/>
            </w:tcBorders>
            <w:vMerge w:val="continue"/>
          </w:tcPr>
          <w:p>
            <w:pPr>
              <w:spacing w:after="0"/>
              <w:rPr>
                <w:sz w:val="24"/>
                <w:szCs w:val="24"/>
                <w:color w:val="auto"/>
              </w:rPr>
            </w:pP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9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1400" w:type="dxa"/>
            <w:vAlign w:val="bottom"/>
            <w:tcBorders>
              <w:left w:val="single" w:sz="8" w:color="auto"/>
              <w:bottom w:val="single" w:sz="8" w:color="auto"/>
              <w:right w:val="single" w:sz="8" w:color="auto"/>
            </w:tcBorders>
          </w:tcPr>
          <w:p>
            <w:pPr>
              <w:spacing w:after="0"/>
              <w:rPr>
                <w:sz w:val="18"/>
                <w:szCs w:val="18"/>
                <w:color w:val="auto"/>
              </w:rPr>
            </w:pPr>
          </w:p>
        </w:tc>
        <w:tc>
          <w:tcPr>
            <w:tcW w:w="8280" w:type="dxa"/>
            <w:vAlign w:val="bottom"/>
            <w:tcBorders>
              <w:bottom w:val="single" w:sz="8" w:color="auto"/>
            </w:tcBorders>
            <w:gridSpan w:val="4"/>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2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6</w:t>
            </w:r>
          </w:p>
        </w:tc>
        <w:tc>
          <w:tcPr>
            <w:tcW w:w="8280" w:type="dxa"/>
            <w:vAlign w:val="bottom"/>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rPr>
              <w:t>CITIZENSHIP OR PLACE OF ORGANIZATION</w:t>
            </w:r>
          </w:p>
        </w:tc>
        <w:tc>
          <w:tcPr>
            <w:tcW w:w="10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7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Illinois</w:t>
            </w:r>
          </w:p>
        </w:tc>
        <w:tc>
          <w:tcPr>
            <w:tcW w:w="540" w:type="dxa"/>
            <w:vAlign w:val="bottom"/>
          </w:tcPr>
          <w:p>
            <w:pPr>
              <w:spacing w:after="0"/>
              <w:rPr>
                <w:sz w:val="24"/>
                <w:szCs w:val="24"/>
                <w:color w:val="auto"/>
              </w:rPr>
            </w:pPr>
          </w:p>
        </w:tc>
        <w:tc>
          <w:tcPr>
            <w:tcW w:w="69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696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tcBorders>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5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rPr>
              <w:t>7</w:t>
            </w:r>
          </w:p>
        </w:tc>
        <w:tc>
          <w:tcPr>
            <w:tcW w:w="69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SOLE VOTING POWER</w:t>
            </w:r>
          </w:p>
        </w:tc>
        <w:tc>
          <w:tcPr>
            <w:tcW w:w="10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tcBorders>
          </w:tcPr>
          <w:p>
            <w:pPr>
              <w:spacing w:after="0"/>
              <w:rPr>
                <w:sz w:val="24"/>
                <w:szCs w:val="24"/>
                <w:color w:val="auto"/>
              </w:rPr>
            </w:pPr>
          </w:p>
        </w:tc>
        <w:tc>
          <w:tcPr>
            <w:tcW w:w="640" w:type="dxa"/>
            <w:vAlign w:val="bottom"/>
            <w:tcBorders>
              <w:right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Borders>
              <w:right w:val="single" w:sz="8" w:color="auto"/>
            </w:tcBorders>
            <w:vMerge w:val="continue"/>
          </w:tcPr>
          <w:p>
            <w:pPr>
              <w:spacing w:after="0"/>
              <w:rPr>
                <w:sz w:val="24"/>
                <w:szCs w:val="24"/>
                <w:color w:val="auto"/>
              </w:rPr>
            </w:pPr>
          </w:p>
        </w:tc>
        <w:tc>
          <w:tcPr>
            <w:tcW w:w="6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0</w:t>
            </w:r>
          </w:p>
        </w:tc>
        <w:tc>
          <w:tcPr>
            <w:tcW w:w="1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tcBorders>
          </w:tcPr>
          <w:p>
            <w:pPr>
              <w:spacing w:after="0"/>
              <w:rPr>
                <w:sz w:val="14"/>
                <w:szCs w:val="14"/>
                <w:color w:val="auto"/>
              </w:rPr>
            </w:pPr>
          </w:p>
        </w:tc>
        <w:tc>
          <w:tcPr>
            <w:tcW w:w="640" w:type="dxa"/>
            <w:vAlign w:val="bottom"/>
            <w:tcBorders>
              <w:right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spacing w:after="0"/>
              <w:rPr>
                <w:sz w:val="14"/>
                <w:szCs w:val="14"/>
                <w:color w:val="auto"/>
              </w:rPr>
            </w:pPr>
          </w:p>
        </w:tc>
        <w:tc>
          <w:tcPr>
            <w:tcW w:w="696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tcBorders>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5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rPr>
              <w:t>8</w:t>
            </w:r>
          </w:p>
        </w:tc>
        <w:tc>
          <w:tcPr>
            <w:tcW w:w="69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SHARED VOTING POWER</w:t>
            </w:r>
          </w:p>
        </w:tc>
        <w:tc>
          <w:tcPr>
            <w:tcW w:w="10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1"/>
        </w:trPr>
        <w:tc>
          <w:tcPr>
            <w:tcW w:w="2040" w:type="dxa"/>
            <w:vAlign w:val="bottom"/>
            <w:tcBorders>
              <w:left w:val="single" w:sz="8" w:color="auto"/>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NUMBER OF SHARES</w:t>
            </w:r>
          </w:p>
        </w:tc>
        <w:tc>
          <w:tcPr>
            <w:tcW w:w="140" w:type="dxa"/>
            <w:vAlign w:val="bottom"/>
          </w:tcPr>
          <w:p>
            <w:pPr>
              <w:spacing w:after="0"/>
              <w:rPr>
                <w:sz w:val="19"/>
                <w:szCs w:val="19"/>
                <w:color w:val="auto"/>
              </w:rPr>
            </w:pPr>
          </w:p>
        </w:tc>
        <w:tc>
          <w:tcPr>
            <w:tcW w:w="540" w:type="dxa"/>
            <w:vAlign w:val="bottom"/>
            <w:tcBorders>
              <w:right w:val="single" w:sz="8" w:color="auto"/>
            </w:tcBorders>
            <w:vMerge w:val="continue"/>
          </w:tcPr>
          <w:p>
            <w:pPr>
              <w:spacing w:after="0"/>
              <w:rPr>
                <w:sz w:val="19"/>
                <w:szCs w:val="19"/>
                <w:color w:val="auto"/>
              </w:rPr>
            </w:pPr>
          </w:p>
        </w:tc>
        <w:tc>
          <w:tcPr>
            <w:tcW w:w="696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4,612,211</w:t>
            </w:r>
          </w:p>
        </w:tc>
        <w:tc>
          <w:tcPr>
            <w:tcW w:w="10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40" w:type="dxa"/>
            <w:vAlign w:val="bottom"/>
            <w:tcBorders>
              <w:left w:val="single" w:sz="8" w:color="auto"/>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BENEFICIALLY</w:t>
            </w:r>
          </w:p>
        </w:tc>
        <w:tc>
          <w:tcPr>
            <w:tcW w:w="140" w:type="dxa"/>
            <w:vAlign w:val="bottom"/>
          </w:tcPr>
          <w:p>
            <w:pPr>
              <w:spacing w:after="0"/>
              <w:rPr>
                <w:sz w:val="18"/>
                <w:szCs w:val="18"/>
                <w:color w:val="auto"/>
              </w:rPr>
            </w:pPr>
          </w:p>
        </w:tc>
        <w:tc>
          <w:tcPr>
            <w:tcW w:w="540" w:type="dxa"/>
            <w:vAlign w:val="bottom"/>
            <w:tcBorders>
              <w:right w:val="single" w:sz="8" w:color="auto"/>
            </w:tcBorders>
          </w:tcPr>
          <w:p>
            <w:pPr>
              <w:spacing w:after="0"/>
              <w:rPr>
                <w:sz w:val="18"/>
                <w:szCs w:val="18"/>
                <w:color w:val="auto"/>
              </w:rPr>
            </w:pPr>
          </w:p>
        </w:tc>
        <w:tc>
          <w:tcPr>
            <w:tcW w:w="6960" w:type="dxa"/>
            <w:vAlign w:val="bottom"/>
            <w:vMerge w:val="continue"/>
          </w:tcPr>
          <w:p>
            <w:pPr>
              <w:spacing w:after="0"/>
              <w:rPr>
                <w:sz w:val="18"/>
                <w:szCs w:val="18"/>
                <w:color w:val="auto"/>
              </w:rPr>
            </w:pPr>
          </w:p>
        </w:tc>
        <w:tc>
          <w:tcPr>
            <w:tcW w:w="10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30"/>
        </w:trPr>
        <w:tc>
          <w:tcPr>
            <w:tcW w:w="2040" w:type="dxa"/>
            <w:vAlign w:val="bottom"/>
            <w:tcBorders>
              <w:left w:val="single" w:sz="8" w:color="auto"/>
              <w:right w:val="single" w:sz="8" w:color="auto"/>
            </w:tcBorders>
            <w:gridSpan w:val="2"/>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OWNED BY EACH</w:t>
            </w:r>
          </w:p>
        </w:tc>
        <w:tc>
          <w:tcPr>
            <w:tcW w:w="140" w:type="dxa"/>
            <w:vAlign w:val="bottom"/>
            <w:tcBorders>
              <w:bottom w:val="single" w:sz="8" w:color="auto"/>
            </w:tcBorders>
          </w:tcPr>
          <w:p>
            <w:pPr>
              <w:spacing w:after="0"/>
              <w:rPr>
                <w:sz w:val="11"/>
                <w:szCs w:val="11"/>
                <w:color w:val="auto"/>
              </w:rPr>
            </w:pPr>
          </w:p>
        </w:tc>
        <w:tc>
          <w:tcPr>
            <w:tcW w:w="540" w:type="dxa"/>
            <w:vAlign w:val="bottom"/>
            <w:tcBorders>
              <w:bottom w:val="single" w:sz="8" w:color="auto"/>
              <w:right w:val="single" w:sz="8" w:color="auto"/>
            </w:tcBorders>
          </w:tcPr>
          <w:p>
            <w:pPr>
              <w:spacing w:after="0"/>
              <w:rPr>
                <w:sz w:val="11"/>
                <w:szCs w:val="11"/>
                <w:color w:val="auto"/>
              </w:rPr>
            </w:pPr>
          </w:p>
        </w:tc>
        <w:tc>
          <w:tcPr>
            <w:tcW w:w="6960" w:type="dxa"/>
            <w:vAlign w:val="bottom"/>
            <w:tcBorders>
              <w:bottom w:val="single" w:sz="8" w:color="auto"/>
            </w:tcBorders>
          </w:tcPr>
          <w:p>
            <w:pPr>
              <w:spacing w:after="0"/>
              <w:rPr>
                <w:sz w:val="11"/>
                <w:szCs w:val="11"/>
                <w:color w:val="auto"/>
              </w:rPr>
            </w:pPr>
          </w:p>
        </w:tc>
        <w:tc>
          <w:tcPr>
            <w:tcW w:w="1040" w:type="dxa"/>
            <w:vAlign w:val="bottom"/>
            <w:tcBorders>
              <w:bottom w:val="single" w:sz="8" w:color="auto"/>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22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66"/>
        </w:trPr>
        <w:tc>
          <w:tcPr>
            <w:tcW w:w="2040" w:type="dxa"/>
            <w:vAlign w:val="bottom"/>
            <w:tcBorders>
              <w:left w:val="single" w:sz="8" w:color="auto"/>
              <w:right w:val="single" w:sz="8" w:color="auto"/>
            </w:tcBorders>
            <w:gridSpan w:val="2"/>
            <w:vMerge w:val="continue"/>
          </w:tcPr>
          <w:p>
            <w:pPr>
              <w:spacing w:after="0"/>
              <w:rPr>
                <w:sz w:val="5"/>
                <w:szCs w:val="5"/>
                <w:color w:val="auto"/>
              </w:rPr>
            </w:pPr>
          </w:p>
        </w:tc>
        <w:tc>
          <w:tcPr>
            <w:tcW w:w="140" w:type="dxa"/>
            <w:vAlign w:val="bottom"/>
          </w:tcPr>
          <w:p>
            <w:pPr>
              <w:spacing w:after="0"/>
              <w:rPr>
                <w:sz w:val="5"/>
                <w:szCs w:val="5"/>
                <w:color w:val="auto"/>
              </w:rPr>
            </w:pPr>
          </w:p>
        </w:tc>
        <w:tc>
          <w:tcPr>
            <w:tcW w:w="540" w:type="dxa"/>
            <w:vAlign w:val="bottom"/>
            <w:tcBorders>
              <w:right w:val="single" w:sz="8" w:color="auto"/>
            </w:tcBorders>
          </w:tcPr>
          <w:p>
            <w:pPr>
              <w:spacing w:after="0"/>
              <w:rPr>
                <w:sz w:val="5"/>
                <w:szCs w:val="5"/>
                <w:color w:val="auto"/>
              </w:rPr>
            </w:pPr>
          </w:p>
        </w:tc>
        <w:tc>
          <w:tcPr>
            <w:tcW w:w="696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SOLE DISPOSITIVE POWER</w:t>
            </w:r>
          </w:p>
        </w:tc>
        <w:tc>
          <w:tcPr>
            <w:tcW w:w="1040" w:type="dxa"/>
            <w:vAlign w:val="bottom"/>
          </w:tcPr>
          <w:p>
            <w:pPr>
              <w:spacing w:after="0"/>
              <w:rPr>
                <w:sz w:val="5"/>
                <w:szCs w:val="5"/>
                <w:color w:val="auto"/>
              </w:rPr>
            </w:pPr>
          </w:p>
        </w:tc>
        <w:tc>
          <w:tcPr>
            <w:tcW w:w="300" w:type="dxa"/>
            <w:vAlign w:val="bottom"/>
          </w:tcPr>
          <w:p>
            <w:pPr>
              <w:spacing w:after="0"/>
              <w:rPr>
                <w:sz w:val="5"/>
                <w:szCs w:val="5"/>
                <w:color w:val="auto"/>
              </w:rPr>
            </w:pPr>
          </w:p>
        </w:tc>
        <w:tc>
          <w:tcPr>
            <w:tcW w:w="22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040" w:type="dxa"/>
            <w:vAlign w:val="bottom"/>
            <w:tcBorders>
              <w:left w:val="single" w:sz="8" w:color="auto"/>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REPORTING PERSON</w:t>
            </w:r>
          </w:p>
        </w:tc>
        <w:tc>
          <w:tcPr>
            <w:tcW w:w="140" w:type="dxa"/>
            <w:vAlign w:val="bottom"/>
          </w:tcPr>
          <w:p>
            <w:pPr>
              <w:spacing w:after="0"/>
              <w:rPr>
                <w:sz w:val="18"/>
                <w:szCs w:val="18"/>
                <w:color w:val="auto"/>
              </w:rPr>
            </w:pPr>
          </w:p>
        </w:tc>
        <w:tc>
          <w:tcPr>
            <w:tcW w:w="5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rPr>
              <w:t>9</w:t>
            </w:r>
          </w:p>
        </w:tc>
        <w:tc>
          <w:tcPr>
            <w:tcW w:w="6960" w:type="dxa"/>
            <w:vAlign w:val="bottom"/>
            <w:vMerge w:val="continue"/>
          </w:tcPr>
          <w:p>
            <w:pPr>
              <w:spacing w:after="0"/>
              <w:rPr>
                <w:sz w:val="18"/>
                <w:szCs w:val="18"/>
                <w:color w:val="auto"/>
              </w:rPr>
            </w:pPr>
          </w:p>
        </w:tc>
        <w:tc>
          <w:tcPr>
            <w:tcW w:w="10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84"/>
        </w:trPr>
        <w:tc>
          <w:tcPr>
            <w:tcW w:w="1400" w:type="dxa"/>
            <w:vAlign w:val="bottom"/>
            <w:tcBorders>
              <w:left w:val="single" w:sz="8" w:color="auto"/>
            </w:tcBorders>
            <w:vMerge w:val="restart"/>
          </w:tcPr>
          <w:p>
            <w:pPr>
              <w:jc w:val="center"/>
              <w:ind w:left="505"/>
              <w:spacing w:after="0"/>
              <w:rPr>
                <w:sz w:val="20"/>
                <w:szCs w:val="20"/>
                <w:color w:val="auto"/>
              </w:rPr>
            </w:pPr>
            <w:r>
              <w:rPr>
                <w:rFonts w:ascii="Times New Roman" w:cs="Times New Roman" w:eastAsia="Times New Roman" w:hAnsi="Times New Roman"/>
                <w:sz w:val="18"/>
                <w:szCs w:val="18"/>
                <w:b w:val="1"/>
                <w:bCs w:val="1"/>
                <w:color w:val="auto"/>
              </w:rPr>
              <w:t>WITH</w:t>
            </w:r>
          </w:p>
        </w:tc>
        <w:tc>
          <w:tcPr>
            <w:tcW w:w="640" w:type="dxa"/>
            <w:vAlign w:val="bottom"/>
            <w:tcBorders>
              <w:right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540" w:type="dxa"/>
            <w:vAlign w:val="bottom"/>
            <w:tcBorders>
              <w:right w:val="single" w:sz="8" w:color="auto"/>
            </w:tcBorders>
            <w:vMerge w:val="continue"/>
          </w:tcPr>
          <w:p>
            <w:pPr>
              <w:spacing w:after="0"/>
              <w:rPr>
                <w:sz w:val="16"/>
                <w:szCs w:val="16"/>
                <w:color w:val="auto"/>
              </w:rPr>
            </w:pPr>
          </w:p>
        </w:tc>
        <w:tc>
          <w:tcPr>
            <w:tcW w:w="696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0</w:t>
            </w:r>
          </w:p>
        </w:tc>
        <w:tc>
          <w:tcPr>
            <w:tcW w:w="10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2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54"/>
        </w:trPr>
        <w:tc>
          <w:tcPr>
            <w:tcW w:w="1400" w:type="dxa"/>
            <w:vAlign w:val="bottom"/>
            <w:tcBorders>
              <w:left w:val="single" w:sz="8" w:color="auto"/>
            </w:tcBorders>
            <w:vMerge w:val="continue"/>
          </w:tcPr>
          <w:p>
            <w:pPr>
              <w:spacing w:after="0"/>
              <w:rPr>
                <w:sz w:val="4"/>
                <w:szCs w:val="4"/>
                <w:color w:val="auto"/>
              </w:rPr>
            </w:pPr>
          </w:p>
        </w:tc>
        <w:tc>
          <w:tcPr>
            <w:tcW w:w="640" w:type="dxa"/>
            <w:vAlign w:val="bottom"/>
            <w:tcBorders>
              <w:right w:val="single" w:sz="8" w:color="auto"/>
            </w:tcBorders>
          </w:tcPr>
          <w:p>
            <w:pPr>
              <w:spacing w:after="0"/>
              <w:rPr>
                <w:sz w:val="4"/>
                <w:szCs w:val="4"/>
                <w:color w:val="auto"/>
              </w:rPr>
            </w:pPr>
          </w:p>
        </w:tc>
        <w:tc>
          <w:tcPr>
            <w:tcW w:w="140" w:type="dxa"/>
            <w:vAlign w:val="bottom"/>
          </w:tcPr>
          <w:p>
            <w:pPr>
              <w:spacing w:after="0"/>
              <w:rPr>
                <w:sz w:val="4"/>
                <w:szCs w:val="4"/>
                <w:color w:val="auto"/>
              </w:rPr>
            </w:pPr>
          </w:p>
        </w:tc>
        <w:tc>
          <w:tcPr>
            <w:tcW w:w="540" w:type="dxa"/>
            <w:vAlign w:val="bottom"/>
            <w:tcBorders>
              <w:right w:val="single" w:sz="8" w:color="auto"/>
            </w:tcBorders>
          </w:tcPr>
          <w:p>
            <w:pPr>
              <w:spacing w:after="0"/>
              <w:rPr>
                <w:sz w:val="4"/>
                <w:szCs w:val="4"/>
                <w:color w:val="auto"/>
              </w:rPr>
            </w:pPr>
          </w:p>
        </w:tc>
        <w:tc>
          <w:tcPr>
            <w:tcW w:w="6960" w:type="dxa"/>
            <w:vAlign w:val="bottom"/>
          </w:tcPr>
          <w:p>
            <w:pPr>
              <w:spacing w:after="0"/>
              <w:rPr>
                <w:sz w:val="4"/>
                <w:szCs w:val="4"/>
                <w:color w:val="auto"/>
              </w:rPr>
            </w:pPr>
          </w:p>
        </w:tc>
        <w:tc>
          <w:tcPr>
            <w:tcW w:w="1040" w:type="dxa"/>
            <w:vAlign w:val="bottom"/>
          </w:tcPr>
          <w:p>
            <w:pPr>
              <w:spacing w:after="0"/>
              <w:rPr>
                <w:sz w:val="4"/>
                <w:szCs w:val="4"/>
                <w:color w:val="auto"/>
              </w:rPr>
            </w:pPr>
          </w:p>
        </w:tc>
        <w:tc>
          <w:tcPr>
            <w:tcW w:w="300" w:type="dxa"/>
            <w:vAlign w:val="bottom"/>
          </w:tcPr>
          <w:p>
            <w:pPr>
              <w:spacing w:after="0"/>
              <w:rPr>
                <w:sz w:val="4"/>
                <w:szCs w:val="4"/>
                <w:color w:val="auto"/>
              </w:rPr>
            </w:pPr>
          </w:p>
        </w:tc>
        <w:tc>
          <w:tcPr>
            <w:tcW w:w="22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83"/>
        </w:trPr>
        <w:tc>
          <w:tcPr>
            <w:tcW w:w="1400" w:type="dxa"/>
            <w:vAlign w:val="bottom"/>
            <w:tcBorders>
              <w:left w:val="single" w:sz="8" w:color="auto"/>
            </w:tcBorders>
          </w:tcPr>
          <w:p>
            <w:pPr>
              <w:spacing w:after="0"/>
              <w:rPr>
                <w:sz w:val="24"/>
                <w:szCs w:val="24"/>
                <w:color w:val="auto"/>
              </w:rPr>
            </w:pPr>
          </w:p>
        </w:tc>
        <w:tc>
          <w:tcPr>
            <w:tcW w:w="640" w:type="dxa"/>
            <w:vAlign w:val="bottom"/>
            <w:tcBorders>
              <w:right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540" w:type="dxa"/>
            <w:vAlign w:val="bottom"/>
            <w:tcBorders>
              <w:bottom w:val="single" w:sz="8" w:color="auto"/>
              <w:right w:val="single" w:sz="8" w:color="auto"/>
            </w:tcBorders>
          </w:tcPr>
          <w:p>
            <w:pPr>
              <w:spacing w:after="0"/>
              <w:rPr>
                <w:sz w:val="24"/>
                <w:szCs w:val="24"/>
                <w:color w:val="auto"/>
              </w:rPr>
            </w:pPr>
          </w:p>
        </w:tc>
        <w:tc>
          <w:tcPr>
            <w:tcW w:w="696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tcBorders>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5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rPr>
              <w:t>10</w:t>
            </w:r>
          </w:p>
        </w:tc>
        <w:tc>
          <w:tcPr>
            <w:tcW w:w="69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SHARED DISPOSITIVE POWER</w:t>
            </w:r>
          </w:p>
        </w:tc>
        <w:tc>
          <w:tcPr>
            <w:tcW w:w="10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tcBorders>
          </w:tcPr>
          <w:p>
            <w:pPr>
              <w:spacing w:after="0"/>
              <w:rPr>
                <w:sz w:val="24"/>
                <w:szCs w:val="24"/>
                <w:color w:val="auto"/>
              </w:rPr>
            </w:pPr>
          </w:p>
        </w:tc>
        <w:tc>
          <w:tcPr>
            <w:tcW w:w="640" w:type="dxa"/>
            <w:vAlign w:val="bottom"/>
            <w:tcBorders>
              <w:right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Borders>
              <w:right w:val="single" w:sz="8" w:color="auto"/>
            </w:tcBorders>
            <w:vMerge w:val="continue"/>
          </w:tcPr>
          <w:p>
            <w:pPr>
              <w:spacing w:after="0"/>
              <w:rPr>
                <w:sz w:val="24"/>
                <w:szCs w:val="24"/>
                <w:color w:val="auto"/>
              </w:rPr>
            </w:pPr>
          </w:p>
        </w:tc>
        <w:tc>
          <w:tcPr>
            <w:tcW w:w="6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4,612,211</w:t>
            </w:r>
          </w:p>
        </w:tc>
        <w:tc>
          <w:tcPr>
            <w:tcW w:w="1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tcBorders>
          </w:tcPr>
          <w:p>
            <w:pPr>
              <w:spacing w:after="0"/>
              <w:rPr>
                <w:sz w:val="14"/>
                <w:szCs w:val="14"/>
                <w:color w:val="auto"/>
              </w:rPr>
            </w:pPr>
          </w:p>
        </w:tc>
        <w:tc>
          <w:tcPr>
            <w:tcW w:w="640" w:type="dxa"/>
            <w:vAlign w:val="bottom"/>
            <w:tcBorders>
              <w:bottom w:val="single" w:sz="8" w:color="auto"/>
              <w:right w:val="single" w:sz="8" w:color="auto"/>
            </w:tcBorders>
          </w:tcPr>
          <w:p>
            <w:pPr>
              <w:spacing w:after="0"/>
              <w:rPr>
                <w:sz w:val="14"/>
                <w:szCs w:val="14"/>
                <w:color w:val="auto"/>
              </w:rPr>
            </w:pPr>
          </w:p>
        </w:tc>
        <w:tc>
          <w:tcPr>
            <w:tcW w:w="680" w:type="dxa"/>
            <w:vAlign w:val="bottom"/>
            <w:tcBorders>
              <w:bottom w:val="single" w:sz="8" w:color="auto"/>
              <w:right w:val="single" w:sz="8" w:color="auto"/>
            </w:tcBorders>
            <w:gridSpan w:val="2"/>
          </w:tcPr>
          <w:p>
            <w:pPr>
              <w:spacing w:after="0"/>
              <w:rPr>
                <w:sz w:val="14"/>
                <w:szCs w:val="14"/>
                <w:color w:val="auto"/>
              </w:rPr>
            </w:pPr>
          </w:p>
        </w:tc>
        <w:tc>
          <w:tcPr>
            <w:tcW w:w="696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3"/>
              </w:rPr>
              <w:t>11</w:t>
            </w:r>
          </w:p>
        </w:tc>
        <w:tc>
          <w:tcPr>
            <w:tcW w:w="8280" w:type="dxa"/>
            <w:vAlign w:val="bottom"/>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rPr>
              <w:t>AGGREGATE AMOUNT BENEFICIALLY OWNED BY EACH REPORTING PERSON</w:t>
            </w:r>
          </w:p>
        </w:tc>
        <w:tc>
          <w:tcPr>
            <w:tcW w:w="10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7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4,612,211</w:t>
            </w:r>
          </w:p>
        </w:tc>
        <w:tc>
          <w:tcPr>
            <w:tcW w:w="540" w:type="dxa"/>
            <w:vAlign w:val="bottom"/>
          </w:tcPr>
          <w:p>
            <w:pPr>
              <w:spacing w:after="0"/>
              <w:rPr>
                <w:sz w:val="24"/>
                <w:szCs w:val="24"/>
                <w:color w:val="auto"/>
              </w:rPr>
            </w:pPr>
          </w:p>
        </w:tc>
        <w:tc>
          <w:tcPr>
            <w:tcW w:w="69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gridSpan w:val="2"/>
          </w:tcPr>
          <w:p>
            <w:pPr>
              <w:spacing w:after="0"/>
              <w:rPr>
                <w:sz w:val="14"/>
                <w:szCs w:val="14"/>
                <w:color w:val="auto"/>
              </w:rPr>
            </w:pPr>
          </w:p>
        </w:tc>
        <w:tc>
          <w:tcPr>
            <w:tcW w:w="696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14"/>
        </w:trPr>
        <w:tc>
          <w:tcPr>
            <w:tcW w:w="1400" w:type="dxa"/>
            <w:vAlign w:val="bottom"/>
            <w:tcBorders>
              <w:left w:val="single" w:sz="8" w:color="auto"/>
              <w:right w:val="single" w:sz="8" w:color="auto"/>
            </w:tcBorders>
          </w:tcPr>
          <w:p>
            <w:pPr>
              <w:spacing w:after="0"/>
              <w:rPr>
                <w:sz w:val="18"/>
                <w:szCs w:val="18"/>
                <w:color w:val="auto"/>
              </w:rPr>
            </w:pPr>
          </w:p>
        </w:tc>
        <w:tc>
          <w:tcPr>
            <w:tcW w:w="8280" w:type="dxa"/>
            <w:vAlign w:val="bottom"/>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rPr>
              <w:t>CHECK BOX IF THE AGGREGATE AMOUNT IN ROW (11) EXCLUDES CERTAIN SHARES (SEE</w:t>
            </w:r>
          </w:p>
        </w:tc>
        <w:tc>
          <w:tcPr>
            <w:tcW w:w="10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Borders>
              <w:right w:val="single" w:sz="8" w:color="auto"/>
            </w:tcBorders>
            <w:vMerge w:val="restart"/>
          </w:tcPr>
          <w:p>
            <w:pPr>
              <w:jc w:val="right"/>
              <w:spacing w:after="0" w:line="181" w:lineRule="exact"/>
              <w:rPr>
                <w:sz w:val="20"/>
                <w:szCs w:val="20"/>
                <w:color w:val="auto"/>
              </w:rPr>
            </w:pPr>
            <w:r>
              <w:rPr>
                <w:rFonts w:ascii="MS PGothic" w:cs="MS PGothic" w:eastAsia="MS PGothic" w:hAnsi="MS PGothic"/>
                <w:sz w:val="18"/>
                <w:szCs w:val="18"/>
                <w:color w:val="auto"/>
                <w:w w:val="88"/>
              </w:rPr>
              <w:t>☐</w:t>
            </w:r>
          </w:p>
        </w:tc>
        <w:tc>
          <w:tcPr>
            <w:tcW w:w="0" w:type="dxa"/>
            <w:vAlign w:val="bottom"/>
          </w:tcPr>
          <w:p>
            <w:pPr>
              <w:spacing w:after="0"/>
              <w:rPr>
                <w:sz w:val="1"/>
                <w:szCs w:val="1"/>
                <w:color w:val="auto"/>
              </w:rPr>
            </w:pPr>
          </w:p>
        </w:tc>
      </w:tr>
      <w:tr>
        <w:trPr>
          <w:trHeight w:val="158"/>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12</w:t>
            </w:r>
          </w:p>
        </w:tc>
        <w:tc>
          <w:tcPr>
            <w:tcW w:w="8280" w:type="dxa"/>
            <w:vAlign w:val="bottom"/>
            <w:gridSpan w:val="4"/>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INSTRUCTIONS)</w:t>
            </w:r>
          </w:p>
        </w:tc>
        <w:tc>
          <w:tcPr>
            <w:tcW w:w="10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20" w:type="dxa"/>
            <w:vAlign w:val="bottom"/>
            <w:tcBorders>
              <w:right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0"/>
        </w:trPr>
        <w:tc>
          <w:tcPr>
            <w:tcW w:w="1400" w:type="dxa"/>
            <w:vAlign w:val="bottom"/>
            <w:tcBorders>
              <w:left w:val="single" w:sz="8" w:color="auto"/>
              <w:right w:val="single" w:sz="8" w:color="auto"/>
            </w:tcBorders>
            <w:vMerge w:val="continue"/>
          </w:tcPr>
          <w:p>
            <w:pPr>
              <w:spacing w:after="0"/>
              <w:rPr>
                <w:sz w:val="6"/>
                <w:szCs w:val="6"/>
                <w:color w:val="auto"/>
              </w:rPr>
            </w:pPr>
          </w:p>
        </w:tc>
        <w:tc>
          <w:tcPr>
            <w:tcW w:w="8280" w:type="dxa"/>
            <w:vAlign w:val="bottom"/>
            <w:gridSpan w:val="4"/>
            <w:vMerge w:val="continue"/>
          </w:tcPr>
          <w:p>
            <w:pPr>
              <w:spacing w:after="0"/>
              <w:rPr>
                <w:sz w:val="6"/>
                <w:szCs w:val="6"/>
                <w:color w:val="auto"/>
              </w:rPr>
            </w:pPr>
          </w:p>
        </w:tc>
        <w:tc>
          <w:tcPr>
            <w:tcW w:w="1040" w:type="dxa"/>
            <w:vAlign w:val="bottom"/>
          </w:tcPr>
          <w:p>
            <w:pPr>
              <w:spacing w:after="0"/>
              <w:rPr>
                <w:sz w:val="6"/>
                <w:szCs w:val="6"/>
                <w:color w:val="auto"/>
              </w:rPr>
            </w:pPr>
          </w:p>
        </w:tc>
        <w:tc>
          <w:tcPr>
            <w:tcW w:w="300" w:type="dxa"/>
            <w:vAlign w:val="bottom"/>
          </w:tcPr>
          <w:p>
            <w:pPr>
              <w:spacing w:after="0"/>
              <w:rPr>
                <w:sz w:val="6"/>
                <w:szCs w:val="6"/>
                <w:color w:val="auto"/>
              </w:rPr>
            </w:pPr>
          </w:p>
        </w:tc>
        <w:tc>
          <w:tcPr>
            <w:tcW w:w="22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46"/>
        </w:trPr>
        <w:tc>
          <w:tcPr>
            <w:tcW w:w="1400" w:type="dxa"/>
            <w:vAlign w:val="bottom"/>
            <w:tcBorders>
              <w:left w:val="single" w:sz="8" w:color="auto"/>
              <w:right w:val="single" w:sz="8" w:color="auto"/>
            </w:tcBorders>
            <w:vMerge w:val="continue"/>
          </w:tcPr>
          <w:p>
            <w:pPr>
              <w:spacing w:after="0"/>
              <w:rPr>
                <w:sz w:val="21"/>
                <w:szCs w:val="21"/>
                <w:color w:val="auto"/>
              </w:rPr>
            </w:pPr>
          </w:p>
        </w:tc>
        <w:tc>
          <w:tcPr>
            <w:tcW w:w="6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696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2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321"/>
        </w:trPr>
        <w:tc>
          <w:tcPr>
            <w:tcW w:w="1400" w:type="dxa"/>
            <w:vAlign w:val="bottom"/>
            <w:tcBorders>
              <w:left w:val="single" w:sz="8" w:color="auto"/>
              <w:bottom w:val="single" w:sz="8" w:color="auto"/>
              <w:right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gridSpan w:val="2"/>
          </w:tcPr>
          <w:p>
            <w:pPr>
              <w:spacing w:after="0"/>
              <w:rPr>
                <w:sz w:val="24"/>
                <w:szCs w:val="24"/>
                <w:color w:val="auto"/>
              </w:rPr>
            </w:pPr>
          </w:p>
        </w:tc>
        <w:tc>
          <w:tcPr>
            <w:tcW w:w="696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13</w:t>
            </w:r>
          </w:p>
        </w:tc>
        <w:tc>
          <w:tcPr>
            <w:tcW w:w="8280" w:type="dxa"/>
            <w:vAlign w:val="bottom"/>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rPr>
              <w:t>PERCENT OF CLASS REPRESENTED BY AMOUNT IN ROW (11)</w:t>
            </w:r>
          </w:p>
        </w:tc>
        <w:tc>
          <w:tcPr>
            <w:tcW w:w="10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7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4.1% (1)</w:t>
            </w:r>
          </w:p>
        </w:tc>
        <w:tc>
          <w:tcPr>
            <w:tcW w:w="540" w:type="dxa"/>
            <w:vAlign w:val="bottom"/>
          </w:tcPr>
          <w:p>
            <w:pPr>
              <w:spacing w:after="0"/>
              <w:rPr>
                <w:sz w:val="24"/>
                <w:szCs w:val="24"/>
                <w:color w:val="auto"/>
              </w:rPr>
            </w:pPr>
          </w:p>
        </w:tc>
        <w:tc>
          <w:tcPr>
            <w:tcW w:w="69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gridSpan w:val="2"/>
          </w:tcPr>
          <w:p>
            <w:pPr>
              <w:spacing w:after="0"/>
              <w:rPr>
                <w:sz w:val="14"/>
                <w:szCs w:val="14"/>
                <w:color w:val="auto"/>
              </w:rPr>
            </w:pPr>
          </w:p>
        </w:tc>
        <w:tc>
          <w:tcPr>
            <w:tcW w:w="696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14</w:t>
            </w:r>
          </w:p>
        </w:tc>
        <w:tc>
          <w:tcPr>
            <w:tcW w:w="8280" w:type="dxa"/>
            <w:vAlign w:val="bottom"/>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rPr>
              <w:t>TYPE OF REPORTING PERSON (SEE INSTRUCTIONS)</w:t>
            </w:r>
          </w:p>
        </w:tc>
        <w:tc>
          <w:tcPr>
            <w:tcW w:w="10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7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OO</w:t>
            </w:r>
          </w:p>
        </w:tc>
        <w:tc>
          <w:tcPr>
            <w:tcW w:w="540" w:type="dxa"/>
            <w:vAlign w:val="bottom"/>
          </w:tcPr>
          <w:p>
            <w:pPr>
              <w:spacing w:after="0"/>
              <w:rPr>
                <w:sz w:val="24"/>
                <w:szCs w:val="24"/>
                <w:color w:val="auto"/>
              </w:rPr>
            </w:pPr>
          </w:p>
        </w:tc>
        <w:tc>
          <w:tcPr>
            <w:tcW w:w="69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696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340" w:right="760" w:hanging="332"/>
        <w:spacing w:after="0" w:line="282" w:lineRule="auto"/>
        <w:tabs>
          <w:tab w:leader="none" w:pos="3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percentage is based on a total of 113,627,715 Shares expected to be outstanding following the closing of the Issuer’s Concurrent Private Placement on April 9, 2024, as reported in the Issuer’s current report on Form 8-K filed with the SEC on April 9,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234315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 w:name="page4"/>
    <w:bookmarkEnd w:id="3"/>
    <w:p>
      <w:pPr>
        <w:spacing w:after="0"/>
        <w:tabs>
          <w:tab w:leader="none" w:pos="4960" w:val="left"/>
          <w:tab w:leader="none" w:pos="9940" w:val="left"/>
        </w:tabs>
        <w:rPr>
          <w:sz w:val="20"/>
          <w:szCs w:val="20"/>
          <w:color w:val="auto"/>
        </w:rPr>
      </w:pPr>
      <w:r>
        <w:rPr>
          <w:rFonts w:ascii="Times New Roman" w:cs="Times New Roman" w:eastAsia="Times New Roman" w:hAnsi="Times New Roman"/>
          <w:sz w:val="18"/>
          <w:szCs w:val="18"/>
          <w:color w:val="auto"/>
        </w:rPr>
        <w:t>CUSIP No: 09075X108</w:t>
      </w:r>
      <w:r>
        <w:rPr>
          <w:sz w:val="20"/>
          <w:szCs w:val="20"/>
          <w:color w:val="auto"/>
        </w:rPr>
        <w:tab/>
      </w:r>
      <w:r>
        <w:rPr>
          <w:rFonts w:ascii="Times New Roman" w:cs="Times New Roman" w:eastAsia="Times New Roman" w:hAnsi="Times New Roman"/>
          <w:sz w:val="18"/>
          <w:szCs w:val="18"/>
          <w:color w:val="auto"/>
        </w:rPr>
        <w:t>SCHEDULE 13D</w:t>
      </w:r>
      <w:r>
        <w:rPr>
          <w:sz w:val="20"/>
          <w:szCs w:val="20"/>
          <w:color w:val="auto"/>
        </w:rPr>
        <w:tab/>
      </w:r>
      <w:r>
        <w:rPr>
          <w:rFonts w:ascii="Times New Roman" w:cs="Times New Roman" w:eastAsia="Times New Roman" w:hAnsi="Times New Roman"/>
          <w:sz w:val="17"/>
          <w:szCs w:val="17"/>
          <w:color w:val="auto"/>
        </w:rPr>
        <w:t>Page 4 of 6 Pages</w:t>
      </w:r>
    </w:p>
    <w:p>
      <w:pPr>
        <w:spacing w:after="0" w:line="181"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8"/>
          <w:szCs w:val="18"/>
          <w:b w:val="1"/>
          <w:bCs w:val="1"/>
          <w:color w:val="auto"/>
        </w:rPr>
        <w:t>Security and Issuer</w:t>
      </w:r>
    </w:p>
    <w:p>
      <w:pPr>
        <w:spacing w:after="0" w:line="22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i w:val="1"/>
          <w:iCs w:val="1"/>
          <w:color w:val="auto"/>
        </w:rPr>
        <w:t>Item 1 of the Schedule 13D is hereby amended and supplemented as follows:</w:t>
      </w:r>
    </w:p>
    <w:p>
      <w:pPr>
        <w:spacing w:after="0" w:line="227"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This Amendment No. 2 to Schedule 13D (“Amendment No. 2”) is being filed by the undersigned, pursuant to §240.13d-2(a), to amend and supplement the Schedule 13D filed with the U.S. Securities and Exchange Commission (the “SEC”) on December 1, 2022, as amended on August 7, 2023 (collectively, the “Schedule 13D”), with respect to the common stock, par value $0.001 per share (the “Shares”), of Biodesix, Inc. (the “Issuer” or the “Company”), whose principal executive offices are located at 919 West Dillon Rd., Louisville, Colorado 80027.</w:t>
      </w:r>
    </w:p>
    <w:p>
      <w:pPr>
        <w:spacing w:after="0" w:line="176"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8"/>
          <w:szCs w:val="18"/>
          <w:b w:val="1"/>
          <w:bCs w:val="1"/>
          <w:color w:val="auto"/>
        </w:rPr>
        <w:t>Source and Amount of Funds or Other Consideration</w:t>
      </w:r>
    </w:p>
    <w:p>
      <w:pPr>
        <w:spacing w:after="0" w:line="22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i w:val="1"/>
          <w:iCs w:val="1"/>
          <w:color w:val="auto"/>
        </w:rPr>
        <w:t>Item 3 of the Schedule 13D is hereby amended and supplemented as follows:</w:t>
      </w:r>
    </w:p>
    <w:p>
      <w:pPr>
        <w:spacing w:after="0" w:line="227"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On April 5, 2024, the Issuer entered into securities purchase agreements (the “Securities Purchase Agreements”) with various investors, including the Trust (collectively, the “Investors”), for the issuance and sale by the Company of an aggregate of 760,857 shares of Series A Non-Voting Convertible Preferred Stock, par value $0.001 per share (the “Series A Preferred Stock”) in an offering (the “Concurrent Private Placement”). Pursuant to the terms of the Securities Purchase Agreements, the Company has agreed to submit to its stockholders the approval of the conversion of the Series A Preferred Stock into Shares in accordance with Nasdaq Stock Market Rules (the “Conversion Proposal”) at its 2024 annual meeting of stockholders. Following such approval of the Conversion Proposal, each share of Series A Preferred Stock will automatically convert into 40 Shares, subject to certain limitations, including that the Reporting Persons are prohibited from converting shares of Series A Preferred Stock into Shares if, as a result of such conversion, the Reporting Persons, together with their affiliates, would beneficially own more than 19.9% of the total number of Shares issued and outstanding immediately after giving effect to such conversion. The Securities Purchase Agreements include customary representations, warranties and covenants by the parties to the agreement. Pursuant to the Securities Purchase Agreements, the Investors purchased the Series A Preferred Stock at a purchase price of $46.00 per share for an aggregate purchase price of approximately $35.0 million.</w:t>
      </w:r>
    </w:p>
    <w:p>
      <w:pPr>
        <w:spacing w:after="0" w:line="192"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The Trust purchased 5,435 shares of Series A Preferred Stock in the Concurrent Private Placement, which will automatically convert into 217,400 Shares following approval of the Conversion Proposal, at a purchase price of $46.00 per share, for an aggregate purchase price of approximately $250,010, using the working capital of the Trust.</w:t>
      </w:r>
    </w:p>
    <w:p>
      <w:pPr>
        <w:spacing w:after="0" w:line="176"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The foregoing description of the Securities Purchase Agreements does not purport to be complete and is qualified in its entirety by reference to the full text of the Securities Purchase Agreements, the form of which is attached as Exhibit 4 to this Amendment No. 2 and is incorporated herein by reference.</w:t>
      </w:r>
    </w:p>
    <w:p>
      <w:pPr>
        <w:spacing w:after="0" w:line="172"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Purpose of Transaction</w:t>
      </w:r>
    </w:p>
    <w:p>
      <w:pPr>
        <w:spacing w:after="0" w:line="22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i w:val="1"/>
          <w:iCs w:val="1"/>
          <w:color w:val="auto"/>
        </w:rPr>
        <w:t>Item 4 of the Schedule 13D is hereby amended and supplemented as follows:</w:t>
      </w:r>
    </w:p>
    <w:p>
      <w:pPr>
        <w:spacing w:after="0" w:line="22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The response to Item 3 of this Amendment No. 2 is incorporated by reference herein.</w:t>
      </w:r>
    </w:p>
    <w:p>
      <w:pPr>
        <w:spacing w:after="0" w:line="221"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7"/>
          <w:szCs w:val="17"/>
          <w:b w:val="1"/>
          <w:bCs w:val="1"/>
          <w:color w:val="auto"/>
        </w:rPr>
        <w:t>Interest in Securities of the Issuer</w:t>
      </w:r>
    </w:p>
    <w:p>
      <w:pPr>
        <w:spacing w:after="0" w:line="22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i w:val="1"/>
          <w:iCs w:val="1"/>
          <w:color w:val="auto"/>
        </w:rPr>
        <w:t>Item 5(a) - (c) of the Schedule 13D is hereby amended and supplemented as follows:</w:t>
      </w:r>
    </w:p>
    <w:p>
      <w:pPr>
        <w:spacing w:after="0" w:line="227" w:lineRule="exact"/>
        <w:rPr>
          <w:sz w:val="20"/>
          <w:szCs w:val="20"/>
          <w:color w:val="auto"/>
        </w:rPr>
      </w:pPr>
    </w:p>
    <w:p>
      <w:pPr>
        <w:jc w:val="both"/>
        <w:ind w:right="20" w:firstLine="1296"/>
        <w:spacing w:after="0" w:line="282" w:lineRule="auto"/>
        <w:rPr>
          <w:sz w:val="20"/>
          <w:szCs w:val="20"/>
          <w:color w:val="auto"/>
        </w:rPr>
      </w:pPr>
      <w:r>
        <w:rPr>
          <w:rFonts w:ascii="Times New Roman" w:cs="Times New Roman" w:eastAsia="Times New Roman" w:hAnsi="Times New Roman"/>
          <w:sz w:val="18"/>
          <w:szCs w:val="18"/>
          <w:color w:val="auto"/>
        </w:rPr>
        <w:t>(a, b) As of the date hereof, Mr. Patience may be deemed to beneficially own, in the aggregate, 7,659,411 Shares, which represents approximately 6.7% of the Shares outstanding.</w:t>
      </w:r>
    </w:p>
    <w:p>
      <w:pPr>
        <w:spacing w:after="0" w:line="162" w:lineRule="exact"/>
        <w:rPr>
          <w:sz w:val="20"/>
          <w:szCs w:val="20"/>
          <w:color w:val="auto"/>
        </w:rPr>
      </w:pPr>
    </w:p>
    <w:p>
      <w:pPr>
        <w:jc w:val="both"/>
        <w:ind w:firstLine="1296"/>
        <w:spacing w:after="0" w:line="255" w:lineRule="auto"/>
        <w:rPr>
          <w:sz w:val="20"/>
          <w:szCs w:val="20"/>
          <w:color w:val="auto"/>
        </w:rPr>
      </w:pPr>
      <w:r>
        <w:rPr>
          <w:rFonts w:ascii="Times New Roman" w:cs="Times New Roman" w:eastAsia="Times New Roman" w:hAnsi="Times New Roman"/>
          <w:sz w:val="18"/>
          <w:szCs w:val="18"/>
          <w:color w:val="auto"/>
        </w:rPr>
        <w:t>Mr. Patience’s beneficial ownership consists of (1) 337,926 Shares held directly by Mr. Patience, (2) 46,102 Shares that Mr. Patience has the right to acquire upon exercise of options exercisable within 60 days of the date of this filing, (3) 284,973 Shares that Mr. Patience has the right to acquire upon settlement of vested RSUs within 60 days of the date of this filing, (4) 4,612,211 Shares held by the Trust, representing approximately 4.1% of the Shares outstanding, (5) 2,078,298 Shares held by Patience Enterprises LP, (6) 52,988 Shares held by Mr. Patience’s spouse, and (7) 246,913 Shares held by Ventana. This amount excludes 217,400 Shares into which the 5,435 shares of Series A Preferred Stock will automatically convert following approval of the Conversion Proposal, because the Reporting Persons do not have the right to acquire such Shares prior to stockholder approval of the Conversion Proposal.</w:t>
      </w:r>
    </w:p>
    <w:p>
      <w:pPr>
        <w:spacing w:after="0" w:line="189"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The foregoing beneficial ownership percentages are based on a total of 113,627,715 Shares expected to be outstanding following the closing of the Issuer’s Concurrent Private Placement on April 9, 2024, as reported in the Issuer’s current report on Form 8-K filed with the SEC on April 9, 2024, plus, for purposes of calculating Mr. Patience’s beneficial ownership percentage, 331,075 Shares that Mr. Patience has the right to acquire within 60 days of the date of this filing.</w:t>
      </w:r>
    </w:p>
    <w:p>
      <w:pPr>
        <w:spacing w:after="0" w:line="180"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As sole trustee of the Trust, Mr. Patience shares with the Trust the power to vote or direct the vote, and the power to dispose or direct the disposition of, the 4,612,211 Shares beneficially owned by the Trust.</w:t>
      </w:r>
    </w:p>
    <w:p>
      <w:pPr>
        <w:spacing w:after="0" w:line="162" w:lineRule="exact"/>
        <w:rPr>
          <w:sz w:val="20"/>
          <w:szCs w:val="20"/>
          <w:color w:val="auto"/>
        </w:rPr>
      </w:pPr>
    </w:p>
    <w:p>
      <w:pPr>
        <w:ind w:firstLine="1304"/>
        <w:spacing w:after="0" w:line="282" w:lineRule="auto"/>
        <w:tabs>
          <w:tab w:leader="none" w:pos="1541"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response to Item 3 of this Amendment No. 2 is incorporated by reference herein. Except as set forth in this Amendment No. 2, no transactions in the Shares have been effected by the Reporting Persons within the past 60 days.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234315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 w:name="page5"/>
    <w:bookmarkEnd w:id="4"/>
    <w:p>
      <w:pPr>
        <w:spacing w:after="0"/>
        <w:tabs>
          <w:tab w:leader="none" w:pos="4960" w:val="left"/>
          <w:tab w:leader="none" w:pos="9940" w:val="left"/>
        </w:tabs>
        <w:rPr>
          <w:sz w:val="20"/>
          <w:szCs w:val="20"/>
          <w:color w:val="auto"/>
        </w:rPr>
      </w:pPr>
      <w:r>
        <w:rPr>
          <w:rFonts w:ascii="Times New Roman" w:cs="Times New Roman" w:eastAsia="Times New Roman" w:hAnsi="Times New Roman"/>
          <w:sz w:val="18"/>
          <w:szCs w:val="18"/>
          <w:color w:val="auto"/>
        </w:rPr>
        <w:t>CUSIP No: 09075X108</w:t>
      </w:r>
      <w:r>
        <w:rPr>
          <w:sz w:val="20"/>
          <w:szCs w:val="20"/>
          <w:color w:val="auto"/>
        </w:rPr>
        <w:tab/>
      </w:r>
      <w:r>
        <w:rPr>
          <w:rFonts w:ascii="Times New Roman" w:cs="Times New Roman" w:eastAsia="Times New Roman" w:hAnsi="Times New Roman"/>
          <w:sz w:val="18"/>
          <w:szCs w:val="18"/>
          <w:color w:val="auto"/>
        </w:rPr>
        <w:t>SCHEDULE 13D</w:t>
      </w:r>
      <w:r>
        <w:rPr>
          <w:sz w:val="20"/>
          <w:szCs w:val="20"/>
          <w:color w:val="auto"/>
        </w:rPr>
        <w:tab/>
      </w:r>
      <w:r>
        <w:rPr>
          <w:rFonts w:ascii="Times New Roman" w:cs="Times New Roman" w:eastAsia="Times New Roman" w:hAnsi="Times New Roman"/>
          <w:sz w:val="17"/>
          <w:szCs w:val="17"/>
          <w:color w:val="auto"/>
        </w:rPr>
        <w:t>Page 5 of 6 Pages</w:t>
      </w:r>
    </w:p>
    <w:p>
      <w:pPr>
        <w:spacing w:after="0" w:line="181"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6.</w:t>
      </w:r>
      <w:r>
        <w:rPr>
          <w:sz w:val="20"/>
          <w:szCs w:val="20"/>
          <w:color w:val="auto"/>
        </w:rPr>
        <w:tab/>
      </w:r>
      <w:r>
        <w:rPr>
          <w:rFonts w:ascii="Times New Roman" w:cs="Times New Roman" w:eastAsia="Times New Roman" w:hAnsi="Times New Roman"/>
          <w:sz w:val="17"/>
          <w:szCs w:val="17"/>
          <w:b w:val="1"/>
          <w:bCs w:val="1"/>
          <w:color w:val="auto"/>
        </w:rPr>
        <w:t>Contracts, Arrangements, Understandings or Relationships with Respect to Securities of the Issuer.</w:t>
      </w:r>
    </w:p>
    <w:p>
      <w:pPr>
        <w:spacing w:after="0" w:line="22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i w:val="1"/>
          <w:iCs w:val="1"/>
          <w:color w:val="auto"/>
        </w:rPr>
        <w:t>Item 6 of the Schedule 13D is hereby amended and supplemented as follows:</w:t>
      </w:r>
    </w:p>
    <w:p>
      <w:pPr>
        <w:spacing w:after="0" w:line="22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The response to Item 3 of this Amendment No. 2 is incorporated by reference herein.</w:t>
      </w:r>
    </w:p>
    <w:p>
      <w:pPr>
        <w:spacing w:after="0" w:line="22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i w:val="1"/>
          <w:iCs w:val="1"/>
          <w:color w:val="auto"/>
        </w:rPr>
        <w:t>Registration Rights Agreement</w:t>
      </w:r>
    </w:p>
    <w:p>
      <w:pPr>
        <w:spacing w:after="0" w:line="227"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In connection with the Concurrent Private Placement, the Issuer also entered into a Registration Rights Agreement, dated April 5, 2024 (the “Registration Rights Agreement”), with the Investors, which provides that the Issuer will register the resale of the Shares issuable upon conversion of the Series A Preferred Stock. The Issuer is required to prepare and file an initial registration statement with the SEC as soon as reasonably practicable, but in no event later than April 23, 2024, and to use best efforts to have the registration statement declared effective within 50 days after the closing of the Concurrent Private Placement, subject to the approval of the Conversion Proposal being received at the Company’s 2024 annual meeting of stockholders.</w:t>
      </w:r>
    </w:p>
    <w:p>
      <w:pPr>
        <w:spacing w:after="0" w:line="183"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The foregoing description of the Registration Rights Agreement does not purport to be complete and is qualified in its entirety by reference to the full text of the Registration Rights Agreement, the form of which is attached as Exhibit 5 to this Amendment No. 2 and is incorporated herein by reference.</w:t>
      </w:r>
    </w:p>
    <w:p>
      <w:pPr>
        <w:spacing w:after="0" w:line="176"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Except as otherwise set forth in this Amendment No. 2, there are no contracts, arrangements, understandings or relationships between the Reporting Persons and any other person with respect to any securities of the Issuer.</w:t>
      </w:r>
    </w:p>
    <w:p>
      <w:pPr>
        <w:spacing w:after="0" w:line="158"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7.</w:t>
      </w:r>
      <w:r>
        <w:rPr>
          <w:sz w:val="20"/>
          <w:szCs w:val="20"/>
          <w:color w:val="auto"/>
        </w:rPr>
        <w:tab/>
      </w:r>
      <w:r>
        <w:rPr>
          <w:rFonts w:ascii="Times New Roman" w:cs="Times New Roman" w:eastAsia="Times New Roman" w:hAnsi="Times New Roman"/>
          <w:sz w:val="18"/>
          <w:szCs w:val="18"/>
          <w:b w:val="1"/>
          <w:bCs w:val="1"/>
          <w:color w:val="auto"/>
        </w:rPr>
        <w:t>Material to be Filed as Exhibits</w:t>
      </w:r>
    </w:p>
    <w:p>
      <w:pPr>
        <w:spacing w:after="0" w:line="22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i w:val="1"/>
          <w:iCs w:val="1"/>
          <w:color w:val="auto"/>
        </w:rPr>
        <w:t>Item 7 of the Schedule 13D is hereby amended and supplemented as follows:</w:t>
      </w:r>
    </w:p>
    <w:p>
      <w:pPr>
        <w:spacing w:after="0" w:line="227" w:lineRule="exact"/>
        <w:rPr>
          <w:sz w:val="20"/>
          <w:szCs w:val="20"/>
          <w:color w:val="auto"/>
        </w:rPr>
      </w:pPr>
    </w:p>
    <w:p>
      <w:pPr>
        <w:jc w:val="both"/>
        <w:ind w:left="1140" w:hanging="1133"/>
        <w:spacing w:after="0" w:line="282" w:lineRule="auto"/>
        <w:tabs>
          <w:tab w:leader="none" w:pos="1120" w:val="left"/>
        </w:tabs>
        <w:rPr>
          <w:sz w:val="20"/>
          <w:szCs w:val="20"/>
          <w:color w:val="auto"/>
        </w:rPr>
      </w:pPr>
      <w:r>
        <w:rPr>
          <w:rFonts w:ascii="Times New Roman" w:cs="Times New Roman" w:eastAsia="Times New Roman" w:hAnsi="Times New Roman"/>
          <w:sz w:val="18"/>
          <w:szCs w:val="18"/>
          <w:color w:val="auto"/>
        </w:rPr>
        <w:t>Exhibit 4</w:t>
      </w:r>
      <w:r>
        <w:rPr>
          <w:sz w:val="20"/>
          <w:szCs w:val="20"/>
          <w:color w:val="auto"/>
        </w:rPr>
        <w:tab/>
      </w:r>
      <w:r>
        <w:rPr>
          <w:rFonts w:ascii="Times New Roman" w:cs="Times New Roman" w:eastAsia="Times New Roman" w:hAnsi="Times New Roman"/>
          <w:sz w:val="18"/>
          <w:szCs w:val="18"/>
          <w:color w:val="auto"/>
        </w:rPr>
        <w:t>Form of Securities Purchase Agreements (incorporated by reference to Exhibit 10.2 to the Issuer’s current report on Form 8-K filed with the SEC on April 9, 2024).</w:t>
      </w:r>
    </w:p>
    <w:p>
      <w:pPr>
        <w:spacing w:after="0" w:line="162" w:lineRule="exact"/>
        <w:rPr>
          <w:sz w:val="20"/>
          <w:szCs w:val="20"/>
          <w:color w:val="auto"/>
        </w:rPr>
      </w:pPr>
    </w:p>
    <w:p>
      <w:pPr>
        <w:ind w:left="1140" w:right="80" w:hanging="1133"/>
        <w:spacing w:after="0" w:line="282" w:lineRule="auto"/>
        <w:tabs>
          <w:tab w:leader="none" w:pos="1120" w:val="left"/>
        </w:tabs>
        <w:rPr>
          <w:sz w:val="20"/>
          <w:szCs w:val="20"/>
          <w:color w:val="auto"/>
        </w:rPr>
      </w:pPr>
      <w:r>
        <w:rPr>
          <w:rFonts w:ascii="Times New Roman" w:cs="Times New Roman" w:eastAsia="Times New Roman" w:hAnsi="Times New Roman"/>
          <w:sz w:val="18"/>
          <w:szCs w:val="18"/>
          <w:color w:val="auto"/>
        </w:rPr>
        <w:t>Exhibit 5</w:t>
      </w:r>
      <w:r>
        <w:rPr>
          <w:sz w:val="20"/>
          <w:szCs w:val="20"/>
          <w:color w:val="auto"/>
        </w:rPr>
        <w:tab/>
      </w:r>
      <w:r>
        <w:rPr>
          <w:rFonts w:ascii="Times New Roman" w:cs="Times New Roman" w:eastAsia="Times New Roman" w:hAnsi="Times New Roman"/>
          <w:sz w:val="18"/>
          <w:szCs w:val="18"/>
          <w:color w:val="auto"/>
        </w:rPr>
        <w:t>Form of Registration Rights Agreement (incorporated by reference to Exhibit 10.3 to the Issuer’s current report on Form 8-K filed with the SEC on April 9,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234315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 w:name="page6"/>
    <w:bookmarkEnd w:id="5"/>
    <w:p>
      <w:pPr>
        <w:spacing w:after="0"/>
        <w:tabs>
          <w:tab w:leader="none" w:pos="4960" w:val="left"/>
          <w:tab w:leader="none" w:pos="9940" w:val="left"/>
        </w:tabs>
        <w:rPr>
          <w:sz w:val="20"/>
          <w:szCs w:val="20"/>
          <w:color w:val="auto"/>
        </w:rPr>
      </w:pPr>
      <w:r>
        <w:rPr>
          <w:rFonts w:ascii="Times New Roman" w:cs="Times New Roman" w:eastAsia="Times New Roman" w:hAnsi="Times New Roman"/>
          <w:sz w:val="18"/>
          <w:szCs w:val="18"/>
          <w:color w:val="auto"/>
        </w:rPr>
        <w:t>CUSIP No: 09075X108</w:t>
      </w:r>
      <w:r>
        <w:rPr>
          <w:sz w:val="20"/>
          <w:szCs w:val="20"/>
          <w:color w:val="auto"/>
        </w:rPr>
        <w:tab/>
      </w:r>
      <w:r>
        <w:rPr>
          <w:rFonts w:ascii="Times New Roman" w:cs="Times New Roman" w:eastAsia="Times New Roman" w:hAnsi="Times New Roman"/>
          <w:sz w:val="18"/>
          <w:szCs w:val="18"/>
          <w:color w:val="auto"/>
        </w:rPr>
        <w:t>SCHEDULE 13D</w:t>
      </w:r>
      <w:r>
        <w:rPr>
          <w:sz w:val="20"/>
          <w:szCs w:val="20"/>
          <w:color w:val="auto"/>
        </w:rPr>
        <w:tab/>
      </w:r>
      <w:r>
        <w:rPr>
          <w:rFonts w:ascii="Times New Roman" w:cs="Times New Roman" w:eastAsia="Times New Roman" w:hAnsi="Times New Roman"/>
          <w:sz w:val="17"/>
          <w:szCs w:val="17"/>
          <w:color w:val="auto"/>
        </w:rPr>
        <w:t>Page 6 of 6 Pages</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After reasonable inquiry and to the best of my knowledge and belief, I certify that the information set forth in this statement is true, complete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correct.</w:t>
      </w:r>
    </w:p>
    <w:p>
      <w:pPr>
        <w:spacing w:after="0" w:line="20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John Patience</w:t>
      </w:r>
    </w:p>
    <w:p>
      <w:pPr>
        <w:spacing w:after="0" w:line="22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/s/ John Patience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17145</wp:posOffset>
            </wp:positionV>
            <wp:extent cx="356616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566160" cy="17145"/>
                    </a:xfrm>
                    <a:prstGeom prst="rect">
                      <a:avLst/>
                    </a:prstGeom>
                    <a:noFill/>
                  </pic:spPr>
                </pic:pic>
              </a:graphicData>
            </a:graphic>
          </wp:anchor>
        </w:drawing>
      </w:r>
    </w:p>
    <w:p>
      <w:pPr>
        <w:spacing w:after="0" w:line="228"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John Patience Living Trust dated 7/23/1993</w:t>
      </w:r>
    </w:p>
    <w:p>
      <w:pPr>
        <w:spacing w:after="0" w:line="22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/s/ John Patience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17145</wp:posOffset>
            </wp:positionV>
            <wp:extent cx="356616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566160" cy="1714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Name: John Patience</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Title: Trustee</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April 9, 2024</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Attention: Intentional misstatements or omissions of fact constitute federal violations (see 18 U.S.C. 1001).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353060</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12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1."/>
      <w:numFmt w:val="decimal"/>
      <w:start w:val="1"/>
    </w:lvl>
  </w:abstractNum>
  <w:abstractNum w:abstractNumId="3">
    <w:nsid w:val="625558EC"/>
    <w:multiLevelType w:val="hybridMultilevel"/>
    <w:lvl w:ilvl="0">
      <w:lvlJc w:val="left"/>
      <w:lvlText w:val="(%1)"/>
      <w:numFmt w:val="lowerLetter"/>
      <w:start w:val="3"/>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2024-04-09T19:36:14Z</dcterms:created>
  <dcterms:modified xsi:type="dcterms:W3CDTF">2024-04-09T19:36:14Z</dcterms:modified>
</cp:coreProperties>
</file>