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61784d8k.htm"/>
      <w:bookmarkStart w:id="1" w:name="ksd86178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April 15, 2025</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Biodesix,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001-39659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20-3986492</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3980"/>
        <w:gridCol w:w="60"/>
        <w:gridCol w:w="1145"/>
      </w:tblGrid>
      <w:tr>
        <w:trPr/>
        <w:tc>
          <w:tcPr>
            <w:tcW w:w="3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919 West Dillon Rd.</w:t>
            </w:r>
          </w:p>
          <w:p>
            <w:pPr>
              <w:pStyle w:val="TableContents"/>
              <w:bidi w:val="0"/>
              <w:spacing w:before="0" w:after="20"/>
              <w:jc w:val="center"/>
              <w:rPr>
                <w:rFonts w:ascii="Times New Roman" w:hAnsi="Times New Roman"/>
                <w:b/>
                <w:sz w:val="20"/>
              </w:rPr>
            </w:pPr>
            <w:r>
              <w:rPr>
                <w:rFonts w:ascii="Times New Roman" w:hAnsi="Times New Roman"/>
                <w:b/>
                <w:sz w:val="20"/>
              </w:rPr>
              <w:t>Louisville, Colorado</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80027</w:t>
            </w:r>
          </w:p>
        </w:tc>
      </w:tr>
      <w:tr>
        <w:trPr/>
        <w:tc>
          <w:tcPr>
            <w:tcW w:w="3980" w:type="dxa"/>
            <w:tcBorders/>
            <w:vAlign w:val="center"/>
          </w:tcPr>
          <w:p>
            <w:pPr>
              <w:pStyle w:val="TableContents"/>
              <w:bidi w:val="0"/>
              <w:spacing w:before="0" w:after="283"/>
              <w:jc w:val="center"/>
              <w:rPr>
                <w:b/>
              </w:rPr>
            </w:pPr>
            <w:r>
              <w:rPr>
                <w:b/>
              </w:rPr>
              <w:t>(Address of Principal Executive Office)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(303) 417-0500</w:t>
      </w:r>
    </w:p>
    <w:p>
      <w:pPr>
        <w:pStyle w:val="TextBody"/>
        <w:bidi w:val="0"/>
        <w:spacing w:before="16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230"/>
        <w:gridCol w:w="72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230"/>
        <w:gridCol w:w="89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14d-2(b) under the Exchange Act (17 CFR 240.14d-2(b))</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230"/>
        <w:gridCol w:w="89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10" w:type="dxa"/>
        <w:jc w:val="left"/>
        <w:tblInd w:w="0" w:type="dxa"/>
        <w:tblLayout w:type="fixed"/>
        <w:tblCellMar>
          <w:top w:w="0" w:type="dxa"/>
          <w:left w:w="0" w:type="dxa"/>
          <w:bottom w:w="0" w:type="dxa"/>
          <w:right w:w="0" w:type="dxa"/>
        </w:tblCellMar>
      </w:tblPr>
      <w:tblGrid>
        <w:gridCol w:w="4400"/>
        <w:gridCol w:w="60"/>
        <w:gridCol w:w="740"/>
        <w:gridCol w:w="60"/>
        <w:gridCol w:w="3050"/>
      </w:tblGrid>
      <w:tr>
        <w:trPr/>
        <w:tc>
          <w:tcPr>
            <w:tcW w:w="4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4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400" w:type="dxa"/>
            <w:tcBorders/>
            <w:vAlign w:val="center"/>
          </w:tcPr>
          <w:p>
            <w:pPr>
              <w:pStyle w:val="TableContents"/>
              <w:bidi w:val="0"/>
              <w:spacing w:before="0" w:after="283"/>
              <w:jc w:val="center"/>
              <w:rPr/>
            </w:pPr>
            <w:r>
              <w:rPr/>
              <w:t>Common Stock, par value of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BDSX</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86"/>
        <w:gridCol w:w="9319"/>
      </w:tblGrid>
      <w:tr>
        <w:trPr/>
        <w:tc>
          <w:tcPr>
            <w:tcW w:w="886" w:type="dxa"/>
            <w:tcBorders/>
            <w:vAlign w:val="center"/>
          </w:tcPr>
          <w:p>
            <w:pPr>
              <w:pStyle w:val="TableContents"/>
              <w:bidi w:val="0"/>
              <w:spacing w:before="0" w:after="283"/>
              <w:jc w:val="left"/>
              <w:rPr>
                <w:b/>
              </w:rPr>
            </w:pPr>
            <w:r>
              <w:rPr>
                <w:b/>
              </w:rPr>
              <w:t>Item 5.02.</w:t>
            </w:r>
          </w:p>
        </w:tc>
        <w:tc>
          <w:tcPr>
            <w:tcW w:w="931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Departure of Directors </w:t>
      </w:r>
    </w:p>
    <w:p>
      <w:pPr>
        <w:pStyle w:val="TextBody"/>
        <w:bidi w:val="0"/>
        <w:spacing w:before="120" w:after="0"/>
        <w:jc w:val="left"/>
        <w:rPr>
          <w:rFonts w:ascii="Times New Roman" w:hAnsi="Times New Roman"/>
          <w:sz w:val="20"/>
        </w:rPr>
      </w:pPr>
      <w:r>
        <w:rPr>
          <w:rFonts w:ascii="Times New Roman" w:hAnsi="Times New Roman"/>
          <w:sz w:val="20"/>
        </w:rPr>
        <w:t xml:space="preserve">On April 15, 2025, Charles Watts, M.D., a member of the Board of Directors (the “Board”) of Biodesix, Inc. (the “Company”), notified the Company of his intention to resign from his position as a director of the Board and as a member of the Compensation Committee, effective at the conclusion of the Company’s 2025 Annual Meeting of Stockholders on May 20, 2025 (the “2025 Annual Meeting”). Dr. Watts has served as a director of the Company since July 2019. Dr. Watts’s resignation is not due to any disagreement with the Company on any matter relating to the Company’s operations, policies, or practices. </w:t>
      </w:r>
    </w:p>
    <w:p>
      <w:pPr>
        <w:pStyle w:val="TextBody"/>
        <w:bidi w:val="0"/>
        <w:spacing w:before="240" w:after="0"/>
        <w:jc w:val="left"/>
        <w:rPr>
          <w:rFonts w:ascii="Times New Roman" w:hAnsi="Times New Roman"/>
          <w:sz w:val="20"/>
        </w:rPr>
      </w:pPr>
      <w:r>
        <w:rPr>
          <w:rFonts w:ascii="Times New Roman" w:hAnsi="Times New Roman"/>
          <w:sz w:val="20"/>
        </w:rPr>
        <w:t xml:space="preserve">On April 15, 2025, Jack Schuler, a member of the Board, notified the Company of his intention to resign from his position as a director of the Board and as a member of the Nominating and Corporate Governance Committee, effective at the conclusion of the 2025 Annual Meeting. Mr. Schuler has served as a director of the Company since June 2008. Mr. Schuler will transition to the role of director emeritus, where he will continue to provide his expertise and guidance to the Company in a non-voting, advisory capacity. Mr. Schuler’s resignation is not due to any disagreement with the Company on any matter relating to the Company’s operations, policies, or practices.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expresses its gratitude to Dr. Watts and Mr. Schuler for their dedicated service and significant contributions to the Company. </w:t>
      </w:r>
      <w:r>
        <w:br w:type="page"/>
      </w:r>
    </w:p>
    <w:p>
      <w:pPr>
        <w:pStyle w:val="HorizontalLine"/>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198" w:type="dxa"/>
        <w:jc w:val="left"/>
        <w:tblInd w:w="0" w:type="dxa"/>
        <w:tblLayout w:type="fixed"/>
        <w:tblCellMar>
          <w:top w:w="0" w:type="dxa"/>
          <w:left w:w="0" w:type="dxa"/>
          <w:bottom w:w="0" w:type="dxa"/>
          <w:right w:w="0" w:type="dxa"/>
        </w:tblCellMar>
      </w:tblPr>
      <w:tblGrid>
        <w:gridCol w:w="2120"/>
        <w:gridCol w:w="60"/>
        <w:gridCol w:w="23"/>
        <w:gridCol w:w="60"/>
        <w:gridCol w:w="650"/>
        <w:gridCol w:w="60"/>
        <w:gridCol w:w="2225"/>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Dated: April 17,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935" w:type="dxa"/>
            <w:gridSpan w:val="3"/>
            <w:tcBorders/>
            <w:vAlign w:val="center"/>
          </w:tcPr>
          <w:p>
            <w:pPr>
              <w:pStyle w:val="TableContents"/>
              <w:bidi w:val="0"/>
              <w:spacing w:before="0" w:after="283"/>
              <w:jc w:val="left"/>
              <w:rPr/>
            </w:pPr>
            <w:r>
              <w:rPr/>
              <w:t>BIODESIX, INC.</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Robin Harper Cowie</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Robin Harper Cowie</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608</Words>
  <Characters>3250</Characters>
  <CharactersWithSpaces>3854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