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Vazquez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WEST DILLON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BIODESIX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BDSX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90,100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39,664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39,664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a series of four successive equal annual installments measured from February 20, 2025, generally subject to the Reporting Person's continued service with the Issuer,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vests in a series of forty-eight successive equal monthly installments measured from February 20, 2025, generally subject to the Reporting Person's continuous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vested in full on February 20, 2025. Under the Issuer's 2024 Bonus-to-Options Program, the Reporting Person elected to receive a portion of the annual cash bonus earned during 2024 in the form of a fully-vested option.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Robin H. Cowie as Attorney-in-Fact for Chris Vazquez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594" TargetMode="External"/><Relationship Id="rId5" Type="http://schemas.openxmlformats.org/officeDocument/2006/relationships/hyperlink" Target="http://www.sec.gov/cgi-bin/browse-edgar?action=getcompany&amp;CIK=0001439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3932</Characters>
  <CharactersWithSpaces>4576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