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020" w:right="130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Biodesix,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20-3986492</w:t>
      </w:r>
    </w:p>
    <w:p>
      <w:pPr>
        <w:spacing w:after="0" w:line="50" w:lineRule="exact"/>
        <w:rPr>
          <w:sz w:val="24"/>
          <w:szCs w:val="24"/>
          <w:color w:val="auto"/>
        </w:rPr>
      </w:pPr>
    </w:p>
    <w:p>
      <w:pPr>
        <w:sectPr>
          <w:pgSz w:w="11900" w:h="16838" w:orient="portrait"/>
          <w:cols w:equalWidth="0" w:num="2">
            <w:col w:w="7180" w:space="720"/>
            <w:col w:w="2380"/>
          </w:cols>
          <w:pgMar w:left="440" w:top="368" w:right="1179" w:bottom="1440" w:gutter="0" w:footer="0" w:header="0"/>
          <w:type w:val="continuous"/>
        </w:sectPr>
      </w:pPr>
    </w:p>
    <w:p>
      <w:pPr>
        <w:ind w:left="1560"/>
        <w:spacing w:after="0"/>
        <w:rPr>
          <w:sz w:val="20"/>
          <w:szCs w:val="20"/>
          <w:color w:val="auto"/>
        </w:rPr>
      </w:pPr>
      <w:r>
        <w:rPr>
          <w:rFonts w:ascii="Arial" w:cs="Arial" w:eastAsia="Arial" w:hAnsi="Arial"/>
          <w:sz w:val="13"/>
          <w:szCs w:val="13"/>
          <w:b w:val="1"/>
          <w:bCs w:val="1"/>
          <w:color w:val="auto"/>
        </w:rPr>
        <w:t>(State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2">
            <w:col w:w="6520" w:space="720"/>
            <w:col w:w="3040"/>
          </w:cols>
          <w:pgMar w:left="440" w:top="368" w:right="1179" w:bottom="1440" w:gutter="0" w:footer="0" w:header="0"/>
          <w:type w:val="continuous"/>
        </w:sectPr>
      </w:pPr>
    </w:p>
    <w:p>
      <w:pPr>
        <w:jc w:val="center"/>
        <w:ind w:right="-739"/>
        <w:spacing w:after="0"/>
        <w:rPr>
          <w:sz w:val="20"/>
          <w:szCs w:val="20"/>
          <w:color w:val="auto"/>
        </w:rPr>
      </w:pPr>
      <w:r>
        <w:rPr>
          <w:rFonts w:ascii="Arial" w:cs="Arial" w:eastAsia="Arial" w:hAnsi="Arial"/>
          <w:sz w:val="18"/>
          <w:szCs w:val="18"/>
          <w:b w:val="1"/>
          <w:bCs w:val="1"/>
          <w:color w:val="auto"/>
        </w:rPr>
        <w:t>2970 Wilderness Place, Suite 100</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Boulder, Colorado 80301</w:t>
      </w:r>
    </w:p>
    <w:p>
      <w:pPr>
        <w:spacing w:after="0" w:line="2" w:lineRule="exact"/>
        <w:rPr>
          <w:sz w:val="24"/>
          <w:szCs w:val="24"/>
          <w:color w:val="auto"/>
        </w:rPr>
      </w:pPr>
    </w:p>
    <w:p>
      <w:pPr>
        <w:jc w:val="center"/>
        <w:ind w:right="-7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3780" w:type="dxa"/>
            <w:vAlign w:val="bottom"/>
            <w:gridSpan w:val="3"/>
          </w:tcPr>
          <w:p>
            <w:pPr>
              <w:jc w:val="center"/>
              <w:ind w:left="1259"/>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100" w:type="dxa"/>
            <w:vAlign w:val="bottom"/>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to be so registered</w:t>
            </w:r>
          </w:p>
        </w:tc>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360" w:type="dxa"/>
            <w:vAlign w:val="bottom"/>
          </w:tcPr>
          <w:p>
            <w:pPr>
              <w:spacing w:after="0"/>
              <w:rPr>
                <w:sz w:val="14"/>
                <w:szCs w:val="14"/>
                <w:color w:val="auto"/>
              </w:rPr>
            </w:pPr>
          </w:p>
        </w:tc>
      </w:tr>
      <w:tr>
        <w:trPr>
          <w:trHeight w:val="228"/>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w w:val="93"/>
              </w:rPr>
              <w:t>Common Stock, par value $</w:t>
            </w:r>
          </w:p>
        </w:tc>
        <w:tc>
          <w:tcPr>
            <w:tcW w:w="2440" w:type="dxa"/>
            <w:vAlign w:val="bottom"/>
          </w:tcPr>
          <w:p>
            <w:pPr>
              <w:spacing w:after="0"/>
              <w:rPr>
                <w:sz w:val="20"/>
                <w:szCs w:val="20"/>
                <w:color w:val="auto"/>
              </w:rPr>
            </w:pPr>
            <w:r>
              <w:rPr>
                <w:rFonts w:ascii="Arial" w:cs="Arial" w:eastAsia="Arial" w:hAnsi="Arial"/>
                <w:sz w:val="18"/>
                <w:szCs w:val="18"/>
                <w:b w:val="1"/>
                <w:bCs w:val="1"/>
                <w:color w:val="auto"/>
              </w:rPr>
              <w:t>0.001 per share</w:t>
            </w:r>
          </w:p>
        </w:tc>
        <w:tc>
          <w:tcPr>
            <w:tcW w:w="3780" w:type="dxa"/>
            <w:vAlign w:val="bottom"/>
            <w:gridSpan w:val="3"/>
          </w:tcPr>
          <w:p>
            <w:pPr>
              <w:jc w:val="center"/>
              <w:ind w:left="1259"/>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related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333-249260</w:t>
      </w:r>
    </w:p>
    <w:p>
      <w:pPr>
        <w:spacing w:after="0" w:line="20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 Description of Registrant’s Securities to be Registered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 a description of the securities of Biodesix, Inc. (the “</w:t>
      </w:r>
      <w:r>
        <w:rPr>
          <w:rFonts w:ascii="Arial" w:cs="Arial" w:eastAsia="Arial" w:hAnsi="Arial"/>
          <w:sz w:val="17"/>
          <w:szCs w:val="17"/>
          <w:b w:val="1"/>
          <w:bCs w:val="1"/>
          <w:color w:val="auto"/>
        </w:rPr>
        <w:t>Registrant</w:t>
      </w:r>
      <w:r>
        <w:rPr>
          <w:rFonts w:ascii="Arial" w:cs="Arial" w:eastAsia="Arial" w:hAnsi="Arial"/>
          <w:sz w:val="17"/>
          <w:szCs w:val="17"/>
          <w:color w:val="auto"/>
        </w:rPr>
        <w:t>”) being registered hereunder, reference is made to the information set forth under the heading “Description of Capital Stock” contained in the Registrant’s registration statement on Form S-1 (File No. 333-249260), as initially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on October 2, 2020, as amended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Under the “Instructions as to Exhibits” section of Form 8-A, no exhibits are required to be filed because no other securities of the Registrant are to be registered on The Nasdaq Stock Market LLC and the securities to be registered hereby are not being registered pursuant to Section 12(g) of the Securities Exchange Act of 1934, as amended.</w:t>
      </w:r>
    </w:p>
    <w:p>
      <w:pPr>
        <w:sectPr>
          <w:pgSz w:w="11900" w:h="16838" w:orient="portrait"/>
          <w:cols w:equalWidth="0" w:num="1">
            <w:col w:w="11000"/>
          </w:cols>
          <w:pgMar w:left="440" w:top="270"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October 23, 2020</w:t>
      </w:r>
      <w:r>
        <w:rPr>
          <w:sz w:val="20"/>
          <w:szCs w:val="20"/>
          <w:color w:val="auto"/>
        </w:rPr>
        <w:tab/>
      </w:r>
      <w:r>
        <w:rPr>
          <w:rFonts w:ascii="Arial" w:cs="Arial" w:eastAsia="Arial" w:hAnsi="Arial"/>
          <w:sz w:val="16"/>
          <w:szCs w:val="16"/>
          <w:b w:val="1"/>
          <w:bCs w:val="1"/>
          <w:color w:val="auto"/>
        </w:rPr>
        <w:t>Biodesix,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Scott Hutton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320"/>
      </w:cols>
      <w:pgMar w:left="440" w:top="27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2020-10-26T05:21:44Z</dcterms:created>
  <dcterms:modified xsi:type="dcterms:W3CDTF">2020-10-26T05:21:44Z</dcterms:modified>
</cp:coreProperties>
</file>