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May 26, 2021</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Biodesix,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20-3986492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836"/>
        <w:spacing w:after="0"/>
        <w:rPr>
          <w:sz w:val="20"/>
          <w:szCs w:val="20"/>
          <w:color w:val="auto"/>
        </w:rPr>
      </w:pPr>
      <w:r>
        <w:rPr>
          <w:rFonts w:ascii="Arial" w:cs="Arial" w:eastAsia="Arial" w:hAnsi="Arial"/>
          <w:sz w:val="16"/>
          <w:szCs w:val="16"/>
          <w:b w:val="1"/>
          <w:bCs w:val="1"/>
          <w:color w:val="auto"/>
        </w:rPr>
        <w:t>2970 Wilderness Place, Suite 100</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Boulder, Colorado</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80301</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3"/>
          <w:szCs w:val="13"/>
          <w:b w:val="1"/>
          <w:b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(303) 417-0500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of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BDSX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5.07—Submission of Matters to a Vote of Security Holders.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Biodesix, Inc. (the “Company”) held its 2021 annual meeting of stockholders (the “Annual Meeting”) on May 26, 2021. At the Annual Meeting, the Company’s stockholders voted on: (i) the election of two Class I director nominees to serve until the 2024 annual meeting of stockholders and until their respective successors are duly elected and qualify and (ii) the ratification of the appointment of KPMG LLP as the Company’s independent registered public accounting firm for the year ending December 31, 2021.</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April 26, 2021, the record date for the Annual Meeting, there were 26,858,322 shares of the Company’s common stock issued and outstanding and entitled to vote at the Annual Meeting. At the Annual Meeting, both director nominees were elected and the appointment of KPMG LLP as the Company’s independent registered public accounting firm for the year ending December 31, 2021 was ratified. Set forth below are the final voting results for the proposals submitted to a vote of the Company’s stockholders at the Annual Meeting.</w:t>
      </w:r>
    </w:p>
    <w:p>
      <w:pPr>
        <w:spacing w:after="0" w:line="92" w:lineRule="exact"/>
        <w:rPr>
          <w:sz w:val="20"/>
          <w:szCs w:val="20"/>
          <w:color w:val="auto"/>
        </w:rPr>
      </w:pPr>
    </w:p>
    <w:p>
      <w:pPr>
        <w:ind w:left="960" w:right="4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Annual Meeting, the Company’s stockholders elected, by the vote indicated below, the following two persons as the Class I directors of the Company, each to serve until the 2024 annual meeting of stockholders and until their respective successors are duly elected and qualify:</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gridSpan w:val="2"/>
          </w:tcPr>
          <w:p>
            <w:pPr>
              <w:ind w:left="680"/>
              <w:spacing w:after="0"/>
              <w:rPr>
                <w:sz w:val="20"/>
                <w:szCs w:val="20"/>
                <w:color w:val="auto"/>
              </w:rPr>
            </w:pPr>
            <w:r>
              <w:rPr>
                <w:rFonts w:ascii="Arial" w:cs="Arial" w:eastAsia="Arial" w:hAnsi="Arial"/>
                <w:sz w:val="14"/>
                <w:szCs w:val="14"/>
                <w:b w:val="1"/>
                <w:bCs w:val="1"/>
                <w:color w:val="auto"/>
              </w:rPr>
              <w:t>Votes For</w:t>
            </w:r>
          </w:p>
        </w:tc>
        <w:tc>
          <w:tcPr>
            <w:tcW w:w="2020" w:type="dxa"/>
            <w:vAlign w:val="bottom"/>
            <w:gridSpan w:val="2"/>
          </w:tcPr>
          <w:p>
            <w:pPr>
              <w:ind w:left="540"/>
              <w:spacing w:after="0"/>
              <w:rPr>
                <w:sz w:val="20"/>
                <w:szCs w:val="20"/>
                <w:color w:val="auto"/>
              </w:rPr>
            </w:pPr>
            <w:r>
              <w:rPr>
                <w:rFonts w:ascii="Arial" w:cs="Arial" w:eastAsia="Arial" w:hAnsi="Arial"/>
                <w:sz w:val="14"/>
                <w:szCs w:val="14"/>
                <w:b w:val="1"/>
                <w:bCs w:val="1"/>
                <w:color w:val="auto"/>
              </w:rPr>
              <w:t>Votes Against</w:t>
            </w:r>
          </w:p>
        </w:tc>
        <w:tc>
          <w:tcPr>
            <w:tcW w:w="2000" w:type="dxa"/>
            <w:vAlign w:val="bottom"/>
            <w:gridSpan w:val="2"/>
          </w:tcPr>
          <w:p>
            <w:pPr>
              <w:ind w:left="660"/>
              <w:spacing w:after="0"/>
              <w:rPr>
                <w:sz w:val="20"/>
                <w:szCs w:val="20"/>
                <w:color w:val="auto"/>
              </w:rPr>
            </w:pPr>
            <w:r>
              <w:rPr>
                <w:rFonts w:ascii="Arial" w:cs="Arial" w:eastAsia="Arial" w:hAnsi="Arial"/>
                <w:sz w:val="14"/>
                <w:szCs w:val="14"/>
                <w:b w:val="1"/>
                <w:bCs w:val="1"/>
                <w:color w:val="auto"/>
              </w:rPr>
              <w:t>Withheld</w:t>
            </w:r>
          </w:p>
        </w:tc>
        <w:tc>
          <w:tcPr>
            <w:tcW w:w="1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Broker Non-Votes</w:t>
            </w:r>
          </w:p>
        </w:tc>
      </w:tr>
      <w:tr>
        <w:trPr>
          <w:trHeight w:val="195"/>
        </w:trPr>
        <w:tc>
          <w:tcPr>
            <w:tcW w:w="20" w:type="dxa"/>
            <w:vAlign w:val="bottom"/>
          </w:tcPr>
          <w:p>
            <w:pPr>
              <w:spacing w:after="0"/>
              <w:rPr>
                <w:sz w:val="16"/>
                <w:szCs w:val="16"/>
                <w:color w:val="auto"/>
              </w:rPr>
            </w:pPr>
          </w:p>
        </w:tc>
        <w:tc>
          <w:tcPr>
            <w:tcW w:w="2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Hutton</w:t>
            </w:r>
          </w:p>
        </w:tc>
        <w:tc>
          <w:tcPr>
            <w:tcW w:w="100" w:type="dxa"/>
            <w:vAlign w:val="bottom"/>
          </w:tcPr>
          <w:p>
            <w:pPr>
              <w:spacing w:after="0"/>
              <w:rPr>
                <w:sz w:val="16"/>
                <w:szCs w:val="16"/>
                <w:color w:val="auto"/>
              </w:rPr>
            </w:pPr>
          </w:p>
        </w:tc>
        <w:tc>
          <w:tcPr>
            <w:tcW w:w="1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19,778,124</w:t>
            </w:r>
          </w:p>
        </w:tc>
        <w:tc>
          <w:tcPr>
            <w:tcW w:w="100" w:type="dxa"/>
            <w:vAlign w:val="bottom"/>
          </w:tcPr>
          <w:p>
            <w:pPr>
              <w:spacing w:after="0"/>
              <w:rPr>
                <w:sz w:val="16"/>
                <w:szCs w:val="16"/>
                <w:color w:val="auto"/>
              </w:rPr>
            </w:pPr>
          </w:p>
        </w:tc>
        <w:tc>
          <w:tcPr>
            <w:tcW w:w="1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1900" w:type="dxa"/>
            <w:vAlign w:val="bottom"/>
            <w:tcBorders>
              <w:top w:val="single" w:sz="8" w:color="auto"/>
            </w:tcBorders>
          </w:tcPr>
          <w:p>
            <w:pPr>
              <w:ind w:left="1320"/>
              <w:spacing w:after="0" w:line="195" w:lineRule="exact"/>
              <w:rPr>
                <w:sz w:val="20"/>
                <w:szCs w:val="20"/>
                <w:color w:val="auto"/>
              </w:rPr>
            </w:pPr>
            <w:r>
              <w:rPr>
                <w:rFonts w:ascii="Arial" w:cs="Arial" w:eastAsia="Arial" w:hAnsi="Arial"/>
                <w:sz w:val="18"/>
                <w:szCs w:val="18"/>
                <w:color w:val="auto"/>
                <w:w w:val="86"/>
              </w:rPr>
              <w:t>677,634</w:t>
            </w:r>
          </w:p>
        </w:tc>
        <w:tc>
          <w:tcPr>
            <w:tcW w:w="100" w:type="dxa"/>
            <w:vAlign w:val="bottom"/>
          </w:tcPr>
          <w:p>
            <w:pPr>
              <w:spacing w:after="0"/>
              <w:rPr>
                <w:sz w:val="16"/>
                <w:szCs w:val="16"/>
                <w:color w:val="auto"/>
              </w:rPr>
            </w:pPr>
          </w:p>
        </w:tc>
        <w:tc>
          <w:tcPr>
            <w:tcW w:w="1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827,910</w:t>
            </w:r>
          </w:p>
        </w:tc>
        <w:tc>
          <w:tcPr>
            <w:tcW w:w="20" w:type="dxa"/>
            <w:vAlign w:val="bottom"/>
          </w:tcPr>
          <w:p>
            <w:pPr>
              <w:spacing w:after="0"/>
              <w:rPr>
                <w:sz w:val="16"/>
                <w:szCs w:val="16"/>
                <w:color w:val="auto"/>
              </w:rPr>
            </w:pPr>
          </w:p>
        </w:tc>
      </w:t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John Patience</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19,746,345</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000" w:type="dxa"/>
            <w:vAlign w:val="bottom"/>
            <w:gridSpan w:val="2"/>
          </w:tcPr>
          <w:p>
            <w:pPr>
              <w:ind w:left="1320"/>
              <w:spacing w:after="0"/>
              <w:rPr>
                <w:sz w:val="20"/>
                <w:szCs w:val="20"/>
                <w:color w:val="auto"/>
              </w:rPr>
            </w:pPr>
            <w:r>
              <w:rPr>
                <w:rFonts w:ascii="Arial" w:cs="Arial" w:eastAsia="Arial" w:hAnsi="Arial"/>
                <w:sz w:val="18"/>
                <w:szCs w:val="18"/>
                <w:color w:val="auto"/>
              </w:rPr>
              <w:t>709,413</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827,910</w:t>
            </w:r>
          </w:p>
        </w:tc>
      </w:tr>
    </w:tbl>
    <w:p>
      <w:pPr>
        <w:spacing w:after="0" w:line="229" w:lineRule="exact"/>
        <w:rPr>
          <w:sz w:val="20"/>
          <w:szCs w:val="20"/>
          <w:color w:val="auto"/>
        </w:rPr>
      </w:pPr>
    </w:p>
    <w:p>
      <w:pPr>
        <w:ind w:left="960" w:right="72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Annual Meeting, the stockholders ratified the appointment of KPMG LLP as the Company’s independent registered public accounting firm for the year ending December 31, 2021, by the vote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60" w:type="dxa"/>
            <w:vAlign w:val="bottom"/>
            <w:gridSpan w:val="3"/>
          </w:tcPr>
          <w:p>
            <w:pPr>
              <w:ind w:left="340"/>
              <w:spacing w:after="0"/>
              <w:rPr>
                <w:sz w:val="20"/>
                <w:szCs w:val="20"/>
                <w:color w:val="auto"/>
              </w:rPr>
            </w:pPr>
            <w:r>
              <w:rPr>
                <w:rFonts w:ascii="Arial" w:cs="Arial" w:eastAsia="Arial" w:hAnsi="Arial"/>
                <w:sz w:val="14"/>
                <w:szCs w:val="14"/>
                <w:b w:val="1"/>
                <w:bCs w:val="1"/>
                <w:color w:val="auto"/>
              </w:rPr>
              <w:t>Votes For</w:t>
            </w:r>
          </w:p>
        </w:tc>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auto"/>
              </w:rPr>
              <w:t>Votes Against</w:t>
            </w:r>
          </w:p>
        </w:tc>
        <w:tc>
          <w:tcPr>
            <w:tcW w:w="2320" w:type="dxa"/>
            <w:vAlign w:val="bottom"/>
            <w:gridSpan w:val="2"/>
          </w:tcPr>
          <w:p>
            <w:pPr>
              <w:ind w:left="740"/>
              <w:spacing w:after="0"/>
              <w:rPr>
                <w:sz w:val="20"/>
                <w:szCs w:val="20"/>
                <w:color w:val="auto"/>
              </w:rPr>
            </w:pPr>
            <w:r>
              <w:rPr>
                <w:rFonts w:ascii="Arial" w:cs="Arial" w:eastAsia="Arial" w:hAnsi="Arial"/>
                <w:sz w:val="14"/>
                <w:szCs w:val="14"/>
                <w:b w:val="1"/>
                <w:bCs w:val="1"/>
                <w:color w:val="auto"/>
              </w:rPr>
              <w:t>Abstentions</w:t>
            </w:r>
          </w:p>
        </w:tc>
        <w:tc>
          <w:tcPr>
            <w:tcW w:w="2120" w:type="dxa"/>
            <w:vAlign w:val="bottom"/>
          </w:tcPr>
          <w:p>
            <w:pPr>
              <w:jc w:val="right"/>
              <w:ind w:right="439"/>
              <w:spacing w:after="0"/>
              <w:rPr>
                <w:sz w:val="20"/>
                <w:szCs w:val="20"/>
                <w:color w:val="auto"/>
              </w:rPr>
            </w:pPr>
            <w:r>
              <w:rPr>
                <w:rFonts w:ascii="Arial" w:cs="Arial" w:eastAsia="Arial" w:hAnsi="Arial"/>
                <w:sz w:val="14"/>
                <w:szCs w:val="14"/>
                <w:b w:val="1"/>
                <w:bCs w:val="1"/>
                <w:color w:val="auto"/>
              </w:rPr>
              <w:t>Broker Non-Votes</w:t>
            </w:r>
          </w:p>
        </w:tc>
        <w:tc>
          <w:tcPr>
            <w:tcW w:w="880" w:type="dxa"/>
            <w:vAlign w:val="bottom"/>
          </w:tcPr>
          <w:p>
            <w:pPr>
              <w:spacing w:after="0"/>
              <w:rPr>
                <w:sz w:val="16"/>
                <w:szCs w:val="16"/>
                <w:color w:val="auto"/>
              </w:rPr>
            </w:pPr>
          </w:p>
        </w:tc>
      </w:tr>
      <w:tr>
        <w:trPr>
          <w:trHeight w:val="224"/>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21,275,157</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9"/>
                <w:szCs w:val="19"/>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9"/>
                <w:szCs w:val="19"/>
                <w:color w:val="auto"/>
              </w:rPr>
            </w:pPr>
          </w:p>
        </w:tc>
      </w:tr>
      <w:tr>
        <w:trPr>
          <w:trHeight w:val="526"/>
        </w:trPr>
        <w:tc>
          <w:tcPr>
            <w:tcW w:w="3820" w:type="dxa"/>
            <w:vAlign w:val="bottom"/>
            <w:gridSpan w:val="6"/>
          </w:tcPr>
          <w:p>
            <w:pPr>
              <w:spacing w:after="0"/>
              <w:rPr>
                <w:sz w:val="20"/>
                <w:szCs w:val="20"/>
                <w:color w:val="auto"/>
              </w:rPr>
            </w:pPr>
            <w:r>
              <w:rPr>
                <w:rFonts w:ascii="Arial" w:cs="Arial" w:eastAsia="Arial" w:hAnsi="Arial"/>
                <w:sz w:val="18"/>
                <w:szCs w:val="18"/>
                <w:b w:val="1"/>
                <w:bCs w:val="1"/>
                <w:color w:val="auto"/>
                <w:w w:val="96"/>
              </w:rPr>
              <w:t>Item 9.01—Financial Statements and Exhibits.</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9"/>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8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Cover Page Interactive File (the cover page tags are embedded within the Inline XBRL document).</w:t>
            </w: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500" w:type="dxa"/>
            <w:vAlign w:val="bottom"/>
            <w:gridSpan w:val="2"/>
          </w:tcPr>
          <w:p>
            <w:pPr>
              <w:ind w:left="2020"/>
              <w:spacing w:after="0"/>
              <w:rPr>
                <w:sz w:val="20"/>
                <w:szCs w:val="20"/>
                <w:color w:val="auto"/>
              </w:rPr>
            </w:pPr>
            <w:r>
              <w:rPr>
                <w:rFonts w:ascii="Arial" w:cs="Arial" w:eastAsia="Arial" w:hAnsi="Arial"/>
                <w:sz w:val="18"/>
                <w:szCs w:val="18"/>
                <w:b w:val="1"/>
                <w:bCs w:val="1"/>
                <w:color w:val="auto"/>
              </w:rPr>
              <w:t>BIODESIX,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Dated: May 27, 2021</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209"/>
        </w:trPr>
        <w:tc>
          <w:tcPr>
            <w:tcW w:w="352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Robin Harper Cowie</w:t>
            </w:r>
          </w:p>
        </w:tc>
      </w:tr>
      <w:tr>
        <w:trPr>
          <w:trHeight w:val="230"/>
        </w:trPr>
        <w:tc>
          <w:tcPr>
            <w:tcW w:w="352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2021-05-27T19:22:17Z</dcterms:created>
  <dcterms:modified xsi:type="dcterms:W3CDTF">2021-05-27T19:22:17Z</dcterms:modified>
</cp:coreProperties>
</file>