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Watts Charles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BIODESIX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BDSX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2970 WILDERNESS PLACE,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BOULDER CO</w:t>
            </w:r>
          </w:p>
        </w:tc>
        <w:tc>
          <w:tcPr>
            <w:tcW w:w="880" w:type="dxa"/>
            <w:vAlign w:val="bottom"/>
          </w:tcPr>
          <w:p>
            <w:pPr>
              <w:jc w:val="right"/>
              <w:spacing w:after="0"/>
              <w:rPr>
                <w:sz w:val="20"/>
                <w:szCs w:val="20"/>
                <w:color w:val="auto"/>
              </w:rPr>
            </w:pPr>
            <w:r>
              <w:rPr>
                <w:rFonts w:ascii="Arial" w:cs="Arial" w:eastAsia="Arial" w:hAnsi="Arial"/>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04/14/2030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35,158</w:t>
            </w:r>
          </w:p>
        </w:tc>
        <w:tc>
          <w:tcPr>
            <w:tcW w:w="980" w:type="dxa"/>
            <w:vAlign w:val="bottom"/>
          </w:tcPr>
          <w:p>
            <w:pPr>
              <w:ind w:left="320"/>
              <w:spacing w:after="0"/>
              <w:rPr>
                <w:sz w:val="20"/>
                <w:szCs w:val="20"/>
                <w:color w:val="auto"/>
              </w:rPr>
            </w:pPr>
            <w:r>
              <w:rPr>
                <w:rFonts w:ascii="Arial" w:cs="Arial" w:eastAsia="Arial" w:hAnsi="Arial"/>
                <w:sz w:val="20"/>
                <w:szCs w:val="20"/>
                <w:color w:val="0000FF"/>
              </w:rPr>
              <w:t>6.83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07/15/2029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26,368</w:t>
            </w:r>
          </w:p>
        </w:tc>
        <w:tc>
          <w:tcPr>
            <w:tcW w:w="980" w:type="dxa"/>
            <w:vAlign w:val="bottom"/>
          </w:tcPr>
          <w:p>
            <w:pPr>
              <w:ind w:left="320"/>
              <w:spacing w:after="0"/>
              <w:rPr>
                <w:sz w:val="20"/>
                <w:szCs w:val="20"/>
                <w:color w:val="auto"/>
              </w:rPr>
            </w:pPr>
            <w:r>
              <w:rPr>
                <w:rFonts w:ascii="Arial" w:cs="Arial" w:eastAsia="Arial" w:hAnsi="Arial"/>
                <w:sz w:val="20"/>
                <w:szCs w:val="20"/>
                <w:color w:val="0000FF"/>
              </w:rPr>
              <w:t>6.83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ind w:left="420"/>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07/15/2029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26,368</w:t>
            </w:r>
          </w:p>
        </w:tc>
        <w:tc>
          <w:tcPr>
            <w:tcW w:w="980" w:type="dxa"/>
            <w:vAlign w:val="bottom"/>
          </w:tcPr>
          <w:p>
            <w:pPr>
              <w:ind w:left="320"/>
              <w:spacing w:after="0"/>
              <w:rPr>
                <w:sz w:val="20"/>
                <w:szCs w:val="20"/>
                <w:color w:val="auto"/>
              </w:rPr>
            </w:pPr>
            <w:r>
              <w:rPr>
                <w:rFonts w:ascii="Arial" w:cs="Arial" w:eastAsia="Arial" w:hAnsi="Arial"/>
                <w:sz w:val="20"/>
                <w:szCs w:val="20"/>
                <w:color w:val="0000FF"/>
              </w:rPr>
              <w:t>6.83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-894715</wp:posOffset>
            </wp:positionV>
            <wp:extent cx="6927850" cy="74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743585"/>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in 12 successive, equal monthly installments measured from April 1,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in 12 successive, equal monthly installments measured from July 1, 2019.</w:t>
      </w:r>
    </w:p>
    <w:p>
      <w:pPr>
        <w:spacing w:after="0" w:line="52"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restricted stock unit ("RSU") represents a contingent right to receive one share of Issuer Common Stock ("Common Stock"). These RSUs vest 40% on July 1, 2021, and the remaining 60% in 36 successive, equal monthly installments measured from July 1, 2021.</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8"/>
              </w:rPr>
              <w:t>/s/ Robin H. Cowie as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10/27/2020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4"/>
              </w:rPr>
              <w:t>Charles Watts</w:t>
            </w:r>
          </w:p>
        </w:tc>
        <w:tc>
          <w:tcPr>
            <w:tcW w:w="500" w:type="dxa"/>
            <w:vAlign w:val="bottom"/>
            <w:tcBorders>
              <w:top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Scott Hutton, David Poticha and Robin Harper Cowie, or any of them acting individually, and with full power of substitution, the undersigned's true and lawful attorney-in-fact to:</w:t>
      </w:r>
    </w:p>
    <w:p>
      <w:pPr>
        <w:spacing w:after="0" w:line="231" w:lineRule="exact"/>
        <w:rPr>
          <w:sz w:val="20"/>
          <w:szCs w:val="20"/>
          <w:color w:val="auto"/>
        </w:rPr>
      </w:pPr>
    </w:p>
    <w:p>
      <w:pPr>
        <w:ind w:left="1520" w:right="61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209" w:lineRule="exact"/>
        <w:rPr>
          <w:rFonts w:ascii="Courier New" w:cs="Courier New" w:eastAsia="Courier New" w:hAnsi="Courier New"/>
          <w:sz w:val="18"/>
          <w:szCs w:val="18"/>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4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233"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Charles Watts</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7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Charles Watts</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78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1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723751"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2020-10-27T19:57:18Z</dcterms:created>
  <dcterms:modified xsi:type="dcterms:W3CDTF">2020-10-27T19:57:18Z</dcterms:modified>
</cp:coreProperties>
</file>