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333-249260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PROSPECTUS</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182245</wp:posOffset>
            </wp:positionV>
            <wp:extent cx="199707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Biodesix, Inc. is offering 4,000,000 shares of its common stock. This is our initial public offering and no public market currently exists for our shares of common stock. The initial public offering price is $18.00 per share.</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approved for listing of our common stock on The Nasdaq Global Market under the symbol “BDSX.”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242570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16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We are an “emerging growth company” as defined under the federal securities laws. Investing in our common stock involves risks. See “</w:t>
      </w:r>
      <w:hyperlink w:anchor="page18">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199390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18.00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243840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Discounts</w:t>
            </w: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Proceeds to</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22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i w:val="1"/>
                <w:iCs w:val="1"/>
                <w:color w:val="auto"/>
              </w:rPr>
              <w:t>Price to Public</w:t>
            </w:r>
          </w:p>
        </w:tc>
        <w:tc>
          <w:tcPr>
            <w:tcW w:w="44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and</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w:t>
            </w:r>
          </w:p>
        </w:tc>
        <w:tc>
          <w:tcPr>
            <w:tcW w:w="4220" w:type="dxa"/>
            <w:vAlign w:val="bottom"/>
            <w:gridSpan w:val="3"/>
            <w:vMerge w:val="continue"/>
          </w:tcPr>
          <w:p>
            <w:pPr>
              <w:spacing w:after="0"/>
              <w:rPr>
                <w:sz w:val="15"/>
                <w:szCs w:val="15"/>
                <w:color w:val="auto"/>
              </w:rPr>
            </w:pPr>
          </w:p>
        </w:tc>
        <w:tc>
          <w:tcPr>
            <w:tcW w:w="2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Commissions</w:t>
            </w:r>
            <w:r>
              <w:rPr>
                <w:rFonts w:ascii="Times New Roman" w:cs="Times New Roman" w:eastAsia="Times New Roman" w:hAnsi="Times New Roman"/>
                <w:sz w:val="12"/>
                <w:szCs w:val="12"/>
                <w:b w:val="1"/>
                <w:bCs w:val="1"/>
                <w:i w:val="1"/>
                <w:iCs w:val="1"/>
                <w:color w:val="auto"/>
              </w:rPr>
              <w:t>(1)</w:t>
            </w:r>
          </w:p>
        </w:tc>
        <w:tc>
          <w:tcPr>
            <w:tcW w:w="5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i w:val="1"/>
                <w:iCs w:val="1"/>
                <w:color w:val="auto"/>
              </w:rPr>
              <w:t>Biodesix</w:t>
            </w: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2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500" w:type="dxa"/>
            <w:vAlign w:val="bottom"/>
            <w:gridSpan w:val="2"/>
          </w:tcPr>
          <w:p>
            <w:pPr>
              <w:jc w:val="right"/>
              <w:ind w:right="440"/>
              <w:spacing w:after="0" w:line="189" w:lineRule="exact"/>
              <w:rPr>
                <w:sz w:val="20"/>
                <w:szCs w:val="20"/>
                <w:color w:val="auto"/>
              </w:rPr>
            </w:pPr>
            <w:r>
              <w:rPr>
                <w:rFonts w:ascii="Times New Roman" w:cs="Times New Roman" w:eastAsia="Times New Roman" w:hAnsi="Times New Roman"/>
                <w:sz w:val="18"/>
                <w:szCs w:val="18"/>
                <w:i w:val="1"/>
                <w:iCs w:val="1"/>
                <w:color w:val="auto"/>
              </w:rPr>
              <w:t>$18.00</w:t>
            </w:r>
          </w:p>
        </w:tc>
        <w:tc>
          <w:tcPr>
            <w:tcW w:w="440" w:type="dxa"/>
            <w:vAlign w:val="bottom"/>
            <w:vMerge w:val="continue"/>
          </w:tcPr>
          <w:p>
            <w:pPr>
              <w:spacing w:after="0"/>
              <w:rPr>
                <w:sz w:val="16"/>
                <w:szCs w:val="16"/>
                <w:color w:val="auto"/>
              </w:rPr>
            </w:pPr>
          </w:p>
        </w:tc>
        <w:tc>
          <w:tcPr>
            <w:tcW w:w="160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i w:val="1"/>
                <w:iCs w:val="1"/>
                <w:color w:val="auto"/>
              </w:rPr>
              <w:t>$1.26</w:t>
            </w:r>
          </w:p>
        </w:tc>
        <w:tc>
          <w:tcPr>
            <w:tcW w:w="500" w:type="dxa"/>
            <w:vAlign w:val="bottom"/>
            <w:vMerge w:val="continue"/>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rPr>
              <w:t>$16.74</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4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$72,000,000</w:t>
            </w:r>
          </w:p>
        </w:tc>
        <w:tc>
          <w:tcPr>
            <w:tcW w:w="2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$5,040,000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$66,960,000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4"/>
          <w:szCs w:val="24"/>
          <w:color w:val="auto"/>
        </w:rPr>
      </w:pPr>
    </w:p>
    <w:p>
      <w:pPr>
        <w:ind w:left="460" w:right="980" w:hanging="452"/>
        <w:spacing w:after="0" w:line="284" w:lineRule="auto"/>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agreed to reimburse the underwriters for certain FINRA-related expenses. See “Underwriters” for a detailed description of the compensation payable to the underwriters.</w:t>
      </w:r>
    </w:p>
    <w:p>
      <w:pPr>
        <w:spacing w:after="0" w:line="158" w:lineRule="exact"/>
        <w:rPr>
          <w:sz w:val="24"/>
          <w:szCs w:val="24"/>
          <w:color w:val="auto"/>
        </w:rPr>
      </w:pPr>
    </w:p>
    <w:p>
      <w:pPr>
        <w:jc w:val="both"/>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to purchase up to an additional 600,000 shares of common stock to cover over-allotments at the initial public offering price less underwriting discounts and commissions.</w:t>
      </w:r>
    </w:p>
    <w:p>
      <w:pPr>
        <w:spacing w:after="0" w:line="158" w:lineRule="exact"/>
        <w:rPr>
          <w:sz w:val="24"/>
          <w:szCs w:val="24"/>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At our request, in addition to the directed share program described in this prospectus, the underwriters have reserved for sale at the initial public offering price per share approximately 824,000 shares of common stock in this offering to certain individuals, including directors, existing stockholders and other persons associated with us.</w:t>
      </w:r>
    </w:p>
    <w:p>
      <w:pPr>
        <w:spacing w:after="0" w:line="173" w:lineRule="exact"/>
        <w:rPr>
          <w:sz w:val="24"/>
          <w:szCs w:val="24"/>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to purchasers on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241300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520"/>
        <w:spacing w:after="0"/>
        <w:tabs>
          <w:tab w:leader="none" w:pos="7440" w:val="left"/>
        </w:tabs>
        <w:rPr>
          <w:sz w:val="20"/>
          <w:szCs w:val="20"/>
          <w:color w:val="auto"/>
        </w:rPr>
      </w:pPr>
      <w:r>
        <w:rPr>
          <w:rFonts w:ascii="Times New Roman" w:cs="Times New Roman" w:eastAsia="Times New Roman" w:hAnsi="Times New Roman"/>
          <w:sz w:val="32"/>
          <w:szCs w:val="32"/>
          <w:i w:val="1"/>
          <w:iCs w:val="1"/>
          <w:color w:val="auto"/>
        </w:rPr>
        <w:t>MORGAN STANLEY</w:t>
      </w:r>
      <w:r>
        <w:rPr>
          <w:sz w:val="20"/>
          <w:szCs w:val="20"/>
          <w:color w:val="auto"/>
        </w:rPr>
        <w:tab/>
      </w:r>
      <w:r>
        <w:rPr>
          <w:rFonts w:ascii="Times New Roman" w:cs="Times New Roman" w:eastAsia="Times New Roman" w:hAnsi="Times New Roman"/>
          <w:sz w:val="32"/>
          <w:szCs w:val="32"/>
          <w:i w:val="1"/>
          <w:iCs w:val="1"/>
          <w:color w:val="auto"/>
        </w:rPr>
        <w:t>WILLIAM BLAIR</w:t>
      </w:r>
    </w:p>
    <w:p>
      <w:pPr>
        <w:spacing w:after="0" w:line="222" w:lineRule="exact"/>
        <w:rPr>
          <w:sz w:val="24"/>
          <w:szCs w:val="24"/>
          <w:color w:val="auto"/>
        </w:rPr>
      </w:pPr>
    </w:p>
    <w:p>
      <w:pPr>
        <w:ind w:left="1380"/>
        <w:spacing w:after="0"/>
        <w:tabs>
          <w:tab w:leader="none" w:pos="8260" w:val="left"/>
        </w:tabs>
        <w:rPr>
          <w:sz w:val="20"/>
          <w:szCs w:val="20"/>
          <w:color w:val="auto"/>
        </w:rPr>
      </w:pPr>
      <w:r>
        <w:rPr>
          <w:rFonts w:ascii="Times New Roman" w:cs="Times New Roman" w:eastAsia="Times New Roman" w:hAnsi="Times New Roman"/>
          <w:sz w:val="29"/>
          <w:szCs w:val="29"/>
          <w:i w:val="1"/>
          <w:iCs w:val="1"/>
          <w:color w:val="auto"/>
        </w:rPr>
        <w:t>CANACCORD GENUITY</w:t>
      </w:r>
      <w:r>
        <w:rPr>
          <w:sz w:val="20"/>
          <w:szCs w:val="20"/>
          <w:color w:val="auto"/>
        </w:rPr>
        <w:tab/>
      </w:r>
      <w:r>
        <w:rPr>
          <w:rFonts w:ascii="Times New Roman" w:cs="Times New Roman" w:eastAsia="Times New Roman" w:hAnsi="Times New Roman"/>
          <w:sz w:val="28"/>
          <w:szCs w:val="28"/>
          <w:i w:val="1"/>
          <w:iCs w:val="1"/>
          <w:color w:val="auto"/>
        </w:rPr>
        <w:t>BTIG</w:t>
      </w:r>
    </w:p>
    <w:p>
      <w:pPr>
        <w:sectPr>
          <w:pgSz w:w="11900" w:h="16838" w:orient="portrait"/>
          <w:cols w:equalWidth="0" w:num="1">
            <w:col w:w="11240"/>
          </w:cols>
          <w:pgMar w:left="320" w:top="226" w:right="339" w:bottom="1440" w:gutter="0" w:footer="0" w:header="0"/>
        </w:sect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27, 2020</w:t>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215265</wp:posOffset>
            </wp:positionV>
            <wp:extent cx="5366385" cy="6943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40"/>
          </w:cols>
          <w:pgMar w:left="320" w:top="455" w:right="339" w:bottom="1440" w:gutter="0" w:footer="0" w:header="0"/>
        </w:sect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80" w:type="dxa"/>
            <w:vAlign w:val="bottom"/>
            <w:gridSpan w:val="8"/>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4"/>
        </w:trPr>
        <w:tc>
          <w:tcPr>
            <w:tcW w:w="4980" w:type="dxa"/>
            <w:vAlign w:val="bottom"/>
            <w:gridSpan w:val="8"/>
          </w:tcPr>
          <w:p>
            <w:pPr>
              <w:spacing w:after="0" w:line="194"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w:anchor="page87">
              <w:r>
                <w:rPr>
                  <w:rFonts w:ascii="Times New Roman" w:cs="Times New Roman" w:eastAsia="Times New Roman" w:hAnsi="Times New Roman"/>
                  <w:sz w:val="18"/>
                  <w:szCs w:val="18"/>
                  <w:color w:val="0000EE"/>
                  <w:w w:val="98"/>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7">
              <w:r>
                <w:rPr>
                  <w:rFonts w:ascii="Times New Roman" w:cs="Times New Roman" w:eastAsia="Times New Roman" w:hAnsi="Times New Roman"/>
                  <w:sz w:val="18"/>
                  <w:szCs w:val="18"/>
                  <w:color w:val="0000EE"/>
                  <w:w w:val="87"/>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7"/>
            <w:vMerge w:val="restart"/>
          </w:tcPr>
          <w:p>
            <w:pPr>
              <w:spacing w:after="0"/>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87">
              <w:r>
                <w:rPr>
                  <w:rFonts w:ascii="Times New Roman" w:cs="Times New Roman" w:eastAsia="Times New Roman" w:hAnsi="Times New Roman"/>
                  <w:sz w:val="18"/>
                  <w:szCs w:val="18"/>
                  <w:color w:val="0000EE"/>
                  <w:w w:val="99"/>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194"/>
        </w:trPr>
        <w:tc>
          <w:tcPr>
            <w:tcW w:w="5100" w:type="dxa"/>
            <w:vAlign w:val="bottom"/>
            <w:gridSpan w:val="7"/>
          </w:tcPr>
          <w:p>
            <w:pPr>
              <w:spacing w:after="0" w:line="194" w:lineRule="exact"/>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4"/>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500"/>
          </w:cols>
          <w:pgMar w:left="320" w:top="45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72"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Until November 21,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55"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6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87"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the number and percentages of shares of our common stock outstanding following the completion of this offering:</w:t>
      </w:r>
    </w:p>
    <w:p>
      <w:pPr>
        <w:spacing w:after="0" w:line="67" w:lineRule="exact"/>
        <w:rPr>
          <w:sz w:val="20"/>
          <w:szCs w:val="20"/>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initial public offering price of $18.00 per share of common stock;</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conversion of all outstanding shares of our preferred stock into an aggregate of 20,090,745 shares of common stock immediately upon the closing of this offering;</w:t>
      </w:r>
    </w:p>
    <w:p>
      <w:pPr>
        <w:spacing w:after="0" w:line="67"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conversion of all convertible debt into an aggregate of 1,848,280 shares of common stock immediately upon the closing of this offering, based on interest accrued through October 15, 2020 and the initial public offering price of $18.00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options or warrants described in this prospectus;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0.1684664-for-1 reverse stock split, which became effective October 19, 2020.</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80"/>
          </w:cols>
          <w:pgMar w:left="320" w:top="455"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80" w:firstLine="449"/>
        <w:spacing w:after="0" w:line="274" w:lineRule="auto"/>
        <w:rPr>
          <w:sz w:val="20"/>
          <w:szCs w:val="20"/>
          <w:color w:val="auto"/>
        </w:rPr>
      </w:pPr>
      <w:r>
        <w:rPr>
          <w:rFonts w:ascii="Times New Roman" w:cs="Times New Roman" w:eastAsia="Times New Roman" w:hAnsi="Times New Roman"/>
          <w:sz w:val="17"/>
          <w:szCs w:val="17"/>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7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“Biodesix,” the Biodesix logo and other trademarks or service marks of Biodesix appearing in this prospectus such as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left="200" w:right="500" w:firstLine="434"/>
        <w:spacing w:after="0" w:line="28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four diagnostic blood-based tests across the lung cancer continuum of care.</w:t>
      </w:r>
    </w:p>
    <w:p>
      <w:pPr>
        <w:spacing w:after="0" w:line="128" w:lineRule="exact"/>
        <w:rPr>
          <w:sz w:val="20"/>
          <w:szCs w:val="20"/>
          <w:color w:val="auto"/>
        </w:rPr>
      </w:pPr>
    </w:p>
    <w:p>
      <w:pPr>
        <w:ind w:left="1160" w:right="20" w:hanging="534"/>
        <w:spacing w:after="0" w:line="26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XL2</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CDT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Nodify Lung</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strategy, assess the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6" w:lineRule="exact"/>
        <w:rPr>
          <w:rFonts w:ascii="Times New Roman" w:cs="Times New Roman" w:eastAsia="Times New Roman" w:hAnsi="Times New Roman"/>
          <w:sz w:val="18"/>
          <w:szCs w:val="18"/>
          <w:color w:val="auto"/>
        </w:rPr>
      </w:pPr>
    </w:p>
    <w:p>
      <w:pPr>
        <w:ind w:left="1160" w:right="200" w:hanging="534"/>
        <w:spacing w:after="0" w:line="285"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Biodesix Lung Reflex</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measure the presence of mutations in the tumor and the state</w:t>
      </w: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320" w:top="455" w:right="5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99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6" w:lineRule="auto"/>
        <w:rPr>
          <w:sz w:val="20"/>
          <w:szCs w:val="20"/>
          <w:color w:val="auto"/>
        </w:rPr>
      </w:pPr>
      <w:r>
        <w:rPr>
          <w:rFonts w:ascii="Times New Roman" w:cs="Times New Roman" w:eastAsia="Times New Roman" w:hAnsi="Times New Roman"/>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76" w:lineRule="exact"/>
        <w:rPr>
          <w:sz w:val="20"/>
          <w:szCs w:val="20"/>
          <w:color w:val="auto"/>
        </w:rPr>
      </w:pPr>
    </w:p>
    <w:p>
      <w:pPr>
        <w:jc w:val="both"/>
        <w:ind w:left="200" w:right="60" w:firstLine="434"/>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Both diagnostic tests are owned and were developed by Bio-Rad and Bio-Rad has granted us permission to utilize both tests for commercial diagnostic services.</w:t>
      </w:r>
    </w:p>
    <w:p>
      <w:pPr>
        <w:spacing w:after="0" w:line="3" w:lineRule="exact"/>
        <w:rPr>
          <w:sz w:val="20"/>
          <w:szCs w:val="20"/>
          <w:color w:val="auto"/>
        </w:rPr>
      </w:pPr>
    </w:p>
    <w:p>
      <w:pPr>
        <w:ind w:left="200" w:right="140"/>
        <w:spacing w:after="0" w:line="251" w:lineRule="auto"/>
        <w:rPr>
          <w:sz w:val="20"/>
          <w:szCs w:val="20"/>
          <w:color w:val="auto"/>
        </w:rPr>
      </w:pPr>
      <w:r>
        <w:rPr>
          <w:rFonts w:ascii="Times New Roman" w:cs="Times New Roman" w:eastAsia="Times New Roman" w:hAnsi="Times New Roman"/>
          <w:sz w:val="18"/>
          <w:szCs w:val="18"/>
          <w:color w:val="auto"/>
        </w:rPr>
        <w:t>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 will remain in place. Using the Bio-Rad SARS-CoV-2 ddPCR test and the Platelia SARS-CoV-2 Total Ab tests, we operate and have commercialized the Biodesix WorkSafe testing program.</w:t>
      </w:r>
    </w:p>
    <w:p>
      <w:pPr>
        <w:spacing w:after="0" w:line="192"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left="200" w:right="20" w:firstLine="434"/>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245,000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0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Biomarker Discovery &amp; Companion Diagnostics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664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(ddPCR), next generation sequencing (NGS), liquid chromatography mass spectrometry (LC-MS), enzyme-linked immunosorbent assay (ELISA), and our proprietary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extensively validated deep learning platform, which is tailored to discover clinical diagnostics that address clinical unmet needs;</w:t>
      </w:r>
    </w:p>
    <w:p>
      <w:pPr>
        <w:spacing w:after="0" w:line="67" w:lineRule="exact"/>
        <w:rPr>
          <w:rFonts w:ascii="Times New Roman" w:cs="Times New Roman" w:eastAsia="Times New Roman" w:hAnsi="Times New Roman"/>
          <w:sz w:val="18"/>
          <w:szCs w:val="18"/>
          <w:color w:val="auto"/>
        </w:rPr>
      </w:pPr>
    </w:p>
    <w:p>
      <w:pPr>
        <w:ind w:left="1160" w:right="20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approach to precision medicine combined with our data biobank, which enables us to accelerate development of new tests;</w:t>
      </w:r>
    </w:p>
    <w:p>
      <w:pPr>
        <w:spacing w:after="0" w:line="67" w:lineRule="exact"/>
        <w:rPr>
          <w:rFonts w:ascii="Times New Roman" w:cs="Times New Roman" w:eastAsia="Times New Roman" w:hAnsi="Times New Roman"/>
          <w:sz w:val="18"/>
          <w:szCs w:val="18"/>
          <w:color w:val="auto"/>
        </w:rPr>
      </w:pPr>
    </w:p>
    <w:p>
      <w:pPr>
        <w:ind w:left="1160" w:right="36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demonstrated research, development, and scientific expertise, combined with our intellectual property portfolio;</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demonstrated success commercializing diagnostic tests across a broad continuum of care in lung disease;</w:t>
      </w:r>
    </w:p>
    <w:p>
      <w:pPr>
        <w:spacing w:after="0" w:line="130" w:lineRule="exact"/>
        <w:rPr>
          <w:rFonts w:ascii="Times New Roman" w:cs="Times New Roman" w:eastAsia="Times New Roman" w:hAnsi="Times New Roman"/>
          <w:sz w:val="18"/>
          <w:szCs w:val="18"/>
          <w:color w:val="auto"/>
        </w:rPr>
      </w:pPr>
    </w:p>
    <w:p>
      <w:pPr>
        <w:ind w:left="1160" w:right="8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depth and breadth of point of care access to physicians allows us to drive adoption of our diagnostic tests while incorporating real-life feedback to inform new product development; and</w:t>
      </w:r>
    </w:p>
    <w:p>
      <w:pPr>
        <w:spacing w:after="0" w:line="67" w:lineRule="exact"/>
        <w:rPr>
          <w:rFonts w:ascii="Times New Roman" w:cs="Times New Roman" w:eastAsia="Times New Roman" w:hAnsi="Times New Roman"/>
          <w:sz w:val="18"/>
          <w:szCs w:val="18"/>
          <w:color w:val="auto"/>
        </w:rPr>
      </w:pPr>
    </w:p>
    <w:p>
      <w:pPr>
        <w:ind w:left="1160" w:right="700" w:hanging="534"/>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infrastructure, which is built on extensive knowledge and experience in sales, marketing, reimbursement, and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120" w:firstLine="434"/>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7" w:lineRule="exact"/>
        <w:rPr>
          <w:sz w:val="20"/>
          <w:szCs w:val="20"/>
          <w:color w:val="auto"/>
        </w:rPr>
      </w:pPr>
    </w:p>
    <w:p>
      <w:pPr>
        <w:ind w:left="1160" w:hanging="53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awareness, adoption, and reimbursement coverage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4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diagnostic tests in lung disease;</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the clinical utility and economic benefits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proprietary AI platform and expand our technology portfolio;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Preliminary Results for Third Quarter 2020</w:t>
      </w:r>
    </w:p>
    <w:p>
      <w:pPr>
        <w:spacing w:after="0" w:line="121" w:lineRule="exact"/>
        <w:rPr>
          <w:sz w:val="20"/>
          <w:szCs w:val="20"/>
          <w:color w:val="auto"/>
        </w:rPr>
      </w:pPr>
    </w:p>
    <w:p>
      <w:pPr>
        <w:ind w:left="200" w:right="220" w:firstLine="434"/>
        <w:spacing w:after="0" w:line="261" w:lineRule="auto"/>
        <w:rPr>
          <w:sz w:val="20"/>
          <w:szCs w:val="20"/>
          <w:color w:val="auto"/>
        </w:rPr>
      </w:pPr>
      <w:r>
        <w:rPr>
          <w:rFonts w:ascii="Times New Roman" w:cs="Times New Roman" w:eastAsia="Times New Roman" w:hAnsi="Times New Roman"/>
          <w:sz w:val="18"/>
          <w:szCs w:val="18"/>
          <w:color w:val="auto"/>
        </w:rPr>
        <w:t>The following presents our preliminary unaudited estimates of our revenues, operating expenses and net loss for the three months and nine months ended September 30, 2020, our actual unaudited revenues, operating expenses and net loss for the three months and nine months ended September 30, 2019, and our unaudited estimate for cash and cash equivalents as of September 30, 2020. Our financial statements as of, and for the three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7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months and nine months ended, September 30, 2020 are not yet available and are subject to completion of our financial closing procedures. The following information reflects our preliminary estimates based on currently available information and is subject to change as we complete our quarter end procedures. We have provided ranges, rather than specific amounts, for revenues, operating expenses and net loss for the periods described below primarily because we are still in the process of finalizing our financial results as of, and for the three months and nine months ended, September 30, 2020. Our final actual reported results may vary from these preliminary estimates and may not be indicative of our final reported financial results for these periods or for the remainder of 2020.</w:t>
      </w:r>
    </w:p>
    <w:p>
      <w:pPr>
        <w:spacing w:after="0" w:line="93" w:lineRule="exact"/>
        <w:rPr>
          <w:sz w:val="20"/>
          <w:szCs w:val="20"/>
          <w:color w:val="auto"/>
        </w:rPr>
      </w:pPr>
    </w:p>
    <w:p>
      <w:pPr>
        <w:ind w:left="1160" w:right="20" w:hanging="534"/>
        <w:spacing w:after="0" w:line="25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2020, we estimate that we generated total revenue of $8.7 million to $9.2 million compared to $3.9 million for the three months ended September 30, 2019. For the three months ended September 30, 2020, our diagnostic test revenue comprised an estimated 93% of our total revenues and services revenue comprised an estimated 7% of our total revenues compared to 96% and 4%, respectively, for the three months ended September 30, 2019. COVID-19 diagnostic testing revenue comprised $5.3 million to $5.6 million of our diagnostic test revenue for the three months ended September 30, 2020. We had cash and cash equivalents of $6.5 million as of September 30, 2020.</w:t>
      </w:r>
    </w:p>
    <w:p>
      <w:pPr>
        <w:spacing w:after="0" w:line="92" w:lineRule="exact"/>
        <w:rPr>
          <w:rFonts w:ascii="Times New Roman" w:cs="Times New Roman" w:eastAsia="Times New Roman" w:hAnsi="Times New Roman"/>
          <w:sz w:val="18"/>
          <w:szCs w:val="18"/>
          <w:color w:val="auto"/>
        </w:rPr>
      </w:pPr>
    </w:p>
    <w:p>
      <w:pPr>
        <w:ind w:left="1160" w:right="60" w:hanging="534"/>
        <w:spacing w:after="0" w:line="258"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we estimate that we generated total revenue of $18.1 million to $18.5 million compared to $16.3 million for the nine months ended September 30, 2019. For the nine months ended September 30, 2020, our diagnostic test revenue comprised an estimated 85% of our total revenues and services revenue comprised an estimated 15% of our total revenues compared to 78% and 22%, respectively, for the nine months ended September 30, 2019. COVID-19 diagnostic testing revenue comprised $6.6 million to $6.9 million of our diagnostic test revenue for the nine months ended September 30, 2020.</w:t>
      </w:r>
    </w:p>
    <w:p>
      <w:pPr>
        <w:spacing w:after="0" w:line="183" w:lineRule="exact"/>
        <w:rPr>
          <w:sz w:val="20"/>
          <w:szCs w:val="20"/>
          <w:color w:val="auto"/>
        </w:rPr>
      </w:pPr>
    </w:p>
    <w:p>
      <w:pPr>
        <w:ind w:left="200" w:right="100" w:firstLine="434"/>
        <w:spacing w:after="0" w:line="255" w:lineRule="auto"/>
        <w:rPr>
          <w:sz w:val="20"/>
          <w:szCs w:val="20"/>
          <w:color w:val="auto"/>
        </w:rPr>
      </w:pPr>
      <w:r>
        <w:rPr>
          <w:rFonts w:ascii="Times New Roman" w:cs="Times New Roman" w:eastAsia="Times New Roman" w:hAnsi="Times New Roman"/>
          <w:sz w:val="18"/>
          <w:szCs w:val="18"/>
          <w:color w:val="auto"/>
        </w:rPr>
        <w:t>Due in large part to the COVID-19 pandemic, our revenues for the six months ended June 30, 2020 were substantially reduced as compared to the six months ended June 30, 2019. Total revenues were down 24% for the six month period ended June 30, 2020 compared to the six month period ended June 30, 2019 due to shelter-in-place orders which reduced our non-COVID-19 testing revenues by 34%. In the nine months ended September 30, 2020, our revenues increased as a result of our COVID-19 testing program revenue and an increase in non-COVID-19 testing revenue as more shelter-in-place orders were withdrawn and more lung diagnostic testing was undertaken. We estimate that our total revenues increased by 106% to 117% for the third quarter of 2020 compared to the second quarter of 2020 driven largely by increases in revenue from COVID-19 testing and a 25% to 32% increase in non-COVID-19 testing revenues.</w:t>
      </w:r>
    </w:p>
    <w:p>
      <w:pPr>
        <w:spacing w:after="0" w:line="94" w:lineRule="exact"/>
        <w:rPr>
          <w:sz w:val="20"/>
          <w:szCs w:val="20"/>
          <w:color w:val="auto"/>
        </w:rPr>
      </w:pPr>
    </w:p>
    <w:p>
      <w:pPr>
        <w:ind w:left="1160" w:right="20" w:hanging="534"/>
        <w:spacing w:after="0" w:line="266"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2020, we estimate that we incurred total operating expense of $15.5 million to $16.3 million compared to $13.0 million for the three months ended September 30, 2019. For the three months ended September 30, 2020, we estimate we incurred net losses of $8.8 million to $9.2 million compared to $9.6 million for the three months ended September 30, 2019.</w:t>
      </w:r>
    </w:p>
    <w:p>
      <w:pPr>
        <w:spacing w:after="0" w:line="81" w:lineRule="exact"/>
        <w:rPr>
          <w:rFonts w:ascii="Times New Roman" w:cs="Times New Roman" w:eastAsia="Times New Roman" w:hAnsi="Times New Roman"/>
          <w:sz w:val="18"/>
          <w:szCs w:val="18"/>
          <w:color w:val="auto"/>
        </w:rPr>
      </w:pPr>
    </w:p>
    <w:p>
      <w:pPr>
        <w:ind w:left="1160" w:right="100" w:hanging="534"/>
        <w:spacing w:after="0" w:line="266"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we estimate that we incurred total operating expense of $38.8 million to $39.6 million compared to $39.5 million for the nine months ended September 30, 2019. For the nine months ended September 30, 2020, we estimate we incurred net losses of $26.8 million to $27.2 million compared to $24.2 million for the nine months ended September 30, 2019.</w:t>
      </w:r>
    </w:p>
    <w:p>
      <w:pPr>
        <w:spacing w:after="0" w:line="176"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The information above should be read in conjunction with our financial statements and the related notes and “Management’s Discussion and Analysis of Financial Condition and Results of Operations” for prior periods included elsewhere in this prospectus. Our actual results for the nine months ended September 30, 2020 are not yet available as a result of quarter-end closing and review procedures not being completed and may not necessarily be indicative of the results to be expected for the remainder of 2020 or any future period. Accordingly, you should not place undue reliance upon these preliminary estimates, which are subject to risks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562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and uncertainties, many of which are not within our control. Please see “Risk Factors” and “Special Note Regarding Forward-Looking Statements” for additional information regarding factors that could result in differences between the preliminary estimates of certain of our financial results presented above and the actual financial results and other information we will report as of and for the nine months ended September 30, 2020.</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200" w:right="640" w:firstLine="43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67" w:lineRule="exact"/>
        <w:rPr>
          <w:sz w:val="20"/>
          <w:szCs w:val="20"/>
          <w:color w:val="auto"/>
        </w:rPr>
      </w:pPr>
    </w:p>
    <w:p>
      <w:pPr>
        <w:ind w:left="1160" w:right="14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ind w:left="1160" w:right="32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160" w:right="12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7" w:lineRule="exact"/>
        <w:rPr>
          <w:rFonts w:ascii="Times New Roman" w:cs="Times New Roman" w:eastAsia="Times New Roman" w:hAnsi="Times New Roman"/>
          <w:sz w:val="18"/>
          <w:szCs w:val="18"/>
          <w:color w:val="auto"/>
        </w:rPr>
      </w:pPr>
    </w:p>
    <w:p>
      <w:pPr>
        <w:ind w:left="1160" w:right="68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67" w:lineRule="exact"/>
        <w:rPr>
          <w:rFonts w:ascii="Times New Roman" w:cs="Times New Roman" w:eastAsia="Times New Roman" w:hAnsi="Times New Roman"/>
          <w:sz w:val="18"/>
          <w:szCs w:val="18"/>
          <w:color w:val="auto"/>
        </w:rPr>
      </w:pPr>
    </w:p>
    <w:p>
      <w:pPr>
        <w:ind w:left="1160" w:right="26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160" w:right="36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160" w:right="22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24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1" w:lineRule="exact"/>
        <w:rPr>
          <w:rFonts w:ascii="Times New Roman" w:cs="Times New Roman" w:eastAsia="Times New Roman" w:hAnsi="Times New Roman"/>
          <w:sz w:val="18"/>
          <w:szCs w:val="18"/>
          <w:color w:val="auto"/>
        </w:rPr>
      </w:pPr>
    </w:p>
    <w:p>
      <w:pPr>
        <w:ind w:left="1160" w:right="8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26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240" w:firstLine="434"/>
        <w:spacing w:after="0" w:line="312" w:lineRule="auto"/>
        <w:rPr>
          <w:sz w:val="20"/>
          <w:szCs w:val="20"/>
          <w:color w:val="auto"/>
        </w:rPr>
      </w:pPr>
      <w:r>
        <w:rPr>
          <w:rFonts w:ascii="Times New Roman" w:cs="Times New Roman" w:eastAsia="Times New Roman" w:hAnsi="Times New Roman"/>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10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82"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8"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5" w:lineRule="exact"/>
        <w:rPr>
          <w:sz w:val="20"/>
          <w:szCs w:val="20"/>
          <w:color w:val="auto"/>
        </w:rPr>
      </w:pPr>
    </w:p>
    <w:p>
      <w:pPr>
        <w:jc w:val="both"/>
        <w:ind w:left="200" w:right="620" w:firstLine="434"/>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6090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09028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77" w:lineRule="exact"/>
        <w:rPr>
          <w:sz w:val="20"/>
          <w:szCs w:val="20"/>
          <w:color w:val="auto"/>
        </w:rPr>
      </w:pPr>
    </w:p>
    <w:p>
      <w:pPr>
        <w:ind w:left="200" w:right="340"/>
        <w:spacing w:after="0" w:line="360"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4,000,000 shares</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600,000 shares</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26,254,072 shares</w:t>
      </w:r>
    </w:p>
    <w:p>
      <w:pPr>
        <w:spacing w:after="0" w:line="77" w:lineRule="exact"/>
        <w:rPr>
          <w:sz w:val="20"/>
          <w:szCs w:val="20"/>
          <w:color w:val="auto"/>
        </w:rPr>
      </w:pPr>
    </w:p>
    <w:p>
      <w:pPr>
        <w:ind w:left="1020" w:right="20"/>
        <w:spacing w:after="0" w:line="255" w:lineRule="auto"/>
        <w:rPr>
          <w:sz w:val="20"/>
          <w:szCs w:val="20"/>
          <w:color w:val="auto"/>
        </w:rPr>
      </w:pPr>
      <w:r>
        <w:rPr>
          <w:rFonts w:ascii="Times New Roman" w:cs="Times New Roman" w:eastAsia="Times New Roman" w:hAnsi="Times New Roman"/>
          <w:sz w:val="18"/>
          <w:szCs w:val="18"/>
          <w:color w:val="auto"/>
        </w:rPr>
        <w:t>We estimate that the net proceeds from the sale of shares of our common stock that we are selling in this offering will be approximately $63.0 million (or approximately $73.0 million if the underwriters’ over-allotment option is exercised in full), at the initial public offering price of $18.00 per share, after deducting underwriting discounts and commissions and estimated offering expenses payable by us.</w:t>
      </w:r>
    </w:p>
    <w:p>
      <w:pPr>
        <w:spacing w:after="0" w:line="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currently expect to use the net proceeds from this offering:</w:t>
      </w:r>
    </w:p>
    <w:p>
      <w:pPr>
        <w:spacing w:after="0" w:line="27" w:lineRule="exact"/>
        <w:rPr>
          <w:sz w:val="20"/>
          <w:szCs w:val="20"/>
          <w:color w:val="auto"/>
        </w:rPr>
      </w:pPr>
    </w:p>
    <w:p>
      <w:pPr>
        <w:ind w:left="1020" w:firstLine="1"/>
        <w:spacing w:after="0" w:line="251" w:lineRule="auto"/>
        <w:tabs>
          <w:tab w:leader="none" w:pos="1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million to support our commercial expansion of sales, marketing, reimbursement, customer support and business development; (2) approximately $16 million to support our product pipeline and research and development; (3) approximately $13 million to pay a portion of our Integrated Diagnostics acquisition milestone payment; and (4) the remaining portion of such net proceeds (including if the underwriters exercise their overallotment option in full) for working capital and general corporate purposes. See the section titled “Use of Proceeds” for additional information.</w:t>
      </w:r>
    </w:p>
    <w:p>
      <w:pPr>
        <w:spacing w:after="0" w:line="45" w:lineRule="exact"/>
        <w:rPr>
          <w:sz w:val="20"/>
          <w:szCs w:val="20"/>
          <w:color w:val="auto"/>
        </w:rPr>
      </w:pPr>
    </w:p>
    <w:p>
      <w:pPr>
        <w:ind w:left="1020" w:right="60"/>
        <w:spacing w:after="0" w:line="252"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except in the case of shares purchased by any of our officers or directors, employees and certain of our existing stockholders.</w:t>
      </w:r>
    </w:p>
    <w:p>
      <w:pPr>
        <w:spacing w:after="0" w:line="100" w:lineRule="exact"/>
        <w:rPr>
          <w:sz w:val="20"/>
          <w:szCs w:val="20"/>
          <w:color w:val="auto"/>
        </w:rPr>
      </w:pPr>
    </w:p>
    <w:p>
      <w:pPr>
        <w:ind w:left="1020" w:right="360"/>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section titled “Underwriters— Directed Share Program.”</w:t>
      </w:r>
    </w:p>
    <w:p>
      <w:pPr>
        <w:spacing w:after="0" w:line="200" w:lineRule="exact"/>
        <w:rPr>
          <w:sz w:val="20"/>
          <w:szCs w:val="20"/>
          <w:color w:val="auto"/>
        </w:rPr>
      </w:pPr>
    </w:p>
    <w:p>
      <w:pPr>
        <w:sectPr>
          <w:pgSz w:w="11900" w:h="16838" w:orient="portrait"/>
          <w:cols w:equalWidth="0" w:num="2">
            <w:col w:w="4220" w:space="720"/>
            <w:col w:w="6100"/>
          </w:cols>
          <w:pgMar w:left="320" w:top="455" w:right="5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40"/>
          </w:cols>
          <w:pgMar w:left="320" w:top="455" w:right="539" w:bottom="1440" w:gutter="0" w:footer="0" w:header="0"/>
          <w:type w:val="continuous"/>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56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and the other information included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deciding to invest in our common stock.</w:t>
      </w:r>
    </w:p>
    <w:p>
      <w:pPr>
        <w:spacing w:after="0" w:line="58" w:lineRule="exact"/>
        <w:rPr>
          <w:sz w:val="20"/>
          <w:szCs w:val="20"/>
          <w:color w:val="auto"/>
        </w:rPr>
      </w:pPr>
    </w:p>
    <w:p>
      <w:pPr>
        <w:sectPr>
          <w:pgSz w:w="11900" w:h="16838" w:orient="portrait"/>
          <w:cols w:equalWidth="0" w:num="2">
            <w:col w:w="5240" w:space="720"/>
            <w:col w:w="5080"/>
          </w:cols>
          <w:pgMar w:left="320" w:top="455" w:right="5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“BDSX”</w:t>
      </w:r>
    </w:p>
    <w:p>
      <w:pPr>
        <w:spacing w:after="0" w:line="200" w:lineRule="exact"/>
        <w:rPr>
          <w:sz w:val="20"/>
          <w:szCs w:val="20"/>
          <w:color w:val="auto"/>
        </w:rPr>
      </w:pPr>
    </w:p>
    <w:p>
      <w:pPr>
        <w:sectPr>
          <w:pgSz w:w="11900" w:h="16838" w:orient="portrait"/>
          <w:cols w:equalWidth="0" w:num="2">
            <w:col w:w="5240" w:space="720"/>
            <w:col w:w="5080"/>
          </w:cols>
          <w:pgMar w:left="320" w:top="455" w:right="539" w:bottom="1440" w:gutter="0" w:footer="0" w:header="0"/>
          <w:type w:val="continuous"/>
        </w:sectPr>
      </w:pPr>
    </w:p>
    <w:p>
      <w:pPr>
        <w:spacing w:after="0" w:line="25" w:lineRule="exact"/>
        <w:rPr>
          <w:sz w:val="20"/>
          <w:szCs w:val="20"/>
          <w:color w:val="auto"/>
        </w:rPr>
      </w:pPr>
    </w:p>
    <w:p>
      <w:pPr>
        <w:ind w:left="200" w:right="500" w:firstLine="434"/>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22,254,072 shares of our common stock (reflecting the conversion of all of our shares of preferred stock and convertible debt into shares of our common stock on an as-converted basis) outstanding as of October 15, 2020, and excludes:</w:t>
      </w:r>
    </w:p>
    <w:p>
      <w:pPr>
        <w:spacing w:after="0" w:line="81" w:lineRule="exact"/>
        <w:rPr>
          <w:sz w:val="20"/>
          <w:szCs w:val="20"/>
          <w:color w:val="auto"/>
        </w:rPr>
      </w:pPr>
    </w:p>
    <w:p>
      <w:pPr>
        <w:ind w:left="1160" w:right="36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2,817,440 shares of common stock issuable upon the exercise of outstanding stock options as of October 15, 2020, with a weighted-average exercise price of $2.80 per share;</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79,104 shares of common stock that will be outstanding upon the vesting of restricted stock units;</w:t>
      </w:r>
    </w:p>
    <w:p>
      <w:pPr>
        <w:spacing w:after="0" w:line="130" w:lineRule="exact"/>
        <w:rPr>
          <w:rFonts w:ascii="Times New Roman" w:cs="Times New Roman" w:eastAsia="Times New Roman" w:hAnsi="Times New Roman"/>
          <w:sz w:val="18"/>
          <w:szCs w:val="18"/>
          <w:color w:val="auto"/>
        </w:rPr>
      </w:pPr>
    </w:p>
    <w:p>
      <w:pPr>
        <w:ind w:left="1160" w:right="6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67" w:lineRule="exact"/>
        <w:rPr>
          <w:rFonts w:ascii="Times New Roman" w:cs="Times New Roman" w:eastAsia="Times New Roman" w:hAnsi="Times New Roman"/>
          <w:sz w:val="18"/>
          <w:szCs w:val="18"/>
          <w:color w:val="auto"/>
        </w:rPr>
      </w:pPr>
    </w:p>
    <w:p>
      <w:pPr>
        <w:ind w:left="1160" w:right="18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1,893,395 shares of common stock reserved for future issuance under our 2020 Equity Incentive Plan (the 2020 Incentive Plan), which will become effective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16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338,106 shares of common stock reserved for future issuance under our 2020 Employee Stock Purchase Plan (ESPP), which will become effective immediately prior to the completion of this offering.</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hanging="534"/>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0.1684664-for-1 reverse stock split, which became effective October 19, 2020;</w:t>
      </w:r>
    </w:p>
    <w:p>
      <w:pPr>
        <w:spacing w:after="0" w:line="130" w:lineRule="exact"/>
        <w:rPr>
          <w:rFonts w:ascii="Times New Roman" w:cs="Times New Roman" w:eastAsia="Times New Roman" w:hAnsi="Times New Roman"/>
          <w:sz w:val="18"/>
          <w:szCs w:val="18"/>
          <w:color w:val="auto"/>
        </w:rPr>
      </w:pPr>
    </w:p>
    <w:p>
      <w:pPr>
        <w:ind w:left="1160" w:right="380" w:hanging="534"/>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pacing w:after="0" w:line="67" w:lineRule="exact"/>
        <w:rPr>
          <w:rFonts w:ascii="Times New Roman" w:cs="Times New Roman" w:eastAsia="Times New Roman" w:hAnsi="Times New Roman"/>
          <w:sz w:val="18"/>
          <w:szCs w:val="18"/>
          <w:color w:val="auto"/>
        </w:rPr>
      </w:pPr>
    </w:p>
    <w:p>
      <w:pPr>
        <w:ind w:left="1160" w:right="340" w:hanging="534"/>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preferred stock into an aggregate of 20,090,745 shares of common stock immediately upon the closing of this offering;</w:t>
      </w:r>
    </w:p>
    <w:p>
      <w:pPr>
        <w:spacing w:after="0" w:line="67" w:lineRule="exact"/>
        <w:rPr>
          <w:rFonts w:ascii="Times New Roman" w:cs="Times New Roman" w:eastAsia="Times New Roman" w:hAnsi="Times New Roman"/>
          <w:sz w:val="18"/>
          <w:szCs w:val="18"/>
          <w:color w:val="auto"/>
        </w:rPr>
      </w:pPr>
    </w:p>
    <w:p>
      <w:pPr>
        <w:ind w:left="1160" w:right="480" w:hanging="534"/>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convertible debt into an aggregate of 1,848,280 shares of common stock immediately upon the closing of this offering, based on interest accrued through October 15, 2020 and the initial public offering price of $18.00 per share;</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25" w:lineRule="exact"/>
        <w:rPr>
          <w:sz w:val="20"/>
          <w:szCs w:val="20"/>
          <w:color w:val="auto"/>
        </w:rPr>
      </w:pPr>
    </w:p>
    <w:p>
      <w:pPr>
        <w:ind w:left="200" w:right="40" w:firstLine="434"/>
        <w:spacing w:after="0" w:line="266" w:lineRule="auto"/>
        <w:rPr>
          <w:sz w:val="20"/>
          <w:szCs w:val="20"/>
          <w:color w:val="auto"/>
        </w:rPr>
      </w:pPr>
      <w:r>
        <w:rPr>
          <w:rFonts w:ascii="Times New Roman" w:cs="Times New Roman" w:eastAsia="Times New Roman" w:hAnsi="Times New Roman"/>
          <w:sz w:val="18"/>
          <w:szCs w:val="18"/>
          <w:color w:val="auto"/>
        </w:rPr>
        <w:t>At our request, in addition to the directed share program described in this prospectus, the underwriters have reserved for sale at the initial public offering price per share approximately 824,000 shares of common stock in this offering to certain individuals, including directors, existing stockholders and other persons associated with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99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left="200" w:right="280" w:firstLine="434"/>
        <w:spacing w:after="0" w:line="255" w:lineRule="auto"/>
        <w:rPr>
          <w:sz w:val="20"/>
          <w:szCs w:val="20"/>
          <w:color w:val="auto"/>
        </w:rPr>
      </w:pPr>
      <w:r>
        <w:rPr>
          <w:rFonts w:ascii="Times New Roman" w:cs="Times New Roman" w:eastAsia="Times New Roman" w:hAnsi="Times New Roman"/>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Our preliminary revenues and cash for each of the nine months ended September 30, 2020 and September 30, 2019 are included in “—Preliminary Results for Third Quarter 2020.” Such results are preliminary and are subject to change and are not necessarily indicative of the results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(126.97)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(130.83)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6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87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878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0"/>
                <w:szCs w:val="10"/>
                <w:color w:val="auto"/>
              </w:rPr>
            </w:pPr>
          </w:p>
        </w:tc>
        <w:tc>
          <w:tcPr>
            <w:tcW w:w="13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(1)(3)</w:t>
            </w:r>
          </w:p>
        </w:tc>
        <w:tc>
          <w:tcPr>
            <w:tcW w:w="26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(27,429)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45,478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(248,835)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(250,564)</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(246,444)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42,069</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20" w:right="100" w:hanging="426"/>
        <w:spacing w:after="0" w:line="255"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 of operations and comprehensive loss data and pro forma balance sheet data give effect to the automatic conversion of all outstanding shares of our preferred stock into an aggregate of 20,090,745 shares of common stock upon the completion of this offering and the conversion of all convertible debt into an aggregate of 1,848,280 shares of common stock immediately upon the closing of this offering, based on interest accrued through October 15, 2020 and the initial public offering price of $18.00 per share.</w:t>
      </w:r>
    </w:p>
    <w:p>
      <w:pPr>
        <w:spacing w:after="0" w:line="2" w:lineRule="exact"/>
        <w:rPr>
          <w:rFonts w:ascii="Times New Roman" w:cs="Times New Roman" w:eastAsia="Times New Roman" w:hAnsi="Times New Roman"/>
          <w:sz w:val="18"/>
          <w:szCs w:val="18"/>
          <w:color w:val="auto"/>
        </w:rPr>
      </w:pPr>
    </w:p>
    <w:p>
      <w:pPr>
        <w:ind w:left="620" w:right="160" w:hanging="426"/>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information discussed above gives effect to the adjustment described in footnote (1) and the receipt of $63.0 million in net proceeds from our sale of common stock in this offering at the initial public offering price of $18.00 per share, after deducting underwriting discounts and commissions and estimated offering expenses payable by us.</w:t>
      </w:r>
    </w:p>
    <w:p>
      <w:pPr>
        <w:spacing w:after="0" w:line="1" w:lineRule="exact"/>
        <w:rPr>
          <w:rFonts w:ascii="Times New Roman" w:cs="Times New Roman" w:eastAsia="Times New Roman" w:hAnsi="Times New Roman"/>
          <w:sz w:val="18"/>
          <w:szCs w:val="18"/>
          <w:color w:val="auto"/>
        </w:rPr>
      </w:pPr>
    </w:p>
    <w:p>
      <w:pPr>
        <w:ind w:left="620" w:right="160" w:hanging="426"/>
        <w:spacing w:after="0" w:line="255"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have reported net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$30.7 million and $26.2 million for the six months ended June 30, 2020 and for the years ended December 31, 2019 and 2018, respectively.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0"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expect increased revenues from our COVID-19 diagnostic and antibody testing program over the course of 2020 and the first quarter of 2021, and we expect that such revenue will comprise a significant portion of our revenue over the same period. However, there is no assurance that our COVID-19 diagnostic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89"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8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81"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30" w:lineRule="exact"/>
        <w:rPr>
          <w:rFonts w:ascii="Times New Roman" w:cs="Times New Roman" w:eastAsia="Times New Roman" w:hAnsi="Times New Roman"/>
          <w:sz w:val="18"/>
          <w:szCs w:val="18"/>
          <w:color w:val="auto"/>
        </w:rPr>
      </w:pPr>
    </w:p>
    <w:p>
      <w:pPr>
        <w:ind w:left="1000" w:right="106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spread of COVID-19, and the resulting effects on the number of patients treated or the demand for our non-COVID-19 diagnostic tests;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or clearances for planned or future improvements or enhancements to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 addition, we expect increased revenue from our COVID-19 diagnostic and antibody testing program over the course of 2020 and the first quarter of 2021, and we expect that such revenue will comprise a significant portion of our revenue over the same period. We can provide no assurances that the demand for our COVID-19 diagnostic and antibody testing program will be sustained, and even if it is, the period of time for which it would be sustained. As a result, the increase in revenue due to any increase in demand for our COVID-19 diagnostic and antibody testing program is not indicative of results expected for any future period.</w:t>
      </w:r>
    </w:p>
    <w:p>
      <w:pPr>
        <w:spacing w:after="0" w:line="18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455"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5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8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9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assay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55"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Platelia SARS-CoV-2 Total Ab assay for commercial diagnostic services. For more information regarding this license and supply agreement and the permission granted to us by Bio-Rad with respect to such assays, please see “Business—Material Agreements—Agreements with Bio-Rad.”</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remainder of 2020 and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8"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2020, Medicare reimbursed to us 60% of our diagnostic test revenue and one healthcare provider accounted for 13% of our total diagnostic test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its relationship with us or our tests are no longer reimbursable by such payer, such termination could negatively affect our revenues and results of operations.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9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jc w:val="both"/>
        <w:ind w:right="140" w:firstLine="449"/>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89" w:lineRule="exact"/>
        <w:rPr>
          <w:sz w:val="20"/>
          <w:szCs w:val="20"/>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diagnostic tests;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455" w:right="3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455" w:right="3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8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76"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pancreatic ductal cancer (PDAC), and acute myeloid leukemia (AML). For more information regarding this Collaboration Agreement, please see “Business —Drug Co-Development.”</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0"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8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-Lung. We renamed the test and relaunched the test on February 28, 2020 as the Nodify CDT test and the De Soto, Kansas lab will be the sole United States provider of the Nodify CDT test.</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jc w:val="both"/>
        <w:ind w:right="340" w:firstLine="449"/>
        <w:spacing w:after="0" w:line="289" w:lineRule="auto"/>
        <w:rPr>
          <w:sz w:val="20"/>
          <w:szCs w:val="20"/>
          <w:color w:val="auto"/>
        </w:rPr>
      </w:pPr>
      <w:r>
        <w:rPr>
          <w:rFonts w:ascii="Times New Roman" w:cs="Times New Roman" w:eastAsia="Times New Roman" w:hAnsi="Times New Roman"/>
          <w:sz w:val="17"/>
          <w:szCs w:val="17"/>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87"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76"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51"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67" w:lineRule="exact"/>
        <w:rPr>
          <w:sz w:val="20"/>
          <w:szCs w:val="20"/>
          <w:color w:val="auto"/>
        </w:rPr>
      </w:pPr>
    </w:p>
    <w:p>
      <w:pPr>
        <w:ind w:left="5540" w:right="2460" w:hanging="5087"/>
        <w:spacing w:after="0" w:line="454" w:lineRule="auto"/>
        <w:tabs>
          <w:tab w:leader="none" w:pos="10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 30</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30"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9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and have not been approved for reimbursement, or have been approved under restricted conditions, in certain European countries.</w:t>
      </w:r>
    </w:p>
    <w:p>
      <w:pPr>
        <w:spacing w:after="0" w:line="225"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9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8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7"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67" w:lineRule="exact"/>
        <w:rPr>
          <w:sz w:val="20"/>
          <w:szCs w:val="20"/>
          <w:color w:val="auto"/>
        </w:rPr>
      </w:pPr>
    </w:p>
    <w:p>
      <w:pPr>
        <w:ind w:left="5540" w:right="5180" w:hanging="5087"/>
        <w:spacing w:after="0" w:line="367" w:lineRule="auto"/>
        <w:tabs>
          <w:tab w:leader="none" w:pos="101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diagnostic tests; 34</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85" w:lineRule="exact"/>
        <w:rPr>
          <w:rFonts w:ascii="Times New Roman" w:cs="Times New Roman" w:eastAsia="Times New Roman" w:hAnsi="Times New Roman"/>
          <w:sz w:val="18"/>
          <w:szCs w:val="18"/>
          <w:color w:val="auto"/>
        </w:rPr>
      </w:pPr>
    </w:p>
    <w:p>
      <w:pPr>
        <w:jc w:val="both"/>
        <w:ind w:left="1000" w:right="140" w:hanging="54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Times New Roman" w:cs="Times New Roman" w:eastAsia="Times New Roman" w:hAnsi="Times New Roman"/>
          <w:sz w:val="18"/>
          <w:szCs w:val="18"/>
          <w:color w:val="auto"/>
        </w:rPr>
      </w:pPr>
    </w:p>
    <w:p>
      <w:pPr>
        <w:ind w:left="1000" w:right="80" w:hanging="547"/>
        <w:spacing w:after="0" w:line="312"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43" w:lineRule="exact"/>
        <w:rPr>
          <w:rFonts w:ascii="Times New Roman" w:cs="Times New Roman" w:eastAsia="Times New Roman" w:hAnsi="Times New Roman"/>
          <w:sz w:val="17"/>
          <w:szCs w:val="17"/>
          <w:color w:val="auto"/>
        </w:rPr>
      </w:pPr>
    </w:p>
    <w:p>
      <w:pPr>
        <w:ind w:left="1000" w:right="180" w:hanging="547"/>
        <w:spacing w:after="0" w:line="25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9" w:lineRule="exact"/>
        <w:rPr>
          <w:rFonts w:ascii="Times New Roman" w:cs="Times New Roman" w:eastAsia="Times New Roman" w:hAnsi="Times New Roman"/>
          <w:sz w:val="18"/>
          <w:szCs w:val="18"/>
          <w:color w:val="auto"/>
        </w:rPr>
      </w:pPr>
    </w:p>
    <w:p>
      <w:pPr>
        <w:ind w:left="1000" w:right="20" w:hanging="547"/>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5" w:lineRule="exact"/>
        <w:rPr>
          <w:rFonts w:ascii="Times New Roman" w:cs="Times New Roman" w:eastAsia="Times New Roman" w:hAnsi="Times New Roman"/>
          <w:sz w:val="18"/>
          <w:szCs w:val="18"/>
          <w:color w:val="auto"/>
        </w:rPr>
      </w:pPr>
    </w:p>
    <w:p>
      <w:pPr>
        <w:ind w:left="1000" w:right="580" w:hanging="54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8"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0" w:lineRule="exact"/>
        <w:rPr>
          <w:sz w:val="20"/>
          <w:szCs w:val="20"/>
          <w:color w:val="auto"/>
        </w:rPr>
      </w:pPr>
    </w:p>
    <w:p>
      <w:pPr>
        <w:ind w:right="140" w:firstLine="449"/>
        <w:spacing w:after="0" w:line="273" w:lineRule="auto"/>
        <w:rPr>
          <w:sz w:val="20"/>
          <w:szCs w:val="20"/>
          <w:color w:val="auto"/>
        </w:rPr>
      </w:pPr>
      <w:r>
        <w:rPr>
          <w:rFonts w:ascii="Times New Roman" w:cs="Times New Roman" w:eastAsia="Times New Roman" w:hAnsi="Times New Roman"/>
          <w:sz w:val="17"/>
          <w:szCs w:val="17"/>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7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93" w:lineRule="exact"/>
        <w:rPr>
          <w:sz w:val="20"/>
          <w:szCs w:val="20"/>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nucleic acid from SARS- CoV-2, not for any other viruses or pathogens; and</w:t>
      </w:r>
    </w:p>
    <w:p>
      <w:pPr>
        <w:spacing w:after="0" w:line="130"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statements that appear in advertising and promotional materials must not represent or suggest that this test is safe or effective for the detection of SARS-CoV-2.</w:t>
      </w:r>
    </w:p>
    <w:p>
      <w:pPr>
        <w:spacing w:after="0" w:line="162"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1" w:lineRule="exact"/>
        <w:rPr>
          <w:sz w:val="20"/>
          <w:szCs w:val="20"/>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total antibodies, including IgM/IgG/IgA, against SARS-CoV-2, not for any other viruses or pathogens; and</w:t>
      </w:r>
    </w:p>
    <w:p>
      <w:pPr>
        <w:spacing w:after="0" w:line="67"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8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0"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are covered under CLIA and CMS, although our COVID testing program and select partnerships we may enter may cause us to be subject to additional FDA requirements.</w:t>
      </w:r>
    </w:p>
    <w:p>
      <w:pPr>
        <w:spacing w:after="0" w:line="51"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7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62"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7" w:lineRule="exact"/>
        <w:rPr>
          <w:sz w:val="20"/>
          <w:szCs w:val="20"/>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8"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455"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510(k), de-novo or PMA process can be expensive, lengthy and unpredictable. The FDA can delay, limit, or deny clearance or approval of a device for many reasons, including:</w:t>
      </w:r>
    </w:p>
    <w:p>
      <w:pPr>
        <w:spacing w:after="0" w:line="67" w:lineRule="exact"/>
        <w:rPr>
          <w:sz w:val="20"/>
          <w:szCs w:val="20"/>
          <w:color w:val="auto"/>
        </w:rPr>
      </w:pPr>
    </w:p>
    <w:p>
      <w:pPr>
        <w:ind w:left="1000" w:right="2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7" w:lineRule="exact"/>
        <w:rPr>
          <w:sz w:val="20"/>
          <w:szCs w:val="20"/>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subject to state licensing requirements and federal regulation by CMS under CLIA, although our COVID testing program and select partnerships we may enter may cause us to be subject to additional FDA regulations discussed above.</w:t>
      </w:r>
    </w:p>
    <w:p>
      <w:pPr>
        <w:spacing w:after="0" w:line="176"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67" w:lineRule="exact"/>
        <w:rPr>
          <w:sz w:val="20"/>
          <w:szCs w:val="20"/>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diagnostic tests or enhancements to existing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51"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94"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of new diagnostic tests or modified versions of current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on PMA approvals that have already been granted;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455" w:right="3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60"/>
          </w:cols>
          <w:pgMar w:left="320" w:top="455" w:right="4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5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4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90"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87"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455" w:right="3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9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1"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289"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5" w:lineRule="exact"/>
        <w:rPr>
          <w:sz w:val="20"/>
          <w:szCs w:val="20"/>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5" w:lineRule="exact"/>
        <w:rPr>
          <w:sz w:val="20"/>
          <w:szCs w:val="20"/>
          <w:color w:val="auto"/>
        </w:rPr>
      </w:pPr>
    </w:p>
    <w:p>
      <w:pPr>
        <w:ind w:left="1000" w:right="480" w:hanging="54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COVID-19 testing program and Nodify XL2, Nodify CDT, GeneStrat and VeriStrat tests;</w:t>
      </w:r>
    </w:p>
    <w:p>
      <w:pPr>
        <w:spacing w:after="0" w:line="67" w:lineRule="exact"/>
        <w:rPr>
          <w:rFonts w:ascii="Times New Roman" w:cs="Times New Roman" w:eastAsia="Times New Roman" w:hAnsi="Times New Roman"/>
          <w:sz w:val="18"/>
          <w:szCs w:val="18"/>
          <w:color w:val="auto"/>
        </w:rPr>
      </w:pPr>
    </w:p>
    <w:p>
      <w:pPr>
        <w:ind w:left="1000" w:right="220" w:hanging="547"/>
        <w:spacing w:after="0" w:line="312"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455"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94"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diagnostic tests or products, if such technologies or features are found to incorporate or be derived from the trade secrets or other proprietary information of the former employers.</w:t>
      </w:r>
    </w:p>
    <w:p>
      <w:pPr>
        <w:spacing w:after="0" w:line="162"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76"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right="80" w:firstLine="449"/>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89"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8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9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83"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67"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455"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5" w:lineRule="exact"/>
        <w:rPr>
          <w:sz w:val="20"/>
          <w:szCs w:val="20"/>
          <w:color w:val="auto"/>
        </w:rPr>
      </w:pPr>
    </w:p>
    <w:p>
      <w:pPr>
        <w:ind w:firstLine="8"/>
        <w:spacing w:after="0" w:line="251"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455" w:right="3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00" w:hanging="547"/>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85"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8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5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following this offering. In addition, the market price of our common stock is likely to be highly volatile and may fluctuate substantially due to many factors, including:</w:t>
      </w:r>
    </w:p>
    <w:p>
      <w:pPr>
        <w:spacing w:after="0" w:line="67" w:lineRule="exact"/>
        <w:rPr>
          <w:sz w:val="20"/>
          <w:szCs w:val="20"/>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COVID-19, Nodify XL2, Nodify CDT, GeneStrat and VeriStrat testing;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diagnostic tests on a timely basis;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320" w:top="455" w:right="3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ind w:right="8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in annual revenue; (ii) the date we qualify as a “large accelerated filer,” with at least $700 million of equity securities held by non-affiliates;</w:t>
      </w:r>
    </w:p>
    <w:p>
      <w:pPr>
        <w:spacing w:after="0" w:line="9" w:lineRule="exact"/>
        <w:rPr>
          <w:sz w:val="20"/>
          <w:szCs w:val="20"/>
          <w:color w:val="auto"/>
        </w:rPr>
      </w:pPr>
    </w:p>
    <w:p>
      <w:pPr>
        <w:ind w:right="140" w:firstLine="8"/>
        <w:spacing w:after="0" w:line="260"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7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are also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5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Investors purchasing common stock in this offering will pay a price per share that substantially exceeds the pro forma as adjusted net tangible book value per share. As a result, investors purchasing common stock in this offering will incur immediate dilution of $16.40 per share, at the initial public offering price of $18.00 per share, and our pro forma as adjusted net tangible book value per share as of June 30, 2020. For more information on the dilution you may suffer as a result of investing in this offering, see the section of this prospectus entitled “Dilution.”</w:t>
      </w:r>
    </w:p>
    <w:p>
      <w:pPr>
        <w:spacing w:after="0" w:line="180" w:lineRule="exact"/>
        <w:rPr>
          <w:sz w:val="20"/>
          <w:szCs w:val="20"/>
          <w:color w:val="auto"/>
        </w:rPr>
      </w:pPr>
    </w:p>
    <w:p>
      <w:pPr>
        <w:ind w:right="80" w:firstLine="1011"/>
        <w:spacing w:after="0" w:line="261"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26,254,072 outstanding shares of common stock based on the number of shares outstanding as of October 15, 2020. This includes the shares that we are selling in this offering, which may be resold in the public market immediately without restriction, unless purchased by our affiliates. Of the remaining shares, 22,254,072 shares are currently restricted as a result of securities laws or 180-day lock-up agreements but will be able to be sold after the offering as described in the section of this prospectus entitled “Shares Eligible For Future Sale.” Moreover, after this offering, holders of an aggregate of 20,090,745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After this offering, our officers, directors and principal stockholders each holding more than 5% of our common stock will collectively control approximately 60.7% of our outstanding common stock. As a result,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 At our request, in addition to the directed share program described in this prospectus, the underwriters have reserved for sale at the initial public offering price per share approximately 824,000 shares of common stock in this offering to certain individuals, including directors, existing stockholders and other persons associated with us. The calculations above do not reflect any purchases of our common stock by these individuals in this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21"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5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9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7"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material weaknesses in our internal control over financial reporting, we will be unable to assert that our internal controls are effective. The effectiveness of our controls and procedures may be limited by a variety of factors, including:</w:t>
      </w:r>
    </w:p>
    <w:p>
      <w:pPr>
        <w:spacing w:after="0" w:line="67"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62"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7" w:lineRule="exact"/>
        <w:rPr>
          <w:sz w:val="20"/>
          <w:szCs w:val="20"/>
          <w:color w:val="auto"/>
        </w:rPr>
      </w:pPr>
    </w:p>
    <w:p>
      <w:pPr>
        <w:ind w:left="1000" w:hanging="547"/>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1000" w:right="180" w:hanging="547"/>
        <w:spacing w:after="0" w:line="312"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5" w:lineRule="exact"/>
        <w:rPr>
          <w:rFonts w:ascii="Times New Roman" w:cs="Times New Roman" w:eastAsia="Times New Roman" w:hAnsi="Times New Roman"/>
          <w:sz w:val="17"/>
          <w:szCs w:val="17"/>
          <w:color w:val="auto"/>
        </w:rPr>
      </w:pPr>
    </w:p>
    <w:p>
      <w:pPr>
        <w:ind w:left="1000" w:right="54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00"/>
          </w:cols>
          <w:pgMar w:left="320" w:top="455" w:right="3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85"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00" w:right="56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COVID-19 diagnostic and antibody testing program and our ability to meet such demand;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suppliers, including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or worldwide, including the COVID-19 pandemic on our business;</w:t>
      </w:r>
    </w:p>
    <w:p>
      <w:pPr>
        <w:spacing w:after="0" w:line="67"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including the COVID-19 pandemic, negatively impacting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455"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00" w:right="54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00"/>
          </w:cols>
          <w:pgMar w:left="320" w:top="455" w:right="3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80"/>
          </w:cols>
          <w:pgMar w:left="320" w:top="455" w:right="3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4,000,000 shares of common stock in this offering will be approximately $63.0 million at the initial public offering price of $18.00 per share, after deducting underwriting discounts and commissions and estimated offering expenses payable by us. If the underwriters exercise their over-allotment option in full, we estimate that the net proceeds to us will be approximately $73.0 million, after deducting underwriting discounts and commissions and estimated offering expenses payable by us.</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currently expect to use the net proceeds from this offering: (1) approximately $30 million to support our commercial expansion of sales, marketing, reimbursement, customer support and business development; (2) approximately $16 million to support our product pipeline and research and development; (3) approximately $13 million to pay a portion of our Integrated Diagnostics acquisition milestone payment; and (4) the remaining portion of such net proceeds (including if the underwriters exercise their overallotment option in full) for working capital and general corporate purposes.</w:t>
      </w:r>
    </w:p>
    <w:p>
      <w:pPr>
        <w:spacing w:after="0" w:line="18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62"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80"/>
          </w:cols>
          <w:pgMar w:left="320" w:top="455" w:right="3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60"/>
          </w:cols>
          <w:pgMar w:left="320" w:top="455" w:right="4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reflect (i) the conversion of all the outstanding shares of preferred stock into an aggregate of 20,090,745 shares of common stock immediately upon the closing of this offering, (ii) the conversion of all convertible debt into an aggregate of 1,848,280 shares of common stock immediately upon the closing of this offering, based on interest accrued through October 15, 2020 and the initial public offering price of $18.00 per share, and (iii) the filing and effectiveness of our amended and restated certificate of incorporation that will be in effect upon the closing of this offering; and</w:t>
      </w:r>
    </w:p>
    <w:p>
      <w:pPr>
        <w:spacing w:after="0" w:line="88"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further reflect the sale of 4,000,000 shares of common stock in this offering at the initial public offering price of $18.00 per share, after deducting underwriting discounts and commissions and estimated offering expenses payable by us.</w:t>
      </w:r>
    </w:p>
    <w:p>
      <w:pPr>
        <w:spacing w:after="0" w:line="162" w:lineRule="exact"/>
        <w:rPr>
          <w:sz w:val="20"/>
          <w:szCs w:val="20"/>
          <w:color w:val="auto"/>
        </w:r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00" w:type="dxa"/>
            <w:vAlign w:val="bottom"/>
            <w:gridSpan w:val="10"/>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11,674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74,634</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24,676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48,903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24,227</w:t>
            </w:r>
          </w:p>
        </w:tc>
        <w:tc>
          <w:tcPr>
            <w:tcW w:w="0" w:type="dxa"/>
            <w:vAlign w:val="bottom"/>
          </w:tcPr>
          <w:p>
            <w:pPr>
              <w:spacing w:after="0"/>
              <w:rPr>
                <w:sz w:val="1"/>
                <w:szCs w:val="1"/>
                <w:color w:val="auto"/>
              </w:rPr>
            </w:pPr>
          </w:p>
        </w:tc>
      </w:tr>
      <w:tr>
        <w:trPr>
          <w:trHeight w:val="205"/>
        </w:trPr>
        <w:tc>
          <w:tcPr>
            <w:tcW w:w="7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Convertible preferred stock; $0.001 par value; 185,432,719 shares authorized, 118,766,273 issued and</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actual; 0 shares authorized and 0 shares issued and outstanding, pro forma and pro forma</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as 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193,959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no shares authorized, issued and outstanding, actual;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5,000,000 shares authorized, no shares issued and outstanding, pro forma and pro forma as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shares authorized, 274,523 issued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200,000,000 shares authorized pro forma and pro forma as adjusted,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22,213,548 shares issued and outstanding, pro forma; and 26,213,548 shares issued and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229,651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(248,835)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(250,564)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(250,564)</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(246,444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66,296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outstanding share information in the table above excludes, as of June 30, 2020, the following shares:</w:t>
      </w:r>
    </w:p>
    <w:p>
      <w:pPr>
        <w:spacing w:after="0" w:line="131" w:lineRule="exact"/>
        <w:rPr>
          <w:sz w:val="20"/>
          <w:szCs w:val="20"/>
          <w:color w:val="auto"/>
        </w:rPr>
      </w:pPr>
    </w:p>
    <w:p>
      <w:pPr>
        <w:jc w:val="both"/>
        <w:ind w:left="1000" w:right="400" w:hanging="547"/>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2,813,063 shares of common stock issuable upon the exercise of stock options outstanding as of June 30, 2020, with a weighted-average exercise price of $2.58 per share, plus 56,301 shares of common stock issuable upon the exercise of stock options granted subsequent to June 30, 2020, with a weighted-average exercise price of $4.87 per share;</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52,736 shares of common stock that will be outstanding upon the vesting of restricted stock units;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103,326 shares of common stock issuable upon the exercise of outstanding warrants to purchase shares of Series G Preferred Stock as of June 30, 2020, with a weighted-average exercise price of $4.46 per share;</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1,893,395 shares of common stock reserved for future issuance under the 2020 Incentive Plan, which will become effective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000" w:right="72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338,106 shares of common stock reserved for future issuance under the ESPP, which will become effective immediately prior to the completion of this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76" w:lineRule="exact"/>
        <w:rPr>
          <w:sz w:val="20"/>
          <w:szCs w:val="20"/>
          <w:color w:val="auto"/>
        </w:rPr>
      </w:pPr>
    </w:p>
    <w:p>
      <w:pPr>
        <w:jc w:val="both"/>
        <w:ind w:right="460" w:firstLine="449"/>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June 30, 2020 was $(246.4) million, or $(897.72) per share of our common stock. Our historical net tangible book value is the amount of our total tangible assets less our total liabilities and convertible preferred stock, which is not included within our stockholders’ deficit. Historical net tangible book value per share represents historical net tangible book value divided by the number of shares of our common stock outstanding as of June 30, 2020.</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June 30, 2020 was $(20.9) million, or $(0.94) per share of our common stock. Pro forma net tangible book value per share represents our total tangible assets less our total liabilities, divided by the number of outstanding shares of common stock, after giving effect to the conversion of all outstanding shares of preferred stock into 20,090,745 shares of common stock immediately upon the closing of this offering and the conversion of all convertible debt into an aggregate of 1,848,280 shares of common stock immediately upon the closing of this offering, based on interest accrued through October 15, 2020 and the initial public offering price of $18.00 per share.</w:t>
      </w:r>
    </w:p>
    <w:p>
      <w:pPr>
        <w:spacing w:after="0" w:line="18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After giving effect to the conversion of our outstanding preferred stock into 20,090,745 shares of common stock immediately upon the closing of this offering, the conversion of all convertible debt into an aggregate of 1,848,280 shares of common stock immediately upon the closing of this offering, based on interest accrued through October 15, 2020 and the initial public offering price of $18.00 per share, and the receipt of the net proceeds from our sale of 4,000,000 shares of common stock in this offering at the initial public offering price of $18.00 per share, after deducting underwriting discounts and commissions and estimated offering expenses payable by us, our pro forma as adjusted net tangible book value as of June 30, 2020, would have been $42.1 million, or $1.60 per share. This represents an immediate increase in pro forma as adjusted net tangible book value of $2.54 per share to our existing stockholders and immediate dilution of $16.40 per share to investors purchasing common stock in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our common stock</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18.00</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(897.72)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as of June 30,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20"/>
                <w:szCs w:val="20"/>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of net tangible book value per share to new investors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16.40</w:t>
            </w:r>
          </w:p>
        </w:tc>
      </w:tr>
    </w:tbl>
    <w:p>
      <w:pPr>
        <w:spacing w:after="0" w:line="198"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over-allotment option in full, the pro forma as adjusted net tangible book value per share after giving effect to this offering would be $1.94 per share, and the dilution in pro forma as adjusted net tangible book value per share to new investors in this offering would be $0.34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as of October 15, 2020:</w:t>
      </w:r>
    </w:p>
    <w:p>
      <w:pPr>
        <w:spacing w:after="0" w:line="131" w:lineRule="exact"/>
        <w:rPr>
          <w:sz w:val="20"/>
          <w:szCs w:val="20"/>
          <w:color w:val="auto"/>
        </w:rPr>
      </w:pPr>
    </w:p>
    <w:p>
      <w:pPr>
        <w:ind w:left="1000" w:right="22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purchased from us by our existing stockholders and by new investors purchasing shares in this offering;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by our existing stockholders and by new investors purchasing shares in this offering, at the initial public offering price of $18.00 per share, before deducting the underwriting discounts and commissions and estimated offering expenses payable by us in connection with this offering; and</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paid by existing stockholders and by new investors purchasing shares in this offering.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7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3"/>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040" w:type="dxa"/>
            <w:vAlign w:val="bottom"/>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040" w:type="dxa"/>
            <w:vAlign w:val="bottom"/>
          </w:tcPr>
          <w:p>
            <w:pPr>
              <w:spacing w:after="0"/>
              <w:rPr>
                <w:sz w:val="4"/>
                <w:szCs w:val="4"/>
                <w:color w:val="auto"/>
              </w:rPr>
            </w:pP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vMerge w:val="restart"/>
          </w:tcPr>
          <w:p>
            <w:pPr>
              <w:spacing w:after="0"/>
              <w:rPr>
                <w:sz w:val="4"/>
                <w:szCs w:val="4"/>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80" w:type="dxa"/>
            <w:vAlign w:val="bottom"/>
          </w:tcPr>
          <w:p>
            <w:pPr>
              <w:spacing w:after="0"/>
              <w:rPr>
                <w:sz w:val="4"/>
                <w:szCs w:val="4"/>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22,254,072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$229,010,517</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$ 10.29</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4,000,000</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w:t>
            </w: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75,000,006</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26,254,072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304,010,523</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over-allotment option. If the underwriters exercise their over-allotment option in full, our existing stockholders would own 82.9% and our new investors would own 17.1% of the total number of shares of common stock outstanding upon the closing of this offering.</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22,254,072 shares of common stock outstanding as of October 15, 2020, and excludes:</w:t>
      </w:r>
    </w:p>
    <w:p>
      <w:pPr>
        <w:spacing w:after="0" w:line="67" w:lineRule="exact"/>
        <w:rPr>
          <w:sz w:val="20"/>
          <w:szCs w:val="20"/>
          <w:color w:val="auto"/>
        </w:rPr>
      </w:pPr>
    </w:p>
    <w:p>
      <w:pPr>
        <w:ind w:left="1000" w:right="16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2,817,440 shares of common stock issuable upon the exercise of stock options outstanding as of October 15, 2020, with a weighted-average exercise price of $2.80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79,104 shares of common stock that will be outstanding upon the vesting of restricted stock units;</w:t>
      </w:r>
    </w:p>
    <w:p>
      <w:pPr>
        <w:spacing w:after="0" w:line="130"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1,893,395 shares of common stock reserved for future issuance under the 2020 Incentive Plan, which will become effective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000" w:right="74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338,106 shares of common stock reserved for future issuance under the ESPP, which will become effective immediately prior to the completion of this offering.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55"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Our preliminary revenues and cash for each of the nine months ended September 30, 2020 and September 30, 2019 are included in “Prospectus Summary— Preliminary Results for Third Quarter 2020.” Such results are preliminary and are subject to change and are not necessarily indicative of the results expected for the full year.</w:t>
      </w:r>
    </w:p>
    <w:p>
      <w:pPr>
        <w:spacing w:after="0" w:line="183"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37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20,432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10,468</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30,637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25,899</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3,451</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(26,741)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(23,461)</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261,331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82</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5380" w:type="dxa"/>
            <w:vAlign w:val="bottom"/>
            <w:gridSpan w:val="2"/>
          </w:tcPr>
          <w:p>
            <w:pPr>
              <w:jc w:val="center"/>
              <w:ind w:left="4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(27,429)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(246,444)</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(228,539)</w:t>
            </w:r>
          </w:p>
        </w:tc>
      </w:tr>
      <w:tr>
        <w:trPr>
          <w:trHeight w:val="346"/>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87"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81" w:lineRule="exact"/>
        <w:rPr>
          <w:sz w:val="20"/>
          <w:szCs w:val="20"/>
          <w:color w:val="auto"/>
        </w:rPr>
      </w:pPr>
    </w:p>
    <w:p>
      <w:pPr>
        <w:ind w:left="1000" w:right="560" w:hanging="547"/>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color w:val="auto"/>
        </w:rPr>
        <w:t>. This section provides a general description of our business as well as trends and other factors affecting our business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are necessary to understand our financial condition and results of operations.</w:t>
      </w:r>
    </w:p>
    <w:p>
      <w:pPr>
        <w:spacing w:after="0" w:line="60" w:lineRule="exact"/>
        <w:rPr>
          <w:rFonts w:ascii="Times New Roman" w:cs="Times New Roman" w:eastAsia="Times New Roman" w:hAnsi="Times New Roman"/>
          <w:sz w:val="18"/>
          <w:szCs w:val="18"/>
          <w:color w:val="auto"/>
        </w:rPr>
      </w:pPr>
    </w:p>
    <w:p>
      <w:pPr>
        <w:ind w:left="1000" w:right="520" w:hanging="547"/>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Factors Affecting Our Performance</w:t>
      </w:r>
      <w:r>
        <w:rPr>
          <w:rFonts w:ascii="Times New Roman" w:cs="Times New Roman" w:eastAsia="Times New Roman" w:hAnsi="Times New Roman"/>
          <w:sz w:val="18"/>
          <w:szCs w:val="18"/>
          <w:color w:val="auto"/>
        </w:rPr>
        <w:t>. This section provides a description of the key factors that have historically, and that we expect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affect our business.</w:t>
      </w:r>
    </w:p>
    <w:p>
      <w:pPr>
        <w:spacing w:after="0" w:line="60" w:lineRule="exact"/>
        <w:rPr>
          <w:rFonts w:ascii="Times New Roman" w:cs="Times New Roman" w:eastAsia="Times New Roman" w:hAnsi="Times New Roman"/>
          <w:sz w:val="18"/>
          <w:szCs w:val="18"/>
          <w:color w:val="auto"/>
        </w:rPr>
      </w:pPr>
    </w:p>
    <w:p>
      <w:pPr>
        <w:ind w:left="1000" w:right="40" w:hanging="547"/>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Operating Results</w:t>
      </w:r>
      <w:r>
        <w:rPr>
          <w:rFonts w:ascii="Times New Roman" w:cs="Times New Roman" w:eastAsia="Times New Roman" w:hAnsi="Times New Roman"/>
          <w:sz w:val="18"/>
          <w:szCs w:val="18"/>
          <w:color w:val="auto"/>
        </w:rPr>
        <w:t>. This section provides a description of our revenues and operating expenses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80" w:hanging="547"/>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This section provides a discussion of the results of operations on a historical basis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40" w:hanging="547"/>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This section provides an analysis of our ability to generate cash and to meet existing known or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likely future cash requirements.</w:t>
      </w:r>
    </w:p>
    <w:p>
      <w:pPr>
        <w:spacing w:after="0" w:line="60" w:lineRule="exact"/>
        <w:rPr>
          <w:rFonts w:ascii="Times New Roman" w:cs="Times New Roman" w:eastAsia="Times New Roman" w:hAnsi="Times New Roman"/>
          <w:sz w:val="18"/>
          <w:szCs w:val="18"/>
          <w:color w:val="auto"/>
        </w:rPr>
      </w:pPr>
    </w:p>
    <w:p>
      <w:pPr>
        <w:ind w:left="1000" w:right="40" w:hanging="547"/>
        <w:spacing w:after="0" w:line="26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r>
        <w:rPr>
          <w:rFonts w:ascii="Times New Roman" w:cs="Times New Roman" w:eastAsia="Times New Roman" w:hAnsi="Times New Roman"/>
          <w:sz w:val="18"/>
          <w:szCs w:val="18"/>
          <w:color w:val="auto"/>
        </w:rPr>
        <w:t>. This section discusses the accounting policies and estimates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important to our financial condition and results of operations and that require significant judgment and estimates on the part of management in their application.</w:t>
      </w:r>
    </w:p>
    <w:p>
      <w:pPr>
        <w:spacing w:after="0" w:line="7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r>
        <w:rPr>
          <w:rFonts w:ascii="Times New Roman" w:cs="Times New Roman" w:eastAsia="Times New Roman" w:hAnsi="Times New Roman"/>
          <w:sz w:val="18"/>
          <w:szCs w:val="18"/>
          <w:color w:val="auto"/>
        </w:rPr>
        <w:t>. This section discusses our exposure to interest rate risk</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SARS-CoV-2 tests will remain in place. Using the Bio-Rad SARS-CoV-2 ddPCR test and the Platelia SARS-CoV-2 Total Ab test, we operate and have commercialized the Biodesix WorkSafe testing program.</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7"/>
          <w:szCs w:val="17"/>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64"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right="520" w:hanging="547"/>
        <w:spacing w:after="0" w:line="28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54" w:lineRule="auto"/>
        <w:rPr>
          <w:sz w:val="20"/>
          <w:szCs w:val="20"/>
          <w:color w:val="auto"/>
        </w:rPr>
      </w:pPr>
      <w:r>
        <w:rPr>
          <w:rFonts w:ascii="Times New Roman" w:cs="Times New Roman" w:eastAsia="Times New Roman" w:hAnsi="Times New Roman"/>
          <w:sz w:val="18"/>
          <w:szCs w:val="18"/>
          <w:color w:val="auto"/>
        </w:rPr>
        <w:t>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90" w:lineRule="exact"/>
        <w:rPr>
          <w:sz w:val="20"/>
          <w:szCs w:val="20"/>
          <w:color w:val="auto"/>
        </w:rPr>
      </w:pPr>
    </w:p>
    <w:p>
      <w:pPr>
        <w:jc w:val="both"/>
        <w:ind w:left="1000" w:right="240" w:hanging="547"/>
        <w:spacing w:after="0" w:line="26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2" w:lineRule="exact"/>
        <w:rPr>
          <w:rFonts w:ascii="Times New Roman" w:cs="Times New Roman" w:eastAsia="Times New Roman" w:hAnsi="Times New Roman"/>
          <w:sz w:val="18"/>
          <w:szCs w:val="18"/>
          <w:color w:val="auto"/>
        </w:rPr>
      </w:pPr>
    </w:p>
    <w:p>
      <w:pPr>
        <w:ind w:left="102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89" w:lineRule="exact"/>
        <w:rPr>
          <w:rFonts w:ascii="Times New Roman" w:cs="Times New Roman" w:eastAsia="Times New Roman" w:hAnsi="Times New Roman"/>
          <w:sz w:val="18"/>
          <w:szCs w:val="18"/>
          <w:color w:val="auto"/>
        </w:rPr>
      </w:pPr>
    </w:p>
    <w:p>
      <w:pPr>
        <w:ind w:left="1000" w:right="20" w:hanging="547"/>
        <w:spacing w:after="0" w:line="25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78"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81" w:lineRule="exact"/>
        <w:rPr>
          <w:rFonts w:ascii="Times New Roman" w:cs="Times New Roman" w:eastAsia="Times New Roman" w:hAnsi="Times New Roman"/>
          <w:sz w:val="18"/>
          <w:szCs w:val="18"/>
          <w:color w:val="auto"/>
        </w:rPr>
      </w:pPr>
    </w:p>
    <w:p>
      <w:pPr>
        <w:ind w:left="1000" w:right="160" w:hanging="547"/>
        <w:spacing w:after="0" w:line="278" w:lineRule="auto"/>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7"/>
          <w:szCs w:val="17"/>
          <w:color w:val="auto"/>
        </w:rPr>
        <w:t>Our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455" w:right="3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61" w:lineRule="auto"/>
        <w:rPr>
          <w:sz w:val="20"/>
          <w:szCs w:val="20"/>
          <w:color w:val="auto"/>
        </w:rPr>
      </w:pPr>
      <w:r>
        <w:rPr>
          <w:rFonts w:ascii="Times New Roman" w:cs="Times New Roman" w:eastAsia="Times New Roman" w:hAnsi="Times New Roman"/>
          <w:sz w:val="18"/>
          <w:szCs w:val="18"/>
          <w:color w:val="auto"/>
        </w:rPr>
        <w:t>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81" w:lineRule="exact"/>
        <w:rPr>
          <w:sz w:val="20"/>
          <w:szCs w:val="20"/>
          <w:color w:val="auto"/>
        </w:rPr>
      </w:pPr>
    </w:p>
    <w:p>
      <w:pPr>
        <w:ind w:left="1000" w:right="60" w:hanging="547"/>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testing program, we plan to hire additional project support members to assist us in expanding testing capacity.</w:t>
      </w:r>
    </w:p>
    <w:p>
      <w:pPr>
        <w:spacing w:after="0" w:line="189"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“Risk Factors”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8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20"/>
          </w:cols>
          <w:pgMar w:left="320" w:top="45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effect on our results of operations and profitability. As a result, the increase in revenue due to any increase in demand for these diagnostic tests may not be indicative of our future revenue.</w:t>
      </w:r>
    </w:p>
    <w:p>
      <w:pPr>
        <w:spacing w:after="0" w:line="162" w:lineRule="exact"/>
        <w:rPr>
          <w:sz w:val="20"/>
          <w:szCs w:val="20"/>
          <w:color w:val="auto"/>
        </w:rPr>
      </w:pPr>
    </w:p>
    <w:p>
      <w:pPr>
        <w:ind w:right="820" w:firstLine="449"/>
        <w:spacing w:after="0" w:line="282" w:lineRule="auto"/>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6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As a result, revenue related to our non-COVID-19 diagnostic tests declined by $3.1 million in the six months ended June 30, 2020 when compared to the same period in 2019. These impacts were partially offset by the commercialization of two COVID-19 diagnostic tests. The net impact of these changes was a $1.7 million reduction in diagnostic revenues during the six months ended June 30, 2020.</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89" w:lineRule="exact"/>
        <w:rPr>
          <w:sz w:val="20"/>
          <w:szCs w:val="20"/>
          <w:color w:val="auto"/>
        </w:rPr>
      </w:pPr>
    </w:p>
    <w:p>
      <w:pPr>
        <w:jc w:val="both"/>
        <w:ind w:right="520" w:firstLine="4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455" w:right="3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For a description of our material license agreements, please see “Business—Intellectual Property” and “—Material Agreements.”</w:t>
      </w:r>
    </w:p>
    <w:p>
      <w:pPr>
        <w:spacing w:after="0" w:line="190"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and Change in Fair Value of Contingent Consideration</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3"/>
                <w:szCs w:val="13"/>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$ 24,552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25,899</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(393)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(14,168)</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(23,461)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(227)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(17,971)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(14,599)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(30,726)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(26,166)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 from our diagnostic tests and services that we provide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$17,315</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7,237</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1,467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12,339</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(3,004)</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24,552</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$9.3 million for the six months ended June 30, 2020 compared to $12.3 million for the six months ended June 30, 2019, a decrease of $3.0 million, or 24%.</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points due to the pandemic. As a result, revenue related to our non-COVID-19 diagnostic tests declined by $3.1 million in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when compared to the same period in 2019. These impacts were partially offset by the commercialization of two COVID-19 diagnostic tests.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impact of these changes was a $1.7 million reduction in diagnostic revenues during the six months ended June 30, 2020.</w:t>
      </w:r>
    </w:p>
    <w:p>
      <w:pPr>
        <w:spacing w:after="0" w:line="20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0"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$24.6 million for the year ended December 31, 2019 compared to $20.4 million for the year ended December 31, 2018, an increase of 20%.</w:t>
      </w:r>
    </w:p>
    <w:p>
      <w:pPr>
        <w:spacing w:after="0" w:line="16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 and Expenses</w:t>
      </w:r>
    </w:p>
    <w:p>
      <w:pPr>
        <w:spacing w:after="0" w:line="11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testing program in 2020.</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external costs related to the studies and development efforts for pipeline products, partially driven by slowdowns related to the COVID-19 pandemic.</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$10.5 million for the year ended December 31, 2019 compared to $8.2 million for the year ended December 31, 2018, an increase of $2.3 million, or 28%. This increase in research and development expense in 2019 was primarily driven by a $2.0 million increase in external costs consisting of $1.0 million for clinical trials, and $1.0 million for other research studies, supplies, and services. Internal costs increased by $0.2 million, of which less than 1% was stock-based compensation.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45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external and internal costs for the six months ended June 30, 2020 and 2019 and the years ended December 31, 2019 and 2018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$ 2,141</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$1,171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external costs</w:t>
            </w:r>
          </w:p>
        </w:tc>
        <w:tc>
          <w:tcPr>
            <w:tcW w:w="1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1,894</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3,784</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external costs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2,968</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2,033</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1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(168)</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vMerge w:val="continue"/>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5,007</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5,607</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10,468</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8,188</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31" w:lineRule="exact"/>
        <w:rPr>
          <w:sz w:val="20"/>
          <w:szCs w:val="20"/>
          <w:color w:val="auto"/>
        </w:rPr>
      </w:pPr>
    </w:p>
    <w:p>
      <w:pPr>
        <w:ind w:left="1000" w:right="2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and consultants;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117"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related benefits and stock-based compensation expense for employees engaged in research and development functions.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of and Change in Fair Value of Contingent Consideration</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76"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76"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cash flows for six months ended June 30, 2020 and 2019 and the years ended December 31,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7"/>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180"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76"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80"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76"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Payments due by period</w:t>
            </w:r>
            <w:r>
              <w:rPr>
                <w:rFonts w:ascii="Times New Roman" w:cs="Times New Roman" w:eastAsia="Times New Roman" w:hAnsi="Times New Roman"/>
                <w:sz w:val="12"/>
                <w:szCs w:val="12"/>
                <w:b w:val="1"/>
                <w:bCs w:val="1"/>
                <w:color w:val="auto"/>
              </w:rPr>
              <w:t>(5)</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20,541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accompanying balance sheets.</w:t>
      </w:r>
    </w:p>
    <w:p>
      <w:pPr>
        <w:spacing w:after="0" w:line="27"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subject to a 3% prepayment penalty. In addition, upon maturity, a 2% back-end facility fee of $460,000 is due to the lender.</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timing of such payments is uncertain.</w:t>
      </w:r>
    </w:p>
    <w:p>
      <w:pPr>
        <w:spacing w:after="0" w:line="207" w:lineRule="exact"/>
        <w:rPr>
          <w:sz w:val="20"/>
          <w:szCs w:val="20"/>
          <w:color w:val="auto"/>
        </w:rPr>
      </w:pPr>
    </w:p>
    <w:p>
      <w:pPr>
        <w:ind w:right="320" w:firstLine="449"/>
        <w:spacing w:after="0" w:line="257"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For a description of our other indebtedness, please see “Certain Relationships and Related Person Transactions—Convertible Debt Financings” and “Description of Capital Stock—Convertible Debt.”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8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00"/>
          </w:cols>
          <w:pgMar w:left="320" w:top="455" w:right="3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58"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for convertible debt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 and common stock valuation</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Starting January 1, 2019, upon adoption of Accounting Standards Update (ASU) 2018-07, Compensation—Stock Compensation</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(Topic 718),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8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76" w:lineRule="exact"/>
        <w:rPr>
          <w:sz w:val="20"/>
          <w:szCs w:val="20"/>
          <w:color w:val="auto"/>
        </w:rPr>
      </w:pPr>
    </w:p>
    <w:p>
      <w:pPr>
        <w:ind w:right="40" w:firstLine="449"/>
        <w:spacing w:after="0" w:line="312" w:lineRule="auto"/>
        <w:rPr>
          <w:sz w:val="20"/>
          <w:szCs w:val="20"/>
          <w:color w:val="auto"/>
        </w:rPr>
      </w:pPr>
      <w:r>
        <w:rPr>
          <w:rFonts w:ascii="Times New Roman" w:cs="Times New Roman" w:eastAsia="Times New Roman" w:hAnsi="Times New Roman"/>
          <w:sz w:val="17"/>
          <w:szCs w:val="17"/>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4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exercising reasonable judgment and considering numerous objective and subjective factors, including:</w:t>
      </w:r>
    </w:p>
    <w:p>
      <w:pPr>
        <w:spacing w:after="0" w:line="131"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common stock performed by independent third-party valuation specialists;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diagnostic testing sectors, as well as recently completed mergers and acquisitions of peer companies;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as a private company;</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medical device industry sectors.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94"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December 31,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92" w:lineRule="exact"/>
        <w:rPr>
          <w:sz w:val="20"/>
          <w:szCs w:val="20"/>
          <w:color w:val="auto"/>
        </w:rPr>
      </w:pPr>
    </w:p>
    <w:p>
      <w:pPr>
        <w:ind w:right="6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improve every patient’s lung disease care by empowering physicians with swift, comprehensive, and actionable insights.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 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9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5971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 – Clinical Unmet Needs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81" w:lineRule="exact"/>
        <w:rPr>
          <w:sz w:val="20"/>
          <w:szCs w:val="20"/>
          <w:color w:val="auto"/>
        </w:rPr>
      </w:pPr>
    </w:p>
    <w:p>
      <w:pPr>
        <w:ind w:left="1000" w:hanging="547"/>
        <w:spacing w:after="0" w:line="25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455"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line="257" w:lineRule="auto"/>
        <w:rPr>
          <w:sz w:val="20"/>
          <w:szCs w:val="20"/>
          <w:color w:val="auto"/>
        </w:rPr>
      </w:pPr>
      <w:r>
        <w:rPr>
          <w:rFonts w:ascii="Times New Roman" w:cs="Times New Roman" w:eastAsia="Times New Roman" w:hAnsi="Times New Roman"/>
          <w:sz w:val="18"/>
          <w:szCs w:val="18"/>
          <w:color w:val="auto"/>
        </w:rPr>
        <w:t xml:space="preserve">resulting in either </w:t>
      </w:r>
      <w:r>
        <w:rPr>
          <w:rFonts w:ascii="Times New Roman" w:cs="Times New Roman" w:eastAsia="Times New Roman" w:hAnsi="Times New Roman"/>
          <w:sz w:val="18"/>
          <w:szCs w:val="18"/>
          <w:i w:val="1"/>
          <w:iCs w:val="1"/>
          <w:color w:val="auto"/>
        </w:rPr>
        <w:t>overtreatment</w:t>
      </w:r>
      <w:r>
        <w:rPr>
          <w:rFonts w:ascii="Times New Roman" w:cs="Times New Roman" w:eastAsia="Times New Roman" w:hAnsi="Times New Roman"/>
          <w:sz w:val="18"/>
          <w:szCs w:val="18"/>
          <w:color w:val="auto"/>
        </w:rPr>
        <w:t xml:space="preserve"> of patients with benign nodules or </w:t>
      </w:r>
      <w:r>
        <w:rPr>
          <w:rFonts w:ascii="Times New Roman" w:cs="Times New Roman" w:eastAsia="Times New Roman" w:hAnsi="Times New Roman"/>
          <w:sz w:val="18"/>
          <w:szCs w:val="18"/>
          <w:i w:val="1"/>
          <w:iCs w:val="1"/>
          <w:color w:val="auto"/>
        </w:rPr>
        <w:t>undertreatment</w:t>
      </w:r>
      <w:r>
        <w:rPr>
          <w:rFonts w:ascii="Times New Roman" w:cs="Times New Roman" w:eastAsia="Times New Roman" w:hAnsi="Times New Roman"/>
          <w:sz w:val="18"/>
          <w:szCs w:val="18"/>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86" w:lineRule="exact"/>
        <w:rPr>
          <w:sz w:val="20"/>
          <w:szCs w:val="20"/>
          <w:color w:val="auto"/>
        </w:rPr>
      </w:pPr>
    </w:p>
    <w:p>
      <w:pPr>
        <w:ind w:left="1000" w:right="20" w:hanging="547"/>
        <w:spacing w:after="0" w:line="254"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 – Early Stage</w:t>
      </w:r>
      <w:r>
        <w:rPr>
          <w:rFonts w:ascii="Times New Roman" w:cs="Times New Roman" w:eastAsia="Times New Roman" w:hAnsi="Times New Roman"/>
          <w:sz w:val="18"/>
          <w:szCs w:val="18"/>
          <w:color w:val="auto"/>
        </w:rPr>
        <w:t>: We estimate that there are over 700,000 testing opportunities annually in the United States in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 – 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93" w:lineRule="exact"/>
        <w:rPr>
          <w:rFonts w:ascii="Times New Roman" w:cs="Times New Roman" w:eastAsia="Times New Roman" w:hAnsi="Times New Roman"/>
          <w:sz w:val="18"/>
          <w:szCs w:val="18"/>
          <w:color w:val="auto"/>
        </w:rPr>
      </w:pPr>
    </w:p>
    <w:p>
      <w:pPr>
        <w:ind w:left="1000" w:right="100" w:hanging="547"/>
        <w:spacing w:after="0" w:line="25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800,000 testing opportunities in the United States for blood-based tumor and immune profiling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jc w:val="both"/>
        <w:ind w:right="20" w:firstLine="449"/>
        <w:spacing w:after="0" w:line="267" w:lineRule="auto"/>
        <w:rPr>
          <w:sz w:val="20"/>
          <w:szCs w:val="20"/>
          <w:color w:val="auto"/>
        </w:rPr>
      </w:pPr>
      <w:r>
        <w:rPr>
          <w:rFonts w:ascii="Times New Roman" w:cs="Times New Roman" w:eastAsia="Times New Roman" w:hAnsi="Times New Roman"/>
          <w:sz w:val="18"/>
          <w:szCs w:val="18"/>
          <w:color w:val="auto"/>
        </w:rPr>
        <w:t>We estimate the biopharmaceutical biomarker testing and companion diagnostic market opportunity is $2 billion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85" w:lineRule="exact"/>
        <w:rPr>
          <w:sz w:val="20"/>
          <w:szCs w:val="20"/>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30"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7" w:lineRule="exact"/>
        <w:rPr>
          <w:rFonts w:ascii="Times New Roman" w:cs="Times New Roman" w:eastAsia="Times New Roman" w:hAnsi="Times New Roman"/>
          <w:sz w:val="18"/>
          <w:szCs w:val="18"/>
          <w:color w:val="auto"/>
        </w:rPr>
      </w:pPr>
    </w:p>
    <w:p>
      <w:pPr>
        <w:ind w:left="1440" w:right="320" w:hanging="433"/>
        <w:spacing w:after="0" w:line="282"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a long period of time. It is often difficult to meet enrollment goals for clinical trials with slow diagnostic testing turnaround times.</w:t>
      </w:r>
    </w:p>
    <w:p>
      <w:pPr>
        <w:spacing w:after="0" w:line="63" w:lineRule="exact"/>
        <w:rPr>
          <w:rFonts w:ascii="Times New Roman" w:cs="Times New Roman" w:eastAsia="Times New Roman" w:hAnsi="Times New Roman"/>
          <w:sz w:val="18"/>
          <w:szCs w:val="18"/>
          <w:color w:val="auto"/>
        </w:rPr>
      </w:pPr>
    </w:p>
    <w:p>
      <w:pPr>
        <w:ind w:left="1000" w:right="460" w:hanging="547"/>
        <w:spacing w:after="0" w:line="26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Companion Diagnostics (CDx): </w:t>
      </w:r>
      <w:r>
        <w:rPr>
          <w:rFonts w:ascii="Times New Roman" w:cs="Times New Roman" w:eastAsia="Times New Roman" w:hAnsi="Times New Roman"/>
          <w:sz w:val="18"/>
          <w:szCs w:val="18"/>
          <w:color w:val="auto"/>
        </w:rPr>
        <w:t>While developing companion diagnostics is critical to precision medicine, the promise of companion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0" w:lineRule="exact"/>
        <w:rPr>
          <w:rFonts w:ascii="Times New Roman" w:cs="Times New Roman" w:eastAsia="Times New Roman" w:hAnsi="Times New Roman"/>
          <w:sz w:val="18"/>
          <w:szCs w:val="18"/>
          <w:color w:val="auto"/>
        </w:rPr>
      </w:pPr>
    </w:p>
    <w:p>
      <w:pPr>
        <w:ind w:left="1440" w:right="80" w:hanging="433"/>
        <w:spacing w:after="0" w:line="282"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companion diagnostic agreements may fail to realize the full value of a testing opportunity, leading to difficulty in funding appropriate commercialization.</w:t>
      </w:r>
    </w:p>
    <w:p>
      <w:pPr>
        <w:spacing w:after="0" w:line="67" w:lineRule="exact"/>
        <w:rPr>
          <w:rFonts w:ascii="Times New Roman" w:cs="Times New Roman" w:eastAsia="Times New Roman" w:hAnsi="Times New Roman"/>
          <w:sz w:val="18"/>
          <w:szCs w:val="18"/>
          <w:color w:val="auto"/>
        </w:rPr>
      </w:pPr>
    </w:p>
    <w:p>
      <w:pPr>
        <w:ind w:left="1440" w:right="260" w:hanging="433"/>
        <w:spacing w:after="0" w:line="282"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companion diagnostics.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AI Platform</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76"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8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80"/>
          </w:cols>
          <w:pgMar w:left="320" w:top="455" w:right="3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8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691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1423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455" w:right="3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four blood-based diagnostic tests across the lung cancer continuum of care to help address clinical unmet needs by physicians.</w:t>
      </w:r>
    </w:p>
    <w:p>
      <w:pPr>
        <w:spacing w:after="0" w:line="248" w:lineRule="exact"/>
        <w:rPr>
          <w:sz w:val="20"/>
          <w:szCs w:val="20"/>
          <w:color w:val="auto"/>
        </w:rPr>
      </w:pPr>
    </w:p>
    <w:p>
      <w:pPr>
        <w:ind w:left="1000" w:right="60" w:hanging="547"/>
        <w:spacing w:after="0" w:line="259"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06" w:lineRule="exact"/>
        <w:rPr>
          <w:rFonts w:ascii="Times New Roman" w:cs="Times New Roman" w:eastAsia="Times New Roman" w:hAnsi="Times New Roman"/>
          <w:sz w:val="18"/>
          <w:szCs w:val="18"/>
          <w:color w:val="auto"/>
        </w:rPr>
      </w:pPr>
    </w:p>
    <w:p>
      <w:pPr>
        <w:ind w:left="1000" w:right="60" w:hanging="547"/>
        <w:spacing w:after="0" w:line="259"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imminent need for a blood-based testing solution that measures tumor-specific mutations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 profile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21170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150495</wp:posOffset>
            </wp:positionV>
            <wp:extent cx="5186045" cy="258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CDT</w:t>
      </w:r>
    </w:p>
    <w:p>
      <w:pPr>
        <w:spacing w:after="0" w:line="11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8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455"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74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XL2</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0"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circulation in the patient’s blood. The native proteins from which the peptides are derived, have been associated with an inflammatory response to cancer.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factors are patient age and smoking status, and radiological factors are nodule size, location, and edge characteristics.</w:t>
      </w:r>
    </w:p>
    <w:p>
      <w:pPr>
        <w:spacing w:after="0" w:line="20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492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455" w:right="3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GeneStrat</w:t>
      </w:r>
    </w:p>
    <w:p>
      <w:pPr>
        <w:spacing w:after="0" w:line="11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GeneStrat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 BRAF,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genes, whichever they deem medically necessary for the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80"/>
          </w:cols>
          <w:pgMar w:left="320" w:top="455" w:right="3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8543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VeriStrat</w:t>
      </w:r>
    </w:p>
    <w:p>
      <w:pPr>
        <w:spacing w:after="0" w:line="11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431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Biodesix WorkSafe COVID-19 Testing Program</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8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00"/>
          </w:cols>
          <w:pgMar w:left="320" w:top="455" w:right="3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Using the Bio-Rad SARS-CoV-2 ddPCR test and the Platelia SARS-CoV-2 Total Ab tests, we operate and have commercialized the Biodesix WorkSafe testing program.</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260" w:firstLine="449"/>
        <w:spacing w:after="0" w:line="256" w:lineRule="auto"/>
        <w:rPr>
          <w:sz w:val="20"/>
          <w:szCs w:val="20"/>
          <w:color w:val="auto"/>
        </w:rPr>
      </w:pPr>
      <w:r>
        <w:rPr>
          <w:rFonts w:ascii="Times New Roman" w:cs="Times New Roman" w:eastAsia="Times New Roman" w:hAnsi="Times New Roman"/>
          <w:sz w:val="18"/>
          <w:szCs w:val="18"/>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We also recently announced that we will oversee and manage onsite testing and validating testing for the Big Ten Conference athletic competitions. To date, we have not derived significant revenues from these partnerships.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455"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87" w:lineRule="exact"/>
        <w:rPr>
          <w:sz w:val="20"/>
          <w:szCs w:val="20"/>
          <w:color w:val="auto"/>
        </w:rPr>
      </w:pPr>
    </w:p>
    <w:p>
      <w:pPr>
        <w:ind w:right="40" w:firstLine="449"/>
        <w:spacing w:after="0" w:line="272" w:lineRule="auto"/>
        <w:rPr>
          <w:sz w:val="20"/>
          <w:szCs w:val="20"/>
          <w:color w:val="auto"/>
        </w:rPr>
      </w:pPr>
      <w:r>
        <w:rPr>
          <w:rFonts w:ascii="Times New Roman" w:cs="Times New Roman" w:eastAsia="Times New Roman" w:hAnsi="Times New Roman"/>
          <w:sz w:val="17"/>
          <w:szCs w:val="17"/>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86045" cy="2425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45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20" w:hanging="547"/>
        <w:spacing w:after="0" w:line="259"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84" w:lineRule="exact"/>
        <w:rPr>
          <w:rFonts w:ascii="Times New Roman" w:cs="Times New Roman" w:eastAsia="Times New Roman" w:hAnsi="Times New Roman"/>
          <w:sz w:val="18"/>
          <w:szCs w:val="18"/>
          <w:color w:val="auto"/>
        </w:rPr>
      </w:pPr>
    </w:p>
    <w:p>
      <w:pPr>
        <w:ind w:left="1000" w:right="20" w:hanging="547"/>
        <w:spacing w:after="0" w:line="273"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Genentech: </w:t>
      </w:r>
      <w:r>
        <w:rPr>
          <w:rFonts w:ascii="Times New Roman" w:cs="Times New Roman" w:eastAsia="Times New Roman" w:hAnsi="Times New Roman"/>
          <w:sz w:val="17"/>
          <w:szCs w:val="17"/>
          <w:color w:val="auto"/>
        </w:rPr>
        <w:t>We partnered with Genentech to discover a novel proteomic classifier for advanced NSCLC patients treated with atezolizumab.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76" w:lineRule="exact"/>
        <w:rPr>
          <w:rFonts w:ascii="Times New Roman" w:cs="Times New Roman" w:eastAsia="Times New Roman" w:hAnsi="Times New Roman"/>
          <w:sz w:val="17"/>
          <w:szCs w:val="17"/>
          <w:color w:val="auto"/>
        </w:rPr>
      </w:pPr>
    </w:p>
    <w:p>
      <w:pPr>
        <w:ind w:left="1000" w:right="120" w:hanging="547"/>
        <w:spacing w:after="0" w:line="259"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Merck KGaA &amp; Pfizer: </w:t>
      </w:r>
      <w:r>
        <w:rPr>
          <w:rFonts w:ascii="Times New Roman" w:cs="Times New Roman" w:eastAsia="Times New Roman" w:hAnsi="Times New Roman"/>
          <w:sz w:val="18"/>
          <w:szCs w:val="18"/>
          <w:color w:val="auto"/>
        </w:rPr>
        <w:t>We announced the initiation of a clinical phase development program for the anti-PD-L1 checkpoint inhibitor,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27" w:lineRule="exact"/>
        <w:rPr>
          <w:sz w:val="20"/>
          <w:szCs w:val="20"/>
          <w:color w:val="auto"/>
        </w:rPr>
      </w:pPr>
    </w:p>
    <w:p>
      <w:pPr>
        <w:ind w:left="1000" w:hanging="547"/>
        <w:spacing w:after="0" w:line="259"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4" w:lineRule="exact"/>
        <w:rPr>
          <w:rFonts w:ascii="Times New Roman" w:cs="Times New Roman" w:eastAsia="Times New Roman" w:hAnsi="Times New Roman"/>
          <w:sz w:val="18"/>
          <w:szCs w:val="18"/>
          <w:color w:val="auto"/>
        </w:rPr>
      </w:pPr>
    </w:p>
    <w:p>
      <w:pPr>
        <w:ind w:left="1000" w:right="320" w:hanging="547"/>
        <w:spacing w:after="0" w:line="26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data-driven approach to precision medicine combined with our biobank, which enables us to accelerate development of new tests. </w:t>
      </w:r>
      <w:r>
        <w:rPr>
          <w:rFonts w:ascii="Times New Roman" w:cs="Times New Roman" w:eastAsia="Times New Roman" w:hAnsi="Times New Roman"/>
          <w:sz w:val="18"/>
          <w:szCs w:val="18"/>
          <w:color w:val="auto"/>
        </w:rPr>
        <w:t>We have over 140,000 samples and data in our biobank, including tumor profiles and immune profiles, used for both internal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 research and development initiatives. Our biobank, clinical trials, commercial testing and other partnerships provide an ongoing source of new data that further enhances our proprietary AI platform. We are continuously</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60"/>
          </w:cols>
          <w:pgMar w:left="320" w:top="455" w:right="41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82" w:lineRule="auto"/>
        <w:rPr>
          <w:sz w:val="20"/>
          <w:szCs w:val="20"/>
          <w:color w:val="auto"/>
        </w:rPr>
      </w:pPr>
      <w:r>
        <w:rPr>
          <w:rFonts w:ascii="Times New Roman" w:cs="Times New Roman" w:eastAsia="Times New Roman" w:hAnsi="Times New Roman"/>
          <w:sz w:val="18"/>
          <w:szCs w:val="18"/>
          <w:color w:val="auto"/>
        </w:rPr>
        <w:t>identifying and incorporating new market insights and input from our customers, key opinion leaders, and scientific experts to leverage this data in developing our diagnostic tests.</w:t>
      </w:r>
    </w:p>
    <w:p>
      <w:pPr>
        <w:spacing w:after="0" w:line="63" w:lineRule="exact"/>
        <w:rPr>
          <w:sz w:val="20"/>
          <w:szCs w:val="20"/>
          <w:color w:val="auto"/>
        </w:rPr>
      </w:pPr>
    </w:p>
    <w:p>
      <w:pPr>
        <w:ind w:left="1000" w:right="200" w:hanging="547"/>
        <w:spacing w:after="0" w:line="28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leadership in clinical proteomics, demonstrated research, development, and scientific expertise, combined with our intellectual property portfolio.</w:t>
      </w:r>
    </w:p>
    <w:p>
      <w:pPr>
        <w:spacing w:after="0" w:line="64" w:lineRule="exact"/>
        <w:rPr>
          <w:rFonts w:ascii="Times New Roman" w:cs="Times New Roman" w:eastAsia="Times New Roman" w:hAnsi="Times New Roman"/>
          <w:sz w:val="18"/>
          <w:szCs w:val="18"/>
          <w:color w:val="auto"/>
        </w:rPr>
      </w:pPr>
    </w:p>
    <w:p>
      <w:pPr>
        <w:ind w:left="1440" w:right="120" w:hanging="433"/>
        <w:spacing w:after="0" w:line="266" w:lineRule="auto"/>
        <w:tabs>
          <w:tab w:leader="none" w:pos="14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1" w:lineRule="exact"/>
        <w:rPr>
          <w:rFonts w:ascii="Times New Roman" w:cs="Times New Roman" w:eastAsia="Times New Roman" w:hAnsi="Times New Roman"/>
          <w:sz w:val="18"/>
          <w:szCs w:val="18"/>
          <w:color w:val="auto"/>
        </w:rPr>
      </w:pPr>
    </w:p>
    <w:p>
      <w:pPr>
        <w:ind w:left="1440" w:right="40" w:hanging="433"/>
        <w:spacing w:after="0" w:line="261" w:lineRule="auto"/>
        <w:tabs>
          <w:tab w:leader="none" w:pos="14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and processes are protected by a portfolio of approximately 83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81" w:lineRule="exact"/>
        <w:rPr>
          <w:rFonts w:ascii="Times New Roman" w:cs="Times New Roman" w:eastAsia="Times New Roman" w:hAnsi="Times New Roman"/>
          <w:sz w:val="18"/>
          <w:szCs w:val="18"/>
          <w:color w:val="auto"/>
        </w:rPr>
      </w:pPr>
    </w:p>
    <w:p>
      <w:pPr>
        <w:ind w:left="1000" w:right="40" w:hanging="547"/>
        <w:spacing w:after="0" w:line="25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w:t>
      </w:r>
      <w:r>
        <w:rPr>
          <w:rFonts w:ascii="Times New Roman" w:cs="Times New Roman" w:eastAsia="Times New Roman" w:hAnsi="Times New Roman"/>
          <w:sz w:val="18"/>
          <w:szCs w:val="18"/>
          <w:color w:val="auto"/>
        </w:rPr>
        <w:t>With six diagnostic tests launched and three currently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84" w:lineRule="exact"/>
        <w:rPr>
          <w:rFonts w:ascii="Times New Roman" w:cs="Times New Roman" w:eastAsia="Times New Roman" w:hAnsi="Times New Roman"/>
          <w:sz w:val="18"/>
          <w:szCs w:val="18"/>
          <w:color w:val="auto"/>
        </w:rPr>
      </w:pPr>
    </w:p>
    <w:p>
      <w:pPr>
        <w:ind w:left="1000" w:right="280" w:hanging="547"/>
        <w:spacing w:after="0" w:line="25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84" w:lineRule="exact"/>
        <w:rPr>
          <w:rFonts w:ascii="Times New Roman" w:cs="Times New Roman" w:eastAsia="Times New Roman" w:hAnsi="Times New Roman"/>
          <w:sz w:val="18"/>
          <w:szCs w:val="18"/>
          <w:color w:val="auto"/>
        </w:rPr>
      </w:pPr>
    </w:p>
    <w:p>
      <w:pPr>
        <w:ind w:left="1000" w:right="160" w:hanging="547"/>
        <w:spacing w:after="0" w:line="25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 helps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3" w:lineRule="exact"/>
        <w:rPr>
          <w:sz w:val="20"/>
          <w:szCs w:val="20"/>
          <w:color w:val="auto"/>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34" w:lineRule="exact"/>
        <w:rPr>
          <w:rFonts w:ascii="Times New Roman" w:cs="Times New Roman" w:eastAsia="Times New Roman" w:hAnsi="Times New Roman"/>
          <w:sz w:val="18"/>
          <w:szCs w:val="18"/>
          <w:color w:val="auto"/>
        </w:rPr>
      </w:pPr>
    </w:p>
    <w:p>
      <w:pPr>
        <w:ind w:left="1440" w:right="620" w:hanging="433"/>
        <w:spacing w:after="0" w:line="282" w:lineRule="auto"/>
        <w:tabs>
          <w:tab w:leader="none" w:pos="14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7" w:lineRule="exact"/>
        <w:rPr>
          <w:rFonts w:ascii="Times New Roman" w:cs="Times New Roman" w:eastAsia="Times New Roman" w:hAnsi="Times New Roman"/>
          <w:sz w:val="18"/>
          <w:szCs w:val="18"/>
          <w:color w:val="auto"/>
        </w:rPr>
      </w:pPr>
    </w:p>
    <w:p>
      <w:pPr>
        <w:ind w:left="1440" w:right="260" w:hanging="433"/>
        <w:spacing w:after="0" w:line="312" w:lineRule="auto"/>
        <w:tabs>
          <w:tab w:leader="none" w:pos="14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30" w:lineRule="exact"/>
        <w:rPr>
          <w:rFonts w:ascii="Times New Roman" w:cs="Times New Roman" w:eastAsia="Times New Roman" w:hAnsi="Times New Roman"/>
          <w:sz w:val="18"/>
          <w:szCs w:val="18"/>
          <w:color w:val="auto"/>
        </w:rPr>
      </w:pPr>
    </w:p>
    <w:p>
      <w:pPr>
        <w:ind w:left="1440" w:right="2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30" w:lineRule="exact"/>
        <w:rPr>
          <w:rFonts w:ascii="Times New Roman" w:cs="Times New Roman" w:eastAsia="Times New Roman" w:hAnsi="Times New Roman"/>
          <w:sz w:val="18"/>
          <w:szCs w:val="18"/>
          <w:color w:val="auto"/>
        </w:rPr>
      </w:pPr>
    </w:p>
    <w:p>
      <w:pPr>
        <w:ind w:left="1440" w:right="18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companion diagnostic strategies and drug development projects best suited to our platform for new test discovery, development and commercialization.</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demonstrate the clinical utility and economic benefits of our diagnostic tests by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12"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Introduce new diagnostic tests in lung disease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right="78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7" w:lineRule="exact"/>
        <w:rPr>
          <w:rFonts w:ascii="Times New Roman" w:cs="Times New Roman" w:eastAsia="Times New Roman" w:hAnsi="Times New Roman"/>
          <w:sz w:val="18"/>
          <w:szCs w:val="18"/>
          <w:color w:val="auto"/>
        </w:rPr>
      </w:pPr>
    </w:p>
    <w:p>
      <w:pPr>
        <w:ind w:left="1440" w:right="22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67"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companion diagnostic tests to support the therapeutics’ regulatory approval and adoption process for our biopharmaceutical customers.</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R&amp;D capabilities to foster innovation in test discovery and development;</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 and</w:t>
      </w:r>
    </w:p>
    <w:p>
      <w:pPr>
        <w:spacing w:after="0" w:line="130" w:lineRule="exact"/>
        <w:rPr>
          <w:rFonts w:ascii="Times New Roman" w:cs="Times New Roman" w:eastAsia="Times New Roman" w:hAnsi="Times New Roman"/>
          <w:sz w:val="18"/>
          <w:szCs w:val="18"/>
          <w:color w:val="auto"/>
        </w:rPr>
      </w:pPr>
    </w:p>
    <w:p>
      <w:pPr>
        <w:ind w:left="1440" w:right="64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34" w:lineRule="exact"/>
        <w:rPr>
          <w:rFonts w:ascii="Times New Roman" w:cs="Times New Roman" w:eastAsia="Times New Roman" w:hAnsi="Times New Roman"/>
          <w:sz w:val="18"/>
          <w:szCs w:val="18"/>
          <w:b w:val="1"/>
          <w:bCs w:val="1"/>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30" w:lineRule="exact"/>
        <w:rPr>
          <w:rFonts w:ascii="Times New Roman" w:cs="Times New Roman" w:eastAsia="Times New Roman" w:hAnsi="Times New Roman"/>
          <w:sz w:val="18"/>
          <w:szCs w:val="18"/>
          <w:color w:val="auto"/>
        </w:rPr>
      </w:pPr>
    </w:p>
    <w:p>
      <w:pPr>
        <w:ind w:left="1440" w:right="6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80"/>
          </w:cols>
          <w:pgMar w:left="320" w:top="455" w:right="3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Current Landscape</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Lung cancer (both small cell and non-small cell) is the second most common cancer diagnosed in the United States with nearly 230,000 patients diagnosed each year. It is estimated that there is a 1 in 16 chance that an individual in the United States will develop lung cancer in their lifetime, leading to nearly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87" w:lineRule="exact"/>
        <w:rPr>
          <w:sz w:val="20"/>
          <w:szCs w:val="20"/>
          <w:color w:val="auto"/>
        </w:rPr>
      </w:pPr>
    </w:p>
    <w:p>
      <w:pPr>
        <w:jc w:val="both"/>
        <w:ind w:right="120" w:firstLine="449"/>
        <w:spacing w:after="0" w:line="258"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Over 1.6 million people are diagnosed with incidental pulmonary nodules annually in the United States. Incidental nodules are identified when a person is being evaluated for another medical concern, typically through 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451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3"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 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NSCLC Treatment Guidance</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Following confirmed diagnosis, the patient’s NSCLC is staged which helps the physician direct the patient to an appropriate treatment pathway. Unfortunately, less than half of the patients diagnosed with advanced stage disease live beyond one year post-diagnosis, with a median overall survival of 10.5 months. Additionally, it is estimated that these patients have a five-year survival of 6%. Meanwhile, five-year survival for patients diagnosed with early stage (typically stage I-IIIA) disease is 59%.</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455"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Early Stage NSCLC</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Stage NSCLC</w:t>
      </w:r>
    </w:p>
    <w:p>
      <w:pPr>
        <w:spacing w:after="0" w:line="121" w:lineRule="exact"/>
        <w:rPr>
          <w:sz w:val="20"/>
          <w:szCs w:val="20"/>
          <w:color w:val="auto"/>
        </w:rPr>
      </w:pPr>
    </w:p>
    <w:p>
      <w:pPr>
        <w:ind w:right="80" w:firstLine="449"/>
        <w:spacing w:after="0" w:line="289" w:lineRule="auto"/>
        <w:rPr>
          <w:sz w:val="20"/>
          <w:szCs w:val="20"/>
          <w:color w:val="auto"/>
        </w:rPr>
      </w:pPr>
      <w:r>
        <w:rPr>
          <w:rFonts w:ascii="Times New Roman" w:cs="Times New Roman" w:eastAsia="Times New Roman" w:hAnsi="Times New Roman"/>
          <w:sz w:val="17"/>
          <w:szCs w:val="17"/>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58"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 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8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Monitoring</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Cortex Artificial Intelligence Platform</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3"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76"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80"/>
          </w:cols>
          <w:pgMar w:left="320" w:top="455" w:right="3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Mass Spectrometry MS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PCR Platform</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for research and development both internally and externally with our biopharmaceutical customers and academic partners.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Validation Data</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CDT</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Nodify CDT has been studied in 14 peer reviewed published studies and presentations. Here we highlight an overview of one of our key peer-reviewed clinical validation papers.</w:t>
      </w:r>
    </w:p>
    <w:p>
      <w:pPr>
        <w:spacing w:after="0" w:line="65" w:lineRule="exact"/>
        <w:rPr>
          <w:sz w:val="20"/>
          <w:szCs w:val="20"/>
          <w:color w:val="auto"/>
        </w:rPr>
      </w:pPr>
    </w:p>
    <w:p>
      <w:pPr>
        <w:ind w:left="1000" w:right="60" w:hanging="547"/>
        <w:spacing w:after="0" w:line="25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Healey GF, J Cancer Ther 2017</w:t>
      </w:r>
      <w:r>
        <w:rPr>
          <w:rFonts w:ascii="Times New Roman" w:cs="Times New Roman" w:eastAsia="Times New Roman" w:hAnsi="Times New Roman"/>
          <w:sz w:val="18"/>
          <w:szCs w:val="18"/>
          <w:color w:val="auto"/>
        </w:rPr>
        <w:t>: In this study, the objective was to assess the clinical test performance of Nodify CDT (previously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XL2</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Nodify XL2 has been studied in 12 peer reviewed published studies and presentations. Here we highlight an overview of two of our key peer-reviewed clinical validation papers.</w:t>
      </w:r>
    </w:p>
    <w:p>
      <w:pPr>
        <w:spacing w:after="0" w:line="65" w:lineRule="exact"/>
        <w:rPr>
          <w:sz w:val="20"/>
          <w:szCs w:val="20"/>
          <w:color w:val="auto"/>
        </w:rPr>
      </w:pPr>
    </w:p>
    <w:p>
      <w:pPr>
        <w:ind w:left="1000" w:hanging="547"/>
        <w:spacing w:after="0" w:line="25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Silvestri G, CHEST, 2018 (PANOPTIC)</w:t>
      </w:r>
      <w:r>
        <w:rPr>
          <w:rFonts w:ascii="Times New Roman" w:cs="Times New Roman" w:eastAsia="Times New Roman" w:hAnsi="Times New Roman"/>
          <w:sz w:val="18"/>
          <w:szCs w:val="18"/>
          <w:color w:val="auto"/>
        </w:rPr>
        <w:t>: In the prospective, multicenter PANOPTIC clinical study, the test demonstrated a sensitivity of 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specificity of 44% and a negative predictive value of 98% in 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88" w:lineRule="exact"/>
        <w:rPr>
          <w:rFonts w:ascii="Times New Roman" w:cs="Times New Roman" w:eastAsia="Times New Roman" w:hAnsi="Times New Roman"/>
          <w:sz w:val="18"/>
          <w:szCs w:val="18"/>
          <w:color w:val="auto"/>
        </w:rPr>
      </w:pPr>
    </w:p>
    <w:p>
      <w:pPr>
        <w:ind w:left="1000" w:right="100" w:hanging="547"/>
        <w:spacing w:after="0" w:line="25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Pritchett M, Am J Respir Crit Care Med, 2020: </w:t>
      </w:r>
      <w:r>
        <w:rPr>
          <w:rFonts w:ascii="Times New Roman" w:cs="Times New Roman" w:eastAsia="Times New Roman" w:hAnsi="Times New Roman"/>
          <w:sz w:val="18"/>
          <w:szCs w:val="18"/>
          <w:color w:val="auto"/>
        </w:rPr>
        <w:t>Preliminary results from the ORACLE registry study were accepted as a late breaking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GeneStrat</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GeneStrat has been studied in 30 peer reviewed published studies and presentations. Here we highlight an overview of one of our key peer-reviewed clinical validation papers.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right="40" w:hanging="547"/>
        <w:spacing w:after="0" w:line="257"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Mellert H, J Mol Diagn, 2017</w:t>
      </w:r>
      <w:r>
        <w:rPr>
          <w:rFonts w:ascii="Times New Roman" w:cs="Times New Roman" w:eastAsia="Times New Roman" w:hAnsi="Times New Roman"/>
          <w:sz w:val="18"/>
          <w:szCs w:val="18"/>
          <w:color w:val="auto"/>
        </w:rPr>
        <w:t>: This study highlights the clinical validation data for the targetable mutations (EGFR, KRAS, ALK)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VeriStrat</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87" w:lineRule="exact"/>
        <w:rPr>
          <w:sz w:val="20"/>
          <w:szCs w:val="20"/>
          <w:color w:val="auto"/>
        </w:rPr>
      </w:pPr>
    </w:p>
    <w:p>
      <w:pPr>
        <w:ind w:left="1000" w:right="120" w:hanging="547"/>
        <w:spacing w:after="0" w:line="25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Leal T, Curr Med Res Opin, 2020</w:t>
      </w:r>
      <w:r>
        <w:rPr>
          <w:rFonts w:ascii="Times New Roman" w:cs="Times New Roman" w:eastAsia="Times New Roman" w:hAnsi="Times New Roman"/>
          <w:sz w:val="18"/>
          <w:szCs w:val="18"/>
          <w:color w:val="auto"/>
        </w:rPr>
        <w:t>: Timely assessment of patient-specific prognosis is critical to oncology care, however clinical prognostic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88" w:lineRule="exact"/>
        <w:rPr>
          <w:rFonts w:ascii="Times New Roman" w:cs="Times New Roman" w:eastAsia="Times New Roman" w:hAnsi="Times New Roman"/>
          <w:sz w:val="18"/>
          <w:szCs w:val="18"/>
          <w:color w:val="auto"/>
        </w:rPr>
      </w:pPr>
    </w:p>
    <w:p>
      <w:pPr>
        <w:ind w:left="1000" w:right="220" w:hanging="547"/>
        <w:spacing w:after="0" w:line="25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Mitchell BR, J Clin Oncol, 2020</w:t>
      </w:r>
      <w:r>
        <w:rPr>
          <w:rFonts w:ascii="Times New Roman" w:cs="Times New Roman" w:eastAsia="Times New Roman" w:hAnsi="Times New Roman"/>
          <w:sz w:val="18"/>
          <w:szCs w:val="18"/>
          <w:color w:val="auto"/>
        </w:rPr>
        <w:t>: Recently, we published data at the American Society of Clinical Oncology 2020 virtual meeting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analysis from the INSIGHT clinical study. The data 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Biodesix WorkSafe COVID-19 Testing Program</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Here we highlight an overview of one of the recent publications on ddPCR testing for SARS-CoV-2:</w:t>
      </w:r>
    </w:p>
    <w:p>
      <w:pPr>
        <w:spacing w:after="0" w:line="129" w:lineRule="exact"/>
        <w:rPr>
          <w:sz w:val="20"/>
          <w:szCs w:val="20"/>
          <w:color w:val="auto"/>
        </w:rPr>
      </w:pPr>
    </w:p>
    <w:p>
      <w:pPr>
        <w:ind w:left="1000" w:hanging="547"/>
        <w:spacing w:after="0" w:line="28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Suo T, Emerging Microbes &amp; Infections, 2020: </w:t>
      </w:r>
      <w:r>
        <w:rPr>
          <w:rFonts w:ascii="Times New Roman" w:cs="Times New Roman" w:eastAsia="Times New Roman" w:hAnsi="Times New Roman"/>
          <w:sz w:val="18"/>
          <w:szCs w:val="18"/>
          <w:color w:val="auto"/>
        </w:rPr>
        <w:t>Quantitative real time PCR (RT-PCR) is widely used as the gold standard for clinical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SARS-CoV-2. However, due to the low viral load specimens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455" w:right="3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 and reported results derived from independently developed testing from a different ddPCR testing product than the Bio-Rad SARS-CoV-2 ddPCR test.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The sample size used for the clinical evaluation study of the test was 40, and included 20 negative specimens and 20 positive clinical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(49/50) (95% confidence interval (89.5%-99.7%)) and specificity is 99.3% (596/600) (95% confidence interval (98.3%-99.7%)) eight days after the onset of symptoms.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Studies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#1: Catching Cancer Earlier with Nodify CDT</w:t>
      </w:r>
    </w:p>
    <w:p>
      <w:pPr>
        <w:spacing w:after="0" w:line="115" w:lineRule="exact"/>
        <w:rPr>
          <w:sz w:val="20"/>
          <w:szCs w:val="20"/>
          <w:color w:val="auto"/>
        </w:rPr>
      </w:pPr>
    </w:p>
    <w:p>
      <w:pPr>
        <w:ind w:left="460" w:right="40" w:firstLine="431"/>
        <w:spacing w:after="0" w:line="262"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Appropriate management of patients with incidentally discovered lung nodules must balance between the need to identify malignant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68" w:lineRule="exact"/>
        <w:rPr>
          <w:sz w:val="20"/>
          <w:szCs w:val="20"/>
          <w:color w:val="auto"/>
        </w:rPr>
      </w:pPr>
    </w:p>
    <w:p>
      <w:pPr>
        <w:ind w:left="4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64-year-old female presented for medical attention after falling on her right side. A chest X-ray showing a spot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#2: Avoiding Unnecessary Procedures with Nodify XL2</w:t>
      </w:r>
    </w:p>
    <w:p>
      <w:pPr>
        <w:spacing w:after="0" w:line="115" w:lineRule="exact"/>
        <w:rPr>
          <w:sz w:val="20"/>
          <w:szCs w:val="20"/>
          <w:color w:val="auto"/>
        </w:rPr>
      </w:pPr>
    </w:p>
    <w:p>
      <w:pPr>
        <w:jc w:val="both"/>
        <w:ind w:left="460" w:right="420" w:firstLine="431"/>
        <w:spacing w:after="0" w:line="268"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Traditional diagnostic risk assessment and testing indicated that this patient had a higher risk of malignancy, but because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health condition, a biopsy was not preferred. A 6% post-Nodify XL2 risk of malignancy result led the physician and patient to make a shared decision to monitor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720"/>
        <w:spacing w:after="0" w:line="282" w:lineRule="auto"/>
        <w:rPr>
          <w:sz w:val="20"/>
          <w:szCs w:val="20"/>
          <w:color w:val="auto"/>
        </w:rPr>
      </w:pPr>
      <w:r>
        <w:rPr>
          <w:rFonts w:ascii="Times New Roman" w:cs="Times New Roman" w:eastAsia="Times New Roman" w:hAnsi="Times New Roman"/>
          <w:sz w:val="18"/>
          <w:szCs w:val="18"/>
          <w:color w:val="auto"/>
        </w:rPr>
        <w:t>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50" w:lineRule="exact"/>
        <w:rPr>
          <w:sz w:val="20"/>
          <w:szCs w:val="20"/>
          <w:color w:val="auto"/>
        </w:rPr>
      </w:pPr>
    </w:p>
    <w:p>
      <w:pPr>
        <w:ind w:left="460" w:right="100" w:firstLine="431"/>
        <w:spacing w:after="0" w:line="255"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74-year-old male with severe chronic obstructive pulmonary disease (COPD) presented for medical evaluation.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#3: Biodesix Lung Reflex Results Changed Patient’s Cancer Treatment Plan</w:t>
      </w:r>
    </w:p>
    <w:p>
      <w:pPr>
        <w:spacing w:after="0" w:line="115" w:lineRule="exact"/>
        <w:rPr>
          <w:sz w:val="20"/>
          <w:szCs w:val="20"/>
          <w:color w:val="auto"/>
        </w:rPr>
      </w:pPr>
    </w:p>
    <w:p>
      <w:pPr>
        <w:ind w:left="460" w:right="40" w:firstLine="431"/>
        <w:spacing w:after="0" w:line="257"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It is important for physicians to have a holistic view of each patient’s dynamic disease state to make more informed patient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Prior to receiving Biodesix Lung Reflex results, the physician was considering putting the patient on single agent immunotherapy due to her high PD-L1 expression status and potential for less treatment-related adverse events. The patient’s GeneStrat result came back negative for driver mutations, indicating to the physician that the patient was eligible for immunotherapy regimens. However, the patient’s VeriStrat Poor result identified the need to expedite time to treatment and be more aggressive, leading to the physician changing his initial treatment recommendation to a combination immunotherapy and chemotherapy regimen. The patient has been alive for over 18 months.</w:t>
      </w:r>
    </w:p>
    <w:p>
      <w:pPr>
        <w:spacing w:after="0" w:line="74" w:lineRule="exact"/>
        <w:rPr>
          <w:sz w:val="20"/>
          <w:szCs w:val="20"/>
          <w:color w:val="auto"/>
        </w:rPr>
      </w:pPr>
    </w:p>
    <w:p>
      <w:pPr>
        <w:ind w:left="4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55-year-old female presented to the clinic with a cough, fever, and chest pain. The patient was a former smoker who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quit over a year ago. Imaging identified multiple lung lesions and metastases, including in the brain, and was staged as stage IV adenocarcinoma. The physician advised the patient of her potential eligibility for single agent immunotherapy based on her high PD-L1 expression status (PD-L1&gt;50%), but wanted to order molecular testing to confirm. A blood sample was collected for Biodesix Lung Reflex testing. The GeneStrat test result was mutation negative and the VeriStrat test result was Poor. The VeriStrat results lead to the physician changing his initial treatment recommendation to a more aggressive combination immunotherapy and chemotherapy regimen, which has been successful for the patient who has been alive for over 18 months.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#4: First Do No Harm – Biodesix Lung Reflex Supports Shared Decision Making</w:t>
      </w:r>
    </w:p>
    <w:p>
      <w:pPr>
        <w:spacing w:after="0" w:line="115" w:lineRule="exact"/>
        <w:rPr>
          <w:sz w:val="20"/>
          <w:szCs w:val="20"/>
          <w:color w:val="auto"/>
        </w:rPr>
      </w:pPr>
    </w:p>
    <w:p>
      <w:pPr>
        <w:ind w:left="46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Lung cancer is a deadly disease, and often patients with advanced disease on average live about 10 months. In this case, an elderly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1" w:lineRule="exact"/>
        <w:rPr>
          <w:sz w:val="20"/>
          <w:szCs w:val="20"/>
          <w:color w:val="auto"/>
        </w:rPr>
      </w:pPr>
    </w:p>
    <w:p>
      <w:pPr>
        <w:ind w:left="460" w:firstLine="431"/>
        <w:spacing w:after="0" w:line="257"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92-year-old female presented with back and chest pain and recent difficulty breathing. The patient had also lost 8 to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Early Stage NSCLC—Risk of Recurrence</w:t>
      </w:r>
    </w:p>
    <w:p>
      <w:pPr>
        <w:spacing w:after="0" w:line="11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Late Stage NSCLC—Immunotherapy Treatment Guidance</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Monitoring – Progression &amp; Resistance</w:t>
      </w:r>
    </w:p>
    <w:p>
      <w:pPr>
        <w:spacing w:after="0" w:line="11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00"/>
          </w:cols>
          <w:pgMar w:left="320" w:top="455" w:right="3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BEACON-Lung Clinical Study (Pending IRB Submission)</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5" w:right="3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87"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76"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83"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94"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 Payers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80"/>
          </w:cols>
          <w:pgMar w:left="320" w:top="455" w:right="3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 xml:space="preserve">Novitas Solutions, the MAC responsible for developing coverage policies for tests performed in the region that includes our Boulder, Colorado clinical laboratory, issued a final LCD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gene mutation status is either wild type (negative) or mutation status unknown. The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LCD also includes coverage for the genes in the GeneStrat test for patients with non-small cell lung cancer.</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83"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7"/>
          <w:szCs w:val="17"/>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 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64"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76" w:lineRule="exact"/>
        <w:rPr>
          <w:sz w:val="20"/>
          <w:szCs w:val="20"/>
          <w:color w:val="auto"/>
        </w:rPr>
      </w:pPr>
    </w:p>
    <w:p>
      <w:pPr>
        <w:ind w:right="960" w:firstLine="449"/>
        <w:spacing w:after="0" w:line="282" w:lineRule="auto"/>
        <w:rPr>
          <w:sz w:val="20"/>
          <w:szCs w:val="20"/>
          <w:color w:val="auto"/>
        </w:rPr>
      </w:pPr>
      <w:r>
        <w:rPr>
          <w:rFonts w:ascii="Times New Roman" w:cs="Times New Roman" w:eastAsia="Times New Roman" w:hAnsi="Times New Roman"/>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Commercial Third-Party Payers</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We are actively engaged in efforts to achieve broad coverage and adequate reimbursement for all of our marketed tests. Reimbursement from commercial payers differs depending on if they have established coverage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80" w:lineRule="exact"/>
        <w:rPr>
          <w:sz w:val="20"/>
          <w:szCs w:val="20"/>
          <w:color w:val="auto"/>
        </w:rPr>
      </w:pPr>
    </w:p>
    <w:p>
      <w:pPr>
        <w:jc w:val="both"/>
        <w:ind w:right="140" w:firstLine="449"/>
        <w:spacing w:after="0" w:line="312" w:lineRule="auto"/>
        <w:rPr>
          <w:sz w:val="20"/>
          <w:szCs w:val="20"/>
          <w:color w:val="auto"/>
        </w:rPr>
      </w:pPr>
      <w:r>
        <w:rPr>
          <w:rFonts w:ascii="Times New Roman" w:cs="Times New Roman" w:eastAsia="Times New Roman" w:hAnsi="Times New Roman"/>
          <w:sz w:val="17"/>
          <w:szCs w:val="17"/>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40"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Prognosis, Treatment Guidance and Monitoring—NSCLC</w:t>
      </w:r>
    </w:p>
    <w:p>
      <w:pPr>
        <w:spacing w:after="0" w:line="121"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7"/>
          <w:szCs w:val="17"/>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Testing</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455" w:right="3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8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diagnostic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and we acquired a patent portfolio relating to the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developed by Bio-Rad and which we employ in our GeneStrat test.</w:t>
      </w:r>
    </w:p>
    <w:p>
      <w:pPr>
        <w:spacing w:after="0" w:line="187"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For more information regarding this license and supply agreement, please see “—Material Agreements—Agreements with Bio-Rad.”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assay and Platelia SARS-CoV-2 Total Ab assay for commercial diagnostic services. For more information regarding the permission granted to us by Bio-Rad with respect to such tests, please see “Business—Material Agreements—Agreements with Bio-Rad.” We are unaware of patents owned by Bio-Rad relating to its COVID-19 antibody test but acknowledge that Bio-Rad has know-how and trade secrets relating to this assay.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technologies and our approaches to using mass shot matrix-assisted laser desorption time of flight (MALDI-TOF) technology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techniques). Additionally, our first device patent was issued in 2019 for our internally designed blood collection device.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455"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As of October 21, 2020, our patent portfolio includes approximately 48 issued United States patents, 35 issued foreign patents, which includes 2 European patents that were nationalized in multiple European countries, and 38 pending applications (including 1 PCT applications and 23 foreign patent applications). With regard to our product development efforts, PCT applications have been filed around our risk of recurrence and primary immunoresistance tests.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30" w:lineRule="exact"/>
        <w:rPr>
          <w:rFonts w:ascii="Times New Roman" w:cs="Times New Roman" w:eastAsia="Times New Roman" w:hAnsi="Times New Roman"/>
          <w:sz w:val="18"/>
          <w:szCs w:val="18"/>
          <w:color w:val="auto"/>
        </w:rPr>
      </w:pPr>
    </w:p>
    <w:p>
      <w:pPr>
        <w:ind w:left="1000" w:right="840" w:hanging="372"/>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using the Diagnostic Cortex and DeepMALDI technologies;</w:t>
      </w:r>
    </w:p>
    <w:p>
      <w:pPr>
        <w:spacing w:after="0" w:line="67"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adjustment to the term of any of our patents. As a result, our owned and licensed patent portfolio may not provide us with sufficient rights to exclude others from commercializing products similar or identical to ours.</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0" w:lineRule="exact"/>
        <w:rPr>
          <w:sz w:val="20"/>
          <w:szCs w:val="20"/>
          <w:color w:val="auto"/>
        </w:rPr>
      </w:pPr>
    </w:p>
    <w:p>
      <w:pPr>
        <w:ind w:right="240" w:firstLine="449"/>
        <w:spacing w:after="0" w:line="273" w:lineRule="auto"/>
        <w:rPr>
          <w:sz w:val="20"/>
          <w:szCs w:val="20"/>
          <w:color w:val="auto"/>
        </w:rPr>
      </w:pPr>
      <w:r>
        <w:rPr>
          <w:rFonts w:ascii="Times New Roman" w:cs="Times New Roman" w:eastAsia="Times New Roman" w:hAnsi="Times New Roman"/>
          <w:sz w:val="17"/>
          <w:szCs w:val="17"/>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rely on trade secrets, including know how, confidential information, unpatented technologies and other proprietary information, to</w:t>
      </w:r>
    </w:p>
    <w:p>
      <w:pPr>
        <w:spacing w:after="0" w:line="27" w:lineRule="exact"/>
        <w:rPr>
          <w:sz w:val="20"/>
          <w:szCs w:val="20"/>
          <w:color w:val="auto"/>
        </w:rPr>
      </w:pPr>
    </w:p>
    <w:p>
      <w:pPr>
        <w:ind w:right="20" w:firstLine="8"/>
        <w:spacing w:after="0" w:line="25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9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94" w:lineRule="exact"/>
        <w:rPr>
          <w:sz w:val="20"/>
          <w:szCs w:val="20"/>
          <w:color w:val="auto"/>
        </w:rPr>
      </w:pPr>
    </w:p>
    <w:p>
      <w:pPr>
        <w:ind w:left="1000" w:right="100" w:hanging="547"/>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79" w:lineRule="exact"/>
        <w:rPr>
          <w:rFonts w:ascii="Times New Roman" w:cs="Times New Roman" w:eastAsia="Times New Roman" w:hAnsi="Times New Roman"/>
          <w:sz w:val="18"/>
          <w:szCs w:val="18"/>
          <w:color w:val="auto"/>
        </w:rPr>
      </w:pPr>
    </w:p>
    <w:p>
      <w:pPr>
        <w:ind w:left="1000" w:hanging="547"/>
        <w:spacing w:after="0" w:line="25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2014, the FDA issued two draft guidance documents: </w:t>
      </w:r>
      <w:r>
        <w:rPr>
          <w:rFonts w:ascii="Times New Roman" w:cs="Times New Roman" w:eastAsia="Times New Roman" w:hAnsi="Times New Roman"/>
          <w:sz w:val="18"/>
          <w:szCs w:val="18"/>
          <w:i w:val="1"/>
          <w:iCs w:val="1"/>
          <w:color w:val="auto"/>
        </w:rPr>
        <w:t>Framework for Regulatory Oversight of Laboratory Developed Tests</w:t>
      </w:r>
      <w:r>
        <w:rPr>
          <w:rFonts w:ascii="Times New Roman" w:cs="Times New Roman" w:eastAsia="Times New Roman" w:hAnsi="Times New Roman"/>
          <w:sz w:val="18"/>
          <w:szCs w:val="18"/>
          <w:color w:val="auto"/>
        </w:rPr>
        <w:t xml:space="preserve">, which provided an overview of how the FDA would regulate LDTs through a risk-based approach, and </w:t>
      </w:r>
      <w:r>
        <w:rPr>
          <w:rFonts w:ascii="Times New Roman" w:cs="Times New Roman" w:eastAsia="Times New Roman" w:hAnsi="Times New Roman"/>
          <w:sz w:val="18"/>
          <w:szCs w:val="18"/>
          <w:i w:val="1"/>
          <w:iCs w:val="1"/>
          <w:color w:val="auto"/>
        </w:rPr>
        <w:t>FDA Notification and Medical Device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for Laboratory Developed Tests</w:t>
      </w:r>
      <w:r>
        <w:rPr>
          <w:rFonts w:ascii="Times New Roman" w:cs="Times New Roman" w:eastAsia="Times New Roman" w:hAnsi="Times New Roman"/>
          <w:sz w:val="18"/>
          <w:szCs w:val="18"/>
          <w:color w:val="auto"/>
        </w:rPr>
        <w:t>, which provided guidance on how the FDA intends to collect information on existing LDTs,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89"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67" w:lineRule="exact"/>
        <w:rPr>
          <w:rFonts w:ascii="Times New Roman" w:cs="Times New Roman" w:eastAsia="Times New Roman" w:hAnsi="Times New Roman"/>
          <w:sz w:val="18"/>
          <w:szCs w:val="18"/>
          <w:color w:val="auto"/>
        </w:rPr>
      </w:pPr>
    </w:p>
    <w:p>
      <w:pPr>
        <w:ind w:left="1000" w:right="220" w:hanging="547"/>
        <w:spacing w:after="0" w:line="261"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85"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draft Diagnostic Accuracy and Innovation Act (DAIA) was introduced and outlined a regulatory approach for IVCT tests, i.e., IVDs and LDTs, that was risk-based and flexible.</w:t>
      </w:r>
    </w:p>
    <w:p>
      <w:pPr>
        <w:spacing w:after="0" w:line="67"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2017, the FDA issued a document describing 20 case studies of LDTs that raised concerns about the safety and efficacy of this category of tests.</w:t>
      </w:r>
    </w:p>
    <w:p>
      <w:pPr>
        <w:spacing w:after="0" w:line="67" w:lineRule="exact"/>
        <w:rPr>
          <w:rFonts w:ascii="Times New Roman" w:cs="Times New Roman" w:eastAsia="Times New Roman" w:hAnsi="Times New Roman"/>
          <w:sz w:val="18"/>
          <w:szCs w:val="18"/>
          <w:color w:val="auto"/>
        </w:rPr>
      </w:pPr>
    </w:p>
    <w:p>
      <w:pPr>
        <w:ind w:left="1000" w:right="340" w:hanging="547"/>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1" w:lineRule="exact"/>
        <w:rPr>
          <w:rFonts w:ascii="Times New Roman" w:cs="Times New Roman" w:eastAsia="Times New Roman" w:hAnsi="Times New Roman"/>
          <w:sz w:val="18"/>
          <w:szCs w:val="18"/>
          <w:color w:val="auto"/>
        </w:rPr>
      </w:pPr>
    </w:p>
    <w:p>
      <w:pPr>
        <w:ind w:left="1000" w:right="40" w:hanging="547"/>
        <w:spacing w:after="0" w:line="25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92"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identical versions of the VALID Act were introduced in both chambers of Congress.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2020, HHS announced a new policy determining that FDA must engage in notice-and-comment rulemaking before requiring premarket review of LDTs.</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Emergency Use Authorization</w:t>
      </w:r>
    </w:p>
    <w:p>
      <w:pPr>
        <w:spacing w:after="0" w:line="121" w:lineRule="exact"/>
        <w:rPr>
          <w:sz w:val="20"/>
          <w:szCs w:val="20"/>
          <w:color w:val="auto"/>
        </w:rPr>
      </w:pPr>
    </w:p>
    <w:p>
      <w:pPr>
        <w:ind w:right="440" w:firstLine="449"/>
        <w:spacing w:after="0" w:line="266" w:lineRule="auto"/>
        <w:rPr>
          <w:sz w:val="20"/>
          <w:szCs w:val="20"/>
          <w:color w:val="auto"/>
        </w:rPr>
      </w:pPr>
      <w:r>
        <w:rPr>
          <w:rFonts w:ascii="Times New Roman" w:cs="Times New Roman" w:eastAsia="Times New Roman" w:hAnsi="Times New Roman"/>
          <w:sz w:val="18"/>
          <w:szCs w:val="18"/>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76" w:lineRule="exact"/>
        <w:rPr>
          <w:sz w:val="20"/>
          <w:szCs w:val="20"/>
          <w:color w:val="auto"/>
        </w:rPr>
      </w:pPr>
    </w:p>
    <w:p>
      <w:pPr>
        <w:jc w:val="both"/>
        <w:ind w:right="520" w:firstLine="449"/>
        <w:spacing w:after="0" w:line="266" w:lineRule="auto"/>
        <w:rPr>
          <w:sz w:val="20"/>
          <w:szCs w:val="20"/>
          <w:color w:val="auto"/>
        </w:rPr>
      </w:pPr>
      <w:r>
        <w:rPr>
          <w:rFonts w:ascii="Times New Roman" w:cs="Times New Roman" w:eastAsia="Times New Roman" w:hAnsi="Times New Roman"/>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While this emergency declaration is effective, the FDA may authorize the use of an unapproved product or an unapproved use of an approved product if it concludes that:</w:t>
      </w:r>
    </w:p>
    <w:p>
      <w:pPr>
        <w:spacing w:after="0" w:line="67" w:lineRule="exact"/>
        <w:rPr>
          <w:sz w:val="20"/>
          <w:szCs w:val="20"/>
          <w:color w:val="auto"/>
        </w:rPr>
      </w:pPr>
    </w:p>
    <w:p>
      <w:pPr>
        <w:ind w:left="1000" w:hanging="54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referred to in the emergency declaration could cause a serious or life-threatening disease or condition;</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67"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adequate, approved, and available alternative to the authorized product for diagnosing, preventing, or treating the relevant disease or condition;</w:t>
      </w:r>
    </w:p>
    <w:p>
      <w:pPr>
        <w:spacing w:after="0" w:line="6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criteria prescribed by the FDA is satisfied. </w:t>
      </w: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 xml:space="preserve"> § 360bbb-3(c).</w:t>
      </w:r>
    </w:p>
    <w:p>
      <w:pPr>
        <w:spacing w:after="0" w:line="22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87"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certification under CLIA certificate of accreditation by CAP. The Boulder, Colorado clinical laboratory most recently passed its CAP inspection in February 2019.</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8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87" w:lineRule="exact"/>
        <w:rPr>
          <w:sz w:val="20"/>
          <w:szCs w:val="20"/>
          <w:color w:val="auto"/>
        </w:rPr>
      </w:pPr>
    </w:p>
    <w:p>
      <w:pPr>
        <w:ind w:right="200" w:firstLine="449"/>
        <w:spacing w:after="0" w:line="274" w:lineRule="auto"/>
        <w:rPr>
          <w:sz w:val="20"/>
          <w:szCs w:val="20"/>
          <w:color w:val="auto"/>
        </w:rPr>
      </w:pPr>
      <w:r>
        <w:rPr>
          <w:rFonts w:ascii="Times New Roman" w:cs="Times New Roman" w:eastAsia="Times New Roman" w:hAnsi="Times New Roman"/>
          <w:sz w:val="17"/>
          <w:szCs w:val="17"/>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7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regulations specific to medical devices are wide ranging and govern, among other things:</w:t>
      </w:r>
    </w:p>
    <w:p>
      <w:pPr>
        <w:spacing w:after="0" w:line="112" w:lineRule="exact"/>
        <w:rPr>
          <w:sz w:val="20"/>
          <w:szCs w:val="20"/>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3"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88"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76"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8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Alternatively, the FDA also allows the submission of a direct de novo petition. This procedure allows a manufacturer whose novel device is automatically classified into Class III to request down-classification of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45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8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7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3"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8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7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0"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passed, such laws may have potentially conflicting requirements that could continue to make compliance challenging and costly.</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3"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3"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Times New Roman" w:cs="Times New Roman" w:eastAsia="Times New Roman" w:hAnsi="Times New Roman"/>
          <w:sz w:val="18"/>
          <w:szCs w:val="18"/>
          <w:b w:val="1"/>
          <w:b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3"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Integrated Diagnostics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0"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Oncimmune USA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8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Bio-Rad</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16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83"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Bio-Rad License expires in August 2024. Either party may terminate for the other’s uncured material breach or bankruptcy events. Bio-Rad may terminate the Bio-Rad License if we do not purchase licensed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455"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under the separate supply agreement for a consecutive twelve month period or for any material breach by us of the supply agreement.</w:t>
      </w:r>
    </w:p>
    <w:p>
      <w:pPr>
        <w:spacing w:after="0" w:line="225"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In March 2020, we entered into a Material Transfer Agreement, which was amended in April 2020, with Bio-Rad for the purpose of collaborating to submit for an EUA for Bio-Rad’s SARS-CoV-2 ddPCR test pursuant to which Biodesix was granted a non-exclusive license, without the right to grant sublicenses, to use certain testing materials provided by Bio-Rad, including reagents and assays, for such purpose. The intent of the agreement was for Biodesix to create, validate and file Bio-Rad’s SARS-CoV-2 ddPCR assay for EUA with the FDA specifically for use in our laboratory in Colorado. Additionally, under the agreement, Bio-Rad agreed to file a kit manufacturer SARS-CoV-2 EUA with the FDA for broad distribution in the U.S. Additionally, under the agreement, we performed feasibility, verification and validation studies, including developing software for process automation, sample accessioning, data management and reporting, all required to demonstrate that the test operated as claimed by the manufacturer, and further, to validate the test as required by our certifying regulatory agencies for high complexity laboratory testing. As part of the validation effort, we agreed to supply the ddPCR testing equipment, trained laboratory personnel, extraction kits and process testing, patient samples and full access to all resulting data for use in joint publications and purposes. We entered into an amendment to include additional materials that Bio-Rad had the option to purchase from us, including nasopharyngeal swab samples and other reagents necessary for the validation efforts. In a separate letter from Bio-Rad, we were additionally granted permission by Bio-Rad to use the Bio-Rad SARS-CoV-2 ddPCR assay for commercial diagnostic services.</w:t>
      </w:r>
    </w:p>
    <w:p>
      <w:pPr>
        <w:spacing w:after="0" w:line="19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April 2020, we entered into a second Material Transfer Agreement with respect to Bio-Rad’s Platelia SARS-CoV-2 Total Ab assay for the purpose of evaluating the performance of such assay pursuant to which Biodesix was granted a non-exclusive license to use such assays provided by Bio-Rad for such purpose. In a separate letter from Bio-Rad, we were also granted permission by Bio-Rad to use the Platelia SARS-CoV-2 Total Ab assay for commercial diagnostic services.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0"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Drug Co-Development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80"/>
          </w:cols>
          <w:pgMar w:left="320" w:top="455" w:right="3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87"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89"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8"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3"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October 2016 we and AVEO amended the AVEO Agreement to deem our obligation to cover initial pre-clinical costs satisfied in exchange for a one-time payment of all applicable development costs incurred to that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2020, we had 154 full time employees, 43 of whom were engaged in development activities, and 38 of whom were engaged in general and administrative functions. Our employees are primarily located in 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455" w:right="3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Georgantas III,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Research and Translational Science</w:t>
            </w: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Pestano,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r>
              <w:rPr>
                <w:rFonts w:ascii="Times New Roman" w:cs="Times New Roman" w:eastAsia="Times New Roman" w:hAnsi="Times New Roman"/>
                <w:sz w:val="15"/>
                <w:szCs w:val="15"/>
                <w:color w:val="auto"/>
              </w:rPr>
              <w:t>(2)</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15"/>
                <w:szCs w:val="15"/>
                <w:color w:val="auto"/>
              </w:rPr>
              <w:t>(1)(3)</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r>
              <w:rPr>
                <w:rFonts w:ascii="Times New Roman" w:cs="Times New Roman" w:eastAsia="Times New Roman" w:hAnsi="Times New Roman"/>
                <w:sz w:val="15"/>
                <w:szCs w:val="15"/>
                <w:color w:val="auto"/>
              </w:rPr>
              <w:t>(1)(2)</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w:t>
            </w:r>
            <w:r>
              <w:rPr>
                <w:rFonts w:ascii="Times New Roman" w:cs="Times New Roman" w:eastAsia="Times New Roman" w:hAnsi="Times New Roman"/>
                <w:sz w:val="15"/>
                <w:szCs w:val="15"/>
                <w:color w:val="auto"/>
              </w:rPr>
              <w:t>(3)</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r>
              <w:rPr>
                <w:rFonts w:ascii="Times New Roman" w:cs="Times New Roman" w:eastAsia="Times New Roman" w:hAnsi="Times New Roman"/>
                <w:sz w:val="15"/>
                <w:szCs w:val="15"/>
                <w:color w:val="auto"/>
              </w:rPr>
              <w:t>(1)(3)</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r>
              <w:rPr>
                <w:rFonts w:ascii="Times New Roman" w:cs="Times New Roman" w:eastAsia="Times New Roman" w:hAnsi="Times New Roman"/>
                <w:sz w:val="15"/>
                <w:szCs w:val="15"/>
                <w:color w:val="auto"/>
              </w:rPr>
              <w:t>(2)</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brief biographies describing the backgrounds of our executive officers and non-employee directors:</w:t>
      </w:r>
    </w:p>
    <w:p>
      <w:pPr>
        <w:spacing w:after="0" w:line="3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Times New Roman" w:cs="Times New Roman" w:eastAsia="Times New Roman" w:hAnsi="Times New Roman"/>
          <w:sz w:val="18"/>
          <w:szCs w:val="18"/>
          <w:i w:val="1"/>
          <w:iCs w:val="1"/>
          <w:color w:val="auto"/>
        </w:rPr>
        <w:t>Medtronic Wallin Leadership Award</w:t>
      </w:r>
      <w:r>
        <w:rPr>
          <w:rFonts w:ascii="Times New Roman" w:cs="Times New Roman" w:eastAsia="Times New Roman" w:hAnsi="Times New Roman"/>
          <w:sz w:val="18"/>
          <w:szCs w:val="18"/>
          <w:color w:val="auto"/>
        </w:rPr>
        <w:t xml:space="preserve"> for his focus on talent development, business performance, and his personal and intentional demonstration of leadership.</w:t>
      </w:r>
    </w:p>
    <w:p>
      <w:pPr>
        <w:spacing w:after="0" w:line="190" w:lineRule="exact"/>
        <w:rPr>
          <w:sz w:val="20"/>
          <w:szCs w:val="20"/>
          <w:color w:val="auto"/>
        </w:rPr>
      </w:pPr>
    </w:p>
    <w:p>
      <w:pPr>
        <w:ind w:right="78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Robin Harper Cowie </w:t>
      </w:r>
      <w:r>
        <w:rPr>
          <w:rFonts w:ascii="Times New Roman" w:cs="Times New Roman" w:eastAsia="Times New Roman" w:hAnsi="Times New Roman"/>
          <w:sz w:val="18"/>
          <w:szCs w:val="18"/>
          <w:color w:val="auto"/>
        </w:rPr>
        <w:t>has served as our Chief Financial Officer since April 2017. She has been with the Company in multiple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reimbursement positions since March 2011, serving as Vice President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83"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Kieran O’Kane </w:t>
      </w:r>
      <w:r>
        <w:rPr>
          <w:rFonts w:ascii="Times New Roman" w:cs="Times New Roman" w:eastAsia="Times New Roman" w:hAnsi="Times New Roman"/>
          <w:sz w:val="18"/>
          <w:szCs w:val="18"/>
          <w:color w:val="auto"/>
        </w:rPr>
        <w:t>has served as our Chief Commercial Officer since March 2020 and has been with the Company in multiple marketing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8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Pestano, Ph.D. </w:t>
      </w:r>
      <w:r>
        <w:rPr>
          <w:rFonts w:ascii="Times New Roman" w:cs="Times New Roman" w:eastAsia="Times New Roman" w:hAnsi="Times New Roman"/>
          <w:sz w:val="18"/>
          <w:szCs w:val="18"/>
          <w:color w:val="auto"/>
        </w:rPr>
        <w:t>has served as our Chief Development Officer since October 2018 and has been with the Company in Product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85" w:lineRule="exact"/>
        <w:rPr>
          <w:sz w:val="20"/>
          <w:szCs w:val="20"/>
          <w:color w:val="auto"/>
        </w:rPr>
      </w:pPr>
    </w:p>
    <w:p>
      <w:pPr>
        <w:ind w:right="1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Georgantas III, Ph.D. </w:t>
      </w:r>
      <w:r>
        <w:rPr>
          <w:rFonts w:ascii="Times New Roman" w:cs="Times New Roman" w:eastAsia="Times New Roman" w:hAnsi="Times New Roman"/>
          <w:sz w:val="18"/>
          <w:szCs w:val="18"/>
          <w:color w:val="auto"/>
        </w:rPr>
        <w:t>has served as our Senior Vice President of Research and Translational Science since August 2019. From 2014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88" w:lineRule="exact"/>
        <w:rPr>
          <w:sz w:val="20"/>
          <w:szCs w:val="20"/>
          <w:color w:val="auto"/>
        </w:rPr>
      </w:pPr>
    </w:p>
    <w:p>
      <w:pPr>
        <w:ind w:right="56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M. Franchi </w:t>
      </w:r>
      <w:r>
        <w:rPr>
          <w:rFonts w:ascii="Times New Roman" w:cs="Times New Roman" w:eastAsia="Times New Roman" w:hAnsi="Times New Roman"/>
          <w:sz w:val="18"/>
          <w:szCs w:val="18"/>
          <w:color w:val="auto"/>
        </w:rPr>
        <w:t>has served as a Director of the Company since April 2020. Ms. Franchi is currently Chief Financial Officer at Replimune,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developing oncolytic immuno-gene therapies. Prior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455" w:right="3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7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was President and Chief Executive Officer of GenMark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Medical Systems, Inc. from 1991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83"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 Birchview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85" w:lineRule="exact"/>
        <w:rPr>
          <w:sz w:val="20"/>
          <w:szCs w:val="20"/>
          <w:color w:val="auto"/>
        </w:rPr>
      </w:pPr>
    </w:p>
    <w:p>
      <w:pPr>
        <w:ind w:left="1000" w:right="8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John Patience and Scott Hutton, and their terms will expire at our first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Matthew Strobeck, Ph.D. and Charles Watts, M.D., and their terms will expire at our second annual meeting of stockholders following this offering; and</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Jean Franchi, Hany Massarany and Jack Schuler, and their terms will be expire at our third annual meeting of stockholders following this offering.</w:t>
      </w:r>
    </w:p>
    <w:p>
      <w:pPr>
        <w:spacing w:after="0" w:line="162"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00"/>
          </w:cols>
          <w:pgMar w:left="320" w:top="455" w:right="3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4" w:lineRule="exact"/>
        <w:rPr>
          <w:sz w:val="20"/>
          <w:szCs w:val="20"/>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adequacy and effectiveness of our disclosure controls and procedures;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 and deciding whether to retain its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an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70" w:lineRule="exact"/>
        <w:rPr>
          <w:sz w:val="20"/>
          <w:szCs w:val="20"/>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overseeing overall compensation strategy and policies;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chief executive officer, other executive officers and senior management, as appropriate;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 as appropriate;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the work of compensation consultants, legal counsel or any other advisors and consultants engaged for the purpose of advising the compensation committee;</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equity award plans, compensation plans and similar programs, as well as modification or termination of plans and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the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85" w:lineRule="exact"/>
        <w:rPr>
          <w:sz w:val="20"/>
          <w:szCs w:val="20"/>
          <w:color w:val="auto"/>
        </w:rPr>
      </w:pPr>
    </w:p>
    <w:p>
      <w:pPr>
        <w:ind w:left="1000" w:right="24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nominating and recommending individuals for membership on our Board of Directors;</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amendments to our corporate governance policies; and</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Director Compensation Table</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7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respect of 2019 service, Messrs. Schuler, Patience, Miller, and Strobeck each received stock options representing the right to purchase 35,158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26,368 shares of our common stock. These stock options vest in a series of twelve (12) successive, equal monthly installments measured from the vesting commencement date. Moreover, Dr. Watts received an RSU award with respect to 26,368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1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220" w:hanging="452"/>
        <w:spacing w:after="0" w:line="261"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RSUs, calculated in accordance with FASB ASC Topic 718 based on the assumption that the value of each RSU was equal to $0.77.</w:t>
      </w:r>
    </w:p>
    <w:p>
      <w:pPr>
        <w:ind w:left="460" w:right="100" w:hanging="452"/>
        <w:spacing w:after="0" w:line="25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87" w:lineRule="exact"/>
        <w:rPr>
          <w:sz w:val="20"/>
          <w:szCs w:val="20"/>
          <w:color w:val="auto"/>
        </w:rPr>
      </w:pPr>
    </w:p>
    <w:p>
      <w:pPr>
        <w:ind w:right="140" w:firstLine="449"/>
        <w:spacing w:after="0" w:line="274" w:lineRule="auto"/>
        <w:rPr>
          <w:sz w:val="20"/>
          <w:szCs w:val="20"/>
          <w:color w:val="auto"/>
        </w:rPr>
      </w:pPr>
      <w:r>
        <w:rPr>
          <w:rFonts w:ascii="Times New Roman" w:cs="Times New Roman" w:eastAsia="Times New Roman" w:hAnsi="Times New Roman"/>
          <w:sz w:val="17"/>
          <w:szCs w:val="17"/>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8" w:lineRule="exact"/>
        <w:rPr>
          <w:sz w:val="20"/>
          <w:szCs w:val="20"/>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Brunel, Former Chief Executive Officer;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Former Chief Operating Officer.</w:t>
      </w:r>
    </w:p>
    <w:p>
      <w:pPr>
        <w:spacing w:after="0" w:line="225"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00"/>
          </w:cols>
          <w:pgMar w:left="320" w:top="455" w:right="3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45,485, 42,116, and 35,377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In the year ended December 31, 2019, the Board of Directors also awarded Messrs. Brunel, Hutton, and Ms. Harper Cowie stock options (Performance-Vested Options) representing the right to purchase 26,954, 25,269, and 17,688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94"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2019 Year-End” for a summary of the outstanding equity awards held by each of the named executive officers as of 2019 year-end.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00"/>
          </w:cols>
          <w:pgMar w:left="320" w:top="455" w:right="3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Summary Compensation Table</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4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5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David Brunel</w:t>
            </w:r>
          </w:p>
        </w:tc>
        <w:tc>
          <w:tcPr>
            <w:tcW w:w="42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4"/>
              </w:rPr>
              <w:t>2019</w:t>
            </w:r>
          </w:p>
        </w:tc>
        <w:tc>
          <w:tcPr>
            <w:tcW w:w="3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343,750</w:t>
            </w:r>
          </w:p>
        </w:tc>
        <w:tc>
          <w:tcPr>
            <w:tcW w:w="3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6"/>
              </w:rPr>
              <w:t>41,157</w:t>
            </w:r>
          </w:p>
        </w:tc>
        <w:tc>
          <w:tcPr>
            <w:tcW w:w="3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5"/>
              </w:rPr>
              <w:t>384,907</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Executive Officer </w:t>
            </w:r>
            <w:r>
              <w:rPr>
                <w:rFonts w:ascii="Times New Roman" w:cs="Times New Roman" w:eastAsia="Times New Roman" w:hAnsi="Times New Roman"/>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298,475</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38,285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336,760</w:t>
            </w:r>
          </w:p>
        </w:tc>
        <w:tc>
          <w:tcPr>
            <w:tcW w:w="0" w:type="dxa"/>
            <w:vAlign w:val="bottom"/>
          </w:tcPr>
          <w:p>
            <w:pPr>
              <w:spacing w:after="0"/>
              <w:rPr>
                <w:sz w:val="1"/>
                <w:szCs w:val="1"/>
                <w:color w:val="auto"/>
              </w:rPr>
            </w:pPr>
          </w:p>
        </w:tc>
      </w:tr>
      <w:tr>
        <w:trPr>
          <w:trHeight w:val="234"/>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Operating Officer </w:t>
            </w:r>
            <w:r>
              <w:rPr>
                <w:rFonts w:ascii="Times New Roman" w:cs="Times New Roman" w:eastAsia="Times New Roman" w:hAnsi="Times New Roman"/>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Robin Harper Cowie</w:t>
            </w:r>
          </w:p>
        </w:tc>
        <w:tc>
          <w:tcPr>
            <w:tcW w:w="8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263,525</w:t>
            </w:r>
          </w:p>
        </w:tc>
        <w:tc>
          <w:tcPr>
            <w:tcW w:w="126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30,150</w:t>
            </w:r>
          </w:p>
        </w:tc>
        <w:tc>
          <w:tcPr>
            <w:tcW w:w="7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293,675</w:t>
            </w: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57"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Hutton’s service as our Chief Operating Officer terminated on January 1, 2020, after which he became the President and Chief Executive Officer.</w:t>
      </w:r>
    </w:p>
    <w:p>
      <w:pPr>
        <w:spacing w:after="0" w:line="20" w:lineRule="exact"/>
        <w:rPr>
          <w:rFonts w:ascii="Times New Roman" w:cs="Times New Roman" w:eastAsia="Times New Roman" w:hAnsi="Times New Roman"/>
          <w:sz w:val="17"/>
          <w:szCs w:val="17"/>
          <w:color w:val="auto"/>
        </w:rPr>
      </w:pPr>
    </w:p>
    <w:p>
      <w:pPr>
        <w:ind w:left="460" w:right="16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of the year ended December 31, 2019, none of the named executive officers held any outstanding restricted stock units or other stock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60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55"/>
        </w:trPr>
        <w:tc>
          <w:tcPr>
            <w:tcW w:w="2560" w:type="dxa"/>
            <w:vAlign w:val="bottom"/>
            <w:vMerge w:val="continue"/>
          </w:tcPr>
          <w:p>
            <w:pPr>
              <w:spacing w:after="0"/>
              <w:rPr>
                <w:sz w:val="13"/>
                <w:szCs w:val="13"/>
                <w:color w:val="auto"/>
              </w:rPr>
            </w:pPr>
          </w:p>
        </w:tc>
        <w:tc>
          <w:tcPr>
            <w:tcW w:w="260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Exercisable</w:t>
            </w: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Unexercisable</w:t>
            </w: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Options (#)</w:t>
            </w: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David Brunel</w:t>
            </w: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4/26/2010</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7,045</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16.33</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4/25/2020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4/22/2011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11,281</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16.33</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4/21/2021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8/8/2011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21,058</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3.33</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19,373</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1/29/2022</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8,495</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20.90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1/29/2022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2/5/2013</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884</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23.75</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2/4/2023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3/11/2013</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18,784</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3/10/2023</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2/4/2014</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18,531</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2/3/2024</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2/20/2014</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14,381</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24.34</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2/19/2024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4/8/2015</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8,282</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4/7/2025</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4/7/2016</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51,564</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9,125</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10/14/2016</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4,643</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5/16/2017</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19,654</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14,038</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5/15/2027</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12,915</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20,777</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67,386</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4.46</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45,485</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26,954</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84,233</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0.42</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4/3/2028</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42,116</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25,269</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0.78</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4/22/2011</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2,526</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4/21/2021</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2/4/2014</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10,107</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2/3/2024</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4/8/2015</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6,626</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112</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4/7/2025</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4/7/2016</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35,885</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7,665</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4/6/2026</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5/16/2017</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9,827</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7,019</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5/15/2027</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4/4/2018</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8,072</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12,985</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4/3/2028</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3/22/2019</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35,377</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17,688</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sixty (60) successive, equal monthly installments measured from the vesting commencement date.</w:t>
      </w:r>
    </w:p>
    <w:p>
      <w:pPr>
        <w:spacing w:after="0" w:line="27"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Times New Roman" w:cs="Times New Roman" w:eastAsia="Times New Roman" w:hAnsi="Times New Roman"/>
          <w:sz w:val="18"/>
          <w:szCs w:val="18"/>
          <w:color w:val="auto"/>
        </w:rPr>
      </w:pPr>
    </w:p>
    <w:p>
      <w:pPr>
        <w:jc w:val="both"/>
        <w:ind w:left="460" w:right="40" w:hanging="452"/>
        <w:spacing w:after="0" w:line="25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40" w:hanging="452"/>
        <w:spacing w:after="0" w:line="25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2019, the Board of Directors awarded Messrs. Brunel, Hutton, and Ms. Harper Cowie stock options representing the right to purchase 26,954, 25,269 and 17,688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Harper Cowie Offer Letters</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Hutton Offer Letters</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92" w:lineRule="exact"/>
        <w:rPr>
          <w:sz w:val="20"/>
          <w:szCs w:val="20"/>
          <w:color w:val="auto"/>
        </w:rPr>
      </w:pPr>
    </w:p>
    <w:p>
      <w:pPr>
        <w:ind w:firstLine="449"/>
        <w:spacing w:after="0" w:line="273" w:lineRule="auto"/>
        <w:rPr>
          <w:sz w:val="20"/>
          <w:szCs w:val="20"/>
          <w:color w:val="auto"/>
        </w:rPr>
      </w:pPr>
      <w:r>
        <w:rPr>
          <w:rFonts w:ascii="Times New Roman" w:cs="Times New Roman" w:eastAsia="Times New Roman" w:hAnsi="Times New Roman"/>
          <w:sz w:val="17"/>
          <w:szCs w:val="17"/>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00"/>
          </w:cols>
          <w:pgMar w:left="320" w:top="455" w:right="3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2016, our Board of Directors adopted our 2016 Equity Incentive Plan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81" w:lineRule="exact"/>
        <w:rPr>
          <w:sz w:val="20"/>
          <w:szCs w:val="20"/>
          <w:color w:val="auto"/>
        </w:rPr>
      </w:pPr>
    </w:p>
    <w:p>
      <w:pPr>
        <w:ind w:right="1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The number of shares reserved for issuance under the 2016 Incentive Plan as of December 31, 2019 was 1,853,026,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issued in satisfaction of incentive stock option awards.</w:t>
      </w:r>
    </w:p>
    <w:p>
      <w:pPr>
        <w:spacing w:after="0" w:line="16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83"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2019, our employees, directors and consultants hold outstanding stock options granted under the 2016 Incentive Plan for the purchase of up to 1,665,384 shares of our common stock, with 621,806 of those options vested as of such date, and outstanding RSUs with respect to 26,368 shares of our common stock.</w:t>
      </w:r>
    </w:p>
    <w:p>
      <w:pPr>
        <w:spacing w:after="0" w:line="17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or committees delegated by our Board of Directors, administers the 2016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3" w:lineRule="exact"/>
        <w:rPr>
          <w:sz w:val="20"/>
          <w:szCs w:val="20"/>
          <w:color w:val="auto"/>
        </w:rPr>
      </w:pPr>
    </w:p>
    <w:p>
      <w:pPr>
        <w:ind w:right="1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are eligible to participate in the 2016 Incentive Plan, if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participation by the plan administrator.</w:t>
      </w:r>
    </w:p>
    <w:p>
      <w:pPr>
        <w:spacing w:after="0" w:line="15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Our Board of Directors may grant incentive stock options, nonstatutory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455" w:right="3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Our Board of Directors will decide at the time of grant whether an award will be in the form of restricted stock, RSUs, or other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0"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The 2016 Incentive Plan does not allow options or stock appreciation rights to be transferred other than by will or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7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2016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7"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2016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2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The Board of Directors has the discretion to grant awards under the 2016 Incentive Plan, and therefore it is not possible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73" w:lineRule="exact"/>
        <w:rPr>
          <w:sz w:val="20"/>
          <w:szCs w:val="20"/>
          <w:color w:val="auto"/>
        </w:rPr>
      </w:pPr>
    </w:p>
    <w:p>
      <w:pPr>
        <w:ind w:right="3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has the authority to amend or terminate the 2016 Incentive Plan, subject to any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required by law. No amendment may impair the rights of a holder of an outstanding award without the consent of such holder.</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2006 Employee, Director and Consultant Stock Plan</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60"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At the time the 2006 Incentive Plan was replaced by the 2016 Incentive Plan, 135,040 shares of our common stock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250,708 shares of our common stock, with 247,277 of those options vested as of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delegated by our board of directors, administers the 2006 Incentive Plan.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3" w:lineRule="exact"/>
        <w:rPr>
          <w:sz w:val="20"/>
          <w:szCs w:val="20"/>
          <w:color w:val="auto"/>
        </w:rPr>
      </w:pPr>
    </w:p>
    <w:p>
      <w:pPr>
        <w:ind w:right="6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were eligible to participate in the 2006 Incentive Plan,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for participation by the plan administrator.</w:t>
      </w:r>
    </w:p>
    <w:p>
      <w:pPr>
        <w:spacing w:after="0" w:line="15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and Terms of Awards. </w:t>
      </w:r>
      <w:r>
        <w:rPr>
          <w:rFonts w:ascii="Times New Roman" w:cs="Times New Roman" w:eastAsia="Times New Roman" w:hAnsi="Times New Roman"/>
          <w:sz w:val="18"/>
          <w:szCs w:val="18"/>
          <w:color w:val="auto"/>
        </w:rPr>
        <w:t>Under the 2006 Incentive Plan, we were authorized to grant stock options, stock appreciation rights,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0" w:lineRule="exact"/>
        <w:rPr>
          <w:sz w:val="20"/>
          <w:szCs w:val="20"/>
          <w:color w:val="auto"/>
        </w:rPr>
      </w:pPr>
    </w:p>
    <w:p>
      <w:pPr>
        <w:ind w:right="1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Under the terms of the 2006 Incentive Plan relating to stock options and stock appreciation rights, upon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7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2006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455" w:right="3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6" w:lineRule="exact"/>
        <w:rPr>
          <w:sz w:val="20"/>
          <w:szCs w:val="20"/>
          <w:color w:val="auto"/>
        </w:rPr>
      </w:pPr>
    </w:p>
    <w:p>
      <w:pPr>
        <w:ind w:right="6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2006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may, at any time, amend or terminate the 2006 Incentive Plan as it shall deem advisable,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stockholder approval required by law. No amendment may impair the rights of a holder of an outstanding award without the consent of such holder.</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Bonus-to-Options Program</w:t>
      </w:r>
    </w:p>
    <w:p>
      <w:pPr>
        <w:spacing w:after="0" w:line="121"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200" w:lineRule="exact"/>
        <w:rPr>
          <w:sz w:val="20"/>
          <w:szCs w:val="20"/>
          <w:color w:val="auto"/>
        </w:rPr>
      </w:pPr>
    </w:p>
    <w:p>
      <w:pPr>
        <w:spacing w:after="0" w:line="203"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320" w:top="455" w:right="3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June 30, 2020, our executives held outstanding stock options granted under the Bonus-to-Options Program for the purchase of up to 173,233 shares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2020 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Brunel Consulting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3"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89" w:lineRule="exact"/>
        <w:rPr>
          <w:sz w:val="20"/>
          <w:szCs w:val="20"/>
          <w:color w:val="auto"/>
        </w:rPr>
      </w:pPr>
    </w:p>
    <w:p>
      <w:pPr>
        <w:ind w:right="640" w:firstLine="449"/>
        <w:spacing w:after="0" w:line="266" w:lineRule="auto"/>
        <w:rPr>
          <w:sz w:val="20"/>
          <w:szCs w:val="20"/>
          <w:color w:val="auto"/>
        </w:rPr>
      </w:pPr>
      <w:r>
        <w:rPr>
          <w:rFonts w:ascii="Times New Roman" w:cs="Times New Roman" w:eastAsia="Times New Roman" w:hAnsi="Times New Roman"/>
          <w:sz w:val="18"/>
          <w:szCs w:val="18"/>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Prior Equity Grants</w:t>
      </w:r>
    </w:p>
    <w:p>
      <w:pPr>
        <w:spacing w:after="0" w:line="12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As described above, in September 2020 the Board of Directors of the Company amended the Time-Vested Options and the Performance-Vested Options as follows.</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our board of directors and our current stockholders are expected to approve the 2020 Incentive Plan, to be effective prior to the completion of this offering. The 2020 Incentive Plan, if created, would replace the 2016 Incentive Plan, as described above. The following summary describes what we expect to be the material terms of the 2020 Incentive Plan. This summary is not a complete description of all provisions of the 2020 Incentive Plan and is qualified in its entirety by reference to the 2020 Incentive Plan, which will be filed as an exhibit to the registration statement of which this prospectus is a part.</w:t>
      </w:r>
    </w:p>
    <w:p>
      <w:pPr>
        <w:spacing w:after="0" w:line="183"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purposes of the 2020 Incentive Plan are to align the interests of the Company’s stockholders and those eligible for awards, to retain officers, directors, employees, and other service providers, and to motivate such persons to act in the long-term best interests of the Company and its stockholders. The 2020 Incentive Plan provides for the grant of incentive stock options (within the meaning of Section 422 of the Code), nonstatutory stock options, stock appreciation rights, restricted stock awards, restricted stock units, performance awards and other stock awards. Officers, directors, employees, consultants, agents and independent contractors who provide services to us or to any subsidiary of ours are eligible to receive such awards.</w:t>
      </w:r>
    </w:p>
    <w:p>
      <w:pPr>
        <w:spacing w:after="0" w:line="18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Stock Subject to the Plan</w:t>
      </w:r>
      <w:r>
        <w:rPr>
          <w:rFonts w:ascii="Times New Roman" w:cs="Times New Roman" w:eastAsia="Times New Roman" w:hAnsi="Times New Roman"/>
          <w:sz w:val="18"/>
          <w:szCs w:val="18"/>
          <w:color w:val="auto"/>
        </w:rPr>
        <w:t>. The number of shares reserved for issuance under the 2020 Incentive Plan is 1,893,395, plus an annual increase added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the December 31st of the immediately preceding calendar year and (ii) such lesser amount determined by the board of directors. Up to 4,790,481 shares of our common stock that may be issued under the 2020 Incentive Plan may be issued in satisfaction of incentive stock option awards.</w:t>
      </w:r>
    </w:p>
    <w:p>
      <w:pPr>
        <w:spacing w:after="0" w:line="185"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To the extent an equity award granted under the 2020 Incentive Plan (other than any substitute award) or granted under any other equity plan maintained by us under which awards are outstanding as of the effective date of the 2020 Incentive Plan (the Prior Plans) expires or otherwise terminates without having been exercised or paid in full, or is settled in cash, the shares subject to such award will become available for future grant under the 2020 Incentive Plan. In addition, to the extent shares subject to an award are withheld to satisfy a participant’s tax withholding obligation upon the exercise or settlement of such award (other than any substitute award) or to pay the exercise price of a stock option granted under the 2020 Incentive Plan or a Prior Plan, such shares will become available for future grant under the 2020 Incentive Plan.</w:t>
      </w:r>
    </w:p>
    <w:p>
      <w:pPr>
        <w:spacing w:after="0" w:line="185" w:lineRule="exact"/>
        <w:rPr>
          <w:sz w:val="20"/>
          <w:szCs w:val="20"/>
          <w:color w:val="auto"/>
        </w:rPr>
      </w:pPr>
    </w:p>
    <w:p>
      <w:pPr>
        <w:ind w:right="2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w:t>
      </w:r>
      <w:r>
        <w:rPr>
          <w:rFonts w:ascii="Times New Roman" w:cs="Times New Roman" w:eastAsia="Times New Roman" w:hAnsi="Times New Roman"/>
          <w:sz w:val="18"/>
          <w:szCs w:val="18"/>
          <w:color w:val="auto"/>
        </w:rPr>
        <w:t>. The aggregate value of cash compensation paid and the grant date fair value of equity awards granted during any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non-employee director will not exceed $600,000 for incumbent non-employee directors and $1,050,000 for non-employee directors who are first appointed to our board of directors in such year.</w:t>
      </w:r>
    </w:p>
    <w:p>
      <w:pPr>
        <w:spacing w:after="0" w:line="173" w:lineRule="exact"/>
        <w:rPr>
          <w:sz w:val="20"/>
          <w:szCs w:val="20"/>
          <w:color w:val="auto"/>
        </w:rPr>
      </w:pPr>
    </w:p>
    <w:p>
      <w:pPr>
        <w:ind w:right="1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will administer the 2020 Incentive Plan. Our board of directors has the authority to amend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plan, subject to any stockholder approval required by law or</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60"/>
          </w:cols>
          <w:pgMar w:left="320" w:top="455" w:right="41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stock exchange rules. Subject to the terms of the 2020 Incentive Plan, our Compensation Committee will have the authority to determine the eligibility for awards and the terms, conditions, and restrictions, including vesting terms, the number of shares subject to an award, and any performance goals applicable to grants made under the 2020 Incentive Plan. The Compensation Committee also will have the authority, subject to the terms of the 2020 Incentive Plan, to construe and interpret the 2020 Incentive Plan and awards, and amend outstanding awards at any time.</w:t>
      </w:r>
    </w:p>
    <w:p>
      <w:pPr>
        <w:spacing w:after="0" w:line="17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 and Stock Appreciation Rights</w:t>
      </w:r>
      <w:r>
        <w:rPr>
          <w:rFonts w:ascii="Times New Roman" w:cs="Times New Roman" w:eastAsia="Times New Roman" w:hAnsi="Times New Roman"/>
          <w:sz w:val="18"/>
          <w:szCs w:val="18"/>
          <w:color w:val="auto"/>
        </w:rPr>
        <w:t>. Our Compensation Committee may grant incentive stock options, nonstatutory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2020 Incentive Plan, provided that incentive stock options are granted only to employees. The exercise price of stock options and stock appreciation rights under the 2020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2020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2020 Incentive Plan prohibits the payment of dividend equivalents with respect to options and stock appreciation rights and prohibits the repricing of options and stock appreciation rights without stockholder approval.</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Our Compensation Committee will decide at the time of grant whether an award will be in the form of restricted stock,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provided that (i) a distribution with respect to shares of common stock, other than a regular cash dividend, and (ii) a regular cash dividend with respect to shares of common stock that are subject to performance-based vesting conditions, in each case, will be deposited with us and will be subject to the same restrictions as the underlying shares of common stock. The recipient of restricted stock units will not have voting rights, but his or her award agreement may provide for the receipt of dividend equivalents, provided that any dividend equivalents with respect to restricted stock units that are subject to performance-based vesting conditions will be subject to the same restrictions as the underlying restricted stock units.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9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Compensation Committee will determine the value of any performance award, the vesting and nature of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whether the award is denominated or settled in cash or in shares of our common stock. The performance goals applicable to a particular award will be determined by our Compensation Committee at the time of grant. Any dividends or dividend equivalents with respect to a performance award subject to performance-based vesting conditions will be subject to the same restrictions as such performance award.</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Transferability of Awards</w:t>
      </w:r>
      <w:r>
        <w:rPr>
          <w:rFonts w:ascii="Times New Roman" w:cs="Times New Roman" w:eastAsia="Times New Roman" w:hAnsi="Times New Roman"/>
          <w:sz w:val="18"/>
          <w:szCs w:val="18"/>
          <w:color w:val="auto"/>
        </w:rPr>
        <w:t>. The 2020 Incentive Plan does not allow awards to be transferred other than by will or the laws of inheritance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If any change is made in our common stock, without the receipt of consideration by us, such as through a stock split,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7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Subject to the terms of the applicable award agreement, upon a “change in control” (as defined in the 2020 Incentive Plan),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capital stock of the corporation resulting from or succeeding us, other property or a combination of cash, such shares of stock or other property.</w:t>
      </w:r>
    </w:p>
    <w:p>
      <w:pPr>
        <w:spacing w:after="0" w:line="185" w:lineRule="exact"/>
        <w:rPr>
          <w:sz w:val="20"/>
          <w:szCs w:val="20"/>
          <w:color w:val="auto"/>
        </w:rPr>
      </w:pPr>
    </w:p>
    <w:p>
      <w:pPr>
        <w:ind w:right="3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Awards granted under the 2020 Incentive Plan and any cash payment or shares of our common stock delivered pursuant to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2020 Incentive Plan are subject to forfeiture, recovery, or other action pursuant to the applicable award agreement or any clawback or recoupment policy that we may adopt.</w:t>
      </w:r>
    </w:p>
    <w:p>
      <w:pPr>
        <w:spacing w:after="0" w:line="173"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Compensation Committee has the authority to amend, suspend or terminate the 2020 Incentive Plan,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required by law or stock exchange rules. Our 2020 Incentive Plan will terminate on the ten-year anniversary of its approval by our board of directors, unless we terminate it earlier.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5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our board of directors and our current stockholders are expected to approve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Generally, all of our full-time employees (including those of our consolidated subsidiaries, other than those subsidiaries excluded from participation by our board of directors or Compensation Committee) are eligible to participate in the ESPP. The Compensation Committee retains the discretion to change the scope of eligible participants, subject to applicable limitations under the Code. The ESPP permits employees to purchase our common stock through payroll deductions during six-month offering periods. The Compensation Committee retains the discretion to change the duration of future offering periods, subject to applicable limitations under the Code. Subject to applicable Code limitations,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although the Compensation Committee retains the discretion to change the duration of future purchase periods, subject to the limitations under the Code. Under the terms of the ESPP, the purchase price per share with respect to an offering period will equal the lesser of (i) 85% of the fair market value of a share of our common stock on the first business day of such offering period and</w:t>
      </w:r>
    </w:p>
    <w:p>
      <w:pPr>
        <w:spacing w:after="0" w:line="6" w:lineRule="exact"/>
        <w:rPr>
          <w:sz w:val="20"/>
          <w:szCs w:val="20"/>
          <w:color w:val="auto"/>
        </w:rPr>
      </w:pPr>
    </w:p>
    <w:p>
      <w:pPr>
        <w:ind w:firstLine="8"/>
        <w:spacing w:after="0" w:line="253"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Except as otherwise determined by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20"/>
          </w:cols>
          <w:pgMar w:left="320" w:top="455" w:right="3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Committee with respect to future offering periods, no participant may purchase more than 10,000 shares of our common stock during any offering period.</w:t>
      </w:r>
    </w:p>
    <w:p>
      <w:pPr>
        <w:spacing w:after="0" w:line="162"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8"/>
          <w:szCs w:val="18"/>
          <w:color w:val="auto"/>
        </w:rPr>
        <w:t>Subject to adjustment for stock splits, stock dividends or other changes in our capital stock, 338,106 shares of our common stock have been reserved for issuance under the ESPP. Subject to the adjustment provisions contained in the ESPP, the maximum number of shares of our common stock available under the ESPP will automatically increase on the first trading day of each calendar year, commencing January 2021, by an amount equal to the lesser of</w:t>
      </w:r>
    </w:p>
    <w:p>
      <w:pPr>
        <w:spacing w:after="0" w:line="1" w:lineRule="exact"/>
        <w:rPr>
          <w:sz w:val="20"/>
          <w:szCs w:val="20"/>
          <w:color w:val="auto"/>
        </w:rPr>
      </w:pPr>
    </w:p>
    <w:p>
      <w:pPr>
        <w:ind w:right="720" w:firstLine="8"/>
        <w:spacing w:after="0" w:line="260" w:lineRule="auto"/>
        <w:tabs>
          <w:tab w:leader="none" w:pos="2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shares of our common stock issued and outstanding on December 31 of the immediately preceding calendar year, and (ii) an amount determined by our board of directors.</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the exercise of its sole discretion, in lieu of such assumption or substitution to either terminate all outstanding options under the ESPP and return to each participant the payroll deductions credited to such participant’s account or to provide for the offering period in progress to end on a date prior to the consummation of such sale or merger.</w:t>
      </w:r>
    </w:p>
    <w:p>
      <w:pPr>
        <w:spacing w:after="0" w:line="18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00"/>
          </w:cols>
          <w:pgMar w:left="320" w:top="455" w:right="3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Financings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2,129,981 shares that were deposited in an escrow account to be used to satisfy any indemnification obligations of the seller that may arise.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0" w:type="dxa"/>
            <w:vAlign w:val="bottom"/>
          </w:tcPr>
          <w:p>
            <w:pPr>
              <w:spacing w:after="0"/>
              <w:rPr>
                <w:sz w:val="1"/>
                <w:szCs w:val="1"/>
                <w:color w:val="auto"/>
              </w:rPr>
            </w:pPr>
          </w:p>
        </w:tc>
      </w:tr>
      <w:tr>
        <w:trPr>
          <w:trHeight w:val="160"/>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12,556,262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 and entities affiliated with John Patience</w:t>
            </w:r>
            <w:r>
              <w:rPr>
                <w:rFonts w:ascii="Times New Roman" w:cs="Times New Roman" w:eastAsia="Times New Roman" w:hAnsi="Times New Roman"/>
                <w:sz w:val="15"/>
                <w:szCs w:val="15"/>
                <w:color w:val="auto"/>
              </w:rPr>
              <w:t>(2)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7,668,930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Manlia Limited</w:t>
            </w:r>
            <w:r>
              <w:rPr>
                <w:rFonts w:ascii="Times New Roman" w:cs="Times New Roman" w:eastAsia="Times New Roman" w:hAnsi="Times New Roman"/>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and entities affiliated with Matthew Strobeck</w:t>
            </w:r>
            <w:r>
              <w:rPr>
                <w:rFonts w:ascii="Times New Roman" w:cs="Times New Roman" w:eastAsia="Times New Roman" w:hAnsi="Times New Roman"/>
                <w:sz w:val="15"/>
                <w:szCs w:val="15"/>
                <w:color w:val="auto"/>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1,660,268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 Alternative Financing and entities affiliated with Life Sciences Alternative Financing</w:t>
            </w:r>
            <w:r>
              <w:rPr>
                <w:rFonts w:ascii="Times New Roman" w:cs="Times New Roman" w:eastAsia="Times New Roman" w:hAnsi="Times New Roman"/>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1,651,389</w:t>
            </w:r>
          </w:p>
        </w:tc>
        <w:tc>
          <w:tcPr>
            <w:tcW w:w="0" w:type="dxa"/>
            <w:vAlign w:val="bottom"/>
          </w:tcPr>
          <w:p>
            <w:pPr>
              <w:spacing w:after="0"/>
              <w:rPr>
                <w:sz w:val="1"/>
                <w:szCs w:val="1"/>
                <w:color w:val="auto"/>
              </w:rPr>
            </w:pP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Kennedy, Jr. Revocable Trust UAD 6/19/01</w:t>
            </w:r>
            <w:r>
              <w:rPr>
                <w:rFonts w:ascii="Times New Roman" w:cs="Times New Roman" w:eastAsia="Times New Roman" w:hAnsi="Times New Roman"/>
                <w:sz w:val="15"/>
                <w:szCs w:val="15"/>
                <w:color w:val="auto"/>
              </w:rPr>
              <w:t>(6)</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2,597,236</w:t>
            </w:r>
          </w:p>
        </w:tc>
        <w:tc>
          <w:tcPr>
            <w:tcW w:w="0" w:type="dxa"/>
            <w:vAlign w:val="bottom"/>
          </w:tcPr>
          <w:p>
            <w:pPr>
              <w:spacing w:after="0"/>
              <w:rPr>
                <w:sz w:val="1"/>
                <w:szCs w:val="1"/>
                <w:color w:val="auto"/>
              </w:rPr>
            </w:pPr>
          </w:p>
        </w:tc>
      </w:tr>
      <w:tr>
        <w:trPr>
          <w:trHeight w:val="346"/>
        </w:trPr>
        <w:tc>
          <w:tcPr>
            <w:tcW w:w="876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7"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1"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Cawthorn is an affiliate of Manlia Limited, which holds more than 5% of our capital stock.</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Revocable Trust UAD 6/19/01 holds more than 5% of our capital stock.</w:t>
      </w:r>
    </w:p>
    <w:p>
      <w:pPr>
        <w:spacing w:after="0" w:line="207"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 of common stock. Upon the closing of this offering, each share of Series B-1 Preferred Stock will convert into approximately 0.196 shares of common stock. For a description of the material rights and privileges of the preferred stock, see “Description of Capital Stock—Preferred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Financings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94"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8"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 stock, which will not apply to, and will terminate upon, the closing of, this offering. After the closing of this offering, the holders of 20,090,745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00"/>
          </w:cols>
          <w:pgMar w:left="320" w:top="455" w:right="3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right="560" w:firstLine="449"/>
        <w:spacing w:after="0" w:line="312" w:lineRule="auto"/>
        <w:rPr>
          <w:sz w:val="20"/>
          <w:szCs w:val="20"/>
          <w:color w:val="auto"/>
        </w:rPr>
      </w:pPr>
      <w:r>
        <w:rPr>
          <w:rFonts w:ascii="Times New Roman" w:cs="Times New Roman" w:eastAsia="Times New Roman" w:hAnsi="Times New Roman"/>
          <w:sz w:val="17"/>
          <w:szCs w:val="17"/>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20"/>
          </w:cols>
          <w:pgMar w:left="320" w:top="455" w:right="3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October 15, 2020:</w:t>
      </w:r>
    </w:p>
    <w:p>
      <w:pPr>
        <w:spacing w:after="0" w:line="131" w:lineRule="exact"/>
        <w:rPr>
          <w:sz w:val="20"/>
          <w:szCs w:val="20"/>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October 15,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have based percentage ownership of common stock before this offering on 20,405,792 shares of common stock outstanding as of October 15, 2020, which includes 20,090,745 shares of common stock resulting from the conversion of all outstanding shares of preferred stock immediately upon the closing of this offering, as if this conversion had occurred as of October 15, 2020. Percentage ownership of common stock after this offering assumes the sale of 4,000,000 shares of common stock in this offering and no exercise of the underwriters’ over-allotment option, as well as the conversion of all convertible debt into an aggregate of 1,848,280 shares of common stock immediately upon the closing of this offering, based on interest accrued through October 15, 2020 and the initial public offering price of $18.00 per share. At our request, in addition to the directed share program described in this prospectus, the underwriters have reserved for sale at the initial public offering price per share approximately 824,000 shares of common stock in this offering to certain individuals, including directors, existing stockholders and other persons associated with us.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table below does not reflect any shares of common stock purchased in this offering by the beneficial owners identified below, including through the directed share program described under “Underwriters—Directed Share Program,” which will increase the percentage of shares owned after the offering by such beneficial owners from that set forth in the table below. Unless otherwise indicated, the address for each beneficial owner listed in the table below is c/o Biodesix, Inc., 2970 Wilderness Place, Suite 100, Boulder, Colorado 80301.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7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Following</w:t>
            </w:r>
          </w:p>
        </w:tc>
        <w:tc>
          <w:tcPr>
            <w:tcW w:w="0" w:type="dxa"/>
            <w:vAlign w:val="bottom"/>
          </w:tcPr>
          <w:p>
            <w:pPr>
              <w:spacing w:after="0"/>
              <w:rPr>
                <w:sz w:val="1"/>
                <w:szCs w:val="1"/>
                <w:color w:val="auto"/>
              </w:rPr>
            </w:pPr>
          </w:p>
        </w:tc>
      </w:tr>
      <w:tr>
        <w:trPr>
          <w:trHeight w:val="173"/>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480" w:type="dxa"/>
            <w:vAlign w:val="bottom"/>
            <w:vMerge w:val="restart"/>
          </w:tcPr>
          <w:p>
            <w:pPr>
              <w:spacing w:after="0"/>
              <w:rPr>
                <w:sz w:val="15"/>
                <w:szCs w:val="15"/>
                <w:color w:val="auto"/>
              </w:rPr>
            </w:pPr>
          </w:p>
        </w:tc>
        <w:tc>
          <w:tcPr>
            <w:tcW w:w="17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6,704,263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7,670,069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Patience and entities affiliated with John Patience</w:t>
            </w:r>
            <w:r>
              <w:rPr>
                <w:rFonts w:ascii="Times New Roman" w:cs="Times New Roman" w:eastAsia="Times New Roman" w:hAnsi="Times New Roman"/>
                <w:sz w:val="15"/>
                <w:szCs w:val="15"/>
                <w:color w:val="auto"/>
              </w:rPr>
              <w:t>(2)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4,634,979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4,823,315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7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Life Sciences Alternative Financing LLC and entities affiliated with Life Sciences Alternative Financing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15"/>
                <w:szCs w:val="15"/>
                <w:color w:val="auto"/>
              </w:rPr>
              <w:t>(3)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2,072,353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2,190,427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 and entities affiliated with Robert Cawthorn</w:t>
            </w:r>
            <w:r>
              <w:rPr>
                <w:rFonts w:ascii="Times New Roman" w:cs="Times New Roman" w:eastAsia="Times New Roman" w:hAnsi="Times New Roman"/>
                <w:sz w:val="15"/>
                <w:szCs w:val="15"/>
                <w:color w:val="auto"/>
              </w:rPr>
              <w:t>(4)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Lawrence T. Kennedy, Jr.</w:t>
            </w:r>
            <w:r>
              <w:rPr>
                <w:rFonts w:ascii="Times New Roman" w:cs="Times New Roman" w:eastAsia="Times New Roman" w:hAnsi="Times New Roman"/>
                <w:sz w:val="15"/>
                <w:szCs w:val="15"/>
                <w:color w:val="auto"/>
              </w:rPr>
              <w:t>(5)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1,111,412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1,245,101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5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r>
              <w:rPr>
                <w:rFonts w:ascii="Times New Roman" w:cs="Times New Roman" w:eastAsia="Times New Roman" w:hAnsi="Times New Roman"/>
                <w:sz w:val="15"/>
                <w:szCs w:val="15"/>
                <w:color w:val="auto"/>
              </w:rPr>
              <w:t>(6)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90,268</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90,268</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r>
              <w:rPr>
                <w:rFonts w:ascii="Times New Roman" w:cs="Times New Roman" w:eastAsia="Times New Roman" w:hAnsi="Times New Roman"/>
                <w:sz w:val="15"/>
                <w:szCs w:val="15"/>
                <w:color w:val="auto"/>
              </w:rPr>
              <w:t>(7)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106,931</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106,931</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Brunel</w:t>
            </w:r>
            <w:r>
              <w:rPr>
                <w:rFonts w:ascii="Times New Roman" w:cs="Times New Roman" w:eastAsia="Times New Roman" w:hAnsi="Times New Roman"/>
                <w:sz w:val="15"/>
                <w:szCs w:val="15"/>
                <w:color w:val="auto"/>
              </w:rPr>
              <w:t>(8)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424,539</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424,539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Schuler</w:t>
            </w:r>
            <w:r>
              <w:rPr>
                <w:rFonts w:ascii="Times New Roman" w:cs="Times New Roman" w:eastAsia="Times New Roman" w:hAnsi="Times New Roman"/>
                <w:sz w:val="15"/>
                <w:szCs w:val="15"/>
                <w:color w:val="auto"/>
              </w:rPr>
              <w:t>(9)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6,704,263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7,670,069</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r>
              <w:rPr>
                <w:rFonts w:ascii="Times New Roman" w:cs="Times New Roman" w:eastAsia="Times New Roman" w:hAnsi="Times New Roman"/>
                <w:sz w:val="15"/>
                <w:szCs w:val="15"/>
                <w:color w:val="auto"/>
              </w:rPr>
              <w:t>(10)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4,634,979</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4,823,315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w:t>
            </w:r>
            <w:r>
              <w:rPr>
                <w:rFonts w:ascii="Times New Roman" w:cs="Times New Roman" w:eastAsia="Times New Roman" w:hAnsi="Times New Roman"/>
                <w:sz w:val="15"/>
                <w:szCs w:val="15"/>
                <w:color w:val="auto"/>
              </w:rPr>
              <w:t>(11)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r>
              <w:rPr>
                <w:rFonts w:ascii="Times New Roman" w:cs="Times New Roman" w:eastAsia="Times New Roman" w:hAnsi="Times New Roman"/>
                <w:sz w:val="15"/>
                <w:szCs w:val="15"/>
                <w:color w:val="auto"/>
              </w:rPr>
              <w:t>(12)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915,685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1,024,988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Miller</w:t>
            </w:r>
            <w:r>
              <w:rPr>
                <w:rFonts w:ascii="Times New Roman" w:cs="Times New Roman" w:eastAsia="Times New Roman" w:hAnsi="Times New Roman"/>
                <w:sz w:val="15"/>
                <w:szCs w:val="15"/>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256,679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256,679</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r>
              <w:rPr>
                <w:rFonts w:ascii="Times New Roman" w:cs="Times New Roman" w:eastAsia="Times New Roman" w:hAnsi="Times New Roman"/>
                <w:sz w:val="15"/>
                <w:szCs w:val="15"/>
                <w:color w:val="auto"/>
              </w:rPr>
              <w:t>(14)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49,806</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49,806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15"/>
                <w:szCs w:val="15"/>
                <w:color w:val="auto"/>
              </w:rPr>
              <w:t>(15)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19,576</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19,576</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r>
              <w:rPr>
                <w:rFonts w:ascii="Times New Roman" w:cs="Times New Roman" w:eastAsia="Times New Roman" w:hAnsi="Times New Roman"/>
                <w:sz w:val="15"/>
                <w:szCs w:val="15"/>
                <w:color w:val="auto"/>
              </w:rPr>
              <w:t>(16)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14,649</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14,649</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(14 persons)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15,054,141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16,468,295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60" w:hanging="452"/>
        <w:spacing w:after="0" w:line="251"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58,596 shares of common stock issuable upon the exercise of options held by Jack Schuler that are vested and exercisable within 60 days of October 15, 2020, (b)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344,932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354,530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352,530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4,913,087 shares of common stock issuable upon conversion of (i) 1,454,545 shares of Series B Preferred Stock, (ii) 1,250,000 shares of Series B-1 Preferred Stock, (iii) 333,333 shares of Series C Preferred Stock, (iv) 3,101,784 shares of Series D Preferred Stock, (v) 1,759,853 shares 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7"/>
          <w:szCs w:val="17"/>
          <w:color w:val="auto"/>
        </w:rPr>
        <w:t>Series E Preferred Stock, (vi) 6,273,780 shares of Series F Preferred Stock, (vii) 9,419,362 shares of Series G Preferred Stock, and (viii) 5,366,411 shares of Series H Preferred Stock held by Jack W. Schuler Living Trust and (h) 352,530 shares of common stock issuable upon conversion of (i) 83,416 shares of Series C Preferred Stock, (ii) 99,950 shares of Series D Preferred Stock, (iii) 107,834 shares of Series E Preferred Stock,</w:t>
      </w:r>
    </w:p>
    <w:p>
      <w:pPr>
        <w:spacing w:after="0" w:line="2"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8"/>
          <w:szCs w:val="18"/>
          <w:color w:val="auto"/>
        </w:rPr>
        <w:t>(iv) 437,427 shares of Series F Preferred Stock, (v) 627,380 shares of Series G Preferred Stock and (vi) 736,577 shares of Series H Preferred Stock held by Tino Hans Schuler, Trust. The number of shares listed as beneficially owned after this offering includes (a) 25,271 shares of common stock to be issued to JS Grandchildren Trust, (b) 17,454 shares of common stock to be issued to Schuler Descendants Trust, (c) 37,535 shares of common stock to be issued to Schuler Grandchildren LLC, (d) 44,239 shares of common stock to be issued to Therese Heidi Schuler, Trust, (d) 44,239 shares of common stock to be issued to Tanya Eva Schuler, Trust, (e) 752,829 shares of common stock to be issued to Jack W. Schuler Living Trust, and</w:t>
      </w:r>
    </w:p>
    <w:p>
      <w:pPr>
        <w:spacing w:after="0" w:line="1" w:lineRule="exact"/>
        <w:rPr>
          <w:sz w:val="20"/>
          <w:szCs w:val="20"/>
          <w:color w:val="auto"/>
        </w:rPr>
      </w:pPr>
    </w:p>
    <w:p>
      <w:pPr>
        <w:ind w:left="460" w:right="140"/>
        <w:spacing w:after="0" w:line="250" w:lineRule="auto"/>
        <w:rPr>
          <w:sz w:val="20"/>
          <w:szCs w:val="20"/>
          <w:color w:val="auto"/>
        </w:rPr>
      </w:pPr>
      <w:r>
        <w:rPr>
          <w:rFonts w:ascii="Times New Roman" w:cs="Times New Roman" w:eastAsia="Times New Roman" w:hAnsi="Times New Roman"/>
          <w:sz w:val="18"/>
          <w:szCs w:val="18"/>
          <w:color w:val="auto"/>
        </w:rPr>
        <w:t>(f) 44,239 shares of common stock to be issued to Tino Hans Schuler, Trust, in each case upon the conversion of convertible debt immediately upon closing of this offering, based on interest accrued through October 15, 2020 and the initial public offering price of $18.00 per share. Mr. Schuler disclaims beneficial ownership of all shares other than those held by Mr. Schuler personally or by the Jack W. Schuler Living Trust.</w:t>
      </w:r>
    </w:p>
    <w:p>
      <w:pPr>
        <w:spacing w:after="0" w:line="1" w:lineRule="exact"/>
        <w:rPr>
          <w:sz w:val="20"/>
          <w:szCs w:val="20"/>
          <w:color w:val="auto"/>
        </w:rPr>
      </w:pPr>
    </w:p>
    <w:p>
      <w:pPr>
        <w:ind w:left="460" w:right="2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58,596 shares of common stock issuable upon the exercise of options held by John Patience that are vested and exercisable within 60 days of October 15, 2020, (b) 1,829,368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2,747,015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 The number of shares listed as beneficially owned after this offering includes (a) 81,502 shares of common stock to be issued to Patience Enterprises LP, (b) 64,338 shares of common stock to be issued to John Patience Trust, dated July 23, 1993, and (c) 42,496 shares of common stock to be issued to Patience Capital Partners LLC, in each case upon the conversion of convertible debt immediately upon closing of this offering, based on interest accrued through October 15, 2020 and the initial public offering price of $18.00 per share.</w:t>
      </w:r>
    </w:p>
    <w:p>
      <w:pPr>
        <w:spacing w:after="0" w:line="4"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1,794,150 shares of common stock issuable upon conversion of 10,649,904 shares of Series G Preferred Stock held by IND Funding LLC and (b) 278,203 shares of common stock issuable upon conversion of 1,651,389 shares of Series H Preferred Stock held by Life Sciences Alternative Financing LLC. The number of shares listed as beneficially owned after this offering includes (a) 102,224 shares of common stock to be issued to IND Funding LLC, and (b) 15,850 shares of common stock to be issued to Life Science Alternative Financing LLC, in each case upon the conversion of convertible debt immediately upon closing of this offering, based on interest accrued through October 15, 2020 and the initial public offering price of $18.00 per share.</w:t>
      </w:r>
    </w:p>
    <w:p>
      <w:pPr>
        <w:spacing w:after="0" w:line="2" w:lineRule="exact"/>
        <w:rPr>
          <w:rFonts w:ascii="Times New Roman" w:cs="Times New Roman" w:eastAsia="Times New Roman" w:hAnsi="Times New Roman"/>
          <w:sz w:val="18"/>
          <w:szCs w:val="18"/>
          <w:color w:val="auto"/>
        </w:rPr>
      </w:pPr>
    </w:p>
    <w:p>
      <w:pPr>
        <w:ind w:left="460" w:right="20" w:hanging="452"/>
        <w:spacing w:after="0" w:line="251"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 share of common stock, (b) 58,596 shares of common stock issuable upon the exercise of options held by Robert Cawthorn that are vested and exercisable within 60 days of October 15, 2020 and (c) 1,778,169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 The number of shares listed as beneficially owned after this offering includes 150,709 shares of common stock to be issued to Manlia Limited upon the conversion of convertible debt immediately upon closing of this offering, based on interest accrued through October 15, 2020 and the initial public offering price of $18.00 per share.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455" w:right="3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20" w:hanging="452"/>
        <w:spacing w:after="0" w:line="253"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774,044 shares of common stock issuable upon conversion of (i) 2,666,668 shares of Series G Preferred Stock and (ii) 1,927,983 shares of Series H Preferred Stock held by Lawrence T. Kennedy, Jr. Revocable Trust UAD 6/19/01 and as amended from time to time and (b) 337,368 shares of common stock issuable upon conversion of (i) 1,333,332 shares of Series G Preferred Stock and (ii) 669,253 shares of Series H Preferred Stock held by Lawrence T. Kennedy, Jr. Perpetuity Trust UAD 6/30/16. The number of shares listed as beneficially owned after this offering includes 133,689 shares of common stock to be issued to Lawrence T. Kennedy, Jr. Perpetuity Trust UAD 6/30/16 upon the conversion of convertible debt immediately upon closing of this offering, based on interest accrued through October 15, 2020 and the initial public offering price of $18.00 per share.</w:t>
      </w:r>
    </w:p>
    <w:p>
      <w:pPr>
        <w:spacing w:after="0" w:line="2"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90,268 shares of common stock issuable upon the exercise of options held by Scott Hutton that are vested and exercisable within 60 days of October 15, 2020.</w:t>
      </w:r>
    </w:p>
    <w:p>
      <w:pPr>
        <w:ind w:left="460" w:right="48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106,931 shares of common stock issuable upon the exercise of options held by Robin Harper Cowie that are vested and exercisable within 60 days of October 15, 2020.</w:t>
      </w:r>
    </w:p>
    <w:p>
      <w:pPr>
        <w:ind w:left="460" w:right="6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76,732 shares of common stock, (b) 316,709 shares of common stock issuable upon the exercise of options held by David Brunel that are vested and exercisable within 60 days of October 15, 2020 and (c) 31,098 shares of common stock issuable upon conversion of (i) 660 shares of Series A-1 Preferred Stock, (ii) 110,399 shares of Series A-3 Preferred Stock and (iii) 73,540 shares of Series B Preferred Stock.</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6,704,263 shares beneficially owned by Jack Schuler and entities affiliated with Jack Schuler, as set forth in footnote (1). The number of shares listed as beneficially owned after this offering includes 965,806 shares of common stock to be issued to entities affiliated with Jack Schuler upon the conversion of convertible debt immediately upon closing of this offering, based on interest accrued through October 15, 2020 and the initial public offering price of $18.00 per share, as set forth in footnote (1). Mr. Schuler disclaims beneficial ownership of all shares other than those held by Mr. Schuler personally or by the Jack W. Schuler Living Trust.</w:t>
      </w:r>
    </w:p>
    <w:p>
      <w:pPr>
        <w:spacing w:after="0" w:line="1"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4,634,979 shares beneficially owned by John Patience and entities affiliated with John Patience, as set forth in footnote (2). The number of shares listed as beneficially owned after this offering includes 188,336 shares of common stock to be issued to entities affiliated with John Patience upon the conversion of convertible debt immediately upon closing of this offering, based on interest accrued through October 15, 2020 and the initial public offering price of $18.00 per share, as set forth in footnote (2).</w:t>
      </w:r>
    </w:p>
    <w:p>
      <w:pPr>
        <w:spacing w:after="0" w:line="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1,836,766 shares beneficially owned by Robert Cawthorn and entities affiliated with Robert Cawthorn, as set forth in footnote (4). The number of shares listed as beneficially owned after this offering includes 150,709 shares of common stock to be issued to an entity affiliated with Robert Cawthorn upon the conversion of convertible debt immediately upon closing of this offering, based on interest accrued through October 15, 2020 and the initial public offering price of $18.00 per share, as set forth in footnote (4).</w:t>
      </w:r>
    </w:p>
    <w:p>
      <w:pPr>
        <w:spacing w:after="0" w:line="1"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61,965 shares of common stock issuable upon the exercise of options held by Dr. Matthew Strobeck that are vested and exercisable within 60 days of October 15, 2020 and (b) 831,747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21,973 shares of common stock issuable upon conversion of 130,433 shares of Series H Preferred Stock held by Clajer Capital LLC. The number of shares listed as beneficially owned after this offering includes (a) 76,539 shares of common stock to be issued to Matthew Strobeck, (b) 18,692 shares of common stock to be issued to Clajer Capital LLC, and (c) 14,072 shares of common stock to be issued to the minor children of Matthew Strobeck, in each case upon the conversion of convertible debt immediately upon closing of this offering, based on interest accrued through October 15, 2020 and the initial public offering price of $18.00 per share.</w:t>
      </w:r>
    </w:p>
    <w:p>
      <w:pPr>
        <w:spacing w:after="0" w:line="3" w:lineRule="exact"/>
        <w:rPr>
          <w:rFonts w:ascii="Times New Roman" w:cs="Times New Roman" w:eastAsia="Times New Roman" w:hAnsi="Times New Roman"/>
          <w:sz w:val="18"/>
          <w:szCs w:val="18"/>
          <w:color w:val="auto"/>
        </w:rPr>
      </w:pPr>
    </w:p>
    <w:p>
      <w:pPr>
        <w:ind w:left="460" w:right="140" w:hanging="452"/>
        <w:spacing w:after="0" w:line="253"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61,965 shares of common stock issuable upon the exercise of options held by Mark Miller that are vested and exercisable within 60 days of October 15, 2020, (b) 183,484 shares of common stock issuable upon conversion of (i) 726,750 shares of Series D Preferred Stock and (ii) 362,398 shares of Series E Preferred Stock held by Tiger’s Family LLC and (c) 11,230 shares of common stock issuable upon conversion of 66,666 shares of Series C Preferred Stock held by Mark C. Miller Trust. Mark Miller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20"/>
          </w:cols>
          <w:pgMar w:left="320" w:top="455" w:right="3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disclaims beneficial ownership of the shares the 362,398 shares of Series E Preferred Stock held by Tiger’s Family LLC.</w:t>
      </w:r>
    </w:p>
    <w:p>
      <w:pPr>
        <w:spacing w:after="0" w:line="27" w:lineRule="exact"/>
        <w:rPr>
          <w:sz w:val="20"/>
          <w:szCs w:val="20"/>
          <w:color w:val="auto"/>
        </w:rPr>
      </w:pPr>
    </w:p>
    <w:p>
      <w:pPr>
        <w:ind w:left="460" w:right="20" w:hanging="452"/>
        <w:spacing w:after="0" w:line="25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49,806 shares of common stock issuable upon the exercise of options held by Dr. Charles Watts that are vested and exercisable within 60 days of October 15, 2020.</w:t>
      </w:r>
    </w:p>
    <w:p>
      <w:pPr>
        <w:ind w:left="460" w:hanging="452"/>
        <w:spacing w:after="0" w:line="25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19,576 shares of common stock issuable upon the exercise of options held by Jean Franchi that are vested and exercisable within 60 days of October 15, 2020.</w:t>
      </w:r>
    </w:p>
    <w:p>
      <w:pPr>
        <w:ind w:left="460" w:right="80" w:hanging="452"/>
        <w:spacing w:after="0" w:line="26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14,649 shares of common stock issuable upon the exercise of options held by Hany Massarany that are vested and exercisable within 60 days of October 15, 2020.</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80"/>
          </w:cols>
          <w:pgMar w:left="320" w:top="455" w:right="3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our amended and restated certificate of incorporation will authorize us to issue up to 200,000,000 shares of common stock, $0.001 par value per share, and 5,000,000 shares of preferred stock, $0.001 par value per share.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15, 2020, there were 315,047 shares of common stock issued and outstanding, held by 60 stockholders of record.</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As of October 15, 2020, after giving effect to the conversion of all outstanding shares of preferred stock into 20,090,745 shares of common stock and the conversion of all convertible debt into 1,848,280 shares of common stock, based on the initial public offering price of $18.00 per share, there would have been 22,254,072 shares of common stock issued and outstanding, held by 344 stockholders of record.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right="440" w:firstLine="44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20"/>
          </w:cols>
          <w:pgMar w:left="320" w:top="455" w:right="3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of October 15, 2020, there were 118,766,273 shares of preferred stock outstanding, which will be converted into 20,090,745 shares of common stock upon the closing of the offering. On the closing of this offering and under our amended and restated certificate of incorporation,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Financings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2,129,981 shares that were deposited in an escrow account to be used to satisfy any indemnification obligations of the seller that may arise.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shares of common stock. Upon the closing of this offering, each share of Series B-1 Preferred Stock will convert into approximately 0.196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December 2019 Notes were scheduled to mature in August 2020, but in August 2020 we extended the maturity date of this debt to June 30,</w:t>
      </w:r>
    </w:p>
    <w:p>
      <w:pPr>
        <w:spacing w:after="0" w:line="2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9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0"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00"/>
          </w:cols>
          <w:pgMar w:left="320" w:top="455" w:right="3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accrued interest of $0.4 million is included in the convertible debt balance included on the accompanying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3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2020</w:t>
            </w: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5"/>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As of October 15, 2020, options to purchase an aggregate of 249,370 shares of common stock were outstanding under our 2006 Incentive Plan. As of October 15, 2020, options to purchase an aggregate of 2,473,941 shares of common stock were outstanding under our 2016 Incentive Plan. For additional information regarding the terms of these plans, see the section titled “Executive Compensation—Employee Benefit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40"/>
          </w:cols>
          <w:pgMar w:left="320" w:top="455" w:right="3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holders of an aggregate of 20,090,745 shares of common stock issuable upon conversion of outstanding shares of preferred stock will be entitled to 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20"/>
          </w:cols>
          <w:pgMar w:left="320" w:top="455" w:right="3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00" w:right="280" w:hanging="547"/>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00" w:right="120" w:hanging="547"/>
        <w:spacing w:after="0" w:line="258"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Upon the Closing of this Offering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420" w:hanging="54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20"/>
          </w:cols>
          <w:pgMar w:left="320" w:top="455" w:right="3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been approved to list our common stock on The Nasdaq Global Market under the symbol “BDSX”.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agent’s address 150 Royall Street, Canton, Massachusetts 02021, and its telephone number is (800) 962-4284.</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Based on the number of shares outstanding on October 15, 2020, upon the closing of this offering, 26,254,072 shares of common stock will be 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0"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3" w:lineRule="exact"/>
        <w:rPr>
          <w:sz w:val="20"/>
          <w:szCs w:val="20"/>
          <w:color w:val="auto"/>
        </w:rPr>
      </w:pPr>
    </w:p>
    <w:p>
      <w:pPr>
        <w:ind w:left="1000" w:right="4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264,207 shares immediately after the closing of this offering based on the number of shares of common stock outstanding as of October 15, 2020; or</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the sale;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20"/>
          </w:cols>
          <w:pgMar w:left="320" w:top="455" w:right="3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20"/>
          </w:cols>
          <w:pgMar w:left="320" w:top="455" w:right="3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the holders of 20,090,745 shares of our common stock issuable upon conversion of outstanding shares of preferred 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Shares purchased through the directed share program will not be subject to lockup restrictions with the underwriters, except in the case of shares purchased by any of our officers or directors, employees and certain of our existing stockholders. For additional information, see the section titled “Underwriters—Directed Share Program.”</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80"/>
          </w:cols>
          <w:pgMar w:left="320" w:top="455" w:right="3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NON-UNITED STATES HOLDERS OF OUR COMMON STOCK</w:t>
      </w:r>
    </w:p>
    <w:p>
      <w:pPr>
        <w:spacing w:after="0" w:line="207"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89" w:lineRule="exact"/>
        <w:rPr>
          <w:sz w:val="20"/>
          <w:szCs w:val="20"/>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investors therein);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United States federal income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or dealers in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pension 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accrual-method taxpayers subject to special tax accounting rules under Section 451(b)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79" w:lineRule="exact"/>
        <w:rPr>
          <w:sz w:val="20"/>
          <w:szCs w:val="20"/>
          <w:color w:val="auto"/>
        </w:rPr>
      </w:pPr>
    </w:p>
    <w:p>
      <w:pPr>
        <w:ind w:right="44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REGARDING THE PARTICULAR UNITED STATES FEDERAL INCOME TAX CONSEQUENCES TO THEM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7"/>
          <w:szCs w:val="17"/>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81" w:lineRule="exact"/>
        <w:rPr>
          <w:sz w:val="20"/>
          <w:szCs w:val="20"/>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00" w:right="540" w:hanging="547"/>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455"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67" w:lineRule="exact"/>
        <w:rPr>
          <w:sz w:val="20"/>
          <w:szCs w:val="20"/>
          <w:color w:val="auto"/>
        </w:rPr>
      </w:pPr>
    </w:p>
    <w:p>
      <w:pPr>
        <w:ind w:left="1000" w:right="80" w:hanging="547"/>
        <w:spacing w:after="0" w:line="312" w:lineRule="auto"/>
        <w:tabs>
          <w:tab w:leader="none" w:pos="10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45" w:lineRule="exact"/>
        <w:rPr>
          <w:rFonts w:ascii="Times New Roman" w:cs="Times New Roman" w:eastAsia="Times New Roman" w:hAnsi="Times New Roman"/>
          <w:sz w:val="17"/>
          <w:szCs w:val="17"/>
          <w:color w:val="auto"/>
        </w:rPr>
      </w:pPr>
    </w:p>
    <w:p>
      <w:pPr>
        <w:ind w:left="1000" w:right="80" w:hanging="54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455" w:right="3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9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this legislation on their investment in our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20"/>
          </w:cols>
          <w:pgMar w:left="320" w:top="455" w:right="3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ectPr>
          <w:pgSz w:w="11900" w:h="16838" w:orient="portrait"/>
          <w:cols w:equalWidth="0" w:num="1">
            <w:col w:w="11240"/>
          </w:cols>
          <w:pgMar w:left="320" w:top="455" w:right="339" w:bottom="1440" w:gutter="0" w:footer="0" w:header="0"/>
        </w:sectPr>
      </w:pPr>
    </w:p>
    <w:p>
      <w:pPr>
        <w:spacing w:after="0" w:line="3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16510</wp:posOffset>
            </wp:positionV>
            <wp:extent cx="534924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BTIG, LLC</w:t>
      </w:r>
    </w:p>
    <w:p>
      <w:pPr>
        <w:spacing w:after="0" w:line="1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jc w:val="right"/>
        <w:ind w:right="1480"/>
        <w:spacing w:after="0"/>
        <w:rPr>
          <w:sz w:val="20"/>
          <w:szCs w:val="20"/>
          <w:color w:val="auto"/>
        </w:rPr>
      </w:pPr>
      <w:r>
        <w:rPr>
          <w:rFonts w:ascii="Times New Roman" w:cs="Times New Roman" w:eastAsia="Times New Roman" w:hAnsi="Times New Roman"/>
          <w:sz w:val="18"/>
          <w:szCs w:val="18"/>
          <w:color w:val="auto"/>
        </w:rPr>
        <w:t>2,000,000</w:t>
      </w:r>
    </w:p>
    <w:p>
      <w:pPr>
        <w:spacing w:after="0" w:line="7"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1,200,000</w:t>
      </w:r>
    </w:p>
    <w:p>
      <w:pPr>
        <w:spacing w:after="0" w:line="9"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440,000</w:t>
      </w:r>
    </w:p>
    <w:p>
      <w:pPr>
        <w:spacing w:after="0" w:line="9"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360,000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wp:posOffset>
            </wp:positionV>
            <wp:extent cx="557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5575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34290</wp:posOffset>
            </wp:positionV>
            <wp:extent cx="557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40"/>
          </w:cols>
          <w:pgMar w:left="320" w:top="455" w:right="339" w:bottom="1440" w:gutter="0" w:footer="0" w:header="0"/>
          <w:type w:val="continuous"/>
        </w:sectPr>
      </w:pPr>
    </w:p>
    <w:p>
      <w:pPr>
        <w:spacing w:after="0" w:line="79"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$0.756 per share under the public offering price. After the initial offering of the shares of common stock, the offering price and other selling terms may from time to time be varied by the representatives.</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600,000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At our request, in addition to the directed share program described in this prospectus, the underwriters have reserved for sale at the initial public offering price per share approximately 824,000 shares of common stock in this offering to certain individuals, including directors, existing stockholders and other persons associated with us.</w:t>
      </w:r>
    </w:p>
    <w:p>
      <w:pPr>
        <w:spacing w:after="0" w:line="19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600,000 shares of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173"/>
        </w:trPr>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5,796,000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66,960,000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77,004,000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449"/>
        <w:spacing w:after="0" w:line="312" w:lineRule="auto"/>
        <w:rPr>
          <w:sz w:val="20"/>
          <w:szCs w:val="20"/>
          <w:color w:val="auto"/>
        </w:rPr>
      </w:pPr>
      <w:r>
        <w:rPr>
          <w:rFonts w:ascii="Times New Roman" w:cs="Times New Roman" w:eastAsia="Times New Roman" w:hAnsi="Times New Roman"/>
          <w:sz w:val="17"/>
          <w:szCs w:val="17"/>
          <w:color w:val="auto"/>
        </w:rPr>
        <w:t>The estimated offering expenses payable by us, exclusive of the underwriting discounts and commissions, are approximately $4,000,000. We have agreed to reimburse the underwriters for expenses relating to clearance of this offering with the Financial Industry Regulatory Authority up to $40,000.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40"/>
          </w:cols>
          <w:pgMar w:left="320" w:top="455" w:right="33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been approved to list our common stock on the Nasdaq Global Market under the trading symbol “BDSX”.</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1" w:lineRule="exact"/>
        <w:rPr>
          <w:sz w:val="20"/>
          <w:szCs w:val="20"/>
          <w:color w:val="auto"/>
        </w:rPr>
      </w:pPr>
    </w:p>
    <w:p>
      <w:pPr>
        <w:ind w:left="1000" w:right="140" w:hanging="54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1"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54" w:lineRule="exact"/>
        <w:rPr>
          <w:sz w:val="20"/>
          <w:szCs w:val="20"/>
          <w:color w:val="auto"/>
        </w:rPr>
      </w:pPr>
    </w:p>
    <w:p>
      <w:pPr>
        <w:ind w:left="700" w:hanging="243"/>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common stock in this offering;</w:t>
      </w:r>
    </w:p>
    <w:p>
      <w:pPr>
        <w:spacing w:after="0" w:line="117" w:lineRule="exact"/>
        <w:rPr>
          <w:rFonts w:ascii="Times New Roman" w:cs="Times New Roman" w:eastAsia="Times New Roman" w:hAnsi="Times New Roman"/>
          <w:sz w:val="18"/>
          <w:szCs w:val="18"/>
          <w:color w:val="auto"/>
        </w:rPr>
      </w:pPr>
    </w:p>
    <w:p>
      <w:pPr>
        <w:ind w:right="620" w:firstLine="457"/>
        <w:spacing w:after="0" w:line="282" w:lineRule="auto"/>
        <w:tabs>
          <w:tab w:leader="none" w:pos="70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common stock upon the conversion of securities or the exercise of warrants outstanding as of the date of this prospectus;</w:t>
      </w:r>
    </w:p>
    <w:p>
      <w:pPr>
        <w:spacing w:after="0" w:line="53" w:lineRule="exact"/>
        <w:rPr>
          <w:rFonts w:ascii="Times New Roman" w:cs="Times New Roman" w:eastAsia="Times New Roman" w:hAnsi="Times New Roman"/>
          <w:sz w:val="18"/>
          <w:szCs w:val="18"/>
          <w:color w:val="auto"/>
        </w:rPr>
      </w:pPr>
    </w:p>
    <w:p>
      <w:pPr>
        <w:ind w:right="160" w:firstLine="457"/>
        <w:spacing w:after="0" w:line="282" w:lineRule="auto"/>
        <w:tabs>
          <w:tab w:leader="none" w:pos="69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common stock or options to purchase shares to employees, officers, directors, advisors or consultants pursuant to employee benefit plans described in this prospectus;</w:t>
      </w:r>
    </w:p>
    <w:p>
      <w:pPr>
        <w:spacing w:after="0" w:line="53"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w:t>
      </w:r>
    </w:p>
    <w:p>
      <w:pPr>
        <w:spacing w:after="0" w:line="117" w:lineRule="exact"/>
        <w:rPr>
          <w:rFonts w:ascii="Times New Roman" w:cs="Times New Roman" w:eastAsia="Times New Roman" w:hAnsi="Times New Roman"/>
          <w:sz w:val="18"/>
          <w:szCs w:val="18"/>
          <w:color w:val="auto"/>
        </w:rPr>
      </w:pPr>
    </w:p>
    <w:p>
      <w:pPr>
        <w:ind w:right="60" w:firstLine="457"/>
        <w:spacing w:after="0" w:line="258" w:lineRule="auto"/>
        <w:tabs>
          <w:tab w:leader="none" w:pos="69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by us of, or our entry into an agreement to sell or issue shares of our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we may sell or issue or agree to sell or issue shall not exceed 5% of the total number of shares of common stock issued and outstanding immediately following the completion of this offering; and</w:t>
      </w:r>
    </w:p>
    <w:p>
      <w:pPr>
        <w:spacing w:after="0" w:line="75" w:lineRule="exact"/>
        <w:rPr>
          <w:rFonts w:ascii="Times New Roman" w:cs="Times New Roman" w:eastAsia="Times New Roman" w:hAnsi="Times New Roman"/>
          <w:sz w:val="18"/>
          <w:szCs w:val="18"/>
          <w:color w:val="auto"/>
        </w:rPr>
      </w:pPr>
    </w:p>
    <w:p>
      <w:pPr>
        <w:ind w:firstLine="457"/>
        <w:spacing w:after="0" w:line="258" w:lineRule="auto"/>
        <w:tabs>
          <w:tab w:leader="none" w:pos="6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In addition, with respect to our directors, officers and the holders of substantially all of our outstanding stock and stock options, the restrictions described above do not apply in certain circumstances, subject to certain limitations and conditions set forth in the lock-up agreements, including:</w:t>
      </w:r>
    </w:p>
    <w:p>
      <w:pPr>
        <w:spacing w:after="0" w:line="54" w:lineRule="exact"/>
        <w:rPr>
          <w:sz w:val="20"/>
          <w:szCs w:val="20"/>
          <w:color w:val="auto"/>
        </w:rPr>
      </w:pPr>
    </w:p>
    <w:p>
      <w:pPr>
        <w:ind w:right="60" w:firstLine="457"/>
        <w:spacing w:after="0" w:line="282" w:lineRule="auto"/>
        <w:tabs>
          <w:tab w:leader="none" w:pos="6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open market transactions after the completion of this offering or as part of this offering (other than issuer-directed shares purchased in this offering);</w:t>
      </w:r>
    </w:p>
    <w:p>
      <w:pPr>
        <w:spacing w:after="0" w:line="53"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as a bona fide gift;</w:t>
      </w:r>
    </w:p>
    <w:p>
      <w:pPr>
        <w:spacing w:after="0" w:line="117"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certain trusts;</w:t>
      </w:r>
    </w:p>
    <w:p>
      <w:pPr>
        <w:spacing w:after="0" w:line="117" w:lineRule="exact"/>
        <w:rPr>
          <w:rFonts w:ascii="Times New Roman" w:cs="Times New Roman" w:eastAsia="Times New Roman" w:hAnsi="Times New Roman"/>
          <w:sz w:val="18"/>
          <w:szCs w:val="18"/>
          <w:color w:val="auto"/>
        </w:rPr>
      </w:pPr>
    </w:p>
    <w:p>
      <w:pPr>
        <w:ind w:right="440" w:firstLine="457"/>
        <w:spacing w:after="0" w:line="282" w:lineRule="auto"/>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other securities convertible into or exercisable or exchangeable for common stock to limited partners, general partners, members, stockholders or other equityholders;</w:t>
      </w:r>
    </w:p>
    <w:p>
      <w:pPr>
        <w:spacing w:after="0" w:line="53" w:lineRule="exact"/>
        <w:rPr>
          <w:rFonts w:ascii="Times New Roman" w:cs="Times New Roman" w:eastAsia="Times New Roman" w:hAnsi="Times New Roman"/>
          <w:sz w:val="18"/>
          <w:szCs w:val="18"/>
          <w:color w:val="auto"/>
        </w:rPr>
      </w:pPr>
    </w:p>
    <w:p>
      <w:pPr>
        <w:ind w:right="240" w:firstLine="457"/>
        <w:spacing w:after="0" w:line="282" w:lineRule="auto"/>
        <w:tabs>
          <w:tab w:leader="none" w:pos="6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affiliates or to certain related investment funds or entities;</w:t>
      </w:r>
    </w:p>
    <w:p>
      <w:pPr>
        <w:spacing w:after="0" w:line="53" w:lineRule="exact"/>
        <w:rPr>
          <w:rFonts w:ascii="Times New Roman" w:cs="Times New Roman" w:eastAsia="Times New Roman" w:hAnsi="Times New Roman"/>
          <w:sz w:val="18"/>
          <w:szCs w:val="18"/>
          <w:color w:val="auto"/>
        </w:rPr>
      </w:pPr>
    </w:p>
    <w:p>
      <w:pPr>
        <w:ind w:right="140" w:firstLine="457"/>
        <w:spacing w:after="0" w:line="282" w:lineRule="auto"/>
        <w:tabs>
          <w:tab w:leader="none" w:pos="6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any nominee or custodian of a person or entity to whom a transfer or disposition would be permissible under clauses (b) through (e) above;</w:t>
      </w:r>
    </w:p>
    <w:p>
      <w:pPr>
        <w:spacing w:after="0" w:line="53" w:lineRule="exact"/>
        <w:rPr>
          <w:rFonts w:ascii="Times New Roman" w:cs="Times New Roman" w:eastAsia="Times New Roman" w:hAnsi="Times New Roman"/>
          <w:sz w:val="18"/>
          <w:szCs w:val="18"/>
          <w:color w:val="auto"/>
        </w:rPr>
      </w:pPr>
    </w:p>
    <w:p>
      <w:pPr>
        <w:ind w:right="80" w:firstLine="457"/>
        <w:spacing w:after="0" w:line="282" w:lineRule="auto"/>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by will or intestate succession;</w:t>
      </w:r>
    </w:p>
    <w:p>
      <w:pPr>
        <w:spacing w:after="0" w:line="53" w:lineRule="exact"/>
        <w:rPr>
          <w:rFonts w:ascii="Times New Roman" w:cs="Times New Roman" w:eastAsia="Times New Roman" w:hAnsi="Times New Roman"/>
          <w:sz w:val="18"/>
          <w:szCs w:val="18"/>
          <w:color w:val="auto"/>
        </w:rPr>
      </w:pPr>
    </w:p>
    <w:p>
      <w:pPr>
        <w:ind w:right="60" w:firstLine="457"/>
        <w:spacing w:after="0" w:line="261" w:lineRule="auto"/>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us in connection with the exercise of options, warrants or other rights to acquire shares of common stock or any security convertible into or exercisable for shares of our common stock by way of net exercise and/or to cover withholding tax obligations in connection with such exercise pursuant to an employee benefit plan, option, warrant or other right disclosed in this prospectus;</w:t>
      </w:r>
    </w:p>
    <w:p>
      <w:pPr>
        <w:spacing w:after="0" w:line="71" w:lineRule="exact"/>
        <w:rPr>
          <w:rFonts w:ascii="Times New Roman" w:cs="Times New Roman" w:eastAsia="Times New Roman" w:hAnsi="Times New Roman"/>
          <w:sz w:val="18"/>
          <w:szCs w:val="18"/>
          <w:color w:val="auto"/>
        </w:rPr>
      </w:pPr>
    </w:p>
    <w:p>
      <w:pPr>
        <w:ind w:right="400" w:firstLine="457"/>
        <w:spacing w:after="0" w:line="282" w:lineRule="auto"/>
        <w:tabs>
          <w:tab w:leader="none" w:pos="6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pursuant to the automatic conversion of outstanding preferred stock or our convertible notes into shares of common stock as described in the prospectus;</w:t>
      </w:r>
    </w:p>
    <w:p>
      <w:pPr>
        <w:spacing w:after="0" w:line="53" w:lineRule="exact"/>
        <w:rPr>
          <w:rFonts w:ascii="Times New Roman" w:cs="Times New Roman" w:eastAsia="Times New Roman" w:hAnsi="Times New Roman"/>
          <w:sz w:val="18"/>
          <w:szCs w:val="18"/>
          <w:color w:val="auto"/>
        </w:rPr>
      </w:pPr>
    </w:p>
    <w:p>
      <w:pPr>
        <w:ind w:right="20" w:firstLine="457"/>
        <w:spacing w:after="0" w:line="312" w:lineRule="auto"/>
        <w:tabs>
          <w:tab w:leader="none" w:pos="66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any other securities convertible into or exercisable or exchangeable for common stock by operation of law, including pursuant to a court or regulatory agency order, a settlement agreement, a qualified domestic order or in connection with a divorce settlement;</w:t>
      </w:r>
    </w:p>
    <w:p>
      <w:pPr>
        <w:spacing w:after="0" w:line="31" w:lineRule="exact"/>
        <w:rPr>
          <w:rFonts w:ascii="Times New Roman" w:cs="Times New Roman" w:eastAsia="Times New Roman" w:hAnsi="Times New Roman"/>
          <w:sz w:val="17"/>
          <w:szCs w:val="17"/>
          <w:color w:val="auto"/>
        </w:rPr>
      </w:pPr>
    </w:p>
    <w:p>
      <w:pPr>
        <w:ind w:right="220" w:firstLine="457"/>
        <w:spacing w:after="0" w:line="282" w:lineRule="auto"/>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us pursuant to any agreements under which we have the option to repurchase or a right of first refusal with respect to transfers of such shares;</w:t>
      </w:r>
    </w:p>
    <w:p>
      <w:pPr>
        <w:spacing w:after="0" w:line="53" w:lineRule="exact"/>
        <w:rPr>
          <w:rFonts w:ascii="Times New Roman" w:cs="Times New Roman" w:eastAsia="Times New Roman" w:hAnsi="Times New Roman"/>
          <w:sz w:val="18"/>
          <w:szCs w:val="18"/>
          <w:color w:val="auto"/>
        </w:rPr>
      </w:pPr>
    </w:p>
    <w:p>
      <w:pPr>
        <w:ind w:right="400" w:firstLine="457"/>
        <w:spacing w:after="0" w:line="266" w:lineRule="auto"/>
        <w:tabs>
          <w:tab w:leader="none" w:pos="6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 third party pursuant to a merger, consolidation, bona fide tender offer or other similar transaction made to all holders of shares of the common stock involving a change of control and approved by our board of directors; and</w:t>
      </w:r>
    </w:p>
    <w:p>
      <w:pPr>
        <w:spacing w:after="0" w:line="67" w:lineRule="exact"/>
        <w:rPr>
          <w:rFonts w:ascii="Times New Roman" w:cs="Times New Roman" w:eastAsia="Times New Roman" w:hAnsi="Times New Roman"/>
          <w:sz w:val="18"/>
          <w:szCs w:val="18"/>
          <w:color w:val="auto"/>
        </w:rPr>
      </w:pPr>
    </w:p>
    <w:p>
      <w:pPr>
        <w:ind w:firstLine="457"/>
        <w:spacing w:after="0" w:line="258" w:lineRule="auto"/>
        <w:tabs>
          <w:tab w:leader="none" w:pos="7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described above in whole or in part at any time.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455" w:right="3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40"/>
          </w:cols>
          <w:pgMar w:left="320" w:top="455"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during the restricted period described above, except in the case of shares purchased by any of our officers or directors, employees and certain of our existing stockholders. We have agreed to indemnify the underwriters against certain liabilities and expenses, including liabilities under the Securities Act, in connection with the sales of the shares reserved for the directed share program.</w:t>
      </w:r>
    </w:p>
    <w:p>
      <w:pPr>
        <w:spacing w:after="0" w:line="292"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00" w:hanging="422"/>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00" w:right="300" w:hanging="432"/>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6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the representatives to publish a prospectus pursuant to Article 3 of the Prospectus Regulation or supplement a prospectus pursuant to Article 23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20"/>
          </w:cols>
          <w:pgMar w:left="320" w:top="455" w:right="3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61"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00" w:hanging="432"/>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20"/>
          </w:cols>
          <w:pgMar w:left="320" w:top="455" w:right="3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200"/>
          </w:cols>
          <w:pgMar w:left="320" w:top="455" w:right="3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that we file electronically with the SEC. We also maintain a website at </w:t>
      </w:r>
      <w:r>
        <w:rPr>
          <w:rFonts w:ascii="Times New Roman" w:cs="Times New Roman" w:eastAsia="Times New Roman" w:hAnsi="Times New Roman"/>
          <w:sz w:val="18"/>
          <w:szCs w:val="18"/>
          <w:i w:val="1"/>
          <w:iCs w:val="1"/>
          <w:color w:val="auto"/>
        </w:rPr>
        <w:t>www.biodesix.com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60"/>
          </w:cols>
          <w:pgMar w:left="320" w:top="455" w:right="41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F-38</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F-41</w:t>
            </w:r>
          </w:p>
        </w:tc>
        <w:tc>
          <w:tcPr>
            <w:tcW w:w="0" w:type="dxa"/>
            <w:vAlign w:val="bottom"/>
          </w:tcPr>
          <w:p>
            <w:pPr>
              <w:spacing w:after="0"/>
              <w:rPr>
                <w:sz w:val="1"/>
                <w:szCs w:val="1"/>
                <w:color w:val="auto"/>
              </w:rPr>
            </w:pPr>
          </w:p>
        </w:tc>
      </w:tr>
      <w:tr>
        <w:trPr>
          <w:trHeight w:val="23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62">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F-43</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15,868</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(14,041)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45,712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455"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1180" w:type="dxa"/>
            <w:vAlign w:val="bottom"/>
            <w:gridSpan w:val="2"/>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11,674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20,163</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Paycheck protection program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53,613</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185,432,719 (2020) and 174,237,067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authorized; 118,766,273 (2020 and 2019) issued and outstanding; liquidation preference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of $202,582 (2020 and 2019); no shares issued 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(2020) and 190,000,000 (2019)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274,523 (2020) and 254,918 (2019) issued and outstanding; 22,198,893 shares issued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229,651</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(250,564)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6"/>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(246,444</w:t>
            </w:r>
          </w:p>
        </w:tc>
        <w:tc>
          <w:tcPr>
            <w:tcW w:w="54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5"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24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$27,465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(17,971)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Balance—June 30, 2020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34,537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27,465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(248,835)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(246,444)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$17,468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H Preferred Stock, net of</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costs of $44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8,695</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Balance—June 30, 2019</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34,537</w:t>
            </w: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27,465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(214,737</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455"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(17,971)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(14,599)</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tcPr>
          <w:p>
            <w:pPr>
              <w:spacing w:after="0"/>
              <w:rPr>
                <w:sz w:val="19"/>
                <w:szCs w:val="19"/>
                <w:color w:val="auto"/>
              </w:rPr>
            </w:pPr>
          </w:p>
        </w:tc>
      </w:tr>
      <w:tr>
        <w:trPr>
          <w:trHeight w:val="103"/>
        </w:trPr>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32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455"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CONDENSED STATEMENTS OF CASH FLOWS (UNAUDITED)</w:t>
      </w:r>
    </w:p>
    <w:p>
      <w:pPr>
        <w:spacing w:after="0" w:line="4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six months ended June 30, 2020 and 2019.</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775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u w:val="single" w:color="auto"/>
          <w:color w:val="auto"/>
        </w:rPr>
        <w:t>2019</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$3,340</w:t>
      </w:r>
      <w:r>
        <w:rPr>
          <w:sz w:val="20"/>
          <w:szCs w:val="20"/>
          <w:color w:val="auto"/>
        </w:rPr>
        <w:tab/>
      </w: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80"/>
          </w:cols>
          <w:pgMar w:left="320" w:top="455" w:right="399" w:bottom="1440" w:gutter="0" w:footer="0" w:header="0"/>
          <w:type w:val="continuous"/>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9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8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455" w:right="3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455" w:right="3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455" w:right="37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six months ended June 30, 2020 and 2019.</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June 30, 2020 and 2019,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455" w:right="3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4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Not Yet Adopted</w:t>
      </w:r>
    </w:p>
    <w:p>
      <w:pPr>
        <w:spacing w:after="0" w:line="1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Net loss per share and unaudited pro format net loss per share</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8"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42,771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60" w:hanging="452"/>
        <w:spacing w:after="0" w:line="266"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 except for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4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20,091</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right="320" w:hanging="452"/>
        <w:spacing w:after="0" w:line="282"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directors with assistance from a valuation firm. The ultimate conversion price will be based on the fair value of the Company’s common stock at the completion of an initial public offering.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Balance Sheet</w:t>
      </w:r>
    </w:p>
    <w:p>
      <w:pPr>
        <w:spacing w:after="0" w:line="121"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The unaudited pro forma stockholders’ deficit as of June 30, 2020 gives effect to the automatic conversion of all outstanding shares of the Company’s convertible preferred stock into an aggregate of 20,090,745 shares of common stock and the automatic conversion of the Company’s convertible debt into an aggregate of 1,833,625 of common stock which will occur immediately prior to the completion of this offering, resulting in an aggregate of 22,198,893 outstanding shares of the Company’s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9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7"/>
          <w:szCs w:val="17"/>
          <w:b w:val="1"/>
          <w:bCs w:val="1"/>
          <w:color w:val="auto"/>
        </w:rPr>
        <w:t>Note 3—Business Combinations</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8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80"/>
          </w:cols>
          <w:pgMar w:left="320" w:top="455" w:right="39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38"/>
        </w:trPr>
        <w:tc>
          <w:tcPr>
            <w:tcW w:w="103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1032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3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160" w:type="dxa"/>
            <w:vAlign w:val="bottom"/>
            <w:gridSpan w:val="2"/>
          </w:tcPr>
          <w:p>
            <w:pPr>
              <w:jc w:val="right"/>
              <w:ind w:right="4756"/>
              <w:spacing w:after="0"/>
              <w:rPr>
                <w:sz w:val="20"/>
                <w:szCs w:val="20"/>
                <w:color w:val="auto"/>
              </w:rPr>
            </w:pPr>
            <w:r>
              <w:rPr>
                <w:rFonts w:ascii="Times New Roman" w:cs="Times New Roman" w:eastAsia="Times New Roman" w:hAnsi="Times New Roman"/>
                <w:sz w:val="18"/>
                <w:szCs w:val="18"/>
                <w:color w:val="auto"/>
              </w:rPr>
              <w:t>F-18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1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455"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3,261</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3,340</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6,601</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7080" w:type="dxa"/>
            <w:vAlign w:val="bottom"/>
            <w:gridSpan w:val="2"/>
          </w:tcPr>
          <w:p>
            <w:pPr>
              <w:jc w:val="right"/>
              <w:ind w:right="4836"/>
              <w:spacing w:after="0"/>
              <w:rPr>
                <w:sz w:val="20"/>
                <w:szCs w:val="20"/>
                <w:color w:val="auto"/>
              </w:rPr>
            </w:pPr>
            <w:r>
              <w:rPr>
                <w:rFonts w:ascii="Times New Roman" w:cs="Times New Roman" w:eastAsia="Times New Roman" w:hAnsi="Times New Roman"/>
                <w:sz w:val="18"/>
                <w:szCs w:val="18"/>
                <w:color w:val="auto"/>
              </w:rPr>
              <w:t>F-20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7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2960" w:type="dxa"/>
            <w:vAlign w:val="bottom"/>
          </w:tcPr>
          <w:p>
            <w:pPr>
              <w:spacing w:after="0"/>
              <w:rPr>
                <w:sz w:val="24"/>
                <w:szCs w:val="24"/>
                <w:color w:val="auto"/>
              </w:rPr>
            </w:pPr>
          </w:p>
        </w:tc>
        <w:tc>
          <w:tcPr>
            <w:tcW w:w="828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2960" w:type="dxa"/>
            <w:vAlign w:val="bottom"/>
          </w:tcPr>
          <w:p>
            <w:pPr>
              <w:spacing w:after="0"/>
              <w:rPr>
                <w:sz w:val="24"/>
                <w:szCs w:val="24"/>
                <w:color w:val="auto"/>
              </w:rPr>
            </w:pPr>
          </w:p>
        </w:tc>
        <w:tc>
          <w:tcPr>
            <w:tcW w:w="8280" w:type="dxa"/>
            <w:vAlign w:val="bottom"/>
            <w:gridSpan w:val="3"/>
          </w:tcPr>
          <w:p>
            <w:pPr>
              <w:jc w:val="right"/>
              <w:ind w:right="40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r>
      <w:tr>
        <w:trPr>
          <w:trHeight w:val="243"/>
        </w:trPr>
        <w:tc>
          <w:tcPr>
            <w:tcW w:w="296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7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8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7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8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8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75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29,114</w:t>
            </w:r>
          </w:p>
        </w:tc>
      </w:tr>
      <w:tr>
        <w:trPr>
          <w:trHeight w:val="20"/>
        </w:trPr>
        <w:tc>
          <w:tcPr>
            <w:tcW w:w="2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87" w:lineRule="exact"/>
        <w:rPr>
          <w:sz w:val="20"/>
          <w:szCs w:val="20"/>
          <w:color w:val="auto"/>
        </w:rPr>
      </w:pPr>
    </w:p>
    <w:p>
      <w:pPr>
        <w:ind w:right="120" w:firstLine="449"/>
        <w:spacing w:after="0" w:line="257"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09"/>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8,506</w:t>
            </w: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(6,386)</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each of the six months ended June 30, 2020 and 2019 was $0.4 million.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455"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13,144</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14,145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Notes Payable</w:t>
      </w:r>
    </w:p>
    <w:p>
      <w:pPr>
        <w:spacing w:after="0" w:line="121" w:lineRule="exact"/>
        <w:rPr>
          <w:sz w:val="20"/>
          <w:szCs w:val="20"/>
          <w:color w:val="auto"/>
        </w:r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9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455" w:right="3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convertible notes payable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4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Note Payable</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76"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or less annually are reduced by more than 25%. The Company cannot assure that the PPP Loan will be forgiven, in whole or in part.</w:t>
      </w:r>
    </w:p>
    <w:p>
      <w:pPr>
        <w:spacing w:after="0" w:line="223"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PPP Loan as debt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162" w:lineRule="exact"/>
        <w:rPr>
          <w:sz w:val="20"/>
          <w:szCs w:val="20"/>
          <w:color w:val="auto"/>
        </w:rPr>
      </w:pPr>
    </w:p>
    <w:p>
      <w:pPr>
        <w:ind w:right="160" w:firstLine="449"/>
        <w:spacing w:after="0" w:line="273" w:lineRule="auto"/>
        <w:rPr>
          <w:sz w:val="20"/>
          <w:szCs w:val="20"/>
          <w:color w:val="auto"/>
        </w:rPr>
      </w:pPr>
      <w:r>
        <w:rPr>
          <w:rFonts w:ascii="Times New Roman" w:cs="Times New Roman" w:eastAsia="Times New Roman" w:hAnsi="Times New Roman"/>
          <w:sz w:val="17"/>
          <w:szCs w:val="17"/>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7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8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80"/>
          </w:cols>
          <w:pgMar w:left="320" w:top="455" w:right="39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notes payable as of June 30, 2020 and December 31, 2019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CCEEFF"/>
            </w:tcBorders>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$24,389</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June 30, 2020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455" w:right="3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88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88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0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as of June 30, 2020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1,885</w:t>
            </w:r>
          </w:p>
        </w:tc>
      </w:tr>
      <w:tr>
        <w:trPr>
          <w:trHeight w:val="20"/>
        </w:trPr>
        <w:tc>
          <w:tcPr>
            <w:tcW w:w="16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455" w:right="3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June 30, 2020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53,031,883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185,432,719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$11.88 (adjusted for stock splits, dividends, and recapitalizations) and gross cash proceeds to the Company (before underwriting discounts, commissions, and fees) are at least $40 million.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 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8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83"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4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4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4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4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0.54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4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760" w:type="dxa"/>
            <w:vAlign w:val="bottom"/>
            <w:gridSpan w:val="3"/>
          </w:tcPr>
          <w:p>
            <w:pPr>
              <w:jc w:val="right"/>
              <w:ind w:right="2920"/>
              <w:spacing w:after="0"/>
              <w:rPr>
                <w:sz w:val="20"/>
                <w:szCs w:val="20"/>
                <w:color w:val="auto"/>
              </w:rPr>
            </w:pPr>
            <w:r>
              <w:rPr>
                <w:rFonts w:ascii="Times New Roman" w:cs="Times New Roman" w:eastAsia="Times New Roman" w:hAnsi="Times New Roman"/>
                <w:sz w:val="18"/>
                <w:szCs w:val="18"/>
                <w:color w:val="auto"/>
              </w:rPr>
              <w:t>F-31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June 30, 2020 (in thousands, except price and life):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80" w:type="dxa"/>
            <w:vAlign w:val="bottom"/>
          </w:tcPr>
          <w:p>
            <w:pPr>
              <w:spacing w:after="0"/>
              <w:rPr>
                <w:sz w:val="15"/>
                <w:szCs w:val="15"/>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220" w:type="dxa"/>
            <w:vAlign w:val="bottom"/>
            <w:gridSpan w:val="2"/>
            <w:vMerge w:val="restart"/>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3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2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$0.42 – $0.84</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1,947</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$0.66</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$2.62 – $3.74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3.39</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$4.40 – $4.46</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4.40</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6.83</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Total—June 30, 2020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$2.02</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There were 52,736 and 26,449 restricted stock units outstanding at June 30, 2020 and December 31, 2019, respectively, none of which had vested as of June 30, 2020.</w:t>
      </w:r>
    </w:p>
    <w:p>
      <w:pPr>
        <w:spacing w:after="0" w:line="162"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4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$ 382</w:t>
            </w:r>
          </w:p>
        </w:tc>
      </w:tr>
    </w:tbl>
    <w:p>
      <w:pPr>
        <w:spacing w:after="0" w:line="198"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76"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8"/>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55</w:t>
            </w:r>
          </w:p>
        </w:tc>
        <w:tc>
          <w:tcPr>
            <w:tcW w:w="9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6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As of June 30, 2020, the Company has issued a total of 205,199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455" w:right="3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option pricing model using approximately the same assumptions as in the previous table other than the term, which is approximately five years. As of June 30, 2020, 173,233 options outside of the 2006 Plan are outstanding and exercisable and have a weighted average exercise price of $11.11, a weighted average remaining life of six years, and were fully vested on the grant date. There was no unrecognized remaining stock-based compensation balance for shares issued outside of the 2006 Plan as of June 30,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condensed financial statements were available for issuance.</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In September 2020, the Company terminated its option to license rights within the United States from Oncimmune to an additional indication for their product.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455" w:right="3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14—Reverse Stock Split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80"/>
          </w:cols>
          <w:pgMar w:left="320" w:top="455" w:right="39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2020, except for earnings per share and Note 1(aa), as to which the date is August 12, 2020 and Note 14, as to which the date is October 20, 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13"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8,188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25,899</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3,863</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(26,741)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(30,726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(126.97)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26,131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455" w:right="3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190,000,000 (2019) and 180,000,000 (2018) authorized; 254,918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214,885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455" w:right="3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455" w:right="3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455" w:right="3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3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8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68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Borders>
              <w:top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Balance—December 31, 2017</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33,497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$ 25,061</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(174,411)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ASC 606 Adoption</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Stock—net of</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1,489</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1,489</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costs of $11</w:t>
            </w:r>
          </w:p>
        </w:tc>
        <w:tc>
          <w:tcPr>
            <w:tcW w:w="5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 related to</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10,650</w:t>
            </w: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7,987</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7,987</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business combination</w:t>
            </w:r>
          </w:p>
        </w:tc>
        <w:tc>
          <w:tcPr>
            <w:tcW w:w="56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6,956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6,956</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$44</w:t>
            </w: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H for debt conversion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9,141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Balance—December 31, 2018</w:t>
            </w: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$ 34,537</w:t>
            </w:r>
          </w:p>
        </w:tc>
        <w:tc>
          <w:tcPr>
            <w:tcW w:w="22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15,228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tcPr>
          <w:p>
            <w:pPr>
              <w:spacing w:after="0"/>
              <w:rPr>
                <w:sz w:val="13"/>
                <w:szCs w:val="13"/>
                <w:color w:val="auto"/>
              </w:rPr>
            </w:pPr>
          </w:p>
        </w:tc>
        <w:tc>
          <w:tcPr>
            <w:tcW w:w="2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9,997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9,997</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$3</w:t>
            </w: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Balance—December 31, 2019</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$ 34,537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23,923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193,959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(230,864)</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455" w:right="3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(17,677)</w:t>
            </w:r>
          </w:p>
        </w:tc>
        <w:tc>
          <w:tcPr>
            <w:tcW w:w="120" w:type="dxa"/>
            <w:vAlign w:val="bottom"/>
          </w:tcPr>
          <w:p>
            <w:pPr>
              <w:spacing w:after="0"/>
              <w:rPr>
                <w:sz w:val="19"/>
                <w:szCs w:val="19"/>
                <w:color w:val="auto"/>
              </w:rPr>
            </w:pPr>
          </w:p>
        </w:tc>
      </w:tr>
      <w:tr>
        <w:trPr>
          <w:trHeight w:val="49"/>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r>
      <w:tr>
        <w:trPr>
          <w:trHeight w:val="27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10,283</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(22,518)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455" w:right="3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20" w:type="dxa"/>
            <w:vAlign w:val="bottom"/>
          </w:tcPr>
          <w:p>
            <w:pPr>
              <w:spacing w:after="0"/>
              <w:rPr>
                <w:sz w:val="15"/>
                <w:szCs w:val="15"/>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455" w:right="3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00"/>
          </w:cols>
          <w:pgMar w:left="320" w:top="455" w:right="3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180" w:firstLine="449"/>
        <w:spacing w:after="0" w:line="277" w:lineRule="auto"/>
        <w:rPr>
          <w:sz w:val="20"/>
          <w:szCs w:val="20"/>
          <w:color w:val="auto"/>
        </w:rPr>
      </w:pPr>
      <w:r>
        <w:rPr>
          <w:rFonts w:ascii="Times New Roman" w:cs="Times New Roman" w:eastAsia="Times New Roman" w:hAnsi="Times New Roman"/>
          <w:sz w:val="17"/>
          <w:szCs w:val="17"/>
          <w:color w:val="auto"/>
        </w:rPr>
        <w:t>The Company is subject to credit risk from its accounts receivable related to services provided to its customers. Reimbursement on behalf of customers covered by Medicare accounted for 60% and 61%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20"/>
          </w:cols>
          <w:pgMar w:left="320" w:top="455" w:right="3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455" w:right="3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10,804</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years ended December 31, 2019 and 2018.</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2019 and 2018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$ 24,552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62"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455" w:right="3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primarily consists of services fee payments received in advance.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455" w:right="3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3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62"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Adopted</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60"/>
          </w:cols>
          <w:pgMar w:left="320" w:top="455" w:right="41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87"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Recently Issued Accounting Standards Not Yet Adopted</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-719455</wp:posOffset>
            </wp:positionV>
            <wp:extent cx="285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(aa) Net loss per share and unaudited pro format net loss per share</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00"/>
          </w:cols>
          <w:pgMar w:left="320" w:top="455" w:right="37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130.83</w:t>
            </w:r>
          </w:p>
        </w:tc>
      </w:tr>
    </w:tbl>
    <w:p>
      <w:pPr>
        <w:spacing w:after="0" w:line="198"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0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119,257</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110,562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21,131</w:t>
            </w:r>
            <w:r>
              <w:rPr>
                <w:rFonts w:ascii="Times New Roman" w:cs="Times New Roman" w:eastAsia="Times New Roman" w:hAnsi="Times New Roman"/>
                <w:sz w:val="15"/>
                <w:szCs w:val="15"/>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114,532</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100" w:hanging="452"/>
        <w:spacing w:after="0" w:line="266"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455" w:right="3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7"/>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19,801</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6,088</w:t>
            </w:r>
            <w:r>
              <w:rPr>
                <w:rFonts w:ascii="Times New Roman" w:cs="Times New Roman" w:eastAsia="Times New Roman" w:hAnsi="Times New Roman"/>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220" w:type="dxa"/>
            <w:vAlign w:val="bottom"/>
            <w:shd w:val="clear" w:color="auto" w:fill="CCEEFF"/>
          </w:tcPr>
          <w:p>
            <w:pPr>
              <w:spacing w:after="0"/>
              <w:rPr>
                <w:sz w:val="18"/>
                <w:szCs w:val="18"/>
                <w:color w:val="auto"/>
              </w:rPr>
            </w:pPr>
          </w:p>
        </w:tc>
      </w:tr>
      <w:tr>
        <w:trPr>
          <w:trHeight w:val="228"/>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886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460" w:right="100" w:hanging="452"/>
        <w:spacing w:after="0" w:line="266"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292"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455" w:right="3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56"/>
              <w:spacing w:after="0"/>
              <w:rPr>
                <w:sz w:val="20"/>
                <w:szCs w:val="20"/>
                <w:color w:val="auto"/>
              </w:rPr>
            </w:pPr>
            <w:r>
              <w:rPr>
                <w:rFonts w:ascii="Times New Roman" w:cs="Times New Roman" w:eastAsia="Times New Roman" w:hAnsi="Times New Roman"/>
                <w:sz w:val="18"/>
                <w:szCs w:val="18"/>
                <w:color w:val="auto"/>
              </w:rPr>
              <w:t>F-52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4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455" w:right="3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1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F-54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$ 29,114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455" w:right="3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60" w:type="dxa"/>
            <w:vAlign w:val="bottom"/>
          </w:tcPr>
          <w:p>
            <w:pPr>
              <w:spacing w:after="0"/>
              <w:rPr>
                <w:sz w:val="15"/>
                <w:szCs w:val="15"/>
                <w:color w:val="auto"/>
              </w:rPr>
            </w:pPr>
          </w:p>
        </w:tc>
        <w:tc>
          <w:tcPr>
            <w:tcW w:w="16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1,894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6,956</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(6,386)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600" w:hanging="4996"/>
        <w:spacing w:after="0" w:line="454" w:lineRule="auto"/>
        <w:rPr>
          <w:sz w:val="20"/>
          <w:szCs w:val="20"/>
          <w:color w:val="auto"/>
        </w:rPr>
      </w:pPr>
      <w:r>
        <w:rPr>
          <w:rFonts w:ascii="Times New Roman" w:cs="Times New Roman" w:eastAsia="Times New Roman" w:hAnsi="Times New Roman"/>
          <w:sz w:val="18"/>
          <w:szCs w:val="18"/>
          <w:color w:val="auto"/>
        </w:rPr>
        <w:t>Depreciation expense for each of the years ended December 31, 2019 and 2018 was $0.8 million and $0.7 million, respectively. F-56</w:t>
      </w:r>
    </w:p>
    <w:p>
      <w:pPr>
        <w:sectPr>
          <w:pgSz w:w="11900" w:h="16838" w:orient="portrait"/>
          <w:cols w:equalWidth="0" w:num="1">
            <w:col w:w="11240"/>
          </w:cols>
          <w:pgMar w:left="320" w:top="455" w:right="3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15,092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amortization expense of $2.0 million and $1.0 million for the years ended December 31,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related to the remaining net intangible assets is scheduled to amortize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455" w:right="3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9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accrued interest of $0.1 million is included in the convertible debt balance included on the accompanying balance sheet.</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20"/>
          </w:cols>
          <w:pgMar w:left="320" w:top="455" w:right="3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87"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76"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80"/>
          </w:cols>
          <w:pgMar w:left="320" w:top="455" w:right="39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payable as of December 31, 2019 and 2018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CCEEFF"/>
            </w:tcBorders>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5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Times New Roman" w:cs="Times New Roman" w:eastAsia="Times New Roman" w:hAnsi="Times New Roman"/>
                <w:sz w:val="18"/>
                <w:szCs w:val="18"/>
                <w:color w:val="auto"/>
              </w:rPr>
              <w:t>F-60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liabilities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8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6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62"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455" w:right="3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455" w:right="3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consecutive twelve-month period or for any material breach by the Company of the supply agreement. The Company incurred royalty expense of $0.1 million during 2019 under this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December 31, 2019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G</w:t>
      </w:r>
    </w:p>
    <w:p>
      <w:pPr>
        <w:spacing w:after="0" w:line="11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455" w:right="3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$11.88 (adjusted for stock splits, dividends, and recapitalizations) and gross cash proceeds to the Company (before underwriting discounts, commissions, and fees) are at least $40 million.</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80"/>
          </w:cols>
          <w:pgMar w:left="320" w:top="455" w:right="39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8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455" w:right="33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9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December 31, 2019 (in thousands, except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60" w:type="dxa"/>
            <w:vAlign w:val="bottom"/>
          </w:tcPr>
          <w:p>
            <w:pPr>
              <w:spacing w:after="0"/>
              <w:rPr>
                <w:sz w:val="15"/>
                <w:szCs w:val="15"/>
                <w:color w:val="auto"/>
              </w:rPr>
            </w:pPr>
          </w:p>
        </w:tc>
        <w:tc>
          <w:tcPr>
            <w:tcW w:w="14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280" w:type="dxa"/>
            <w:vAlign w:val="bottom"/>
            <w:gridSpan w:val="2"/>
            <w:vMerge w:val="restart"/>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36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$0.42 – $0.84</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$0.66</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$2.62 – $3.74</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3.39</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$4.40 – $4.46</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6.83</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Total—December 31, 2019</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(dollars in thousands):</w:t>
      </w:r>
    </w:p>
    <w:p>
      <w:pPr>
        <w:spacing w:after="0" w:line="18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7"/>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5.94 years</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F-66</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76"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62"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has issued a total of 205,199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188,043 options outside of the 2006 Incentive Plan are outstanding and exercisable and have a weighted average exercise price of $11.52, a weighted average remaining life of six years, and were fully vested on the grant date. There was no unrecognized remaining stock-based compensation balance for shares issued outside of the 2006 Incentive Plan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455" w:right="3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w w:val="95"/>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8.0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financial statements were available for issuance.</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3"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76"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455" w:right="3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14—Reverse Stock Split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80"/>
          </w:cols>
          <w:pgMar w:left="320" w:top="455" w:right="399" w:bottom="1440" w:gutter="0" w:footer="0" w:header="0"/>
        </w:sectPr>
      </w:pPr>
    </w:p>
    <w:bookmarkStart w:id="288" w:name="page289"/>
    <w:bookmarkEnd w:id="28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215265</wp:posOffset>
            </wp:positionV>
            <wp:extent cx="5366385" cy="6943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9" w:name="page290"/>
    <w:bookmarkEnd w:id="28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215265</wp:posOffset>
            </wp:positionV>
            <wp:extent cx="5366385" cy="6943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lowerRoman"/>
      <w:start w:val="2"/>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lowerRoman"/>
      <w:start w:val="3"/>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lvl w:ilvl="1">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lvl w:ilvl="1">
      <w:lvlJc w:val="left"/>
      <w:lvlText w:val="•"/>
      <w:numFmt w:val="bullet"/>
      <w:start w:val="1"/>
    </w:lvl>
  </w:abstractNum>
  <w:abstractNum w:abstractNumId="64">
    <w:nsid w:val="4A2AC315"/>
    <w:multiLevelType w:val="hybridMultilevel"/>
    <w:lvl w:ilvl="0">
      <w:lvlJc w:val="left"/>
      <w:lvlText w:val="•"/>
      <w:numFmt w:val="bullet"/>
      <w:start w:val="1"/>
    </w:lvl>
    <w:lvl w:ilvl="1">
      <w:lvlJc w:val="left"/>
      <w:lvlText w:val="•"/>
      <w:numFmt w:val="bullet"/>
      <w:start w:val="1"/>
    </w:lvl>
  </w:abstractNum>
  <w:abstractNum w:abstractNumId="65">
    <w:nsid w:val="39EE015C"/>
    <w:multiLevelType w:val="hybridMultilevel"/>
    <w:lvl w:ilvl="0">
      <w:lvlJc w:val="left"/>
      <w:lvlText w:val="•"/>
      <w:numFmt w:val="bullet"/>
      <w:start w:val="1"/>
    </w:lvl>
    <w:lvl w:ilvl="1">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4"/>
    </w:lvl>
  </w:abstractNum>
  <w:abstractNum w:abstractNumId="88">
    <w:nsid w:val="14FCE74E"/>
    <w:multiLevelType w:val="hybridMultilevel"/>
    <w:lvl w:ilvl="0">
      <w:lvlJc w:val="left"/>
      <w:lvlText w:val="(%1)"/>
      <w:numFmt w:val="lowerRoman"/>
      <w:start w:val="2"/>
    </w:lvl>
  </w:abstractNum>
  <w:abstractNum w:abstractNumId="89">
    <w:nsid w:val="6A3DD3E8"/>
    <w:multiLevelType w:val="hybridMultilevel"/>
    <w:lvl w:ilvl="0">
      <w:lvlJc w:val="left"/>
      <w:lvlText w:val="(%1)"/>
      <w:numFmt w:val="lowerRoman"/>
      <w:start w:val="1"/>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1)"/>
      <w:numFmt w:val="decimal"/>
      <w:start w:val="2"/>
    </w:lvl>
  </w:abstractNum>
  <w:abstractNum w:abstractNumId="95">
    <w:nsid w:val="1D545C4D"/>
    <w:multiLevelType w:val="hybridMultilevel"/>
    <w:lvl w:ilvl="0">
      <w:lvlJc w:val="left"/>
      <w:lvlText w:val="(%1)"/>
      <w:numFmt w:val="decimal"/>
      <w:start w:val="5"/>
    </w:lvl>
  </w:abstractNum>
  <w:abstractNum w:abstractNumId="96">
    <w:nsid w:val="59ADEA3D"/>
    <w:multiLevelType w:val="hybridMultilevel"/>
    <w:lvl w:ilvl="0">
      <w:lvlJc w:val="left"/>
      <w:lvlText w:val="(%1)"/>
      <w:numFmt w:val="decimal"/>
      <w:start w:val="14"/>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2020-10-29T15:31:40Z</dcterms:created>
  <dcterms:modified xsi:type="dcterms:W3CDTF">2020-10-29T15:31:40Z</dcterms:modified>
</cp:coreProperties>
</file>