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Pestano Gary Anthony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919 WEST DILLON 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LOUISVILLE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BIODESIX INC</w:t>
              </w:r>
            </w:hyperlink>
            <w:r>
              <w:rPr/>
              <w:t xml:space="preserve"> [ </w:t>
            </w:r>
            <w:r>
              <w:rPr>
                <w:rFonts w:ascii="Times;serif" w:hAnsi="Times;serif"/>
                <w:color w:val="0000FF"/>
                <w:sz w:val="24"/>
                <w:shd w:fill="FFFFFF" w:val="clear"/>
              </w:rPr>
              <w:t>BDSX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Development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11/08/2024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11/08/2024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127,454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1.3909</w:t>
            </w:r>
            <w:r>
              <w:rPr>
                <w:rFonts w:ascii="Times;serif" w:hAnsi="Times;serif"/>
                <w:color w:val="008000"/>
                <w:position w:val="7"/>
                <w:sz w:val="16"/>
                <w:sz w:val="20"/>
                <w:shd w:fill="FFFFFF" w:val="clear"/>
              </w:rPr>
              <w:t>(3)</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127,234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11/12/2024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1.4008</w:t>
            </w:r>
            <w:r>
              <w:rPr>
                <w:rFonts w:ascii="Times;serif" w:hAnsi="Times;serif"/>
                <w:color w:val="008000"/>
                <w:position w:val="7"/>
                <w:sz w:val="16"/>
                <w:sz w:val="20"/>
                <w:shd w:fill="FFFFFF" w:val="clear"/>
              </w:rPr>
              <w:t>(4)</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127,027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11/08/2024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6,891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(the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of the Issuer's Common Stock were sold automatically to cover taxes upon the vesting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$1.36 to $1.42,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$1.39 to $1.43,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RSUs vest in a series of sixteen successive quarterly installments measured from February 8, 2022, generally subject to the Reporting Person's continued service with the Issuer, and have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Robin H. Cowie as Attorney-in-Fact for Gary Pestano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7711" TargetMode="External"/><Relationship Id="rId5" Type="http://schemas.openxmlformats.org/officeDocument/2006/relationships/hyperlink" Target="http://www.sec.gov/cgi-bin/browse-edgar?action=getcompany&amp;CIK=0001439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875</Words>
  <Characters>4633</Characters>
  <CharactersWithSpaces>5422</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