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May 31, 2024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20549-3720</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w w:val="89"/>
              </w:rPr>
              <w:t>Attention:  </w:t>
            </w:r>
          </w:p>
        </w:tc>
        <w:tc>
          <w:tcPr>
            <w:tcW w:w="4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Jane Park</w:t>
            </w:r>
          </w:p>
        </w:tc>
      </w:tr>
      <w:tr>
        <w:trPr>
          <w:trHeight w:val="319"/>
        </w:trPr>
        <w:tc>
          <w:tcPr>
            <w:tcW w:w="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w:t>
            </w:r>
          </w:p>
        </w:tc>
        <w:tc>
          <w:tcPr>
            <w:tcW w:w="4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Acceleration Request for Biodesix, Inc.</w:t>
            </w:r>
          </w:p>
        </w:tc>
      </w:tr>
      <w:tr>
        <w:trPr>
          <w:trHeight w:val="194"/>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8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9"/>
              </w:rPr>
              <w:t>Registration Statement on Form S-1 (File No. 333-278881)</w:t>
            </w:r>
          </w:p>
        </w:tc>
      </w:tr>
    </w:tbl>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4"/>
          <w:szCs w:val="24"/>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Pursuant to Rule 461 under the Securities Act of 1933, as amended, Biodesix,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requests that the effective date of the Company’s Registration Statement on Form S-1, Registration Number 333-278881,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be accelerated so that the Company’s Registration Statement will become effective at 4:00 P.M., Eastern Time or as soon thereafter as practicable, on June 4, 2024, or at such later time as the Company or its counsel may orally request via telephone call to the staff of the Division of Corporation Finance of the U.S. Securities and Exchange Commission.</w:t>
      </w:r>
    </w:p>
    <w:p>
      <w:pPr>
        <w:spacing w:after="0" w:line="1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Immediately Follows]</w:t>
      </w:r>
    </w:p>
    <w:p>
      <w:pPr>
        <w:sectPr>
          <w:pgSz w:w="11900" w:h="16838" w:orient="portrait"/>
          <w:cols w:equalWidth="0" w:num="1">
            <w:col w:w="10980"/>
          </w:cols>
          <w:pgMar w:left="440" w:top="229" w:right="479" w:bottom="1440" w:gutter="0" w:footer="0" w:header="0"/>
        </w:sectPr>
      </w:pPr>
    </w:p>
    <w:bookmarkStart w:id="1" w:name="page2"/>
    <w:bookmarkEnd w:id="1"/>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would appreciate it if, as soon as the Registration Statement is declared effective, you would so inform Samir A. Gandhi of Sidley Austin LLP at (212) 839-5684.</w:t>
      </w:r>
    </w:p>
    <w:p>
      <w:pPr>
        <w:spacing w:after="0" w:line="18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Scott Hutton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Scott Hutton</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4" w:lineRule="exact"/>
        <w:rPr>
          <w:sz w:val="20"/>
          <w:szCs w:val="20"/>
          <w:color w:val="auto"/>
        </w:rPr>
      </w:pPr>
    </w:p>
    <w:p>
      <w:pPr>
        <w:ind w:left="444" w:right="6920" w:hanging="444"/>
        <w:spacing w:after="0" w:line="312" w:lineRule="auto"/>
        <w:tabs>
          <w:tab w:leader="none" w:pos="43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Robin Harper Cowie, Biodesix, Inc. Frank F. Rahmani, Sidley Austin LLP</w:t>
      </w:r>
    </w:p>
    <w:sectPr>
      <w:pgSz w:w="11900" w:h="16838" w:orient="portrait"/>
      <w:cols w:equalWidth="0" w:num="1">
        <w:col w:w="10084"/>
      </w:cols>
      <w:pgMar w:left="436" w:top="270"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2024-07-03T23:09:23Z</dcterms:created>
  <dcterms:modified xsi:type="dcterms:W3CDTF">2024-07-03T23:09:23Z</dcterms:modified>
</cp:coreProperties>
</file>