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PATIENCE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WEST DILLON RD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BIODESIX INC</w:t>
              </w:r>
            </w:hyperlink>
            <w:r>
              <w:rPr/>
              <w:t xml:space="preserve"> [ </w:t>
            </w:r>
            <w:r>
              <w:rPr>
                <w:rFonts w:ascii="Times;serif" w:hAnsi="Times;serif"/>
                <w:color w:val="0000FF"/>
                <w:sz w:val="24"/>
                <w:shd w:fill="FFFFFF" w:val="clear"/>
              </w:rPr>
              <w:t>BDSX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7"/>
        <w:gridCol w:w="927"/>
        <w:gridCol w:w="794"/>
        <w:gridCol w:w="615"/>
        <w:gridCol w:w="351"/>
        <w:gridCol w:w="844"/>
        <w:gridCol w:w="447"/>
        <w:gridCol w:w="614"/>
        <w:gridCol w:w="1161"/>
        <w:gridCol w:w="1000"/>
        <w:gridCol w:w="12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26,743</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107,664</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Patience Enterprises LP</w:t>
            </w:r>
            <w:r>
              <w:rPr>
                <w:rFonts w:ascii="Times;serif" w:hAnsi="Times;serif"/>
                <w:color w:val="008000"/>
                <w:position w:val="7"/>
                <w:sz w:val="16"/>
                <w:sz w:val="20"/>
                <w:shd w:fill="FFFFFF" w:val="clear"/>
              </w:rPr>
              <w:t>(2)</w:t>
            </w:r>
          </w:p>
        </w:tc>
      </w:tr>
      <w:tr>
        <w:trPr/>
        <w:tc>
          <w:tcPr>
            <w:tcW w:w="22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241,480</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John Patience Living Trust dated 7/23/1993</w:t>
            </w:r>
            <w:r>
              <w:rPr>
                <w:rFonts w:ascii="Times;serif" w:hAnsi="Times;serif"/>
                <w:color w:val="008000"/>
                <w:position w:val="7"/>
                <w:sz w:val="16"/>
                <w:sz w:val="20"/>
                <w:shd w:fill="FFFFFF" w:val="clear"/>
              </w:rPr>
              <w:t>(3)</w:t>
            </w:r>
          </w:p>
        </w:tc>
      </w:tr>
      <w:tr>
        <w:trPr/>
        <w:tc>
          <w:tcPr>
            <w:tcW w:w="22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2,649</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(the "RSU") represents a contingent right to receive one share of the Issuer's common stock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the sole general partner of Patience Enterprises LP.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sole trustee of John Patience Living Trust (July 23, 1993).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RSUs vest in four substantially equal installments on March 31, June 30, September 30 and December 31, 2026, generally subject to the Reporting Person's continued service with the Issuer, and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Robin H. Cowie as Attorney-in-Fact for John Patience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21413" TargetMode="External"/><Relationship Id="rId5" Type="http://schemas.openxmlformats.org/officeDocument/2006/relationships/hyperlink" Target="http://www.sec.gov/cgi-bin/browse-edgar?action=getcompany&amp;CIK=0001439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3983</Characters>
  <CharactersWithSpaces>4632</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