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2833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SCHULER JACK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70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BIODESIX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BDSX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0" w:type="dxa"/>
            <w:vAlign w:val="bottom"/>
            <w:gridSpan w:val="5"/>
            <w:vMerge w:val="continue"/>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gridSpan w:val="2"/>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760" w:type="dxa"/>
            <w:vAlign w:val="bottom"/>
            <w:gridSpan w:val="2"/>
            <w:vMerge w:val="restart"/>
          </w:tcPr>
          <w:p>
            <w:pPr>
              <w:ind w:left="440"/>
              <w:spacing w:after="0"/>
              <w:rPr>
                <w:sz w:val="20"/>
                <w:szCs w:val="20"/>
                <w:color w:val="auto"/>
              </w:rPr>
            </w:pPr>
            <w:r>
              <w:rPr>
                <w:rFonts w:ascii="Arial" w:cs="Arial" w:eastAsia="Arial" w:hAnsi="Arial"/>
                <w:sz w:val="17"/>
                <w:szCs w:val="17"/>
                <w:color w:val="0000FF"/>
              </w:rPr>
              <w:t>X</w:t>
            </w:r>
          </w:p>
        </w:tc>
        <w:tc>
          <w:tcPr>
            <w:tcW w:w="1260" w:type="dxa"/>
            <w:vAlign w:val="bottom"/>
            <w:gridSpan w:val="4"/>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4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2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4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7"/>
                <w:szCs w:val="7"/>
                <w:color w:val="auto"/>
              </w:rPr>
            </w:pPr>
          </w:p>
        </w:tc>
        <w:tc>
          <w:tcPr>
            <w:tcW w:w="1260" w:type="dxa"/>
            <w:vAlign w:val="bottom"/>
            <w:gridSpan w:val="4"/>
            <w:vMerge w:val="restart"/>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3"/>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4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3000" w:type="dxa"/>
            <w:vAlign w:val="bottom"/>
            <w:gridSpan w:val="8"/>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2970 WILDERNESS PLACE</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gridSpan w:val="3"/>
          </w:tcPr>
          <w:p>
            <w:pPr>
              <w:ind w:left="80"/>
              <w:spacing w:after="0"/>
              <w:rPr>
                <w:sz w:val="20"/>
                <w:szCs w:val="20"/>
                <w:color w:val="auto"/>
              </w:rPr>
            </w:pPr>
            <w:r>
              <w:rPr>
                <w:rFonts w:ascii="Arial" w:cs="Arial" w:eastAsia="Arial" w:hAnsi="Arial"/>
                <w:sz w:val="17"/>
                <w:szCs w:val="17"/>
                <w:color w:val="0000FF"/>
              </w:rPr>
              <w:t>08/19/2021</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SUITE 100</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10"/>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980" w:type="dxa"/>
            <w:vAlign w:val="bottom"/>
            <w:gridSpan w:val="4"/>
            <w:vMerge w:val="continue"/>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BOULDER</w:t>
            </w:r>
          </w:p>
        </w:tc>
        <w:tc>
          <w:tcPr>
            <w:tcW w:w="300" w:type="dxa"/>
            <w:vAlign w:val="bottom"/>
          </w:tcPr>
          <w:p>
            <w:pPr>
              <w:ind w:left="40"/>
              <w:spacing w:after="0"/>
              <w:rPr>
                <w:sz w:val="20"/>
                <w:szCs w:val="20"/>
                <w:color w:val="auto"/>
              </w:rPr>
            </w:pPr>
            <w:r>
              <w:rPr>
                <w:rFonts w:ascii="Arial" w:cs="Arial" w:eastAsia="Arial" w:hAnsi="Arial"/>
                <w:sz w:val="17"/>
                <w:szCs w:val="17"/>
                <w:color w:val="0000FF"/>
                <w:w w:val="93"/>
              </w:rPr>
              <w:t>CO</w:t>
            </w: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80301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ind w:left="320"/>
              <w:spacing w:after="0" w:line="134" w:lineRule="exact"/>
              <w:rPr>
                <w:sz w:val="20"/>
                <w:szCs w:val="20"/>
                <w:color w:val="auto"/>
              </w:rPr>
            </w:pPr>
            <w:r>
              <w:rPr>
                <w:rFonts w:ascii="Arial" w:cs="Arial" w:eastAsia="Arial" w:hAnsi="Arial"/>
                <w:sz w:val="13"/>
                <w:szCs w:val="13"/>
                <w:color w:val="auto"/>
              </w:rPr>
              <w:t>Person</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08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21"/>
          </w:tcPr>
          <w:p>
            <w:pPr>
              <w:ind w:left="2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6"/>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2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40" w:type="dxa"/>
            <w:vAlign w:val="bottom"/>
            <w:gridSpan w:val="8"/>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w w:val="98"/>
              </w:rPr>
              <w:t>6. Ownership</w:t>
            </w:r>
          </w:p>
        </w:tc>
        <w:tc>
          <w:tcPr>
            <w:tcW w:w="1260" w:type="dxa"/>
            <w:vAlign w:val="bottom"/>
            <w:gridSpan w:val="4"/>
          </w:tcPr>
          <w:p>
            <w:pPr>
              <w:ind w:left="1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20" w:type="dxa"/>
            <w:vAlign w:val="bottom"/>
            <w:gridSpan w:val="3"/>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8"/>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1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26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4"/>
                <w:szCs w:val="14"/>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126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line="84"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w w:val="93"/>
              </w:rPr>
              <w:t>Code</w:t>
            </w: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gridSpan w:val="2"/>
            <w:vMerge w:val="continue"/>
          </w:tcPr>
          <w:p>
            <w:pPr>
              <w:spacing w:after="0"/>
              <w:rPr>
                <w:sz w:val="10"/>
                <w:szCs w:val="10"/>
                <w:color w:val="auto"/>
              </w:rPr>
            </w:pPr>
          </w:p>
        </w:tc>
        <w:tc>
          <w:tcPr>
            <w:tcW w:w="90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2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gridSpan w:val="2"/>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300" w:type="dxa"/>
            <w:vAlign w:val="bottom"/>
            <w:vMerge w:val="restart"/>
          </w:tcPr>
          <w:p>
            <w:pPr>
              <w:jc w:val="right"/>
              <w:ind w:right="51"/>
              <w:spacing w:after="0"/>
              <w:rPr>
                <w:sz w:val="20"/>
                <w:szCs w:val="20"/>
                <w:color w:val="auto"/>
              </w:rPr>
            </w:pPr>
            <w:r>
              <w:rPr>
                <w:rFonts w:ascii="Arial" w:cs="Arial" w:eastAsia="Arial" w:hAnsi="Arial"/>
                <w:sz w:val="12"/>
                <w:szCs w:val="12"/>
                <w:b w:val="1"/>
                <w:bCs w:val="1"/>
                <w:color w:val="auto"/>
                <w:w w:val="95"/>
              </w:rPr>
              <w:t>(D)</w:t>
            </w:r>
          </w:p>
        </w:tc>
        <w:tc>
          <w:tcPr>
            <w:tcW w:w="120" w:type="dxa"/>
            <w:vAlign w:val="bottom"/>
          </w:tcPr>
          <w:p>
            <w:pPr>
              <w:spacing w:after="0"/>
              <w:rPr>
                <w:sz w:val="6"/>
                <w:szCs w:val="6"/>
                <w:color w:val="auto"/>
              </w:rPr>
            </w:pPr>
          </w:p>
        </w:tc>
        <w:tc>
          <w:tcPr>
            <w:tcW w:w="900" w:type="dxa"/>
            <w:vAlign w:val="bottom"/>
            <w:gridSpan w:val="5"/>
            <w:vMerge w:val="continue"/>
          </w:tcPr>
          <w:p>
            <w:pPr>
              <w:spacing w:after="0"/>
              <w:rPr>
                <w:sz w:val="6"/>
                <w:szCs w:val="6"/>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4"/>
          </w:tcPr>
          <w:p>
            <w:pPr>
              <w:ind w:left="160"/>
              <w:spacing w:after="0"/>
              <w:rPr>
                <w:sz w:val="20"/>
                <w:szCs w:val="20"/>
                <w:color w:val="auto"/>
              </w:rPr>
            </w:pPr>
            <w:r>
              <w:rPr>
                <w:rFonts w:ascii="Arial" w:cs="Arial" w:eastAsia="Arial" w:hAnsi="Arial"/>
                <w:sz w:val="17"/>
                <w:szCs w:val="17"/>
                <w:color w:val="0000FF"/>
              </w:rPr>
              <w:t>By Jack W.</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vMerge w:val="restart"/>
          </w:tcPr>
          <w:p>
            <w:pPr>
              <w:ind w:left="520"/>
              <w:spacing w:after="0"/>
              <w:rPr>
                <w:sz w:val="20"/>
                <w:szCs w:val="20"/>
                <w:color w:val="auto"/>
              </w:rPr>
            </w:pPr>
            <w:r>
              <w:rPr>
                <w:rFonts w:ascii="Arial" w:cs="Arial" w:eastAsia="Arial" w:hAnsi="Arial"/>
                <w:sz w:val="17"/>
                <w:szCs w:val="17"/>
                <w:color w:val="0000FF"/>
                <w:w w:val="93"/>
              </w:rPr>
              <w:t>08/19/2021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2"/>
            <w:vMerge w:val="restart"/>
          </w:tcPr>
          <w:p>
            <w:pPr>
              <w:ind w:left="160"/>
              <w:spacing w:after="0"/>
              <w:rPr>
                <w:sz w:val="20"/>
                <w:szCs w:val="20"/>
                <w:color w:val="auto"/>
              </w:rPr>
            </w:pPr>
            <w:r>
              <w:rPr>
                <w:rFonts w:ascii="Arial" w:cs="Arial" w:eastAsia="Arial" w:hAnsi="Arial"/>
                <w:sz w:val="13"/>
                <w:szCs w:val="13"/>
                <w:color w:val="0000FF"/>
              </w:rPr>
              <w:t>P</w:t>
            </w:r>
          </w:p>
        </w:tc>
        <w:tc>
          <w:tcPr>
            <w:tcW w:w="420" w:type="dxa"/>
            <w:vAlign w:val="bottom"/>
          </w:tcPr>
          <w:p>
            <w:pPr>
              <w:spacing w:after="0"/>
              <w:rPr>
                <w:sz w:val="18"/>
                <w:szCs w:val="18"/>
                <w:color w:val="auto"/>
              </w:rPr>
            </w:pPr>
          </w:p>
        </w:tc>
        <w:tc>
          <w:tcPr>
            <w:tcW w:w="820" w:type="dxa"/>
            <w:vAlign w:val="bottom"/>
            <w:vMerge w:val="restart"/>
          </w:tcPr>
          <w:p>
            <w:pPr>
              <w:jc w:val="right"/>
              <w:ind w:right="135"/>
              <w:spacing w:after="0"/>
              <w:rPr>
                <w:sz w:val="20"/>
                <w:szCs w:val="20"/>
                <w:color w:val="auto"/>
              </w:rPr>
            </w:pPr>
            <w:r>
              <w:rPr>
                <w:rFonts w:ascii="Arial" w:cs="Arial" w:eastAsia="Arial" w:hAnsi="Arial"/>
                <w:sz w:val="17"/>
                <w:szCs w:val="17"/>
                <w:color w:val="0000FF"/>
              </w:rPr>
              <w:t>50,000</w:t>
            </w:r>
          </w:p>
        </w:tc>
        <w:tc>
          <w:tcPr>
            <w:tcW w:w="300" w:type="dxa"/>
            <w:vAlign w:val="bottom"/>
            <w:vMerge w:val="restart"/>
          </w:tcPr>
          <w:p>
            <w:pPr>
              <w:jc w:val="right"/>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18"/>
                <w:szCs w:val="18"/>
                <w:color w:val="auto"/>
              </w:rPr>
            </w:pPr>
          </w:p>
        </w:tc>
        <w:tc>
          <w:tcPr>
            <w:tcW w:w="820" w:type="dxa"/>
            <w:vAlign w:val="bottom"/>
            <w:gridSpan w:val="3"/>
            <w:vMerge w:val="restart"/>
          </w:tcPr>
          <w:p>
            <w:pPr>
              <w:ind w:left="8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7.6888</w:t>
            </w:r>
            <w:r>
              <w:rPr>
                <w:rFonts w:ascii="Arial" w:cs="Arial" w:eastAsia="Arial" w:hAnsi="Arial"/>
                <w:sz w:val="22"/>
                <w:szCs w:val="22"/>
                <w:color w:val="008000"/>
                <w:w w:val="90"/>
                <w:vertAlign w:val="superscript"/>
              </w:rPr>
              <w:t>(3)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0000FF"/>
              </w:rPr>
              <w:t>6,035,953</w:t>
            </w:r>
          </w:p>
        </w:tc>
        <w:tc>
          <w:tcPr>
            <w:tcW w:w="520" w:type="dxa"/>
            <w:vAlign w:val="bottom"/>
            <w:vMerge w:val="restart"/>
          </w:tcPr>
          <w:p>
            <w:pPr>
              <w:ind w:left="300"/>
              <w:spacing w:after="0" w:line="382" w:lineRule="exact"/>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(1)</w:t>
            </w:r>
          </w:p>
        </w:tc>
        <w:tc>
          <w:tcPr>
            <w:tcW w:w="240" w:type="dxa"/>
            <w:vAlign w:val="bottom"/>
          </w:tcPr>
          <w:p>
            <w:pPr>
              <w:spacing w:after="0"/>
              <w:rPr>
                <w:sz w:val="18"/>
                <w:szCs w:val="18"/>
                <w:color w:val="auto"/>
              </w:rPr>
            </w:pPr>
          </w:p>
        </w:tc>
        <w:tc>
          <w:tcPr>
            <w:tcW w:w="1260" w:type="dxa"/>
            <w:vAlign w:val="bottom"/>
            <w:gridSpan w:val="4"/>
          </w:tcPr>
          <w:p>
            <w:pPr>
              <w:ind w:left="160"/>
              <w:spacing w:after="0"/>
              <w:rPr>
                <w:sz w:val="20"/>
                <w:szCs w:val="20"/>
                <w:color w:val="auto"/>
              </w:rPr>
            </w:pPr>
            <w:r>
              <w:rPr>
                <w:rFonts w:ascii="Arial" w:cs="Arial" w:eastAsia="Arial" w:hAnsi="Arial"/>
                <w:sz w:val="17"/>
                <w:szCs w:val="17"/>
                <w:color w:val="0000FF"/>
              </w:rPr>
              <w:t>Schuler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restart"/>
          </w:tcPr>
          <w:p>
            <w:pPr>
              <w:ind w:left="160"/>
              <w:spacing w:after="0"/>
              <w:rPr>
                <w:sz w:val="20"/>
                <w:szCs w:val="20"/>
                <w:color w:val="auto"/>
              </w:rPr>
            </w:pPr>
            <w:r>
              <w:rPr>
                <w:rFonts w:ascii="Arial" w:cs="Arial" w:eastAsia="Arial" w:hAnsi="Arial"/>
                <w:sz w:val="17"/>
                <w:szCs w:val="17"/>
                <w:color w:val="0000FF"/>
              </w:rPr>
              <w:t>Living</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4"/>
          </w:tcPr>
          <w:p>
            <w:pPr>
              <w:ind w:left="160"/>
              <w:spacing w:after="0"/>
              <w:rPr>
                <w:sz w:val="20"/>
                <w:szCs w:val="20"/>
                <w:color w:val="auto"/>
              </w:rPr>
            </w:pPr>
            <w:r>
              <w:rPr>
                <w:rFonts w:ascii="Arial" w:cs="Arial" w:eastAsia="Arial" w:hAnsi="Arial"/>
                <w:sz w:val="17"/>
                <w:szCs w:val="17"/>
                <w:color w:val="0000FF"/>
              </w:rPr>
              <w:t>By Schuler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7"/>
                <w:szCs w:val="17"/>
                <w:color w:val="0000FF"/>
              </w:rPr>
              <w:t>277,777</w:t>
            </w:r>
          </w:p>
        </w:tc>
        <w:tc>
          <w:tcPr>
            <w:tcW w:w="520" w:type="dxa"/>
            <w:vAlign w:val="bottom"/>
          </w:tcPr>
          <w:p>
            <w:pPr>
              <w:ind w:left="300"/>
              <w:spacing w:after="0" w:line="213" w:lineRule="exact"/>
              <w:rPr>
                <w:sz w:val="20"/>
                <w:szCs w:val="20"/>
                <w:color w:val="auto"/>
              </w:rPr>
            </w:pPr>
            <w:r>
              <w:rPr>
                <w:rFonts w:ascii="Arial" w:cs="Arial" w:eastAsia="Arial" w:hAnsi="Arial"/>
                <w:sz w:val="24"/>
                <w:szCs w:val="24"/>
                <w:color w:val="0000FF"/>
                <w:vertAlign w:val="subscript"/>
              </w:rPr>
              <w:t>I</w:t>
            </w:r>
            <w:r>
              <w:rPr>
                <w:rFonts w:ascii="Arial" w:cs="Arial" w:eastAsia="Arial" w:hAnsi="Arial"/>
                <w:sz w:val="10"/>
                <w:szCs w:val="10"/>
                <w:color w:val="008000"/>
              </w:rPr>
              <w:t>(2)</w:t>
            </w:r>
          </w:p>
        </w:tc>
        <w:tc>
          <w:tcPr>
            <w:tcW w:w="240" w:type="dxa"/>
            <w:vAlign w:val="bottom"/>
          </w:tcPr>
          <w:p>
            <w:pPr>
              <w:spacing w:after="0"/>
              <w:rPr>
                <w:sz w:val="18"/>
                <w:szCs w:val="18"/>
                <w:color w:val="auto"/>
              </w:rPr>
            </w:pPr>
          </w:p>
        </w:tc>
        <w:tc>
          <w:tcPr>
            <w:tcW w:w="1260" w:type="dxa"/>
            <w:vAlign w:val="bottom"/>
            <w:gridSpan w:val="4"/>
          </w:tcPr>
          <w:p>
            <w:pPr>
              <w:ind w:left="16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4"/>
          </w:tcPr>
          <w:p>
            <w:pPr>
              <w:ind w:left="160"/>
              <w:spacing w:after="0"/>
              <w:rPr>
                <w:sz w:val="20"/>
                <w:szCs w:val="20"/>
                <w:color w:val="auto"/>
              </w:rPr>
            </w:pPr>
            <w:r>
              <w:rPr>
                <w:rFonts w:ascii="Arial" w:cs="Arial" w:eastAsia="Arial" w:hAnsi="Arial"/>
                <w:sz w:val="17"/>
                <w:szCs w:val="17"/>
                <w:color w:val="0000FF"/>
              </w:rPr>
              <w:t>Foundation</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40" w:type="dxa"/>
            <w:vAlign w:val="bottom"/>
            <w:gridSpan w:val="20"/>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520" w:type="dxa"/>
            <w:vAlign w:val="bottom"/>
            <w:gridSpan w:val="18"/>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4"/>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6"/>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00" w:type="dxa"/>
            <w:vAlign w:val="bottom"/>
          </w:tcPr>
          <w:p>
            <w:pPr>
              <w:spacing w:after="0"/>
              <w:rPr>
                <w:sz w:val="11"/>
                <w:szCs w:val="11"/>
                <w:color w:val="auto"/>
              </w:rPr>
            </w:pPr>
          </w:p>
        </w:tc>
        <w:tc>
          <w:tcPr>
            <w:tcW w:w="10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rPr>
                <w:sz w:val="11"/>
                <w:szCs w:val="11"/>
                <w:color w:val="auto"/>
              </w:rPr>
            </w:pPr>
          </w:p>
        </w:tc>
        <w:tc>
          <w:tcPr>
            <w:tcW w:w="10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5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jc w:val="right"/>
              <w:ind w:right="51"/>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00" w:type="dxa"/>
            <w:vAlign w:val="bottom"/>
          </w:tcPr>
          <w:p>
            <w:pPr>
              <w:spacing w:after="0"/>
              <w:rPr>
                <w:sz w:val="13"/>
                <w:szCs w:val="13"/>
                <w:color w:val="auto"/>
              </w:rPr>
            </w:pP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Jack W. Schuler is the sole trustee of the Jack W. Schuler Living Trust.</w:t>
      </w:r>
    </w:p>
    <w:p>
      <w:pPr>
        <w:spacing w:after="0" w:line="50" w:lineRule="exact"/>
        <w:rPr>
          <w:rFonts w:ascii="Arial" w:cs="Arial" w:eastAsia="Arial" w:hAnsi="Arial"/>
          <w:sz w:val="13"/>
          <w:szCs w:val="13"/>
          <w:color w:val="008000"/>
        </w:rPr>
      </w:pPr>
    </w:p>
    <w:p>
      <w:pPr>
        <w:ind w:left="40" w:right="28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 shares of the Issuer owned by the Schuler Family Foundation (the "Foundation"). Although the Reporting Person is the President of the Foundation and makes investment decisions regarding the Foundation's securities transactions, by virtue of the Foundation's status as a 501(c)(3) tax-exempt organization, the Reporting Person may not, and in fact, does not personally derive any profit from the Foundation's transactions in the Issuer's common stock. As a result, this Form 4 is a voluntary report with respect to these purchases of the Issuer's common stock by the Foundation.</w:t>
      </w:r>
    </w:p>
    <w:p>
      <w:pPr>
        <w:spacing w:after="0" w:line="29" w:lineRule="exact"/>
        <w:rPr>
          <w:rFonts w:ascii="Arial" w:cs="Arial" w:eastAsia="Arial" w:hAnsi="Arial"/>
          <w:sz w:val="13"/>
          <w:szCs w:val="13"/>
          <w:color w:val="008000"/>
        </w:rPr>
      </w:pPr>
    </w:p>
    <w:p>
      <w:pPr>
        <w:ind w:left="40" w:right="2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$7.295 to $8.00, inclusive. The reporting persons undertake to provide to the Issuer, any security holder of the Issuer, or the staff of the Securities and Exchange Commission, upon request, full information regarding the number of shares purchased at each separate price within the range.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right="180"/>
        <w:spacing w:after="0" w:line="308" w:lineRule="auto"/>
        <w:rPr>
          <w:sz w:val="20"/>
          <w:szCs w:val="20"/>
          <w:color w:val="auto"/>
        </w:rPr>
      </w:pPr>
      <w:r>
        <w:rPr>
          <w:rFonts w:ascii="Arial" w:cs="Arial" w:eastAsia="Arial" w:hAnsi="Arial"/>
          <w:sz w:val="12"/>
          <w:szCs w:val="12"/>
          <w:color w:val="008000"/>
        </w:rPr>
        <w:t>This Form 4 does not include securities acquired or held by the Tino Hans Schuler Trust, Tanya Eva Schuler Trust, Therese Heidi Schuler Trust, Schuler Grandchildren LLC, Schuler Descendants Trust or JS Grandchildren Trust, because the Reporting Person has no pecuniary interest, as such term is used for purposes of Section 16 of the Securities Exchange Act of 1934, as amended, in such securities.</w:t>
      </w:r>
    </w:p>
    <w:p>
      <w:pPr>
        <w:spacing w:after="0" w:line="19"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Robin H. Cowie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683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Jack</w:t>
      </w:r>
      <w:r>
        <w:rPr>
          <w:sz w:val="20"/>
          <w:szCs w:val="20"/>
          <w:color w:val="auto"/>
        </w:rPr>
        <w:tab/>
      </w:r>
      <w:r>
        <w:rPr>
          <w:rFonts w:ascii="Arial" w:cs="Arial" w:eastAsia="Arial" w:hAnsi="Arial"/>
          <w:sz w:val="15"/>
          <w:szCs w:val="15"/>
          <w:color w:val="0000FF"/>
        </w:rPr>
        <w:t>08/23/2021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359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591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21412" TargetMode="External"/><Relationship Id="rId13"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2021-08-23T14:02:36Z</dcterms:created>
  <dcterms:modified xsi:type="dcterms:W3CDTF">2021-08-23T14:02:36Z</dcterms:modified>
</cp:coreProperties>
</file>