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Biodesix,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09075X108</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April 9,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09075X108</w:t>
      </w:r>
    </w:p>
    <w:p>
      <w:pPr>
        <w:spacing w:after="0" w:line="262"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Advisors LLC</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6,673,880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6,673,880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6,673,880</w:t>
      </w:r>
    </w:p>
    <w:p>
      <w:pPr>
        <w:spacing w:after="0" w:line="36" w:lineRule="exact"/>
        <w:rPr>
          <w:sz w:val="20"/>
          <w:szCs w:val="20"/>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09075X108</w:t>
      </w:r>
    </w:p>
    <w:p>
      <w:pPr>
        <w:spacing w:after="0" w:line="262" w:lineRule="exact"/>
        <w:rPr>
          <w:sz w:val="20"/>
          <w:szCs w:val="20"/>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Edelman</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United States of America</w:t>
      </w:r>
    </w:p>
    <w:p>
      <w:pPr>
        <w:spacing w:after="0" w:line="36" w:lineRule="exact"/>
        <w:rPr>
          <w:sz w:val="20"/>
          <w:szCs w:val="20"/>
          <w:color w:val="auto"/>
        </w:rPr>
      </w:pPr>
    </w:p>
    <w:p>
      <w:pPr>
        <w:ind w:left="1860" w:hanging="312"/>
        <w:spacing w:after="0"/>
        <w:tabs>
          <w:tab w:leader="none" w:pos="18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6,673,880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6,673,880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6,673,880</w:t>
      </w:r>
    </w:p>
    <w:p>
      <w:pPr>
        <w:spacing w:after="0" w:line="36" w:lineRule="exact"/>
        <w:rPr>
          <w:sz w:val="20"/>
          <w:szCs w:val="20"/>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09075X108</w:t>
      </w:r>
    </w:p>
    <w:p>
      <w:pPr>
        <w:spacing w:after="0" w:line="262" w:lineRule="exact"/>
        <w:rPr>
          <w:sz w:val="20"/>
          <w:szCs w:val="20"/>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Credit Advisors LLC</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6,673,880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6,673,880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6,673,880</w:t>
      </w:r>
    </w:p>
    <w:p>
      <w:pPr>
        <w:spacing w:after="0" w:line="36" w:lineRule="exact"/>
        <w:rPr>
          <w:sz w:val="20"/>
          <w:szCs w:val="20"/>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ectPr>
          <w:pgSz w:w="11900" w:h="16838" w:orient="portrait"/>
          <w:cols w:equalWidth="0" w:num="1">
            <w:col w:w="10900"/>
          </w:cols>
          <w:pgMar w:left="440" w:top="270"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09075X108</w:t>
      </w:r>
    </w:p>
    <w:p>
      <w:pPr>
        <w:spacing w:after="0" w:line="262" w:lineRule="exact"/>
        <w:rPr>
          <w:sz w:val="20"/>
          <w:szCs w:val="20"/>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PCOF EQ AIV IV, LP</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1,137,320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1,137,320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1,137,320</w:t>
      </w:r>
    </w:p>
    <w:p>
      <w:pPr>
        <w:spacing w:after="0" w:line="36" w:lineRule="exact"/>
        <w:rPr>
          <w:sz w:val="20"/>
          <w:szCs w:val="20"/>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7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09075X108</w:t>
      </w:r>
    </w:p>
    <w:p>
      <w:pPr>
        <w:spacing w:after="0" w:line="262" w:lineRule="exact"/>
        <w:rPr>
          <w:sz w:val="20"/>
          <w:szCs w:val="20"/>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Credit Holdings IV, LP</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5,536,560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5,536,560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5,536,560</w:t>
      </w:r>
    </w:p>
    <w:p>
      <w:pPr>
        <w:spacing w:after="0" w:line="36" w:lineRule="exact"/>
        <w:rPr>
          <w:sz w:val="20"/>
          <w:szCs w:val="20"/>
          <w:color w:val="auto"/>
        </w:rPr>
      </w:pPr>
    </w:p>
    <w:p>
      <w:pPr>
        <w:ind w:left="520" w:hanging="367"/>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70" w:right="559" w:bottom="144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Biodesix, Inc. (the “Issuer”)</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919 West Dillon Road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Louisville, Colorado 80027</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Advisors LLC (“Perceptive Advisors”)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Joseph Edelman (“Mr. Edelman”)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Credit Advisors LLC (“Perceptive Credit”)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PCOF EQ AIV IV, LP (the “Opportunity Fund”)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Credit Holdings IV, LP (the “Credit Fund”)</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10003</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Advisors is a Delaware limited liability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Mr. Edelman is a United States citizen.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Credit is a Delaware limited liability company.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Opportunity Fund is a Delaware limited partnership.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Credit Fund is a Delaware limited partnership.</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$0.001 par value per share (“Common Stock”)</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09075X108</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019"/>
          </w:cols>
          <w:pgMar w:left="440" w:top="266" w:right="1440" w:bottom="1440" w:gutter="0" w:footer="0" w:header="0"/>
        </w:sectPr>
      </w:pPr>
    </w:p>
    <w:bookmarkStart w:id="7" w:name="page8"/>
    <w:bookmarkEnd w:id="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right="20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 The ownership percentages reported are based on 114,685,783 shares of Common Stock outstanding as of May 1, 2024, as reported in the Issuer’s Quarterly Report on Form 10-Q filed on May 8, 2024 and give effect to the exercise of the Warrants (as defined below).</w:t>
      </w:r>
    </w:p>
    <w:p>
      <w:pPr>
        <w:spacing w:after="0" w:line="72"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The Credit Fund directly holds (i) 1,036,560 shares of Common Stock, (ii) 4,500,000 warrants to purchase shares of Common Stock (the “Warrants”), consisting of (a) 3,000,000 warrants that are currently exercisable at an exercise price of $1.0648 per share and which will expire on November 21, 2032, (b) 1,000,000 warrants that are currently exercisable at an exercise price of $1.0648 per share and which expire on December 20, 2033, and (c) 500,000 warrants that are currently exercisable at an exercise price of $1.6254 per share and which will expire on May 10, 2033, and (iii) 25,914 shares of Series A Non-Voting Preferred Stock, par value $0.001 per share (the “Preferred Stock”) that may convert into 1,036,560 shares of Common Stock, as described below. The Opportunity Fund directly holds (i) 1,137,320 shares of Common Stock and (ii) 28,433 shares of Preferred Stock that may convert into 1,137,320 shares of Common Stock, as described below. The Common Stock ownership amounts set forth in this Schedule 13G exclude the shares of Common Stock into which the Preferred Stock will automatically convert following satisfaction of the Stockholder Approval Requirement (as defined below) because the Reporting Persons do not have the right to acquire such shares prior to satisfaction of the Stockholder Approval Requirement.</w:t>
      </w:r>
    </w:p>
    <w:p>
      <w:pPr>
        <w:spacing w:after="0" w:line="86"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The shares of Preferred Stock are not currently convertible and may only be converted once the Issuer obtains requisite stockholder approval (the “Stockholder Approval Requirement”), which the Issuer will submit to its stockholders at its annual meeting of stockholders. Once the Stock Approval Requirement has been satisfied, the shares of Preferred Stock will automatically convert into shares of Common Stock at a conversion rate of one-for-forty (the “Initial Conversion Rate”). Provided, however, the Preferred Stock will not convert into shares of Common Stock if the Reporting Persons would beneficially own more than 19.9% of the Issuer’s outstanding shares of Common Stock following such Conversion (the “Conversion Blocker”). Following satisfaction of the Stockholder Approval Requirement, and subject to the Conversion Blocker, the 25,914 shares of Preferred Stock held by the Credit Fund would convert at the Initial Conversion Rate into 1,036,600 shares of Common Stock and the 28,433 shares of Preferred Stock held by the Opportunity Fund would convert at the Initial Conversion Rate into 1,137,320 shares of Common Stock.</w:t>
      </w:r>
    </w:p>
    <w:p>
      <w:pPr>
        <w:spacing w:after="0" w:line="80" w:lineRule="exact"/>
        <w:rPr>
          <w:sz w:val="20"/>
          <w:szCs w:val="20"/>
          <w:color w:val="auto"/>
        </w:rPr>
      </w:pPr>
    </w:p>
    <w:p>
      <w:pPr>
        <w:ind w:left="980" w:right="120"/>
        <w:spacing w:after="0" w:line="266" w:lineRule="auto"/>
        <w:rPr>
          <w:sz w:val="20"/>
          <w:szCs w:val="20"/>
          <w:color w:val="auto"/>
        </w:rPr>
      </w:pPr>
      <w:r>
        <w:rPr>
          <w:rFonts w:ascii="Times New Roman" w:cs="Times New Roman" w:eastAsia="Times New Roman" w:hAnsi="Times New Roman"/>
          <w:sz w:val="18"/>
          <w:szCs w:val="18"/>
          <w:color w:val="auto"/>
        </w:rPr>
        <w:t>The Warrants may not be exercised if the Reporting Persons would beneficially own more than 9.9% of the Issuer’s outstanding shares of Common Stock after giving effect to such exercise. Accordingly, the Credit Fund could currently exercise an aggregate of 4,500,000 Warrants into 4,500,000 shares of Common Stock.</w:t>
      </w:r>
    </w:p>
    <w:p>
      <w:pPr>
        <w:spacing w:after="0" w:line="68" w:lineRule="exact"/>
        <w:rPr>
          <w:sz w:val="20"/>
          <w:szCs w:val="20"/>
          <w:color w:val="auto"/>
        </w:rPr>
      </w:pPr>
    </w:p>
    <w:p>
      <w:pPr>
        <w:ind w:left="980" w:right="140"/>
        <w:spacing w:after="0" w:line="258" w:lineRule="auto"/>
        <w:rPr>
          <w:sz w:val="20"/>
          <w:szCs w:val="20"/>
          <w:color w:val="auto"/>
        </w:rPr>
      </w:pPr>
      <w:r>
        <w:rPr>
          <w:rFonts w:ascii="Times New Roman" w:cs="Times New Roman" w:eastAsia="Times New Roman" w:hAnsi="Times New Roman"/>
          <w:sz w:val="18"/>
          <w:szCs w:val="18"/>
          <w:color w:val="auto"/>
        </w:rPr>
        <w:t>Perceptive Credit serves as the investment manager to each of the Credit Fund and Opportunity Fund and as relying advisor under Perceptive Advisors. Perceptive Credit Opportunities GP, LLC serves as the general partner of the Credit Fund. PCOF EQ AIV GP, LLC serves as the general partner of the Opportunity Fund. Mr. Edelman is the managing member of Perceptive Advisors. Each of Perceptive Advisors, Perceptive Credit and Mr. Edelman may be deemed to beneficially own the securities of the Issuer held by the Credit Fund and the Opportunity Fund.</w:t>
      </w:r>
    </w:p>
    <w:p>
      <w:pPr>
        <w:sectPr>
          <w:pgSz w:w="11900" w:h="16838" w:orient="portrait"/>
          <w:cols w:equalWidth="0" w:num="1">
            <w:col w:w="11000"/>
          </w:cols>
          <w:pgMar w:left="440" w:top="266"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1"/>
        </w:trPr>
        <w:tc>
          <w:tcPr>
            <w:tcW w:w="980" w:type="dxa"/>
            <w:vAlign w:val="bottom"/>
          </w:tcPr>
          <w:p>
            <w:pPr>
              <w:spacing w:after="0"/>
              <w:rPr>
                <w:sz w:val="24"/>
                <w:szCs w:val="24"/>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w:t>
            </w:r>
          </w:p>
        </w:tc>
      </w:tr>
      <w:tr>
        <w:trPr>
          <w:trHeight w:val="303"/>
        </w:trPr>
        <w:tc>
          <w:tcPr>
            <w:tcW w:w="980" w:type="dxa"/>
            <w:vAlign w:val="bottom"/>
          </w:tcPr>
          <w:p>
            <w:pPr>
              <w:spacing w:after="0"/>
              <w:rPr>
                <w:sz w:val="24"/>
                <w:szCs w:val="24"/>
                <w:color w:val="auto"/>
              </w:rPr>
            </w:pPr>
          </w:p>
        </w:tc>
        <w:tc>
          <w:tcPr>
            <w:tcW w:w="996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5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344"/>
        </w:trPr>
        <w:tc>
          <w:tcPr>
            <w:tcW w:w="980" w:type="dxa"/>
            <w:vAlign w:val="bottom"/>
          </w:tcPr>
          <w:p>
            <w:pPr>
              <w:spacing w:after="0"/>
              <w:rPr>
                <w:sz w:val="24"/>
                <w:szCs w:val="24"/>
                <w:color w:val="auto"/>
              </w:rPr>
            </w:pPr>
          </w:p>
        </w:tc>
        <w:tc>
          <w:tcPr>
            <w:tcW w:w="5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4820" w:type="dxa"/>
            <w:vAlign w:val="bottom"/>
            <w:gridSpan w:val="2"/>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3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Identification and Classification of the Subsidiary Which Acquired the Security Being Reported on by the Parent Holding</w:t>
            </w:r>
          </w:p>
        </w:tc>
        <w:tc>
          <w:tcPr>
            <w:tcW w:w="6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345"/>
        </w:trPr>
        <w:tc>
          <w:tcPr>
            <w:tcW w:w="980" w:type="dxa"/>
            <w:vAlign w:val="bottom"/>
          </w:tcPr>
          <w:p>
            <w:pPr>
              <w:spacing w:after="0"/>
              <w:rPr>
                <w:sz w:val="24"/>
                <w:szCs w:val="24"/>
                <w:color w:val="auto"/>
              </w:rPr>
            </w:pPr>
          </w:p>
        </w:tc>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780" w:type="dxa"/>
            <w:vAlign w:val="bottom"/>
            <w:gridSpan w:val="6"/>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344"/>
        </w:trPr>
        <w:tc>
          <w:tcPr>
            <w:tcW w:w="980" w:type="dxa"/>
            <w:vAlign w:val="bottom"/>
          </w:tcPr>
          <w:p>
            <w:pPr>
              <w:spacing w:after="0"/>
              <w:rPr>
                <w:sz w:val="24"/>
                <w:szCs w:val="24"/>
                <w:color w:val="auto"/>
              </w:rPr>
            </w:pPr>
          </w:p>
        </w:tc>
        <w:tc>
          <w:tcPr>
            <w:tcW w:w="44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500" w:type="dxa"/>
            <w:vAlign w:val="bottom"/>
            <w:gridSpan w:val="3"/>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345"/>
        </w:trPr>
        <w:tc>
          <w:tcPr>
            <w:tcW w:w="980" w:type="dxa"/>
            <w:vAlign w:val="bottom"/>
          </w:tcPr>
          <w:p>
            <w:pPr>
              <w:spacing w:after="0"/>
              <w:rPr>
                <w:sz w:val="24"/>
                <w:szCs w:val="24"/>
                <w:color w:val="auto"/>
              </w:rPr>
            </w:pPr>
          </w:p>
        </w:tc>
        <w:tc>
          <w:tcPr>
            <w:tcW w:w="2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20" w:type="dxa"/>
            <w:vAlign w:val="bottom"/>
            <w:gridSpan w:val="5"/>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980" w:type="dxa"/>
            <w:vAlign w:val="bottom"/>
            <w:gridSpan w:val="7"/>
          </w:tcPr>
          <w:p>
            <w:pPr>
              <w:spacing w:after="0" w:line="20" w:lineRule="exact"/>
              <w:rPr>
                <w:sz w:val="1"/>
                <w:szCs w:val="1"/>
                <w:color w:val="auto"/>
              </w:rPr>
            </w:pPr>
          </w:p>
        </w:tc>
      </w:tr>
      <w:tr>
        <w:trPr>
          <w:trHeight w:val="326"/>
        </w:trPr>
        <w:tc>
          <w:tcPr>
            <w:tcW w:w="980" w:type="dxa"/>
            <w:vAlign w:val="bottom"/>
          </w:tcPr>
          <w:p>
            <w:pPr>
              <w:spacing w:after="0"/>
              <w:rPr>
                <w:sz w:val="24"/>
                <w:szCs w:val="24"/>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By signing below I certify that, to the best of my knowledge and belief, the securities referred to above were not acquired and are not held</w:t>
            </w:r>
          </w:p>
        </w:tc>
      </w:tr>
      <w:tr>
        <w:trPr>
          <w:trHeight w:val="216"/>
        </w:trPr>
        <w:tc>
          <w:tcPr>
            <w:tcW w:w="980" w:type="dxa"/>
            <w:vAlign w:val="bottom"/>
          </w:tcPr>
          <w:p>
            <w:pPr>
              <w:spacing w:after="0"/>
              <w:rPr>
                <w:sz w:val="18"/>
                <w:szCs w:val="18"/>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 the purpose of or with the effect of changing or influencing the control of the issuer of the securities and were not acquired and are not</w:t>
            </w:r>
          </w:p>
        </w:tc>
      </w:tr>
      <w:tr>
        <w:trPr>
          <w:trHeight w:val="216"/>
        </w:trPr>
        <w:tc>
          <w:tcPr>
            <w:tcW w:w="980" w:type="dxa"/>
            <w:vAlign w:val="bottom"/>
          </w:tcPr>
          <w:p>
            <w:pPr>
              <w:spacing w:after="0"/>
              <w:rPr>
                <w:sz w:val="18"/>
                <w:szCs w:val="18"/>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held in connection with or as a participant in any transaction having that purpose or effect, other than activities solely in connection with a</w:t>
            </w:r>
          </w:p>
        </w:tc>
      </w:tr>
      <w:tr>
        <w:trPr>
          <w:trHeight w:val="234"/>
        </w:trPr>
        <w:tc>
          <w:tcPr>
            <w:tcW w:w="980" w:type="dxa"/>
            <w:vAlign w:val="bottom"/>
          </w:tcPr>
          <w:p>
            <w:pPr>
              <w:spacing w:after="0"/>
              <w:rPr>
                <w:sz w:val="20"/>
                <w:szCs w:val="20"/>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nomination under § 240.14a-11.</w:t>
            </w:r>
          </w:p>
        </w:tc>
      </w:tr>
    </w:tbl>
    <w:p>
      <w:pPr>
        <w:spacing w:after="0"/>
        <w:rPr>
          <w:sz w:val="20"/>
          <w:szCs w:val="20"/>
          <w:color w:val="auto"/>
        </w:rPr>
        <w:sectPr>
          <w:pgSz w:w="11900" w:h="16838" w:orient="portrait"/>
          <w:cols w:equalWidth="0" w:num="1">
            <w:col w:w="10940"/>
          </w:cols>
          <w:pgMar w:left="440" w:top="257"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jc w:val="center"/>
        <w:ind w:right="-6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Joseph Edelman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CREDIT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CREDIT HOLDINGS IV,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Credit Opportunities GP, LLC, its general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EQ AIV IV,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PCOF EQ AIV GP, LLC, its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0320"/>
          </w:cols>
          <w:pgMar w:left="440" w:top="270" w:right="11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CREDIT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CREDIT HOLDINGS IV,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Credit Opportunities GP, LLC, its general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EQ AIV IV,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PCOF EQ AIV GP, LLC, its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
      <w:numFmt w:val="bullet"/>
      <w:start w:val="1"/>
    </w:lvl>
    <w:lvl w:ilvl="1">
      <w:lvlJc w:val="left"/>
      <w:lvlText w:val=" "/>
      <w:numFmt w:val="bullet"/>
      <w:start w:val="1"/>
    </w:lvl>
  </w:abstractNum>
  <w:abstractNum w:abstractNumId="4">
    <w:nsid w:val="7FDCC233"/>
    <w:multiLevelType w:val="hybridMultilevel"/>
    <w:lvl w:ilvl="0">
      <w:lvlJc w:val="left"/>
      <w:lvlText w:val=" "/>
      <w:numFmt w:val="bullet"/>
      <w:start w:val="1"/>
    </w:lvl>
  </w:abstractNum>
  <w:abstractNum w:abstractNumId="5">
    <w:nsid w:val="1BEFD79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41A7C4C9"/>
    <w:multiLevelType w:val="hybridMultilevel"/>
    <w:lvl w:ilvl="0">
      <w:lvlJc w:val="left"/>
      <w:lvlText w:val="%1"/>
      <w:numFmt w:val="decimal"/>
      <w:start w:val="10"/>
    </w:lvl>
    <w:lvl w:ilvl="1">
      <w:lvlJc w:val="left"/>
      <w:lvlText w:val=" "/>
      <w:numFmt w:val="bullet"/>
      <w:start w:val="1"/>
    </w:lvl>
  </w:abstractNum>
  <w:abstractNum w:abstractNumId="7">
    <w:nsid w:val="6B68079A"/>
    <w:multiLevelType w:val="hybridMultilevel"/>
    <w:lvl w:ilvl="0">
      <w:lvlJc w:val="left"/>
      <w:lvlText w:val=" "/>
      <w:numFmt w:val="bullet"/>
      <w:start w:val="1"/>
    </w:lvl>
    <w:lvl w:ilvl="1">
      <w:lvlJc w:val="left"/>
      <w:lvlText w:val=" "/>
      <w:numFmt w:val="bullet"/>
      <w:start w:val="1"/>
    </w:lvl>
  </w:abstractNum>
  <w:abstractNum w:abstractNumId="8">
    <w:nsid w:val="4E6AFB66"/>
    <w:multiLevelType w:val="hybridMultilevel"/>
    <w:lvl w:ilvl="0">
      <w:lvlJc w:val="left"/>
      <w:lvlText w:val=" "/>
      <w:numFmt w:val="bullet"/>
      <w:start w:val="1"/>
    </w:lvl>
  </w:abstractNum>
  <w:abstractNum w:abstractNumId="9">
    <w:nsid w:val="25E45D32"/>
    <w:multiLevelType w:val="hybridMultilevel"/>
    <w:lvl w:ilvl="0">
      <w:lvlJc w:val="left"/>
      <w:lvlText w:val="5"/>
      <w:numFmt w:val="bullet"/>
      <w:start w:val="1"/>
    </w:lvl>
  </w:abstractNum>
  <w:abstractNum w:abstractNumId="10">
    <w:nsid w:val="519B500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431BD7B7"/>
    <w:multiLevelType w:val="hybridMultilevel"/>
    <w:lvl w:ilvl="0">
      <w:lvlJc w:val="left"/>
      <w:lvlText w:val="%1"/>
      <w:numFmt w:val="decimal"/>
      <w:start w:val="10"/>
    </w:lvl>
    <w:lvl w:ilvl="1">
      <w:lvlJc w:val="left"/>
      <w:lvlText w:val=" "/>
      <w:numFmt w:val="bullet"/>
      <w:start w:val="1"/>
    </w:lvl>
  </w:abstractNum>
  <w:abstractNum w:abstractNumId="12">
    <w:nsid w:val="3F2DBA31"/>
    <w:multiLevelType w:val="hybridMultilevel"/>
    <w:lvl w:ilvl="0">
      <w:lvlJc w:val="left"/>
      <w:lvlText w:val=" "/>
      <w:numFmt w:val="bullet"/>
      <w:start w:val="1"/>
    </w:lvl>
    <w:lvl w:ilvl="1">
      <w:lvlJc w:val="left"/>
      <w:lvlText w:val=" "/>
      <w:numFmt w:val="bullet"/>
      <w:start w:val="1"/>
    </w:lvl>
  </w:abstractNum>
  <w:abstractNum w:abstractNumId="13">
    <w:nsid w:val="7C83E458"/>
    <w:multiLevelType w:val="hybridMultilevel"/>
    <w:lvl w:ilvl="0">
      <w:lvlJc w:val="left"/>
      <w:lvlText w:val=" "/>
      <w:numFmt w:val="bullet"/>
      <w:start w:val="1"/>
    </w:lvl>
  </w:abstractNum>
  <w:abstractNum w:abstractNumId="14">
    <w:nsid w:val="257130A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62BBD95A"/>
    <w:multiLevelType w:val="hybridMultilevel"/>
    <w:lvl w:ilvl="0">
      <w:lvlJc w:val="left"/>
      <w:lvlText w:val="%1"/>
      <w:numFmt w:val="decimal"/>
      <w:start w:val="10"/>
    </w:lvl>
    <w:lvl w:ilvl="1">
      <w:lvlJc w:val="left"/>
      <w:lvlText w:val=" "/>
      <w:numFmt w:val="bullet"/>
      <w:start w:val="1"/>
    </w:lvl>
  </w:abstractNum>
  <w:abstractNum w:abstractNumId="16">
    <w:nsid w:val="436C6125"/>
    <w:multiLevelType w:val="hybridMultilevel"/>
    <w:lvl w:ilvl="0">
      <w:lvlJc w:val="left"/>
      <w:lvlText w:val=" "/>
      <w:numFmt w:val="bullet"/>
      <w:start w:val="1"/>
    </w:lvl>
    <w:lvl w:ilvl="1">
      <w:lvlJc w:val="left"/>
      <w:lvlText w:val=" "/>
      <w:numFmt w:val="bullet"/>
      <w:start w:val="1"/>
    </w:lvl>
  </w:abstractNum>
  <w:abstractNum w:abstractNumId="17">
    <w:nsid w:val="628C895D"/>
    <w:multiLevelType w:val="hybridMultilevel"/>
    <w:lvl w:ilvl="0">
      <w:lvlJc w:val="left"/>
      <w:lvlText w:val=" "/>
      <w:numFmt w:val="bullet"/>
      <w:start w:val="1"/>
    </w:lvl>
  </w:abstractNum>
  <w:abstractNum w:abstractNumId="18">
    <w:nsid w:val="333AB10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721DA317"/>
    <w:multiLevelType w:val="hybridMultilevel"/>
    <w:lvl w:ilvl="0">
      <w:lvlJc w:val="left"/>
      <w:lvlText w:val="%1"/>
      <w:numFmt w:val="decimal"/>
      <w:start w:val="10"/>
    </w:lvl>
    <w:lvl w:ilvl="1">
      <w:lvlJc w:val="left"/>
      <w:lvlText w:val=" "/>
      <w:numFmt w:val="bullet"/>
      <w:start w:val="1"/>
    </w:lvl>
  </w:abstractNum>
  <w:abstractNum w:abstractNumId="20">
    <w:nsid w:val="2443A858"/>
    <w:multiLevelType w:val="hybridMultilevel"/>
    <w:lvl w:ilvl="0">
      <w:lvlJc w:val="left"/>
      <w:lvlText w:val=" "/>
      <w:numFmt w:val="bullet"/>
      <w:start w:val="1"/>
    </w:lvl>
    <w:lvl w:ilvl="1">
      <w:lvlJc w:val="left"/>
      <w:lvlText w:val=" "/>
      <w:numFmt w:val="bullet"/>
      <w:start w:val="1"/>
    </w:lvl>
  </w:abstractNum>
  <w:abstractNum w:abstractNumId="21">
    <w:nsid w:val="2D1D5AE9"/>
    <w:multiLevelType w:val="hybridMultilevel"/>
    <w:lvl w:ilvl="0">
      <w:lvlJc w:val="left"/>
      <w:lvlText w:val=" "/>
      <w:numFmt w:val="bullet"/>
      <w:start w:val="1"/>
    </w:lvl>
  </w:abstractNum>
  <w:abstractNum w:abstractNumId="22">
    <w:nsid w:val="6763845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3">
    <w:nsid w:val="75A2A8D4"/>
    <w:multiLevelType w:val="hybridMultilevel"/>
    <w:lvl w:ilvl="0">
      <w:lvlJc w:val="left"/>
      <w:lvlText w:val="%1"/>
      <w:numFmt w:val="decimal"/>
      <w:start w:val="10"/>
    </w:lvl>
    <w:lvl w:ilvl="1">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2024-05-13T16:32:04Z</dcterms:created>
  <dcterms:modified xsi:type="dcterms:W3CDTF">2024-05-13T16:32:04Z</dcterms:modified>
</cp:coreProperties>
</file>