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bdsx-20230630.htm"/>
      <w:bookmarkStart w:id="1" w:name="ksbdsx20230630"/>
      <w:bookmarkEnd w:id="0"/>
      <w:bookmarkEnd w:id="1"/>
      <w:r>
        <w:rPr/>
        <w:t> </w:t>
      </w:r>
    </w:p>
    <w:p>
      <w:pPr>
        <w:pStyle w:val="TextBody"/>
        <w:pBdr>
          <w:top w:val="double" w:sz="6" w:space="1" w:color="000000"/>
        </w:pBdr>
        <w:bidi w:val="0"/>
        <w:spacing w:before="0" w:after="0"/>
        <w:jc w:val="left"/>
        <w:rPr/>
      </w:pPr>
      <w:r>
        <w:rPr/>
        <w:t> </w:t>
      </w:r>
    </w:p>
    <w:p>
      <w:pPr>
        <w:pStyle w:val="TextBody"/>
        <w:bidi w:val="0"/>
        <w:spacing w:before="0" w:after="0"/>
        <w:jc w:val="center"/>
        <w:rPr>
          <w:rFonts w:ascii="Times New Roman;serif" w:hAnsi="Times New Roman;serif"/>
          <w:b/>
          <w:sz w:val="36"/>
        </w:rPr>
      </w:pPr>
      <w:r>
        <w:rPr>
          <w:rFonts w:ascii="Times New Roman;serif" w:hAnsi="Times New Roman;serif"/>
          <w:b/>
          <w:sz w:val="36"/>
        </w:rPr>
        <w:t>UNITED STATES</w:t>
      </w:r>
    </w:p>
    <w:p>
      <w:pPr>
        <w:pStyle w:val="TextBody"/>
        <w:bidi w:val="0"/>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bidi w:val="0"/>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bidi w:val="0"/>
        <w:spacing w:before="0" w:after="0"/>
        <w:jc w:val="center"/>
        <w:rPr/>
      </w:pPr>
      <w:r>
        <w:rPr/>
        <w:t> </w:t>
      </w:r>
    </w:p>
    <w:p>
      <w:pPr>
        <w:pStyle w:val="TextBody"/>
        <w:bidi w:val="0"/>
        <w:spacing w:before="0" w:after="0"/>
        <w:jc w:val="center"/>
        <w:rPr/>
      </w:pPr>
      <w:r>
        <w:rPr/>
        <w:t> </w:t>
      </w:r>
    </w:p>
    <w:p>
      <w:pPr>
        <w:pStyle w:val="TextBody"/>
        <w:bidi w:val="0"/>
        <w:spacing w:before="0" w:after="0"/>
        <w:jc w:val="left"/>
        <w:rPr>
          <w:rFonts w:ascii="Times New Roman;serif" w:hAnsi="Times New Roman;serif"/>
          <w:b/>
          <w:sz w:val="16"/>
        </w:rPr>
      </w:pPr>
      <w:r>
        <w:rPr>
          <w:rFonts w:ascii="Times New Roman;serif" w:hAnsi="Times New Roman;serif"/>
          <w:b/>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bidi w:val="0"/>
        <w:spacing w:before="80" w:after="0"/>
        <w:jc w:val="center"/>
        <w:rPr>
          <w:rFonts w:ascii="Times New Roman;serif" w:hAnsi="Times New Roman;serif"/>
          <w:b/>
          <w:sz w:val="20"/>
        </w:rPr>
      </w:pPr>
      <w:r>
        <w:rPr>
          <w:rFonts w:ascii="Times New Roman;serif" w:hAnsi="Times New Roman;serif"/>
          <w:b/>
          <w:sz w:val="20"/>
        </w:rPr>
        <w:t>For the quarterly period ended June 30, 2023</w:t>
      </w:r>
    </w:p>
    <w:p>
      <w:pPr>
        <w:pStyle w:val="TextBody"/>
        <w:bidi w:val="0"/>
        <w:spacing w:before="80" w:after="0"/>
        <w:jc w:val="center"/>
        <w:rPr>
          <w:rFonts w:ascii="Times New Roman;serif" w:hAnsi="Times New Roman;serif"/>
          <w:b/>
          <w:sz w:val="20"/>
        </w:rPr>
      </w:pPr>
      <w:r>
        <w:rPr>
          <w:rFonts w:ascii="Times New Roman;serif" w:hAnsi="Times New Roman;serif"/>
          <w:b/>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120" w:after="0"/>
              <w:ind w:left="0" w:right="0" w:hanging="0"/>
              <w:jc w:val="left"/>
              <w:rPr/>
            </w:pPr>
            <w:r>
              <w:rPr/>
              <w:t>☐</w:t>
            </w:r>
          </w:p>
        </w:tc>
        <w:tc>
          <w:tcPr>
            <w:tcW w:w="9874" w:type="dxa"/>
            <w:tcBorders/>
            <w:vAlign w:val="center"/>
          </w:tcPr>
          <w:p>
            <w:pPr>
              <w:pStyle w:val="TableContents"/>
              <w:bidi w:val="0"/>
              <w:spacing w:before="80" w:after="0"/>
              <w:ind w:left="0" w:right="0" w:hanging="0"/>
              <w:jc w:val="left"/>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bl>
    <w:p>
      <w:pPr>
        <w:pStyle w:val="TextBody"/>
        <w:bidi w:val="0"/>
        <w:spacing w:before="80" w:after="0"/>
        <w:jc w:val="center"/>
        <w:rPr>
          <w:rFonts w:ascii="Times New Roman" w:hAnsi="Times New Roman"/>
          <w:sz w:val="20"/>
        </w:rPr>
      </w:pPr>
      <w:r>
        <w:rPr>
          <w:rFonts w:ascii="Times New Roman;serif" w:hAnsi="Times New Roman;serif"/>
          <w:b/>
          <w:sz w:val="20"/>
        </w:rPr>
        <w:t>For the transition period from to</w:t>
      </w:r>
      <w:r>
        <w:rPr>
          <w:rFonts w:ascii="Times New Roman" w:hAnsi="Times New Roman"/>
          <w:sz w:val="20"/>
        </w:rPr>
        <w:t xml:space="preserve"> </w:t>
      </w:r>
    </w:p>
    <w:p>
      <w:pPr>
        <w:pStyle w:val="TextBody"/>
        <w:bidi w:val="0"/>
        <w:spacing w:before="80" w:after="0"/>
        <w:jc w:val="center"/>
        <w:rPr>
          <w:rFonts w:ascii="Times New Roman;serif" w:hAnsi="Times New Roman;serif"/>
          <w:b/>
          <w:sz w:val="20"/>
        </w:rPr>
      </w:pPr>
      <w:r>
        <w:rPr>
          <w:rFonts w:ascii="Times New Roman;serif" w:hAnsi="Times New Roman;serif"/>
          <w:b/>
          <w:sz w:val="20"/>
        </w:rPr>
        <w:t>Commission File Number: 001-39659</w:t>
      </w:r>
    </w:p>
    <w:p>
      <w:pPr>
        <w:pStyle w:val="TextBody"/>
        <w:pBdr>
          <w:bottom w:val="single" w:sz="4" w:space="1" w:color="000000"/>
        </w:pBdr>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sz w:val="36"/>
        </w:rPr>
      </w:pPr>
      <w:r>
        <w:rPr>
          <w:rFonts w:ascii="Times New Roman;serif" w:hAnsi="Times New Roman;serif"/>
          <w:b/>
          <w:sz w:val="36"/>
        </w:rPr>
        <w:t>B</w:t>
      </w:r>
      <w:r>
        <w:rPr>
          <w:rFonts w:ascii="Times New Roman;serif" w:hAnsi="Times New Roman;serif"/>
          <w:b/>
          <w:sz w:val="28"/>
        </w:rPr>
        <w:t>IODESIX</w:t>
      </w:r>
      <w:r>
        <w:rPr>
          <w:rFonts w:ascii="Times New Roman;serif" w:hAnsi="Times New Roman;serif"/>
          <w:b/>
          <w:sz w:val="36"/>
        </w:rPr>
        <w:t>, I</w:t>
      </w:r>
      <w:r>
        <w:rPr>
          <w:rFonts w:ascii="Times New Roman;serif" w:hAnsi="Times New Roman;serif"/>
          <w:b/>
          <w:sz w:val="28"/>
        </w:rPr>
        <w:t>NC</w:t>
      </w:r>
      <w:r>
        <w:rPr>
          <w:rFonts w:ascii="Times New Roman;serif" w:hAnsi="Times New Roman;serif"/>
          <w:b/>
          <w:sz w:val="36"/>
        </w:rPr>
        <w:t>.</w:t>
      </w:r>
    </w:p>
    <w:p>
      <w:pPr>
        <w:pStyle w:val="TextBody"/>
        <w:bidi w:val="0"/>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bidi w:val="0"/>
        <w:spacing w:before="0" w:after="0"/>
        <w:jc w:val="center"/>
        <w:rPr/>
      </w:pPr>
      <w:r>
        <w:rPr/>
        <w:t> </w:t>
      </w:r>
    </w:p>
    <w:p>
      <w:pPr>
        <w:pStyle w:val="TextBody"/>
        <w:bidi w:val="0"/>
        <w:spacing w:before="0" w:after="0"/>
        <w:jc w:val="left"/>
        <w:rPr/>
      </w:pPr>
      <w:r>
        <w:rPr/>
        <w:t> </w:t>
      </w:r>
    </w:p>
    <w:tbl>
      <w:tblPr>
        <w:tblW w:w="3752" w:type="dxa"/>
        <w:jc w:val="left"/>
        <w:tblInd w:w="0" w:type="dxa"/>
        <w:tblLayout w:type="fixed"/>
        <w:tblCellMar>
          <w:top w:w="28" w:type="dxa"/>
          <w:left w:w="28" w:type="dxa"/>
          <w:bottom w:w="28" w:type="dxa"/>
          <w:right w:w="28" w:type="dxa"/>
        </w:tblCellMar>
      </w:tblPr>
      <w:tblGrid>
        <w:gridCol w:w="2506"/>
        <w:gridCol w:w="1246"/>
      </w:tblGrid>
      <w:tr>
        <w:trPr/>
        <w:tc>
          <w:tcPr>
            <w:tcW w:w="250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5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20-3986492</w:t>
            </w:r>
          </w:p>
        </w:tc>
      </w:tr>
      <w:tr>
        <w:trPr/>
        <w:tc>
          <w:tcPr>
            <w:tcW w:w="25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(State or other jurisdiction of</w:t>
            </w:r>
          </w:p>
          <w:p>
            <w:pPr>
              <w:pStyle w:val="TableContents"/>
              <w:bidi w:val="0"/>
              <w:spacing w:before="0" w:after="15"/>
              <w:ind w:left="0" w:right="0" w:hanging="0"/>
              <w:jc w:val="center"/>
              <w:rPr>
                <w:rFonts w:ascii="Times New Roman;serif" w:hAnsi="Times New Roman;serif"/>
                <w:b/>
                <w:sz w:val="14"/>
              </w:rPr>
            </w:pPr>
            <w:r>
              <w:rPr>
                <w:rFonts w:ascii="Times New Roman;serif" w:hAnsi="Times New Roman;serif"/>
                <w:b/>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(I.R.S. Employer</w:t>
              <w:br/>
              <w:t>Identification No.)</w:t>
            </w:r>
          </w:p>
        </w:tc>
      </w:tr>
      <w:tr>
        <w:trPr/>
        <w:tc>
          <w:tcPr>
            <w:tcW w:w="250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p>
            <w:pPr>
              <w:pStyle w:val="TableContents"/>
              <w:bidi w:val="0"/>
              <w:spacing w:before="0" w:after="0"/>
              <w:ind w:left="0" w:right="0" w:hanging="0"/>
              <w:jc w:val="center"/>
              <w:rPr>
                <w:rFonts w:ascii="Times New Roman" w:hAnsi="Times New Roman"/>
                <w:sz w:val="20"/>
              </w:rPr>
            </w:pPr>
            <w:r>
              <w:rPr>
                <w:rFonts w:ascii="Times New Roman;serif" w:hAnsi="Times New Roman;serif"/>
                <w:b/>
                <w:sz w:val="16"/>
              </w:rPr>
              <w:t>2970 Wilderness Place,</w:t>
            </w:r>
            <w:r>
              <w:rPr>
                <w:rFonts w:ascii="Times New Roman" w:hAnsi="Times New Roman"/>
                <w:sz w:val="20"/>
              </w:rPr>
              <w:t xml:space="preserve"> </w:t>
            </w:r>
            <w:r>
              <w:rPr>
                <w:rFonts w:ascii="Times New Roman;serif" w:hAnsi="Times New Roman;serif"/>
                <w:b/>
                <w:sz w:val="16"/>
              </w:rPr>
              <w:t>Suite 100</w:t>
            </w:r>
          </w:p>
          <w:p>
            <w:pPr>
              <w:pStyle w:val="TableContents"/>
              <w:bidi w:val="0"/>
              <w:spacing w:before="0" w:after="0"/>
              <w:ind w:left="0" w:right="0" w:hanging="0"/>
              <w:jc w:val="center"/>
              <w:rPr>
                <w:rFonts w:ascii="Times New Roman" w:hAnsi="Times New Roman"/>
                <w:sz w:val="20"/>
              </w:rPr>
            </w:pPr>
            <w:r>
              <w:rPr>
                <w:rFonts w:ascii="Times New Roman;serif" w:hAnsi="Times New Roman;serif"/>
                <w:b/>
                <w:sz w:val="16"/>
              </w:rPr>
              <w:t>Boulder, Colorado</w:t>
            </w:r>
            <w:r>
              <w:rPr>
                <w:rFonts w:ascii="Times New Roman" w:hAnsi="Times New Roman"/>
                <w:sz w:val="20"/>
              </w:rPr>
              <w:t> </w:t>
            </w:r>
            <w:r>
              <w:rPr>
                <w:rFonts w:ascii="Times New Roman;serif" w:hAnsi="Times New Roman;serif"/>
                <w:b/>
                <w:sz w:val="16"/>
              </w:rPr>
              <w:t>80301</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80301</w:t>
            </w:r>
          </w:p>
        </w:tc>
      </w:tr>
      <w:tr>
        <w:trPr/>
        <w:tc>
          <w:tcPr>
            <w:tcW w:w="25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(Zip Code)</w:t>
            </w:r>
          </w:p>
        </w:tc>
      </w:tr>
    </w:tbl>
    <w:p>
      <w:pPr>
        <w:pStyle w:val="TextBody"/>
        <w:bidi w:val="0"/>
        <w:spacing w:before="80" w:after="0"/>
        <w:jc w:val="center"/>
        <w:rPr>
          <w:rFonts w:ascii="Times New Roman;serif" w:hAnsi="Times New Roman;serif"/>
          <w:b/>
          <w:sz w:val="20"/>
        </w:rPr>
      </w:pPr>
      <w:r>
        <w:rPr>
          <w:rFonts w:ascii="Times New Roman;serif" w:hAnsi="Times New Roman;serif"/>
          <w:b/>
          <w:sz w:val="20"/>
        </w:rPr>
        <w:t>Registrant’s telephone number, including area code: (303) 417-0500</w:t>
      </w:r>
    </w:p>
    <w:p>
      <w:pPr>
        <w:pStyle w:val="TextBody"/>
        <w:pBdr>
          <w:bottom w:val="single" w:sz="4" w:space="1" w:color="000000"/>
        </w:pBdr>
        <w:bidi w:val="0"/>
        <w:spacing w:before="0" w:after="0"/>
        <w:jc w:val="center"/>
        <w:rPr/>
      </w:pPr>
      <w:r>
        <w:rPr/>
        <w:t> </w:t>
      </w:r>
    </w:p>
    <w:p>
      <w:pPr>
        <w:pStyle w:val="TextBody"/>
        <w:bidi w:val="0"/>
        <w:spacing w:before="0" w:after="0"/>
        <w:jc w:val="center"/>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8"/>
        </w:rPr>
        <w:t>Securities registered pursuant to Section 12(b) of the Act:</w:t>
      </w:r>
      <w:r>
        <w:rPr>
          <w:rFonts w:ascii="Times New Roman" w:hAnsi="Times New Roman"/>
          <w:sz w:val="20"/>
        </w:rPr>
        <w:t xml:space="preserve"> </w:t>
      </w:r>
    </w:p>
    <w:p>
      <w:pPr>
        <w:pStyle w:val="TextBody"/>
        <w:bidi w:val="0"/>
        <w:spacing w:before="0" w:after="0"/>
        <w:jc w:val="left"/>
        <w:rPr/>
      </w:pPr>
      <w:r>
        <w:rPr/>
        <w:t> </w:t>
      </w:r>
    </w:p>
    <w:tbl>
      <w:tblPr>
        <w:tblW w:w="8035" w:type="dxa"/>
        <w:jc w:val="left"/>
        <w:tblInd w:w="0" w:type="dxa"/>
        <w:tblLayout w:type="fixed"/>
        <w:tblCellMar>
          <w:top w:w="28" w:type="dxa"/>
          <w:left w:w="28" w:type="dxa"/>
          <w:bottom w:w="28" w:type="dxa"/>
          <w:right w:w="28" w:type="dxa"/>
        </w:tblCellMar>
      </w:tblPr>
      <w:tblGrid>
        <w:gridCol w:w="3601"/>
        <w:gridCol w:w="146"/>
        <w:gridCol w:w="826"/>
        <w:gridCol w:w="146"/>
        <w:gridCol w:w="331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60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vAlign w:val="center"/>
          </w:tcPr>
          <w:p>
            <w:pPr>
              <w:pStyle w:val="TableContents"/>
              <w:bidi w:val="0"/>
              <w:spacing w:before="0" w:after="0"/>
              <w:ind w:left="0" w:right="0" w:hanging="0"/>
              <w:jc w:val="center"/>
              <w:rPr/>
            </w:pPr>
            <w:r>
              <w:rPr/>
              <w:t> </w:t>
            </w:r>
          </w:p>
        </w:tc>
        <w:tc>
          <w:tcPr>
            <w:tcW w:w="82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vAlign w:val="center"/>
          </w:tcPr>
          <w:p>
            <w:pPr>
              <w:pStyle w:val="TableContents"/>
              <w:bidi w:val="0"/>
              <w:spacing w:before="0" w:after="0"/>
              <w:ind w:left="0" w:right="0" w:hanging="0"/>
              <w:jc w:val="center"/>
              <w:rPr/>
            </w:pPr>
            <w:r>
              <w:rPr/>
              <w:t> </w:t>
            </w:r>
          </w:p>
        </w:tc>
        <w:tc>
          <w:tcPr>
            <w:tcW w:w="331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601" w:type="dxa"/>
            <w:tcBorders/>
            <w:vAlign w:val="center"/>
          </w:tcPr>
          <w:p>
            <w:pPr>
              <w:pStyle w:val="TableContents"/>
              <w:bidi w:val="0"/>
              <w:spacing w:before="20" w:after="0"/>
              <w:ind w:left="0" w:right="0" w:hanging="0"/>
              <w:jc w:val="center"/>
              <w:rPr>
                <w:rFonts w:ascii="Times New Roman;serif" w:hAnsi="Times New Roman;serif"/>
                <w:b w:val="false"/>
                <w:sz w:val="20"/>
              </w:rPr>
            </w:pPr>
            <w:r>
              <w:rPr>
                <w:rFonts w:ascii="Times New Roman;serif" w:hAnsi="Times New Roman;serif"/>
                <w:b w:val="false"/>
                <w:sz w:val="20"/>
              </w:rPr>
              <w:t>Common Stock, par value $0.001 per share</w:t>
            </w:r>
          </w:p>
        </w:tc>
        <w:tc>
          <w:tcPr>
            <w:tcW w:w="146" w:type="dxa"/>
            <w:tcBorders/>
            <w:vAlign w:val="center"/>
          </w:tcPr>
          <w:p>
            <w:pPr>
              <w:pStyle w:val="TableContents"/>
              <w:bidi w:val="0"/>
              <w:spacing w:before="20" w:after="0"/>
              <w:ind w:left="0" w:right="0" w:hanging="0"/>
              <w:jc w:val="center"/>
              <w:rPr/>
            </w:pPr>
            <w:r>
              <w:rPr/>
              <w:t> </w:t>
            </w:r>
          </w:p>
        </w:tc>
        <w:tc>
          <w:tcPr>
            <w:tcW w:w="826" w:type="dxa"/>
            <w:tcBorders/>
            <w:vAlign w:val="center"/>
          </w:tcPr>
          <w:p>
            <w:pPr>
              <w:pStyle w:val="TableContents"/>
              <w:bidi w:val="0"/>
              <w:spacing w:before="20" w:after="0"/>
              <w:ind w:left="0" w:right="0" w:hanging="0"/>
              <w:jc w:val="center"/>
              <w:rPr>
                <w:rFonts w:ascii="Times New Roman;serif" w:hAnsi="Times New Roman;serif"/>
                <w:b w:val="false"/>
                <w:sz w:val="20"/>
              </w:rPr>
            </w:pPr>
            <w:r>
              <w:rPr>
                <w:rFonts w:ascii="Times New Roman;serif" w:hAnsi="Times New Roman;serif"/>
                <w:b w:val="false"/>
                <w:sz w:val="20"/>
              </w:rPr>
              <w:t>BDSX</w:t>
            </w:r>
          </w:p>
        </w:tc>
        <w:tc>
          <w:tcPr>
            <w:tcW w:w="146" w:type="dxa"/>
            <w:tcBorders/>
            <w:vAlign w:val="center"/>
          </w:tcPr>
          <w:p>
            <w:pPr>
              <w:pStyle w:val="TableContents"/>
              <w:bidi w:val="0"/>
              <w:spacing w:before="20" w:after="0"/>
              <w:ind w:left="0" w:right="0" w:hanging="0"/>
              <w:jc w:val="center"/>
              <w:rPr/>
            </w:pPr>
            <w:r>
              <w:rPr/>
              <w:t> </w:t>
            </w:r>
          </w:p>
        </w:tc>
        <w:tc>
          <w:tcPr>
            <w:tcW w:w="3316" w:type="dxa"/>
            <w:tcBorders/>
            <w:vAlign w:val="center"/>
          </w:tcPr>
          <w:p>
            <w:pPr>
              <w:pStyle w:val="TableContents"/>
              <w:bidi w:val="0"/>
              <w:spacing w:before="20" w:after="0"/>
              <w:ind w:left="0" w:right="0" w:hanging="0"/>
              <w:jc w:val="center"/>
              <w:rPr>
                <w:rFonts w:ascii="Times New Roman;serif" w:hAnsi="Times New Roman;serif"/>
                <w:b w:val="false"/>
                <w:sz w:val="20"/>
              </w:rPr>
            </w:pPr>
            <w:r>
              <w:rPr>
                <w:rFonts w:ascii="Times New Roman;serif" w:hAnsi="Times New Roman;serif"/>
                <w:b w:val="false"/>
                <w:sz w:val="20"/>
              </w:rPr>
              <w:t>The NASDAQ Global Market</w:t>
            </w:r>
          </w:p>
        </w:tc>
      </w:tr>
    </w:tbl>
    <w:p>
      <w:pPr>
        <w:pStyle w:val="TextBody"/>
        <w:bidi w:val="0"/>
        <w:spacing w:before="0" w:after="0"/>
        <w:jc w:val="left"/>
        <w:rPr/>
      </w:pPr>
      <w:r>
        <w:rPr/>
        <w:t> </w:t>
      </w:r>
    </w:p>
    <w:p>
      <w:pPr>
        <w:pStyle w:val="TextBody"/>
        <w:bidi w:val="0"/>
        <w:spacing w:before="100" w:after="0"/>
        <w:jc w:val="both"/>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No ☐</w:t>
      </w:r>
    </w:p>
    <w:p>
      <w:pPr>
        <w:pStyle w:val="TextBody"/>
        <w:bidi w:val="0"/>
        <w:spacing w:before="100" w:after="0"/>
        <w:jc w:val="both"/>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No ☐</w:t>
      </w:r>
    </w:p>
    <w:p>
      <w:pPr>
        <w:pStyle w:val="TextBody"/>
        <w:bidi w:val="0"/>
        <w:spacing w:before="100" w:after="0"/>
        <w:jc w:val="both"/>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pPr>
            <w:r>
              <w:rPr/>
              <w:t> </w:t>
            </w:r>
          </w:p>
        </w:tc>
        <w:tc>
          <w:tcPr>
            <w:tcW w:w="462" w:type="dxa"/>
            <w:gridSpan w:val="2"/>
            <w:tcBorders/>
            <w:vAlign w:val="center"/>
          </w:tcPr>
          <w:p>
            <w:pPr>
              <w:pStyle w:val="TableContents"/>
              <w:bidi w:val="0"/>
              <w:spacing w:before="0" w:after="0"/>
              <w:ind w:left="0" w:right="0" w:hanging="0"/>
              <w:jc w:val="left"/>
              <w:rPr/>
            </w:pPr>
            <w:r>
              <w:rPr/>
              <w:t> </w:t>
            </w:r>
          </w:p>
        </w:tc>
        <w:tc>
          <w:tcPr>
            <w:tcW w:w="2172" w:type="dxa"/>
            <w:gridSpan w:val="2"/>
            <w:tcBorders/>
            <w:vAlign w:val="center"/>
          </w:tcPr>
          <w:p>
            <w:pPr>
              <w:pStyle w:val="TableContents"/>
              <w:bidi w:val="0"/>
              <w:spacing w:before="0" w:after="0"/>
              <w:ind w:left="0" w:right="0" w:hanging="0"/>
              <w:jc w:val="left"/>
              <w:rPr/>
            </w:pPr>
            <w:r>
              <w:rPr/>
              <w:t> </w:t>
            </w:r>
          </w:p>
        </w:tc>
        <w:tc>
          <w:tcPr>
            <w:tcW w:w="507" w:type="dxa"/>
            <w:gridSpan w:val="2"/>
            <w:tcBorders/>
            <w:vAlign w:val="center"/>
          </w:tcPr>
          <w:p>
            <w:pPr>
              <w:pStyle w:val="TableContents"/>
              <w:bidi w:val="0"/>
              <w:spacing w:before="0" w:after="0"/>
              <w:ind w:left="0" w:right="0" w:hanging="0"/>
              <w:jc w:val="left"/>
              <w:rPr/>
            </w:pPr>
            <w:r>
              <w:rPr/>
              <w:t> </w:t>
            </w:r>
          </w:p>
        </w:tc>
      </w:tr>
      <w:tr>
        <w:trPr/>
        <w:tc>
          <w:tcPr>
            <w:tcW w:w="20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r>
        <w:trPr/>
        <w:tc>
          <w:tcPr>
            <w:tcW w:w="20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spacing w:before="120" w:after="0"/>
        <w:jc w:val="both"/>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 No </w:t>
      </w:r>
      <w:r>
        <w:rPr>
          <w:rFonts w:ascii="Times New Roman" w:hAnsi="Times New Roman"/>
          <w:sz w:val="20"/>
        </w:rPr>
        <w:t>☒</w:t>
      </w:r>
    </w:p>
    <w:p>
      <w:pPr>
        <w:pStyle w:val="TextBody"/>
        <w:bidi w:val="0"/>
        <w:spacing w:before="120" w:after="0"/>
        <w:jc w:val="both"/>
        <w:rPr>
          <w:rFonts w:ascii="Times New Roman;serif" w:hAnsi="Times New Roman;serif"/>
          <w:b w:val="false"/>
          <w:sz w:val="18"/>
        </w:rPr>
      </w:pPr>
      <w:r>
        <w:rPr>
          <w:rFonts w:ascii="Times New Roman;serif" w:hAnsi="Times New Roman;serif"/>
          <w:b w:val="false"/>
          <w:sz w:val="18"/>
        </w:rPr>
        <w:t>Indicate by check mark whether the Registrant has filed all documents and reports required to be filed by Sections 12, 13 or 15(d) of the Securities Exchange Act of 1934 subsequent to the distribution of securities under a plan confirmed by a court. Yes ☒ No ☐</w:t>
      </w:r>
    </w:p>
    <w:p>
      <w:pPr>
        <w:pStyle w:val="TextBody"/>
        <w:bidi w:val="0"/>
        <w:spacing w:before="120" w:after="0"/>
        <w:jc w:val="both"/>
        <w:rPr>
          <w:rFonts w:ascii="Times New Roman" w:hAnsi="Times New Roman"/>
          <w:sz w:val="20"/>
        </w:rPr>
      </w:pPr>
      <w:r>
        <w:rPr>
          <w:rFonts w:ascii="Times New Roman;serif" w:hAnsi="Times New Roman;serif"/>
          <w:b w:val="false"/>
          <w:sz w:val="18"/>
        </w:rPr>
        <w:t>As of August 1, 2023, the Registrant had 78,614,114</w:t>
      </w:r>
      <w:r>
        <w:rPr>
          <w:rFonts w:ascii="Times New Roman" w:hAnsi="Times New Roman"/>
          <w:sz w:val="20"/>
        </w:rPr>
        <w:t xml:space="preserve"> </w:t>
      </w:r>
      <w:r>
        <w:rPr>
          <w:rFonts w:ascii="Times New Roman;serif" w:hAnsi="Times New Roman;serif"/>
          <w:b w:val="false"/>
          <w:sz w:val="18"/>
        </w:rPr>
        <w:t>shares of common stock, $0.001 par value per share, outstanding.</w:t>
      </w:r>
    </w:p>
    <w:p>
      <w:pPr>
        <w:pStyle w:val="TextBody"/>
        <w:pBdr>
          <w:bottom w:val="double" w:sz="6" w:space="1" w:color="000000"/>
        </w:pBdr>
        <w:bidi w:val="0"/>
        <w:spacing w:before="0" w:after="0"/>
        <w:jc w:val="center"/>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868"/>
        <w:gridCol w:w="8825"/>
        <w:gridCol w:w="512"/>
      </w:tblGrid>
      <w:tr>
        <w:trPr/>
        <w:tc>
          <w:tcPr>
            <w:tcW w:w="868" w:type="dxa"/>
            <w:tcBorders/>
            <w:vAlign w:val="center"/>
          </w:tcPr>
          <w:p>
            <w:pPr>
              <w:pStyle w:val="TableContents"/>
              <w:bidi w:val="0"/>
              <w:spacing w:before="0" w:after="283"/>
              <w:jc w:val="left"/>
              <w:rPr>
                <w:sz w:val="4"/>
                <w:szCs w:val="4"/>
              </w:rPr>
            </w:pPr>
            <w:r>
              <w:rPr>
                <w:sz w:val="4"/>
                <w:szCs w:val="4"/>
              </w:rPr>
            </w:r>
          </w:p>
        </w:tc>
        <w:tc>
          <w:tcPr>
            <w:tcW w:w="882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68"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2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2"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8825"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financial_information">
              <w:r>
                <w:rPr>
                  <w:rStyle w:val="InternetLink"/>
                  <w:rFonts w:ascii="Times New Roman;serif" w:hAnsi="Times New Roman;serif"/>
                  <w:b w:val="false"/>
                  <w:sz w:val="20"/>
                  <w:u w:val="single"/>
                </w:rPr>
                <w:t>FINANCIAL INFORMATION</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8825"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financial_statements">
              <w:r>
                <w:rPr>
                  <w:rStyle w:val="InternetLink"/>
                  <w:rFonts w:ascii="Times New Roman;serif" w:hAnsi="Times New Roman;serif"/>
                  <w:b w:val="false"/>
                  <w:sz w:val="20"/>
                  <w:u w:val="single"/>
                </w:rPr>
                <w:t>Financial Statements (Unaudited)</w:t>
              </w:r>
            </w:hyperlink>
          </w:p>
        </w:tc>
        <w:tc>
          <w:tcPr>
            <w:tcW w:w="512"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1</w:t>
            </w:r>
          </w:p>
        </w:tc>
      </w:tr>
      <w:tr>
        <w:trPr/>
        <w:tc>
          <w:tcPr>
            <w:tcW w:w="868" w:type="dxa"/>
            <w:tcBorders/>
            <w:tcMar>
              <w:top w:w="0" w:type="dxa"/>
              <w:left w:w="0" w:type="dxa"/>
              <w:bottom w:w="0" w:type="dxa"/>
              <w:right w:w="0" w:type="dxa"/>
            </w:tcMar>
            <w:vAlign w:val="center"/>
          </w:tcPr>
          <w:p>
            <w:pPr>
              <w:pStyle w:val="TableContents"/>
              <w:bidi w:val="0"/>
              <w:spacing w:before="0" w:after="0"/>
              <w:ind w:left="137" w:right="0" w:hanging="0"/>
              <w:jc w:val="left"/>
              <w:rPr/>
            </w:pPr>
            <w:r>
              <w:rPr/>
              <w:t> </w:t>
            </w:r>
          </w:p>
        </w:tc>
        <w:tc>
          <w:tcPr>
            <w:tcW w:w="8825"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balance_sheets_unaudited">
              <w:r>
                <w:rPr>
                  <w:rStyle w:val="InternetLink"/>
                  <w:rFonts w:ascii="Times New Roman;serif" w:hAnsi="Times New Roman;serif"/>
                  <w:b w:val="false"/>
                  <w:sz w:val="20"/>
                  <w:u w:val="single"/>
                </w:rPr>
                <w:t>Condensed Balance Sheets as of June 30, 2023 and December 31, 2022</w:t>
              </w:r>
            </w:hyperlink>
          </w:p>
        </w:tc>
        <w:tc>
          <w:tcPr>
            <w:tcW w:w="512"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1</w:t>
            </w:r>
          </w:p>
        </w:tc>
      </w:tr>
      <w:tr>
        <w:trPr/>
        <w:tc>
          <w:tcPr>
            <w:tcW w:w="868" w:type="dxa"/>
            <w:tcBorders/>
            <w:tcMar>
              <w:top w:w="0" w:type="dxa"/>
              <w:left w:w="0" w:type="dxa"/>
              <w:bottom w:w="0" w:type="dxa"/>
              <w:right w:w="0" w:type="dxa"/>
            </w:tcMar>
            <w:vAlign w:val="center"/>
          </w:tcPr>
          <w:p>
            <w:pPr>
              <w:pStyle w:val="TableContents"/>
              <w:bidi w:val="0"/>
              <w:spacing w:before="0" w:after="0"/>
              <w:ind w:left="137" w:right="0" w:hanging="0"/>
              <w:jc w:val="left"/>
              <w:rPr/>
            </w:pPr>
            <w:r>
              <w:rPr/>
              <w:t> </w:t>
            </w:r>
          </w:p>
        </w:tc>
        <w:tc>
          <w:tcPr>
            <w:tcW w:w="8825"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statements_operations">
              <w:r>
                <w:rPr>
                  <w:rStyle w:val="InternetLink"/>
                  <w:rFonts w:ascii="Times New Roman;serif" w:hAnsi="Times New Roman;serif"/>
                  <w:b w:val="false"/>
                  <w:sz w:val="20"/>
                  <w:u w:val="single"/>
                </w:rPr>
                <w:t>Condensed Statements of Operations for the Three and Six Months Ended June 30, 2023 and 2022</w:t>
              </w:r>
            </w:hyperlink>
          </w:p>
        </w:tc>
        <w:tc>
          <w:tcPr>
            <w:tcW w:w="512"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2</w:t>
            </w:r>
          </w:p>
        </w:tc>
      </w:tr>
      <w:tr>
        <w:trPr/>
        <w:tc>
          <w:tcPr>
            <w:tcW w:w="868"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25"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statements_changes_in_converti">
              <w:r>
                <w:rPr>
                  <w:rStyle w:val="InternetLink"/>
                  <w:rFonts w:ascii="Times New Roman;serif" w:hAnsi="Times New Roman;serif"/>
                  <w:b w:val="false"/>
                  <w:sz w:val="20"/>
                  <w:u w:val="single"/>
                </w:rPr>
                <w:t>Condensed Statements Stockholders' (Deficit) Equity for the Three and Six Months Ended June 30, 2023 and 2022</w:t>
              </w:r>
            </w:hyperlink>
          </w:p>
        </w:tc>
        <w:tc>
          <w:tcPr>
            <w:tcW w:w="512"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3</w:t>
            </w:r>
          </w:p>
        </w:tc>
      </w:tr>
      <w:tr>
        <w:trPr/>
        <w:tc>
          <w:tcPr>
            <w:tcW w:w="868"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25"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statements_cash_flows_unaudite">
              <w:r>
                <w:rPr>
                  <w:rStyle w:val="InternetLink"/>
                  <w:rFonts w:ascii="Times New Roman;serif" w:hAnsi="Times New Roman;serif"/>
                  <w:b w:val="false"/>
                  <w:sz w:val="20"/>
                  <w:u w:val="single"/>
                </w:rPr>
                <w:t>Condensed Statements of Cash Flows for the Six Months Ended June 30, 2023 and 2022</w:t>
              </w:r>
            </w:hyperlink>
          </w:p>
        </w:tc>
        <w:tc>
          <w:tcPr>
            <w:tcW w:w="512"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4</w:t>
            </w:r>
          </w:p>
        </w:tc>
      </w:tr>
      <w:tr>
        <w:trPr/>
        <w:tc>
          <w:tcPr>
            <w:tcW w:w="868"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25"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notes_to_financial_statements">
              <w:r>
                <w:rPr>
                  <w:rStyle w:val="InternetLink"/>
                  <w:rFonts w:ascii="Times New Roman;serif" w:hAnsi="Times New Roman;serif"/>
                  <w:b w:val="false"/>
                  <w:sz w:val="20"/>
                  <w:u w:val="single"/>
                </w:rPr>
                <w:t>Notes to Condensed Financial Statements</w:t>
              </w:r>
            </w:hyperlink>
            <w:r>
              <w:rPr>
                <w:rFonts w:ascii="Times New Roman" w:hAnsi="Times New Roman"/>
                <w:sz w:val="20"/>
              </w:rPr>
              <w:t xml:space="preserve">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8825"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r>
      <w:tr>
        <w:trPr/>
        <w:tc>
          <w:tcPr>
            <w:tcW w:w="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8825"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r>
      <w:tr>
        <w:trPr/>
        <w:tc>
          <w:tcPr>
            <w:tcW w:w="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8825"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r>
      <w:tr>
        <w:trPr/>
        <w:tc>
          <w:tcPr>
            <w:tcW w:w="86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825"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8825"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ior_information">
              <w:r>
                <w:rPr>
                  <w:rStyle w:val="InternetLink"/>
                  <w:rFonts w:ascii="Times New Roman;serif" w:hAnsi="Times New Roman;serif"/>
                  <w:b w:val="false"/>
                  <w:sz w:val="20"/>
                  <w:u w:val="single"/>
                </w:rPr>
                <w:t>OTHER INFORMATION</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r>
      <w:tr>
        <w:trPr/>
        <w:tc>
          <w:tcPr>
            <w:tcW w:w="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8825"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r>
      <w:tr>
        <w:trPr/>
        <w:tc>
          <w:tcPr>
            <w:tcW w:w="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8825"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r>
      <w:tr>
        <w:trPr/>
        <w:tc>
          <w:tcPr>
            <w:tcW w:w="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8825"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r>
      <w:tr>
        <w:trPr/>
        <w:tc>
          <w:tcPr>
            <w:tcW w:w="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8825"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r>
      <w:tr>
        <w:trPr/>
        <w:tc>
          <w:tcPr>
            <w:tcW w:w="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8825"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r>
      <w:tr>
        <w:trPr/>
        <w:tc>
          <w:tcPr>
            <w:tcW w:w="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8825"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5_or_information">
              <w:r>
                <w:rPr>
                  <w:rStyle w:val="InternetLink"/>
                  <w:rFonts w:ascii="Times New Roman;serif" w:hAnsi="Times New Roman;serif"/>
                  <w:b w:val="false"/>
                  <w:sz w:val="20"/>
                  <w:u w:val="single"/>
                </w:rPr>
                <w:t>Other Information</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r>
      <w:tr>
        <w:trPr/>
        <w:tc>
          <w:tcPr>
            <w:tcW w:w="868"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8825"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r>
      <w:tr>
        <w:trPr/>
        <w:tc>
          <w:tcPr>
            <w:tcW w:w="86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825"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w:t>
              </w:r>
            </w:hyperlink>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SPECIAL NOTE REGARDING FORWARD-LOOKING STATEMENTS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This Quarterly Report on Form 10-Q contains forward-looking statements about us and our industry that involve substantial risks and uncertainties, including but not limited to those set forth under the caption “Special Note Regarding Forward-Looking Statements” and Item 1A “Risk Factors” of Part II in this Quarterly Report on Form 10-Q and those discussed in our other filings with the Securities and Exchange Commission (SEC), including the risks described in Item 1A “Risk Factors” of Part I of our Annual Report on Form 10-K for the year ended December 31, 2022, which was filed on March 6, 2023. All statements other than statements of historical facts contained in this Quarterly Report on Form 10-Q, including statements regarding our future financial condition, results of operations, business strategy and plans, and objectives of management for future operations, as well as statements regarding industry trends, are forward-looking statements. In some cases, you can identify forward-looking statements by terminology such as “anticipate,” “believe,” “continue,” “could,” “estimate,” “expect,” “intend,” “may,” “plan,” “potentially,” “predict,” “should,” “will” or the negative of these terms or other similar expressions.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under the section titled “Risk Factors” in this Report and in the section entitled “Risk Factors” and elsewhere in our Annual Report on Form 10-K for the year ended December 31, 2022, regarding, among other things: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inability to achieve or sustain profitability;</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unaudited financial statements include a statement that there is a substantial doubt about our ability to continue as a going concern and a continuation of negative financial trends could result in our inability to continue as a going concern;</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ability to attain significant market acceptance among payers, providers, clinics, patients, and biopharmaceutical companies for our diagnostic tests;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difficulties managing our growth, which could disrupt our operations;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failure to retain sales and marketing personnel, and failure to increase our sales and marketing capabilities or develop broad awareness of our diagnostic tests to generate revenue growth;</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failure to maintain our current relationships, or enter into new relationships, with biopharmaceutical companies;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significant fluctuation in our operating results, causing our operating results to fall below expectations or any guidance we provide;</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product performance and reliability to maintain and grow our business;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third-party suppliers, including courier services, contract manufacturers and single source suppliers, making us vulnerable to supply problems and price fluctuations;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impact of a pandemic, epidemic, or outbreak of an infectious disease in the United States (U.S.) or worldwide, including the COVID-19 pandemic on our business;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natural or man-made disasters and other similar events negatively impacting our business, financial condition, and results of operations;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failure to offer high-quality support for our diagnostic tests, which may adversely affect our relationships with providers and negatively impact our reputation among patients and providers;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inability to continue to innovate and improve our diagnostic tests and services we offer;</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security or data privacy breaches or other unauthorized or improper access;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significant disruptions in our information technology systems;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incurrence of substantial liabilities and limiting or halting the marketing and sale of our diagnostic tests due to product liability lawsuits;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inability to compete successfully with competition from many sources, including larger companies;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performance issues, service interruptions or price increases by our shipping carriers and warehousing providers;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cost-containment efforts of our customers, purchasing groups and integrated delivery networks having a material adverse effect on our sales and profitability;</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potential effects of litigation and other proceedings;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ii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general economic and financial market conditions;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ability to attract and retain key personnel;</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current and future debt financing placing restrictions on our operating and financial flexibility;</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need to raise additional capital to fund our existing operations, develop our platform, commercialize new diagnostic tests, or expand our operations;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acquisition of other businesses, which could require significant management attention;</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uncertainty of the insurance coverage and reimbursement status of newly approved diagnostic tests;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future healthcare reform measures that could hinder or prevent the commercial success of our diagnostic tests;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compliance with anti-corruption, anti-bribery, anti-money laundering and similar laws;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compliance with healthcare fraud and abuse laws;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ability to develop, receive regulatory clearance or approval or certification for, and introduce new diagnostic tests or enhancements to existing diagnostic tests that will be accepted by the market in a timely manner;</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failure to comply with ongoing FDA or other domestic and foreign regulatory authority requirements, or unanticipated problems with our diagnostic tests, causing them to be subject to restrictions or withdrawal from the market;</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future product recalls;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legal proceedings initiated by third parties alleging that we are infringing, misappropriating, or otherwise violating their intellectual property rights, the outcome of which would be uncertain;</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volatility of the trading price of our common stock;</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inaccurate estimates or judgments relating to our critical accounting policies, which could cause our operating results to fall below the expectations of securities analysts and investors; and</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other risks, uncertainties and factors, including those set forth under "Risk Factors".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These risks are not exhaustive. Other sections of this Quarterly Report on Form 10-Q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You should not rely upon forward-looking statements as predictions of future events.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Quarterly Report on Form 10-Q or to conform these statements to actual results or to changes in our expectations.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You should read this Quarterly Report on Form 10-Q and the documents that we reference and have filed as exhibits with the understanding that our actual future results, levels of activity, performance and achievements may be different from what we expect. We qualify all of our forward-looking statements by these cautionary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iii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 w:name="part_ifinancial_information"/>
      <w:bookmarkEnd w:id="2"/>
      <w:r>
        <w:rPr>
          <w:rFonts w:ascii="Times New Roman;serif" w:hAnsi="Times New Roman;serif"/>
          <w:b/>
          <w:sz w:val="20"/>
        </w:rPr>
        <w:t>PART I—FINANCIAL INFORMATION</w:t>
      </w:r>
    </w:p>
    <w:p>
      <w:pPr>
        <w:pStyle w:val="TextBody"/>
        <w:bidi w:val="0"/>
        <w:spacing w:before="200" w:after="0"/>
        <w:jc w:val="left"/>
        <w:rPr>
          <w:rFonts w:ascii="Times New Roman;serif" w:hAnsi="Times New Roman;serif"/>
          <w:b/>
          <w:sz w:val="20"/>
        </w:rPr>
      </w:pPr>
      <w:bookmarkStart w:id="3" w:name="item_1_financial_statements"/>
      <w:bookmarkEnd w:id="3"/>
      <w:r>
        <w:rPr>
          <w:rFonts w:ascii="Times New Roman;serif" w:hAnsi="Times New Roman;serif"/>
          <w:b/>
          <w:sz w:val="20"/>
        </w:rPr>
        <w:t>Item 1. Financial Statements (Unaudited).</w:t>
      </w:r>
    </w:p>
    <w:p>
      <w:pPr>
        <w:pStyle w:val="TextBody"/>
        <w:bidi w:val="0"/>
        <w:spacing w:before="20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200" w:after="0"/>
        <w:jc w:val="center"/>
        <w:rPr>
          <w:rFonts w:ascii="Times New Roman;serif" w:hAnsi="Times New Roman;serif"/>
          <w:b/>
          <w:sz w:val="20"/>
        </w:rPr>
      </w:pPr>
      <w:bookmarkStart w:id="4" w:name="condensed_balance_sheets_unaudited"/>
      <w:bookmarkEnd w:id="4"/>
      <w:r>
        <w:rPr>
          <w:rFonts w:ascii="Times New Roman;serif" w:hAnsi="Times New Roman;serif"/>
          <w:b/>
          <w:sz w:val="20"/>
        </w:rPr>
        <w:t>Condensed Balance Sheets</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 data)</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6206"/>
        <w:gridCol w:w="146"/>
        <w:gridCol w:w="252"/>
        <w:gridCol w:w="1009"/>
        <w:gridCol w:w="166"/>
        <w:gridCol w:w="146"/>
        <w:gridCol w:w="338"/>
        <w:gridCol w:w="1348"/>
        <w:gridCol w:w="594"/>
      </w:tblGrid>
      <w:tr>
        <w:trPr/>
        <w:tc>
          <w:tcPr>
            <w:tcW w:w="6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2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59" w:type="dxa"/>
            <w:gridSpan w:val="6"/>
            <w:tcBorders/>
            <w:vAlign w:val="center"/>
          </w:tcPr>
          <w:p>
            <w:pPr>
              <w:pStyle w:val="TableContents"/>
              <w:bidi w:val="0"/>
              <w:spacing w:before="0" w:after="0"/>
              <w:ind w:left="0" w:right="0" w:hanging="0"/>
              <w:jc w:val="center"/>
              <w:rPr/>
            </w:pPr>
            <w:r>
              <w:rPr/>
              <w:t> </w:t>
            </w:r>
          </w:p>
        </w:tc>
        <w:tc>
          <w:tcPr>
            <w:tcW w:w="594" w:type="dxa"/>
            <w:tcBorders/>
            <w:vAlign w:val="center"/>
          </w:tcPr>
          <w:p>
            <w:pPr>
              <w:pStyle w:val="TableContents"/>
              <w:bidi w:val="0"/>
              <w:spacing w:before="0" w:after="0"/>
              <w:ind w:left="0" w:right="0" w:hanging="0"/>
              <w:jc w:val="center"/>
              <w:rPr/>
            </w:pPr>
            <w:r>
              <w:rPr/>
              <w:t> </w:t>
            </w:r>
          </w:p>
        </w:tc>
      </w:tr>
      <w:tr>
        <w:trPr/>
        <w:tc>
          <w:tcPr>
            <w:tcW w:w="62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9611" w:type="dxa"/>
            <w:gridSpan w:val="8"/>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Assets</w:t>
            </w:r>
          </w:p>
        </w:tc>
        <w:tc>
          <w:tcPr>
            <w:tcW w:w="594" w:type="dxa"/>
            <w:tcBorders/>
            <w:vAlign w:val="center"/>
          </w:tcPr>
          <w:p>
            <w:pPr>
              <w:pStyle w:val="TableContents"/>
              <w:bidi w:val="0"/>
              <w:spacing w:before="0" w:after="0"/>
              <w:ind w:left="0" w:right="0" w:hanging="0"/>
              <w:jc w:val="center"/>
              <w:rPr/>
            </w:pPr>
            <w:r>
              <w:rPr/>
              <w:t> </w:t>
            </w:r>
          </w:p>
        </w:tc>
      </w:tr>
      <w:tr>
        <w:trPr/>
        <w:tc>
          <w:tcPr>
            <w:tcW w:w="62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26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both"/>
              <w:rPr/>
            </w:pPr>
            <w:r>
              <w:rPr/>
              <w:t> </w:t>
            </w:r>
          </w:p>
        </w:tc>
        <w:tc>
          <w:tcPr>
            <w:tcW w:w="1686" w:type="dxa"/>
            <w:gridSpan w:val="2"/>
            <w:tcBorders/>
            <w:vAlign w:val="center"/>
          </w:tcPr>
          <w:p>
            <w:pPr>
              <w:pStyle w:val="TableContents"/>
              <w:bidi w:val="0"/>
              <w:spacing w:before="0" w:after="0"/>
              <w:ind w:left="0" w:right="0" w:hanging="0"/>
              <w:jc w:val="right"/>
              <w:rPr/>
            </w:pPr>
            <w:r>
              <w:rPr/>
              <w:t> </w:t>
            </w:r>
          </w:p>
        </w:tc>
        <w:tc>
          <w:tcPr>
            <w:tcW w:w="594" w:type="dxa"/>
            <w:tcBorders/>
            <w:vAlign w:val="center"/>
          </w:tcPr>
          <w:p>
            <w:pPr>
              <w:pStyle w:val="TableContents"/>
              <w:bidi w:val="0"/>
              <w:spacing w:before="0" w:after="0"/>
              <w:ind w:left="0" w:right="0" w:firstLine="200"/>
              <w:jc w:val="right"/>
              <w:rPr/>
            </w:pPr>
            <w:r>
              <w:rPr/>
              <w:t> </w:t>
            </w:r>
          </w:p>
        </w:tc>
      </w:tr>
      <w:tr>
        <w:trPr/>
        <w:tc>
          <w:tcPr>
            <w:tcW w:w="62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43,088</w:t>
            </w:r>
          </w:p>
        </w:tc>
        <w:tc>
          <w:tcPr>
            <w:tcW w:w="594" w:type="dxa"/>
            <w:tcBorders/>
            <w:vAlign w:val="center"/>
          </w:tcPr>
          <w:p>
            <w:pPr>
              <w:pStyle w:val="TableContents"/>
              <w:bidi w:val="0"/>
              <w:spacing w:before="0" w:after="0"/>
              <w:ind w:left="0" w:right="0" w:firstLine="200"/>
              <w:jc w:val="left"/>
              <w:rPr/>
            </w:pPr>
            <w:r>
              <w:rPr/>
              <w:t> </w:t>
            </w:r>
          </w:p>
        </w:tc>
      </w:tr>
      <w:tr>
        <w:trPr/>
        <w:tc>
          <w:tcPr>
            <w:tcW w:w="620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Accounts receivable, net of allowance for doubtful accounts of $150</w:t>
            </w:r>
            <w:r>
              <w:rPr>
                <w:rFonts w:ascii="Times New Roman" w:hAnsi="Times New Roman"/>
                <w:sz w:val="20"/>
              </w:rPr>
              <w:t> </w:t>
            </w:r>
            <w:r>
              <w:rPr>
                <w:rFonts w:ascii="Times New Roman;serif" w:hAnsi="Times New Roman;serif"/>
                <w:b w:val="false"/>
                <w:sz w:val="20"/>
              </w:rPr>
              <w:t>and $118</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8" w:type="dxa"/>
            <w:tcBorders/>
            <w:vAlign w:val="center"/>
          </w:tcPr>
          <w:p>
            <w:pPr>
              <w:pStyle w:val="TableContents"/>
              <w:bidi w:val="0"/>
              <w:spacing w:before="0" w:after="0"/>
              <w:ind w:left="0" w:right="0" w:hanging="0"/>
              <w:jc w:val="left"/>
              <w:rPr/>
            </w:pPr>
            <w:r>
              <w:rPr/>
              <w:t> </w:t>
            </w:r>
          </w:p>
        </w:tc>
        <w:tc>
          <w:tcPr>
            <w:tcW w:w="13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5,065</w:t>
            </w:r>
          </w:p>
        </w:tc>
        <w:tc>
          <w:tcPr>
            <w:tcW w:w="594" w:type="dxa"/>
            <w:tcBorders/>
            <w:vAlign w:val="center"/>
          </w:tcPr>
          <w:p>
            <w:pPr>
              <w:pStyle w:val="TableContents"/>
              <w:bidi w:val="0"/>
              <w:spacing w:before="0" w:after="0"/>
              <w:ind w:left="0" w:right="0" w:firstLine="200"/>
              <w:jc w:val="left"/>
              <w:rPr/>
            </w:pPr>
            <w:r>
              <w:rPr/>
              <w:t> </w:t>
            </w:r>
          </w:p>
        </w:tc>
      </w:tr>
      <w:tr>
        <w:trPr/>
        <w:tc>
          <w:tcPr>
            <w:tcW w:w="62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current assets</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5,181</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20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8" w:type="dxa"/>
            <w:tcBorders/>
            <w:vAlign w:val="center"/>
          </w:tcPr>
          <w:p>
            <w:pPr>
              <w:pStyle w:val="TableContents"/>
              <w:bidi w:val="0"/>
              <w:spacing w:before="0" w:after="0"/>
              <w:ind w:left="0" w:right="0" w:hanging="0"/>
              <w:jc w:val="left"/>
              <w:rPr/>
            </w:pPr>
            <w:r>
              <w:rPr/>
              <w:t> </w:t>
            </w:r>
          </w:p>
        </w:tc>
        <w:tc>
          <w:tcPr>
            <w:tcW w:w="13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53,334</w:t>
            </w:r>
          </w:p>
        </w:tc>
        <w:tc>
          <w:tcPr>
            <w:tcW w:w="594" w:type="dxa"/>
            <w:tcBorders/>
            <w:vAlign w:val="center"/>
          </w:tcPr>
          <w:p>
            <w:pPr>
              <w:pStyle w:val="TableContents"/>
              <w:bidi w:val="0"/>
              <w:spacing w:before="0" w:after="0"/>
              <w:ind w:left="0" w:right="0" w:hanging="0"/>
              <w:jc w:val="left"/>
              <w:rPr/>
            </w:pPr>
            <w:r>
              <w:rPr/>
              <w:t> </w:t>
            </w:r>
          </w:p>
        </w:tc>
      </w:tr>
      <w:tr>
        <w:trPr/>
        <w:tc>
          <w:tcPr>
            <w:tcW w:w="62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w:t>
              <w:noBreakHyphen/>
              <w:t>current assets</w:t>
            </w:r>
          </w:p>
        </w:tc>
        <w:tc>
          <w:tcPr>
            <w:tcW w:w="146" w:type="dxa"/>
            <w:tcBorders/>
            <w:vAlign w:val="center"/>
          </w:tcPr>
          <w:p>
            <w:pPr>
              <w:pStyle w:val="TableContents"/>
              <w:bidi w:val="0"/>
              <w:spacing w:before="0" w:after="0"/>
              <w:ind w:left="0" w:right="0" w:hanging="0"/>
              <w:jc w:val="left"/>
              <w:rPr/>
            </w:pPr>
            <w:r>
              <w:rPr/>
              <w:t> </w:t>
            </w:r>
          </w:p>
        </w:tc>
        <w:tc>
          <w:tcPr>
            <w:tcW w:w="126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86" w:type="dxa"/>
            <w:gridSpan w:val="2"/>
            <w:tcBorders/>
            <w:vAlign w:val="center"/>
          </w:tcPr>
          <w:p>
            <w:pPr>
              <w:pStyle w:val="TableContents"/>
              <w:bidi w:val="0"/>
              <w:spacing w:before="0" w:after="0"/>
              <w:ind w:left="0" w:right="0" w:hanging="0"/>
              <w:jc w:val="right"/>
              <w:rPr/>
            </w:pPr>
            <w:r>
              <w:rPr/>
              <w:t> </w:t>
            </w:r>
          </w:p>
        </w:tc>
        <w:tc>
          <w:tcPr>
            <w:tcW w:w="594" w:type="dxa"/>
            <w:tcBorders/>
            <w:vAlign w:val="center"/>
          </w:tcPr>
          <w:p>
            <w:pPr>
              <w:pStyle w:val="TableContents"/>
              <w:bidi w:val="0"/>
              <w:spacing w:before="0" w:after="0"/>
              <w:ind w:left="0" w:right="0" w:firstLine="200"/>
              <w:jc w:val="right"/>
              <w:rPr/>
            </w:pPr>
            <w:r>
              <w:rPr/>
              <w:t> </w:t>
            </w:r>
          </w:p>
        </w:tc>
      </w:tr>
      <w:tr>
        <w:trPr/>
        <w:tc>
          <w:tcPr>
            <w:tcW w:w="62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8" w:type="dxa"/>
            <w:tcBorders/>
            <w:vAlign w:val="center"/>
          </w:tcPr>
          <w:p>
            <w:pPr>
              <w:pStyle w:val="TableContents"/>
              <w:bidi w:val="0"/>
              <w:spacing w:before="0" w:after="0"/>
              <w:ind w:left="0" w:right="0" w:hanging="0"/>
              <w:jc w:val="left"/>
              <w:rPr/>
            </w:pPr>
            <w:r>
              <w:rPr/>
              <w:t> </w:t>
            </w:r>
          </w:p>
        </w:tc>
        <w:tc>
          <w:tcPr>
            <w:tcW w:w="13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5,848</w:t>
            </w:r>
          </w:p>
        </w:tc>
        <w:tc>
          <w:tcPr>
            <w:tcW w:w="594" w:type="dxa"/>
            <w:tcBorders/>
            <w:vAlign w:val="center"/>
          </w:tcPr>
          <w:p>
            <w:pPr>
              <w:pStyle w:val="TableContents"/>
              <w:bidi w:val="0"/>
              <w:spacing w:before="0" w:after="0"/>
              <w:ind w:left="0" w:right="0" w:firstLine="200"/>
              <w:jc w:val="left"/>
              <w:rPr/>
            </w:pPr>
            <w:r>
              <w:rPr/>
              <w:t> </w:t>
            </w:r>
          </w:p>
        </w:tc>
      </w:tr>
      <w:tr>
        <w:trPr/>
        <w:tc>
          <w:tcPr>
            <w:tcW w:w="62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Intangible assets, net</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8" w:type="dxa"/>
            <w:tcBorders/>
            <w:vAlign w:val="center"/>
          </w:tcPr>
          <w:p>
            <w:pPr>
              <w:pStyle w:val="TableContents"/>
              <w:bidi w:val="0"/>
              <w:spacing w:before="0" w:after="0"/>
              <w:ind w:left="0" w:right="0" w:hanging="0"/>
              <w:jc w:val="left"/>
              <w:rPr/>
            </w:pPr>
            <w:r>
              <w:rPr/>
              <w:t> </w:t>
            </w:r>
          </w:p>
        </w:tc>
        <w:tc>
          <w:tcPr>
            <w:tcW w:w="13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9,797</w:t>
            </w:r>
          </w:p>
        </w:tc>
        <w:tc>
          <w:tcPr>
            <w:tcW w:w="594" w:type="dxa"/>
            <w:tcBorders/>
            <w:vAlign w:val="center"/>
          </w:tcPr>
          <w:p>
            <w:pPr>
              <w:pStyle w:val="TableContents"/>
              <w:bidi w:val="0"/>
              <w:spacing w:before="0" w:after="0"/>
              <w:ind w:left="0" w:right="0" w:firstLine="200"/>
              <w:jc w:val="left"/>
              <w:rPr/>
            </w:pPr>
            <w:r>
              <w:rPr/>
              <w:t> </w:t>
            </w:r>
          </w:p>
        </w:tc>
      </w:tr>
      <w:tr>
        <w:trPr/>
        <w:tc>
          <w:tcPr>
            <w:tcW w:w="62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right-of-use assets</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8" w:type="dxa"/>
            <w:tcBorders/>
            <w:vAlign w:val="center"/>
          </w:tcPr>
          <w:p>
            <w:pPr>
              <w:pStyle w:val="TableContents"/>
              <w:bidi w:val="0"/>
              <w:spacing w:before="0" w:after="0"/>
              <w:ind w:left="0" w:right="0" w:hanging="0"/>
              <w:jc w:val="left"/>
              <w:rPr/>
            </w:pPr>
            <w:r>
              <w:rPr/>
              <w:t> </w:t>
            </w:r>
          </w:p>
        </w:tc>
        <w:tc>
          <w:tcPr>
            <w:tcW w:w="13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2,973</w:t>
            </w:r>
          </w:p>
        </w:tc>
        <w:tc>
          <w:tcPr>
            <w:tcW w:w="594" w:type="dxa"/>
            <w:tcBorders/>
            <w:vAlign w:val="center"/>
          </w:tcPr>
          <w:p>
            <w:pPr>
              <w:pStyle w:val="TableContents"/>
              <w:bidi w:val="0"/>
              <w:spacing w:before="0" w:after="0"/>
              <w:ind w:left="0" w:right="0" w:firstLine="200"/>
              <w:jc w:val="left"/>
              <w:rPr/>
            </w:pPr>
            <w:r>
              <w:rPr/>
              <w:t> </w:t>
            </w:r>
          </w:p>
        </w:tc>
      </w:tr>
      <w:tr>
        <w:trPr/>
        <w:tc>
          <w:tcPr>
            <w:tcW w:w="62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8" w:type="dxa"/>
            <w:tcBorders/>
            <w:vAlign w:val="center"/>
          </w:tcPr>
          <w:p>
            <w:pPr>
              <w:pStyle w:val="TableContents"/>
              <w:bidi w:val="0"/>
              <w:spacing w:before="0" w:after="0"/>
              <w:ind w:left="0" w:right="0" w:hanging="0"/>
              <w:jc w:val="left"/>
              <w:rPr/>
            </w:pPr>
            <w:r>
              <w:rPr/>
              <w:t> </w:t>
            </w:r>
          </w:p>
        </w:tc>
        <w:tc>
          <w:tcPr>
            <w:tcW w:w="13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15,031</w:t>
            </w:r>
          </w:p>
        </w:tc>
        <w:tc>
          <w:tcPr>
            <w:tcW w:w="594" w:type="dxa"/>
            <w:tcBorders/>
            <w:vAlign w:val="center"/>
          </w:tcPr>
          <w:p>
            <w:pPr>
              <w:pStyle w:val="TableContents"/>
              <w:bidi w:val="0"/>
              <w:spacing w:before="0" w:after="0"/>
              <w:ind w:left="0" w:right="0" w:firstLine="200"/>
              <w:jc w:val="left"/>
              <w:rPr/>
            </w:pPr>
            <w:r>
              <w:rPr/>
              <w:t> </w:t>
            </w:r>
          </w:p>
        </w:tc>
      </w:tr>
      <w:tr>
        <w:trPr/>
        <w:tc>
          <w:tcPr>
            <w:tcW w:w="62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long-term assets</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6,988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5,923</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20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non</w:t>
              <w:noBreakHyphen/>
              <w:t>current assets</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52,378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39,572</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2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77,623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92,906</w:t>
            </w:r>
          </w:p>
        </w:tc>
        <w:tc>
          <w:tcPr>
            <w:tcW w:w="5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20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26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86" w:type="dxa"/>
            <w:gridSpan w:val="2"/>
            <w:tcBorders/>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hanging="0"/>
              <w:jc w:val="left"/>
              <w:rPr/>
            </w:pPr>
            <w:r>
              <w:rPr/>
              <w:t> </w:t>
            </w:r>
          </w:p>
        </w:tc>
      </w:tr>
      <w:tr>
        <w:trPr/>
        <w:tc>
          <w:tcPr>
            <w:tcW w:w="9611" w:type="dxa"/>
            <w:gridSpan w:val="8"/>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Liabilities and Stockholders' (Deficit) Equity</w:t>
            </w:r>
          </w:p>
        </w:tc>
        <w:tc>
          <w:tcPr>
            <w:tcW w:w="594" w:type="dxa"/>
            <w:tcBorders/>
            <w:vAlign w:val="center"/>
          </w:tcPr>
          <w:p>
            <w:pPr>
              <w:pStyle w:val="TableContents"/>
              <w:bidi w:val="0"/>
              <w:spacing w:before="0" w:after="0"/>
              <w:ind w:left="0" w:right="0" w:hanging="0"/>
              <w:jc w:val="center"/>
              <w:rPr/>
            </w:pPr>
            <w:r>
              <w:rPr/>
              <w:t> </w:t>
            </w:r>
          </w:p>
        </w:tc>
      </w:tr>
      <w:tr>
        <w:trPr/>
        <w:tc>
          <w:tcPr>
            <w:tcW w:w="62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26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both"/>
              <w:rPr/>
            </w:pPr>
            <w:r>
              <w:rPr/>
              <w:t> </w:t>
            </w:r>
          </w:p>
        </w:tc>
        <w:tc>
          <w:tcPr>
            <w:tcW w:w="1686" w:type="dxa"/>
            <w:gridSpan w:val="2"/>
            <w:tcBorders/>
            <w:vAlign w:val="center"/>
          </w:tcPr>
          <w:p>
            <w:pPr>
              <w:pStyle w:val="TableContents"/>
              <w:bidi w:val="0"/>
              <w:spacing w:before="0" w:after="0"/>
              <w:ind w:left="0" w:right="0" w:hanging="0"/>
              <w:jc w:val="right"/>
              <w:rPr/>
            </w:pPr>
            <w:r>
              <w:rPr/>
              <w:t> </w:t>
            </w:r>
          </w:p>
        </w:tc>
        <w:tc>
          <w:tcPr>
            <w:tcW w:w="594" w:type="dxa"/>
            <w:tcBorders/>
            <w:vAlign w:val="center"/>
          </w:tcPr>
          <w:p>
            <w:pPr>
              <w:pStyle w:val="TableContents"/>
              <w:bidi w:val="0"/>
              <w:spacing w:before="0" w:after="0"/>
              <w:ind w:left="0" w:right="0" w:firstLine="200"/>
              <w:jc w:val="right"/>
              <w:rPr/>
            </w:pPr>
            <w:r>
              <w:rPr/>
              <w:t> </w:t>
            </w:r>
          </w:p>
        </w:tc>
      </w:tr>
      <w:tr>
        <w:trPr/>
        <w:tc>
          <w:tcPr>
            <w:tcW w:w="62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1,685</w:t>
            </w:r>
          </w:p>
        </w:tc>
        <w:tc>
          <w:tcPr>
            <w:tcW w:w="594" w:type="dxa"/>
            <w:tcBorders/>
            <w:vAlign w:val="center"/>
          </w:tcPr>
          <w:p>
            <w:pPr>
              <w:pStyle w:val="TableContents"/>
              <w:bidi w:val="0"/>
              <w:spacing w:before="0" w:after="0"/>
              <w:ind w:left="0" w:right="0" w:firstLine="200"/>
              <w:jc w:val="left"/>
              <w:rPr/>
            </w:pPr>
            <w:r>
              <w:rPr/>
              <w:t> </w:t>
            </w:r>
          </w:p>
        </w:tc>
      </w:tr>
      <w:tr>
        <w:trPr/>
        <w:tc>
          <w:tcPr>
            <w:tcW w:w="62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liabilities</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8" w:type="dxa"/>
            <w:tcBorders/>
            <w:vAlign w:val="center"/>
          </w:tcPr>
          <w:p>
            <w:pPr>
              <w:pStyle w:val="TableContents"/>
              <w:bidi w:val="0"/>
              <w:spacing w:before="0" w:after="0"/>
              <w:ind w:left="0" w:right="0" w:hanging="0"/>
              <w:jc w:val="left"/>
              <w:rPr/>
            </w:pPr>
            <w:r>
              <w:rPr/>
              <w:t> </w:t>
            </w:r>
          </w:p>
        </w:tc>
        <w:tc>
          <w:tcPr>
            <w:tcW w:w="13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8,218</w:t>
            </w:r>
          </w:p>
        </w:tc>
        <w:tc>
          <w:tcPr>
            <w:tcW w:w="594" w:type="dxa"/>
            <w:tcBorders/>
            <w:vAlign w:val="center"/>
          </w:tcPr>
          <w:p>
            <w:pPr>
              <w:pStyle w:val="TableContents"/>
              <w:bidi w:val="0"/>
              <w:spacing w:before="0" w:after="0"/>
              <w:ind w:left="0" w:right="0" w:firstLine="200"/>
              <w:jc w:val="left"/>
              <w:rPr/>
            </w:pPr>
            <w:r>
              <w:rPr/>
              <w:t> </w:t>
            </w:r>
          </w:p>
        </w:tc>
      </w:tr>
      <w:tr>
        <w:trPr/>
        <w:tc>
          <w:tcPr>
            <w:tcW w:w="62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8" w:type="dxa"/>
            <w:tcBorders/>
            <w:vAlign w:val="center"/>
          </w:tcPr>
          <w:p>
            <w:pPr>
              <w:pStyle w:val="TableContents"/>
              <w:bidi w:val="0"/>
              <w:spacing w:before="0" w:after="0"/>
              <w:ind w:left="0" w:right="0" w:hanging="0"/>
              <w:jc w:val="left"/>
              <w:rPr/>
            </w:pPr>
            <w:r>
              <w:rPr/>
              <w:t> </w:t>
            </w:r>
          </w:p>
        </w:tc>
        <w:tc>
          <w:tcPr>
            <w:tcW w:w="13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962</w:t>
            </w:r>
          </w:p>
        </w:tc>
        <w:tc>
          <w:tcPr>
            <w:tcW w:w="594" w:type="dxa"/>
            <w:tcBorders/>
            <w:vAlign w:val="center"/>
          </w:tcPr>
          <w:p>
            <w:pPr>
              <w:pStyle w:val="TableContents"/>
              <w:bidi w:val="0"/>
              <w:spacing w:before="0" w:after="0"/>
              <w:ind w:left="0" w:right="0" w:firstLine="200"/>
              <w:jc w:val="left"/>
              <w:rPr/>
            </w:pPr>
            <w:r>
              <w:rPr/>
              <w:t> </w:t>
            </w:r>
          </w:p>
        </w:tc>
      </w:tr>
      <w:tr>
        <w:trPr/>
        <w:tc>
          <w:tcPr>
            <w:tcW w:w="62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portion of operating lease liabilities</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8" w:type="dxa"/>
            <w:tcBorders/>
            <w:vAlign w:val="center"/>
          </w:tcPr>
          <w:p>
            <w:pPr>
              <w:pStyle w:val="TableContents"/>
              <w:bidi w:val="0"/>
              <w:spacing w:before="0" w:after="0"/>
              <w:ind w:left="0" w:right="0" w:hanging="0"/>
              <w:jc w:val="left"/>
              <w:rPr/>
            </w:pPr>
            <w:r>
              <w:rPr/>
              <w:t> </w:t>
            </w:r>
          </w:p>
        </w:tc>
        <w:tc>
          <w:tcPr>
            <w:tcW w:w="13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1,543</w:t>
            </w:r>
          </w:p>
        </w:tc>
        <w:tc>
          <w:tcPr>
            <w:tcW w:w="594" w:type="dxa"/>
            <w:tcBorders/>
            <w:vAlign w:val="center"/>
          </w:tcPr>
          <w:p>
            <w:pPr>
              <w:pStyle w:val="TableContents"/>
              <w:bidi w:val="0"/>
              <w:spacing w:before="0" w:after="0"/>
              <w:ind w:left="0" w:right="0" w:firstLine="200"/>
              <w:jc w:val="left"/>
              <w:rPr/>
            </w:pPr>
            <w:r>
              <w:rPr/>
              <w:t> </w:t>
            </w:r>
          </w:p>
        </w:tc>
      </w:tr>
      <w:tr>
        <w:trPr/>
        <w:tc>
          <w:tcPr>
            <w:tcW w:w="62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portion of contingent consideration</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8" w:type="dxa"/>
            <w:tcBorders/>
            <w:vAlign w:val="center"/>
          </w:tcPr>
          <w:p>
            <w:pPr>
              <w:pStyle w:val="TableContents"/>
              <w:bidi w:val="0"/>
              <w:spacing w:before="0" w:after="0"/>
              <w:ind w:left="0" w:right="0" w:hanging="0"/>
              <w:jc w:val="left"/>
              <w:rPr/>
            </w:pPr>
            <w:r>
              <w:rPr/>
              <w:t> </w:t>
            </w:r>
          </w:p>
        </w:tc>
        <w:tc>
          <w:tcPr>
            <w:tcW w:w="13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10,341</w:t>
            </w:r>
          </w:p>
        </w:tc>
        <w:tc>
          <w:tcPr>
            <w:tcW w:w="594" w:type="dxa"/>
            <w:tcBorders/>
            <w:vAlign w:val="center"/>
          </w:tcPr>
          <w:p>
            <w:pPr>
              <w:pStyle w:val="TableContents"/>
              <w:bidi w:val="0"/>
              <w:spacing w:before="0" w:after="0"/>
              <w:ind w:left="0" w:right="0" w:firstLine="200"/>
              <w:jc w:val="left"/>
              <w:rPr/>
            </w:pPr>
            <w:r>
              <w:rPr/>
              <w:t> </w:t>
            </w:r>
          </w:p>
        </w:tc>
      </w:tr>
      <w:tr>
        <w:trPr/>
        <w:tc>
          <w:tcPr>
            <w:tcW w:w="62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portion of notes payable</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8" w:type="dxa"/>
            <w:tcBorders/>
            <w:vAlign w:val="center"/>
          </w:tcPr>
          <w:p>
            <w:pPr>
              <w:pStyle w:val="TableContents"/>
              <w:bidi w:val="0"/>
              <w:spacing w:before="0" w:after="0"/>
              <w:ind w:left="0" w:right="0" w:hanging="0"/>
              <w:jc w:val="left"/>
              <w:rPr/>
            </w:pPr>
            <w:r>
              <w:rPr/>
              <w:t> </w:t>
            </w:r>
          </w:p>
        </w:tc>
        <w:tc>
          <w:tcPr>
            <w:tcW w:w="13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594" w:type="dxa"/>
            <w:tcBorders/>
            <w:vAlign w:val="center"/>
          </w:tcPr>
          <w:p>
            <w:pPr>
              <w:pStyle w:val="TableContents"/>
              <w:bidi w:val="0"/>
              <w:spacing w:before="0" w:after="0"/>
              <w:ind w:left="0" w:right="0" w:firstLine="200"/>
              <w:jc w:val="left"/>
              <w:rPr/>
            </w:pPr>
            <w:r>
              <w:rPr/>
              <w:t> </w:t>
            </w:r>
          </w:p>
        </w:tc>
      </w:tr>
      <w:tr>
        <w:trPr/>
        <w:tc>
          <w:tcPr>
            <w:tcW w:w="62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current liabilities</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20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8" w:type="dxa"/>
            <w:tcBorders/>
            <w:vAlign w:val="center"/>
          </w:tcPr>
          <w:p>
            <w:pPr>
              <w:pStyle w:val="TableContents"/>
              <w:bidi w:val="0"/>
              <w:spacing w:before="0" w:after="0"/>
              <w:ind w:left="0" w:right="0" w:hanging="0"/>
              <w:jc w:val="left"/>
              <w:rPr/>
            </w:pPr>
            <w:r>
              <w:rPr/>
              <w:t> </w:t>
            </w:r>
          </w:p>
        </w:tc>
        <w:tc>
          <w:tcPr>
            <w:tcW w:w="13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22,839</w:t>
            </w:r>
          </w:p>
        </w:tc>
        <w:tc>
          <w:tcPr>
            <w:tcW w:w="594" w:type="dxa"/>
            <w:tcBorders/>
            <w:vAlign w:val="center"/>
          </w:tcPr>
          <w:p>
            <w:pPr>
              <w:pStyle w:val="TableContents"/>
              <w:bidi w:val="0"/>
              <w:spacing w:before="0" w:after="0"/>
              <w:ind w:left="0" w:right="0" w:hanging="0"/>
              <w:jc w:val="left"/>
              <w:rPr/>
            </w:pPr>
            <w:r>
              <w:rPr/>
              <w:t> </w:t>
            </w:r>
          </w:p>
        </w:tc>
      </w:tr>
      <w:tr>
        <w:trPr/>
        <w:tc>
          <w:tcPr>
            <w:tcW w:w="62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w:t>
              <w:noBreakHyphen/>
              <w:t>current liabilities</w:t>
            </w:r>
          </w:p>
        </w:tc>
        <w:tc>
          <w:tcPr>
            <w:tcW w:w="146" w:type="dxa"/>
            <w:tcBorders/>
            <w:vAlign w:val="center"/>
          </w:tcPr>
          <w:p>
            <w:pPr>
              <w:pStyle w:val="TableContents"/>
              <w:bidi w:val="0"/>
              <w:spacing w:before="0" w:after="0"/>
              <w:ind w:left="0" w:right="0" w:hanging="0"/>
              <w:jc w:val="left"/>
              <w:rPr/>
            </w:pPr>
            <w:r>
              <w:rPr/>
              <w:t> </w:t>
            </w:r>
          </w:p>
        </w:tc>
        <w:tc>
          <w:tcPr>
            <w:tcW w:w="126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86" w:type="dxa"/>
            <w:gridSpan w:val="2"/>
            <w:tcBorders/>
            <w:vAlign w:val="center"/>
          </w:tcPr>
          <w:p>
            <w:pPr>
              <w:pStyle w:val="TableContents"/>
              <w:bidi w:val="0"/>
              <w:spacing w:before="0" w:after="0"/>
              <w:ind w:left="0" w:right="0" w:hanging="0"/>
              <w:jc w:val="right"/>
              <w:rPr/>
            </w:pPr>
            <w:r>
              <w:rPr/>
              <w:t> </w:t>
            </w:r>
          </w:p>
        </w:tc>
        <w:tc>
          <w:tcPr>
            <w:tcW w:w="594" w:type="dxa"/>
            <w:tcBorders/>
            <w:vAlign w:val="center"/>
          </w:tcPr>
          <w:p>
            <w:pPr>
              <w:pStyle w:val="TableContents"/>
              <w:bidi w:val="0"/>
              <w:spacing w:before="0" w:after="0"/>
              <w:ind w:left="0" w:right="0" w:firstLine="200"/>
              <w:jc w:val="right"/>
              <w:rPr/>
            </w:pPr>
            <w:r>
              <w:rPr/>
              <w:t> </w:t>
            </w:r>
          </w:p>
        </w:tc>
      </w:tr>
      <w:tr>
        <w:trPr/>
        <w:tc>
          <w:tcPr>
            <w:tcW w:w="62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Long</w:t>
              <w:noBreakHyphen/>
              <w:t>term notes payable, net of current portion</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8" w:type="dxa"/>
            <w:tcBorders/>
            <w:vAlign w:val="center"/>
          </w:tcPr>
          <w:p>
            <w:pPr>
              <w:pStyle w:val="TableContents"/>
              <w:bidi w:val="0"/>
              <w:spacing w:before="0" w:after="0"/>
              <w:ind w:left="0" w:right="0" w:hanging="0"/>
              <w:jc w:val="left"/>
              <w:rPr/>
            </w:pPr>
            <w:r>
              <w:rPr/>
              <w:t> </w:t>
            </w:r>
          </w:p>
        </w:tc>
        <w:tc>
          <w:tcPr>
            <w:tcW w:w="13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25,004</w:t>
            </w:r>
          </w:p>
        </w:tc>
        <w:tc>
          <w:tcPr>
            <w:tcW w:w="594" w:type="dxa"/>
            <w:tcBorders/>
            <w:vAlign w:val="center"/>
          </w:tcPr>
          <w:p>
            <w:pPr>
              <w:pStyle w:val="TableContents"/>
              <w:bidi w:val="0"/>
              <w:spacing w:before="0" w:after="0"/>
              <w:ind w:left="0" w:right="0" w:firstLine="200"/>
              <w:jc w:val="left"/>
              <w:rPr/>
            </w:pPr>
            <w:r>
              <w:rPr/>
              <w:t> </w:t>
            </w:r>
          </w:p>
        </w:tc>
      </w:tr>
      <w:tr>
        <w:trPr/>
        <w:tc>
          <w:tcPr>
            <w:tcW w:w="62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Long-term operating lease liabilities</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8" w:type="dxa"/>
            <w:tcBorders/>
            <w:vAlign w:val="center"/>
          </w:tcPr>
          <w:p>
            <w:pPr>
              <w:pStyle w:val="TableContents"/>
              <w:bidi w:val="0"/>
              <w:spacing w:before="0" w:after="0"/>
              <w:ind w:left="0" w:right="0" w:hanging="0"/>
              <w:jc w:val="left"/>
              <w:rPr/>
            </w:pPr>
            <w:r>
              <w:rPr/>
              <w:t> </w:t>
            </w:r>
          </w:p>
        </w:tc>
        <w:tc>
          <w:tcPr>
            <w:tcW w:w="13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5,254</w:t>
            </w:r>
          </w:p>
        </w:tc>
        <w:tc>
          <w:tcPr>
            <w:tcW w:w="594" w:type="dxa"/>
            <w:tcBorders/>
            <w:vAlign w:val="center"/>
          </w:tcPr>
          <w:p>
            <w:pPr>
              <w:pStyle w:val="TableContents"/>
              <w:bidi w:val="0"/>
              <w:spacing w:before="0" w:after="0"/>
              <w:ind w:left="0" w:right="0" w:firstLine="200"/>
              <w:jc w:val="left"/>
              <w:rPr/>
            </w:pPr>
            <w:r>
              <w:rPr/>
              <w:t> </w:t>
            </w:r>
          </w:p>
        </w:tc>
      </w:tr>
      <w:tr>
        <w:trPr/>
        <w:tc>
          <w:tcPr>
            <w:tcW w:w="62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Contingent consideration</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8" w:type="dxa"/>
            <w:tcBorders/>
            <w:vAlign w:val="center"/>
          </w:tcPr>
          <w:p>
            <w:pPr>
              <w:pStyle w:val="TableContents"/>
              <w:bidi w:val="0"/>
              <w:spacing w:before="0" w:after="0"/>
              <w:ind w:left="0" w:right="0" w:hanging="0"/>
              <w:jc w:val="left"/>
              <w:rPr/>
            </w:pPr>
            <w:r>
              <w:rPr/>
              <w:t> </w:t>
            </w:r>
          </w:p>
        </w:tc>
        <w:tc>
          <w:tcPr>
            <w:tcW w:w="13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18,645</w:t>
            </w:r>
          </w:p>
        </w:tc>
        <w:tc>
          <w:tcPr>
            <w:tcW w:w="594" w:type="dxa"/>
            <w:tcBorders/>
            <w:vAlign w:val="center"/>
          </w:tcPr>
          <w:p>
            <w:pPr>
              <w:pStyle w:val="TableContents"/>
              <w:bidi w:val="0"/>
              <w:spacing w:before="0" w:after="0"/>
              <w:ind w:left="0" w:right="0" w:firstLine="200"/>
              <w:jc w:val="left"/>
              <w:rPr/>
            </w:pPr>
            <w:r>
              <w:rPr/>
              <w:t> </w:t>
            </w:r>
          </w:p>
        </w:tc>
      </w:tr>
      <w:tr>
        <w:trPr/>
        <w:tc>
          <w:tcPr>
            <w:tcW w:w="62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long-term liabilities</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558</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20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non</w:t>
              <w:noBreakHyphen/>
              <w:t>current liabilities</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56,665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49,461</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2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84,616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38" w:type="dxa"/>
            <w:tcBorders/>
            <w:vAlign w:val="center"/>
          </w:tcPr>
          <w:p>
            <w:pPr>
              <w:pStyle w:val="TableContents"/>
              <w:bidi w:val="0"/>
              <w:spacing w:before="0" w:after="0"/>
              <w:ind w:left="0" w:right="0" w:hanging="0"/>
              <w:jc w:val="left"/>
              <w:rPr/>
            </w:pPr>
            <w:r>
              <w:rPr/>
              <w:t> </w:t>
            </w:r>
          </w:p>
        </w:tc>
        <w:tc>
          <w:tcPr>
            <w:tcW w:w="13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72,300</w:t>
            </w:r>
          </w:p>
        </w:tc>
        <w:tc>
          <w:tcPr>
            <w:tcW w:w="594" w:type="dxa"/>
            <w:tcBorders/>
            <w:vAlign w:val="center"/>
          </w:tcPr>
          <w:p>
            <w:pPr>
              <w:pStyle w:val="TableContents"/>
              <w:bidi w:val="0"/>
              <w:spacing w:before="0" w:after="0"/>
              <w:ind w:left="0" w:right="0" w:hanging="0"/>
              <w:jc w:val="left"/>
              <w:rPr/>
            </w:pPr>
            <w:r>
              <w:rPr/>
              <w:t> </w:t>
            </w:r>
          </w:p>
        </w:tc>
      </w:tr>
      <w:tr>
        <w:trPr/>
        <w:tc>
          <w:tcPr>
            <w:tcW w:w="62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w:t>
            </w:r>
          </w:p>
        </w:tc>
        <w:tc>
          <w:tcPr>
            <w:tcW w:w="146" w:type="dxa"/>
            <w:tcBorders/>
            <w:vAlign w:val="center"/>
          </w:tcPr>
          <w:p>
            <w:pPr>
              <w:pStyle w:val="TableContents"/>
              <w:bidi w:val="0"/>
              <w:spacing w:before="0" w:after="0"/>
              <w:ind w:left="0" w:right="0" w:hanging="0"/>
              <w:jc w:val="left"/>
              <w:rPr/>
            </w:pPr>
            <w:r>
              <w:rPr/>
              <w:t> </w:t>
            </w:r>
          </w:p>
        </w:tc>
        <w:tc>
          <w:tcPr>
            <w:tcW w:w="126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86" w:type="dxa"/>
            <w:gridSpan w:val="2"/>
            <w:tcBorders/>
            <w:vAlign w:val="center"/>
          </w:tcPr>
          <w:p>
            <w:pPr>
              <w:pStyle w:val="TableContents"/>
              <w:bidi w:val="0"/>
              <w:spacing w:before="0" w:after="0"/>
              <w:ind w:left="0" w:right="0" w:hanging="0"/>
              <w:jc w:val="right"/>
              <w:rPr/>
            </w:pPr>
            <w:r>
              <w:rPr/>
              <w:t> </w:t>
            </w:r>
          </w:p>
        </w:tc>
        <w:tc>
          <w:tcPr>
            <w:tcW w:w="594" w:type="dxa"/>
            <w:tcBorders/>
            <w:vAlign w:val="center"/>
          </w:tcPr>
          <w:p>
            <w:pPr>
              <w:pStyle w:val="TableContents"/>
              <w:bidi w:val="0"/>
              <w:spacing w:before="0" w:after="0"/>
              <w:ind w:left="0" w:right="0" w:hanging="0"/>
              <w:jc w:val="right"/>
              <w:rPr/>
            </w:pPr>
            <w:r>
              <w:rPr/>
              <w:t> </w:t>
            </w:r>
          </w:p>
        </w:tc>
      </w:tr>
      <w:tr>
        <w:trPr/>
        <w:tc>
          <w:tcPr>
            <w:tcW w:w="62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vAlign w:val="center"/>
          </w:tcPr>
          <w:p>
            <w:pPr>
              <w:pStyle w:val="TableContents"/>
              <w:bidi w:val="0"/>
              <w:spacing w:before="0" w:after="0"/>
              <w:ind w:left="0" w:right="0" w:hanging="0"/>
              <w:jc w:val="left"/>
              <w:rPr/>
            </w:pPr>
            <w:r>
              <w:rPr/>
              <w:t> </w:t>
            </w:r>
          </w:p>
        </w:tc>
        <w:tc>
          <w:tcPr>
            <w:tcW w:w="126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86" w:type="dxa"/>
            <w:gridSpan w:val="2"/>
            <w:tcBorders/>
            <w:vAlign w:val="center"/>
          </w:tcPr>
          <w:p>
            <w:pPr>
              <w:pStyle w:val="TableContents"/>
              <w:bidi w:val="0"/>
              <w:spacing w:before="0" w:after="0"/>
              <w:ind w:left="0" w:right="0" w:hanging="0"/>
              <w:jc w:val="right"/>
              <w:rPr/>
            </w:pPr>
            <w:r>
              <w:rPr/>
              <w:t> </w:t>
            </w:r>
          </w:p>
        </w:tc>
        <w:tc>
          <w:tcPr>
            <w:tcW w:w="594" w:type="dxa"/>
            <w:tcBorders/>
            <w:vAlign w:val="center"/>
          </w:tcPr>
          <w:p>
            <w:pPr>
              <w:pStyle w:val="TableContents"/>
              <w:bidi w:val="0"/>
              <w:spacing w:before="0" w:after="0"/>
              <w:ind w:left="0" w:right="0" w:firstLine="200"/>
              <w:jc w:val="right"/>
              <w:rPr/>
            </w:pPr>
            <w:r>
              <w:rPr/>
              <w:t> </w:t>
            </w:r>
          </w:p>
        </w:tc>
      </w:tr>
      <w:tr>
        <w:trPr/>
        <w:tc>
          <w:tcPr>
            <w:tcW w:w="620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Preferred stock, $0.001</w:t>
            </w:r>
            <w:r>
              <w:rPr>
                <w:rFonts w:ascii="Times New Roman" w:hAnsi="Times New Roman"/>
                <w:sz w:val="20"/>
              </w:rPr>
              <w:t> </w:t>
            </w:r>
            <w:r>
              <w:rPr>
                <w:rFonts w:ascii="Times New Roman;serif" w:hAnsi="Times New Roman;serif"/>
                <w:b w:val="false"/>
                <w:sz w:val="20"/>
              </w:rPr>
              <w:t>par value, 5,000,000</w:t>
            </w:r>
            <w:r>
              <w:rPr>
                <w:rFonts w:ascii="Times New Roman" w:hAnsi="Times New Roman"/>
                <w:sz w:val="20"/>
              </w:rPr>
              <w:t> </w:t>
            </w:r>
            <w:r>
              <w:rPr>
                <w:rFonts w:ascii="Times New Roman;serif" w:hAnsi="Times New Roman;serif"/>
                <w:b w:val="false"/>
                <w:sz w:val="20"/>
              </w:rPr>
              <w:t xml:space="preserve">authorized; </w:t>
              <w:br/>
              <w:t>    0</w:t>
            </w:r>
            <w:r>
              <w:rPr>
                <w:rFonts w:ascii="Times New Roman" w:hAnsi="Times New Roman"/>
                <w:sz w:val="20"/>
              </w:rPr>
              <w:t> </w:t>
            </w:r>
            <w:r>
              <w:rPr>
                <w:rFonts w:ascii="Times New Roman;serif" w:hAnsi="Times New Roman;serif"/>
                <w:b w:val="false"/>
                <w:sz w:val="20"/>
              </w:rPr>
              <w:t>(2023 and 2022) issued and outstanding</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8" w:type="dxa"/>
            <w:tcBorders/>
            <w:vAlign w:val="center"/>
          </w:tcPr>
          <w:p>
            <w:pPr>
              <w:pStyle w:val="TableContents"/>
              <w:bidi w:val="0"/>
              <w:spacing w:before="0" w:after="0"/>
              <w:ind w:left="0" w:right="0" w:hanging="0"/>
              <w:jc w:val="left"/>
              <w:rPr/>
            </w:pPr>
            <w:r>
              <w:rPr/>
              <w:t> </w:t>
            </w:r>
          </w:p>
        </w:tc>
        <w:tc>
          <w:tcPr>
            <w:tcW w:w="1348" w:type="dxa"/>
            <w:tcBorders/>
            <w:vAlign w:val="center"/>
          </w:tcPr>
          <w:p>
            <w:pPr>
              <w:pStyle w:val="TableContents"/>
              <w:bidi w:val="0"/>
              <w:spacing w:before="0" w:after="0"/>
              <w:ind w:left="0" w:right="0" w:hanging="0"/>
              <w:jc w:val="right"/>
              <w:rPr/>
            </w:pPr>
            <w:r>
              <w:rPr/>
              <w:t>—</w:t>
            </w:r>
          </w:p>
        </w:tc>
        <w:tc>
          <w:tcPr>
            <w:tcW w:w="594" w:type="dxa"/>
            <w:tcBorders/>
            <w:vAlign w:val="center"/>
          </w:tcPr>
          <w:p>
            <w:pPr>
              <w:pStyle w:val="TableContents"/>
              <w:bidi w:val="0"/>
              <w:spacing w:before="0" w:after="0"/>
              <w:ind w:left="0" w:right="0" w:firstLine="200"/>
              <w:jc w:val="left"/>
              <w:rPr/>
            </w:pPr>
            <w:r>
              <w:rPr/>
              <w:t> </w:t>
            </w:r>
          </w:p>
        </w:tc>
      </w:tr>
      <w:tr>
        <w:trPr/>
        <w:tc>
          <w:tcPr>
            <w:tcW w:w="620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Common stock, $0.001</w:t>
            </w:r>
            <w:r>
              <w:rPr>
                <w:rFonts w:ascii="Times New Roman" w:hAnsi="Times New Roman"/>
                <w:sz w:val="20"/>
              </w:rPr>
              <w:t> </w:t>
            </w:r>
            <w:r>
              <w:rPr>
                <w:rFonts w:ascii="Times New Roman;serif" w:hAnsi="Times New Roman;serif"/>
                <w:b w:val="false"/>
                <w:sz w:val="20"/>
              </w:rPr>
              <w:t>par value, 200,000,000</w:t>
            </w:r>
            <w:r>
              <w:rPr>
                <w:rFonts w:ascii="Times New Roman" w:hAnsi="Times New Roman"/>
                <w:sz w:val="20"/>
              </w:rPr>
              <w:t> </w:t>
            </w:r>
            <w:r>
              <w:rPr>
                <w:rFonts w:ascii="Times New Roman;serif" w:hAnsi="Times New Roman;serif"/>
                <w:b w:val="false"/>
                <w:sz w:val="20"/>
              </w:rPr>
              <w:t xml:space="preserve">authorized; </w:t>
              <w:br/>
              <w:t>    78,610,663</w:t>
            </w:r>
            <w:r>
              <w:rPr>
                <w:rFonts w:ascii="Times New Roman" w:hAnsi="Times New Roman"/>
                <w:sz w:val="20"/>
              </w:rPr>
              <w:t> </w:t>
            </w:r>
            <w:r>
              <w:rPr>
                <w:rFonts w:ascii="Times New Roman;serif" w:hAnsi="Times New Roman;serif"/>
                <w:b w:val="false"/>
                <w:sz w:val="20"/>
              </w:rPr>
              <w:t>(2023) and 77,614,358</w:t>
            </w:r>
            <w:r>
              <w:rPr>
                <w:rFonts w:ascii="Times New Roman" w:hAnsi="Times New Roman"/>
                <w:sz w:val="20"/>
              </w:rPr>
              <w:t> </w:t>
            </w:r>
            <w:r>
              <w:rPr>
                <w:rFonts w:ascii="Times New Roman;serif" w:hAnsi="Times New Roman;serif"/>
                <w:b w:val="false"/>
                <w:sz w:val="20"/>
              </w:rPr>
              <w:t>(2022) shares issued and outstanding</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8" w:type="dxa"/>
            <w:tcBorders/>
            <w:vAlign w:val="center"/>
          </w:tcPr>
          <w:p>
            <w:pPr>
              <w:pStyle w:val="TableContents"/>
              <w:bidi w:val="0"/>
              <w:spacing w:before="0" w:after="0"/>
              <w:ind w:left="0" w:right="0" w:hanging="0"/>
              <w:jc w:val="left"/>
              <w:rPr/>
            </w:pPr>
            <w:r>
              <w:rPr/>
              <w:t> </w:t>
            </w:r>
          </w:p>
        </w:tc>
        <w:tc>
          <w:tcPr>
            <w:tcW w:w="13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594" w:type="dxa"/>
            <w:tcBorders/>
            <w:vAlign w:val="center"/>
          </w:tcPr>
          <w:p>
            <w:pPr>
              <w:pStyle w:val="TableContents"/>
              <w:bidi w:val="0"/>
              <w:spacing w:before="0" w:after="0"/>
              <w:ind w:left="0" w:right="0" w:firstLine="200"/>
              <w:jc w:val="left"/>
              <w:rPr/>
            </w:pPr>
            <w:r>
              <w:rPr/>
              <w:t> </w:t>
            </w:r>
          </w:p>
        </w:tc>
      </w:tr>
      <w:tr>
        <w:trPr/>
        <w:tc>
          <w:tcPr>
            <w:tcW w:w="62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w:t>
              <w:noBreakHyphen/>
              <w:t>in capital</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392,406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8" w:type="dxa"/>
            <w:tcBorders/>
            <w:vAlign w:val="center"/>
          </w:tcPr>
          <w:p>
            <w:pPr>
              <w:pStyle w:val="TableContents"/>
              <w:bidi w:val="0"/>
              <w:spacing w:before="0" w:after="0"/>
              <w:ind w:left="0" w:right="0" w:hanging="0"/>
              <w:jc w:val="left"/>
              <w:rPr/>
            </w:pPr>
            <w:r>
              <w:rPr/>
              <w:t> </w:t>
            </w:r>
          </w:p>
        </w:tc>
        <w:tc>
          <w:tcPr>
            <w:tcW w:w="13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387,948</w:t>
            </w:r>
          </w:p>
        </w:tc>
        <w:tc>
          <w:tcPr>
            <w:tcW w:w="594" w:type="dxa"/>
            <w:tcBorders/>
            <w:vAlign w:val="center"/>
          </w:tcPr>
          <w:p>
            <w:pPr>
              <w:pStyle w:val="TableContents"/>
              <w:bidi w:val="0"/>
              <w:spacing w:before="0" w:after="0"/>
              <w:ind w:left="0" w:right="0" w:firstLine="200"/>
              <w:jc w:val="left"/>
              <w:rPr/>
            </w:pPr>
            <w:r>
              <w:rPr/>
              <w:t> </w:t>
            </w:r>
          </w:p>
        </w:tc>
      </w:tr>
      <w:tr>
        <w:trPr/>
        <w:tc>
          <w:tcPr>
            <w:tcW w:w="62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(399,478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(367,420</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2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stockholders' (deficit) equity</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(6,993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20,606</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2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 and stockholders' (deficit) equity</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77,623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92,906</w:t>
            </w:r>
          </w:p>
        </w:tc>
        <w:tc>
          <w:tcPr>
            <w:tcW w:w="5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financial statements.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200" w:after="0"/>
        <w:jc w:val="center"/>
        <w:rPr>
          <w:rFonts w:ascii="Times New Roman;serif" w:hAnsi="Times New Roman;serif"/>
          <w:b/>
          <w:sz w:val="20"/>
        </w:rPr>
      </w:pPr>
      <w:bookmarkStart w:id="5" w:name="condensed_statements_operations"/>
      <w:bookmarkEnd w:id="5"/>
      <w:r>
        <w:rPr>
          <w:rFonts w:ascii="Times New Roman;serif" w:hAnsi="Times New Roman;serif"/>
          <w:b/>
          <w:sz w:val="20"/>
        </w:rPr>
        <w:t>Condensed Statements of Operations</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per share data)</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4380"/>
        <w:gridCol w:w="146"/>
        <w:gridCol w:w="247"/>
        <w:gridCol w:w="863"/>
        <w:gridCol w:w="194"/>
        <w:gridCol w:w="170"/>
        <w:gridCol w:w="247"/>
        <w:gridCol w:w="863"/>
        <w:gridCol w:w="166"/>
        <w:gridCol w:w="146"/>
        <w:gridCol w:w="226"/>
        <w:gridCol w:w="790"/>
        <w:gridCol w:w="177"/>
        <w:gridCol w:w="156"/>
        <w:gridCol w:w="226"/>
        <w:gridCol w:w="790"/>
        <w:gridCol w:w="418"/>
      </w:tblGrid>
      <w:tr>
        <w:trPr/>
        <w:tc>
          <w:tcPr>
            <w:tcW w:w="43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438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8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6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 June 30,</w:t>
            </w:r>
          </w:p>
        </w:tc>
        <w:tc>
          <w:tcPr>
            <w:tcW w:w="4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8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0" w:type="dxa"/>
            <w:tcBorders/>
            <w:vAlign w:val="center"/>
          </w:tcPr>
          <w:p>
            <w:pPr>
              <w:pStyle w:val="TableContents"/>
              <w:bidi w:val="0"/>
              <w:spacing w:before="0" w:after="0"/>
              <w:ind w:left="0" w:right="0" w:hanging="0"/>
              <w:jc w:val="left"/>
              <w:rPr/>
            </w:pPr>
            <w:r>
              <w:rPr/>
              <w:t> </w:t>
            </w:r>
          </w:p>
        </w:tc>
        <w:tc>
          <w:tcPr>
            <w:tcW w:w="11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6" w:type="dxa"/>
            <w:tcBorders/>
            <w:vAlign w:val="center"/>
          </w:tcPr>
          <w:p>
            <w:pPr>
              <w:pStyle w:val="TableContents"/>
              <w:bidi w:val="0"/>
              <w:spacing w:before="0" w:after="0"/>
              <w:ind w:left="0" w:right="0" w:hanging="0"/>
              <w:jc w:val="left"/>
              <w:rPr/>
            </w:pPr>
            <w:r>
              <w:rPr/>
              <w:t> </w:t>
            </w:r>
          </w:p>
        </w:tc>
        <w:tc>
          <w:tcPr>
            <w:tcW w:w="10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4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Revenues</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11,872</w:t>
            </w:r>
          </w:p>
        </w:tc>
        <w:tc>
          <w:tcPr>
            <w:tcW w:w="194"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20,928</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17,498</w:t>
            </w:r>
          </w:p>
        </w:tc>
        <w:tc>
          <w:tcPr>
            <w:tcW w:w="418" w:type="dxa"/>
            <w:tcBorders/>
            <w:vAlign w:val="center"/>
          </w:tcPr>
          <w:p>
            <w:pPr>
              <w:pStyle w:val="TableContents"/>
              <w:bidi w:val="0"/>
              <w:spacing w:before="0" w:after="0"/>
              <w:ind w:left="0" w:right="0" w:hanging="0"/>
              <w:jc w:val="left"/>
              <w:rPr/>
            </w:pPr>
            <w:r>
              <w:rPr/>
              <w:t> </w:t>
            </w:r>
          </w:p>
        </w:tc>
      </w:tr>
      <w:tr>
        <w:trPr/>
        <w:tc>
          <w:tcPr>
            <w:tcW w:w="43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110" w:type="dxa"/>
            <w:gridSpan w:val="2"/>
            <w:tcBorders/>
            <w:vAlign w:val="center"/>
          </w:tcPr>
          <w:p>
            <w:pPr>
              <w:pStyle w:val="TableContents"/>
              <w:bidi w:val="0"/>
              <w:spacing w:before="0" w:after="0"/>
              <w:ind w:left="0" w:right="0" w:hanging="0"/>
              <w:jc w:val="right"/>
              <w:rPr/>
            </w:pPr>
            <w:r>
              <w:rPr/>
              <w:t> </w:t>
            </w:r>
          </w:p>
        </w:tc>
        <w:tc>
          <w:tcPr>
            <w:tcW w:w="194" w:type="dxa"/>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left"/>
              <w:rPr/>
            </w:pPr>
            <w:r>
              <w:rPr/>
              <w:t> </w:t>
            </w:r>
          </w:p>
        </w:tc>
        <w:tc>
          <w:tcPr>
            <w:tcW w:w="111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6" w:type="dxa"/>
            <w:gridSpan w:val="2"/>
            <w:tcBorders/>
            <w:vAlign w:val="center"/>
          </w:tcPr>
          <w:p>
            <w:pPr>
              <w:pStyle w:val="TableContents"/>
              <w:bidi w:val="0"/>
              <w:spacing w:before="0" w:after="0"/>
              <w:ind w:left="0" w:right="0" w:hanging="0"/>
              <w:jc w:val="right"/>
              <w:rPr/>
            </w:pPr>
            <w:r>
              <w:rPr/>
              <w:t> </w:t>
            </w:r>
          </w:p>
        </w:tc>
        <w:tc>
          <w:tcPr>
            <w:tcW w:w="177" w:type="dxa"/>
            <w:tcBorders/>
            <w:vAlign w:val="center"/>
          </w:tcPr>
          <w:p>
            <w:pPr>
              <w:pStyle w:val="TableContents"/>
              <w:bidi w:val="0"/>
              <w:spacing w:before="0" w:after="0"/>
              <w:ind w:left="0" w:right="0" w:hanging="0"/>
              <w:jc w:val="right"/>
              <w:rPr/>
            </w:pPr>
            <w:r>
              <w:rPr/>
              <w:t> </w:t>
            </w:r>
          </w:p>
        </w:tc>
        <w:tc>
          <w:tcPr>
            <w:tcW w:w="156" w:type="dxa"/>
            <w:tcBorders/>
            <w:vAlign w:val="center"/>
          </w:tcPr>
          <w:p>
            <w:pPr>
              <w:pStyle w:val="TableContents"/>
              <w:bidi w:val="0"/>
              <w:spacing w:before="0" w:after="0"/>
              <w:ind w:left="0" w:right="0" w:hanging="0"/>
              <w:jc w:val="left"/>
              <w:rPr/>
            </w:pPr>
            <w:r>
              <w:rPr/>
              <w:t> </w:t>
            </w:r>
          </w:p>
        </w:tc>
        <w:tc>
          <w:tcPr>
            <w:tcW w:w="1016" w:type="dxa"/>
            <w:gridSpan w:val="2"/>
            <w:tcBorders/>
            <w:vAlign w:val="center"/>
          </w:tcPr>
          <w:p>
            <w:pPr>
              <w:pStyle w:val="TableContents"/>
              <w:bidi w:val="0"/>
              <w:spacing w:before="0" w:after="0"/>
              <w:ind w:left="0" w:right="0" w:hanging="0"/>
              <w:jc w:val="right"/>
              <w:rPr/>
            </w:pPr>
            <w:r>
              <w:rPr/>
              <w:t> </w:t>
            </w:r>
          </w:p>
        </w:tc>
        <w:tc>
          <w:tcPr>
            <w:tcW w:w="418" w:type="dxa"/>
            <w:tcBorders/>
            <w:vAlign w:val="center"/>
          </w:tcPr>
          <w:p>
            <w:pPr>
              <w:pStyle w:val="TableContents"/>
              <w:bidi w:val="0"/>
              <w:spacing w:before="0" w:after="0"/>
              <w:ind w:left="0" w:right="0" w:firstLine="200"/>
              <w:jc w:val="right"/>
              <w:rPr/>
            </w:pPr>
            <w:r>
              <w:rPr/>
              <w:t> </w:t>
            </w:r>
          </w:p>
        </w:tc>
      </w:tr>
      <w:tr>
        <w:trPr/>
        <w:tc>
          <w:tcPr>
            <w:tcW w:w="438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Direct costs and expenses</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3,238</w:t>
            </w:r>
          </w:p>
        </w:tc>
        <w:tc>
          <w:tcPr>
            <w:tcW w:w="194"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6,407</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7,215</w:t>
            </w:r>
          </w:p>
        </w:tc>
        <w:tc>
          <w:tcPr>
            <w:tcW w:w="418" w:type="dxa"/>
            <w:tcBorders/>
            <w:vAlign w:val="center"/>
          </w:tcPr>
          <w:p>
            <w:pPr>
              <w:pStyle w:val="TableContents"/>
              <w:bidi w:val="0"/>
              <w:spacing w:before="0" w:after="0"/>
              <w:ind w:left="0" w:right="0" w:firstLine="200"/>
              <w:jc w:val="left"/>
              <w:rPr/>
            </w:pPr>
            <w:r>
              <w:rPr/>
              <w:t> </w:t>
            </w:r>
          </w:p>
        </w:tc>
      </w:tr>
      <w:tr>
        <w:trPr/>
        <w:tc>
          <w:tcPr>
            <w:tcW w:w="438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2,910</w:t>
            </w:r>
          </w:p>
        </w:tc>
        <w:tc>
          <w:tcPr>
            <w:tcW w:w="194"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6,161</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6,567</w:t>
            </w:r>
          </w:p>
        </w:tc>
        <w:tc>
          <w:tcPr>
            <w:tcW w:w="418" w:type="dxa"/>
            <w:tcBorders/>
            <w:vAlign w:val="center"/>
          </w:tcPr>
          <w:p>
            <w:pPr>
              <w:pStyle w:val="TableContents"/>
              <w:bidi w:val="0"/>
              <w:spacing w:before="0" w:after="0"/>
              <w:ind w:left="0" w:right="0" w:firstLine="200"/>
              <w:jc w:val="left"/>
              <w:rPr/>
            </w:pPr>
            <w:r>
              <w:rPr/>
              <w:t> </w:t>
            </w:r>
          </w:p>
        </w:tc>
      </w:tr>
      <w:tr>
        <w:trPr/>
        <w:tc>
          <w:tcPr>
            <w:tcW w:w="438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Sales, marketing, general and administrative</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16,651</w:t>
            </w:r>
          </w:p>
        </w:tc>
        <w:tc>
          <w:tcPr>
            <w:tcW w:w="194"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35,640</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29,722</w:t>
            </w:r>
          </w:p>
        </w:tc>
        <w:tc>
          <w:tcPr>
            <w:tcW w:w="418" w:type="dxa"/>
            <w:tcBorders/>
            <w:vAlign w:val="center"/>
          </w:tcPr>
          <w:p>
            <w:pPr>
              <w:pStyle w:val="TableContents"/>
              <w:bidi w:val="0"/>
              <w:spacing w:before="0" w:after="0"/>
              <w:ind w:left="0" w:right="0" w:firstLine="200"/>
              <w:jc w:val="left"/>
              <w:rPr/>
            </w:pPr>
            <w:r>
              <w:rPr/>
              <w:t> </w:t>
            </w:r>
          </w:p>
        </w:tc>
      </w:tr>
      <w:tr>
        <w:trPr/>
        <w:tc>
          <w:tcPr>
            <w:tcW w:w="438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Impairment loss on intangible assets</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4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22,799</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48,228</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43,585</w:t>
            </w:r>
          </w:p>
        </w:tc>
        <w:tc>
          <w:tcPr>
            <w:tcW w:w="4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(10,927</w:t>
            </w:r>
          </w:p>
        </w:tc>
        <w:tc>
          <w:tcPr>
            <w:tcW w:w="1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0"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(11,626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(27,300</w:t>
            </w:r>
          </w:p>
        </w:tc>
        <w:tc>
          <w:tcPr>
            <w:tcW w:w="1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(26,087</w:t>
            </w:r>
          </w:p>
        </w:tc>
        <w:tc>
          <w:tcPr>
            <w:tcW w:w="4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(expense) income:</w:t>
            </w:r>
          </w:p>
        </w:tc>
        <w:tc>
          <w:tcPr>
            <w:tcW w:w="146" w:type="dxa"/>
            <w:tcBorders/>
            <w:vAlign w:val="center"/>
          </w:tcPr>
          <w:p>
            <w:pPr>
              <w:pStyle w:val="TableContents"/>
              <w:bidi w:val="0"/>
              <w:spacing w:before="0" w:after="0"/>
              <w:ind w:left="0" w:right="0" w:hanging="0"/>
              <w:jc w:val="left"/>
              <w:rPr/>
            </w:pPr>
            <w:r>
              <w:rPr/>
              <w:t> </w:t>
            </w:r>
          </w:p>
        </w:tc>
        <w:tc>
          <w:tcPr>
            <w:tcW w:w="1110" w:type="dxa"/>
            <w:gridSpan w:val="2"/>
            <w:tcBorders/>
            <w:vAlign w:val="center"/>
          </w:tcPr>
          <w:p>
            <w:pPr>
              <w:pStyle w:val="TableContents"/>
              <w:bidi w:val="0"/>
              <w:spacing w:before="0" w:after="283"/>
              <w:ind w:left="0" w:right="0" w:hanging="0"/>
              <w:jc w:val="left"/>
              <w:rPr>
                <w:sz w:val="4"/>
                <w:szCs w:val="4"/>
              </w:rPr>
            </w:pPr>
            <w:r>
              <w:rPr>
                <w:sz w:val="4"/>
                <w:szCs w:val="4"/>
              </w:rPr>
            </w:r>
          </w:p>
        </w:tc>
        <w:tc>
          <w:tcPr>
            <w:tcW w:w="194" w:type="dxa"/>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left"/>
              <w:rPr/>
            </w:pPr>
            <w:r>
              <w:rPr/>
              <w:t> </w:t>
            </w:r>
          </w:p>
        </w:tc>
        <w:tc>
          <w:tcPr>
            <w:tcW w:w="1110" w:type="dxa"/>
            <w:gridSpan w:val="2"/>
            <w:tcBorders/>
            <w:vAlign w:val="center"/>
          </w:tcPr>
          <w:p>
            <w:pPr>
              <w:pStyle w:val="TableContents"/>
              <w:bidi w:val="0"/>
              <w:spacing w:before="0" w:after="283"/>
              <w:ind w:left="0" w:right="0" w:hanging="0"/>
              <w:jc w:val="left"/>
              <w:rPr>
                <w:sz w:val="4"/>
                <w:szCs w:val="4"/>
              </w:rPr>
            </w:pPr>
            <w:r>
              <w:rPr>
                <w:sz w:val="4"/>
                <w:szCs w:val="4"/>
              </w:rPr>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6" w:type="dxa"/>
            <w:gridSpan w:val="2"/>
            <w:tcBorders/>
            <w:vAlign w:val="center"/>
          </w:tcPr>
          <w:p>
            <w:pPr>
              <w:pStyle w:val="TableContents"/>
              <w:bidi w:val="0"/>
              <w:spacing w:before="0" w:after="283"/>
              <w:ind w:left="0" w:right="0" w:hanging="0"/>
              <w:jc w:val="left"/>
              <w:rPr>
                <w:sz w:val="4"/>
                <w:szCs w:val="4"/>
              </w:rPr>
            </w:pPr>
            <w:r>
              <w:rPr>
                <w:sz w:val="4"/>
                <w:szCs w:val="4"/>
              </w:rPr>
            </w:r>
          </w:p>
        </w:tc>
        <w:tc>
          <w:tcPr>
            <w:tcW w:w="177" w:type="dxa"/>
            <w:tcBorders/>
            <w:vAlign w:val="center"/>
          </w:tcPr>
          <w:p>
            <w:pPr>
              <w:pStyle w:val="TableContents"/>
              <w:bidi w:val="0"/>
              <w:spacing w:before="0" w:after="0"/>
              <w:ind w:left="0" w:right="0" w:hanging="0"/>
              <w:jc w:val="right"/>
              <w:rPr/>
            </w:pPr>
            <w:r>
              <w:rPr/>
              <w:t> </w:t>
            </w:r>
          </w:p>
        </w:tc>
        <w:tc>
          <w:tcPr>
            <w:tcW w:w="156" w:type="dxa"/>
            <w:tcBorders/>
            <w:vAlign w:val="center"/>
          </w:tcPr>
          <w:p>
            <w:pPr>
              <w:pStyle w:val="TableContents"/>
              <w:bidi w:val="0"/>
              <w:spacing w:before="0" w:after="0"/>
              <w:ind w:left="0" w:right="0" w:hanging="0"/>
              <w:jc w:val="left"/>
              <w:rPr/>
            </w:pPr>
            <w:r>
              <w:rPr/>
              <w:t> </w:t>
            </w:r>
          </w:p>
        </w:tc>
        <w:tc>
          <w:tcPr>
            <w:tcW w:w="1016" w:type="dxa"/>
            <w:gridSpan w:val="2"/>
            <w:tcBorders/>
            <w:vAlign w:val="center"/>
          </w:tcPr>
          <w:p>
            <w:pPr>
              <w:pStyle w:val="TableContents"/>
              <w:bidi w:val="0"/>
              <w:spacing w:before="0" w:after="283"/>
              <w:ind w:left="0" w:right="0" w:hanging="0"/>
              <w:jc w:val="left"/>
              <w:rPr>
                <w:sz w:val="4"/>
                <w:szCs w:val="4"/>
              </w:rPr>
            </w:pPr>
            <w:r>
              <w:rPr>
                <w:sz w:val="4"/>
                <w:szCs w:val="4"/>
              </w:rPr>
            </w:r>
          </w:p>
        </w:tc>
        <w:tc>
          <w:tcPr>
            <w:tcW w:w="418" w:type="dxa"/>
            <w:tcBorders/>
            <w:vAlign w:val="center"/>
          </w:tcPr>
          <w:p>
            <w:pPr>
              <w:pStyle w:val="TableContents"/>
              <w:bidi w:val="0"/>
              <w:spacing w:before="0" w:after="0"/>
              <w:ind w:left="0" w:right="0" w:firstLine="200"/>
              <w:jc w:val="right"/>
              <w:rPr/>
            </w:pPr>
            <w:r>
              <w:rPr/>
              <w:t> </w:t>
            </w:r>
          </w:p>
        </w:tc>
      </w:tr>
      <w:tr>
        <w:trPr/>
        <w:tc>
          <w:tcPr>
            <w:tcW w:w="438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(2,430</w:t>
            </w:r>
          </w:p>
        </w:tc>
        <w:tc>
          <w:tcPr>
            <w:tcW w:w="1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0"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(4,821</w:t>
            </w:r>
          </w:p>
        </w:tc>
        <w:tc>
          <w:tcPr>
            <w:tcW w:w="1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(2,483</w:t>
            </w:r>
          </w:p>
        </w:tc>
        <w:tc>
          <w:tcPr>
            <w:tcW w:w="418"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38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Loss on extinguishment of liabilities, net</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26"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pPr>
            <w:r>
              <w:rPr/>
              <w:t>—</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(2,952</w:t>
            </w:r>
          </w:p>
        </w:tc>
        <w:tc>
          <w:tcPr>
            <w:tcW w:w="418"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38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fair value of warrant liability</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pPr>
            <w:r>
              <w:rPr/>
              <w:t>—</w:t>
            </w:r>
          </w:p>
        </w:tc>
        <w:tc>
          <w:tcPr>
            <w:tcW w:w="418" w:type="dxa"/>
            <w:tcBorders/>
            <w:vAlign w:val="center"/>
          </w:tcPr>
          <w:p>
            <w:pPr>
              <w:pStyle w:val="TableContents"/>
              <w:bidi w:val="0"/>
              <w:spacing w:before="0" w:after="0"/>
              <w:ind w:left="0" w:right="0" w:firstLine="200"/>
              <w:jc w:val="left"/>
              <w:rPr/>
            </w:pPr>
            <w:r>
              <w:rPr/>
              <w:t> </w:t>
            </w:r>
          </w:p>
        </w:tc>
      </w:tr>
      <w:tr>
        <w:trPr/>
        <w:tc>
          <w:tcPr>
            <w:tcW w:w="438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net</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w:t>
            </w:r>
          </w:p>
        </w:tc>
        <w:tc>
          <w:tcPr>
            <w:tcW w:w="4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expense</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(2,429</w:t>
            </w:r>
          </w:p>
        </w:tc>
        <w:tc>
          <w:tcPr>
            <w:tcW w:w="1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0"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(4,198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(4,758</w:t>
            </w:r>
          </w:p>
        </w:tc>
        <w:tc>
          <w:tcPr>
            <w:tcW w:w="1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(5,323</w:t>
            </w:r>
          </w:p>
        </w:tc>
        <w:tc>
          <w:tcPr>
            <w:tcW w:w="4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80"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1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left"/>
              <w:rPr/>
            </w:pPr>
            <w:r>
              <w:rPr/>
              <w:t> </w:t>
            </w:r>
          </w:p>
        </w:tc>
        <w:tc>
          <w:tcPr>
            <w:tcW w:w="11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56" w:type="dxa"/>
            <w:tcBorders/>
            <w:vAlign w:val="center"/>
          </w:tcPr>
          <w:p>
            <w:pPr>
              <w:pStyle w:val="TableContents"/>
              <w:bidi w:val="0"/>
              <w:spacing w:before="0" w:after="0"/>
              <w:ind w:left="0" w:right="0" w:hanging="0"/>
              <w:jc w:val="left"/>
              <w:rPr/>
            </w:pPr>
            <w:r>
              <w:rPr/>
              <w:t> </w:t>
            </w:r>
          </w:p>
        </w:tc>
        <w:tc>
          <w:tcPr>
            <w:tcW w:w="10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4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43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(13,356</w:t>
            </w:r>
          </w:p>
        </w:tc>
        <w:tc>
          <w:tcPr>
            <w:tcW w:w="1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0" w:type="dxa"/>
            <w:tcBorders/>
            <w:vAlign w:val="center"/>
          </w:tcPr>
          <w:p>
            <w:pPr>
              <w:pStyle w:val="TableContents"/>
              <w:bidi w:val="0"/>
              <w:spacing w:before="0" w:after="0"/>
              <w:ind w:left="0" w:right="0" w:hanging="0"/>
              <w:jc w:val="left"/>
              <w:rPr/>
            </w:pPr>
            <w:r>
              <w:rPr/>
              <w:t> </w:t>
            </w:r>
          </w:p>
        </w:tc>
        <w:tc>
          <w:tcPr>
            <w:tcW w:w="2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(15,824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(32,058</w:t>
            </w:r>
          </w:p>
        </w:tc>
        <w:tc>
          <w:tcPr>
            <w:tcW w:w="1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left"/>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(31,410</w:t>
            </w:r>
          </w:p>
        </w:tc>
        <w:tc>
          <w:tcPr>
            <w:tcW w:w="4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(0.17</w:t>
            </w:r>
          </w:p>
        </w:tc>
        <w:tc>
          <w:tcPr>
            <w:tcW w:w="1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0"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(0.41</w:t>
            </w:r>
          </w:p>
        </w:tc>
        <w:tc>
          <w:tcPr>
            <w:tcW w:w="1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(0.89</w:t>
            </w:r>
          </w:p>
        </w:tc>
        <w:tc>
          <w:tcPr>
            <w:tcW w:w="4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shares outstanding, basic and diluted</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78,506</w:t>
            </w:r>
          </w:p>
        </w:tc>
        <w:tc>
          <w:tcPr>
            <w:tcW w:w="194"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39,239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78,138</w:t>
            </w:r>
          </w:p>
        </w:tc>
        <w:tc>
          <w:tcPr>
            <w:tcW w:w="177"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35,177</w:t>
            </w:r>
          </w:p>
        </w:tc>
        <w:tc>
          <w:tcPr>
            <w:tcW w:w="418"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financial statements.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200" w:after="0"/>
        <w:jc w:val="center"/>
        <w:rPr>
          <w:rFonts w:ascii="Times New Roman;serif" w:hAnsi="Times New Roman;serif"/>
          <w:b/>
          <w:sz w:val="20"/>
        </w:rPr>
      </w:pPr>
      <w:bookmarkStart w:id="6" w:name="condensed_statements_changes_in_converti"/>
      <w:bookmarkEnd w:id="6"/>
      <w:r>
        <w:rPr>
          <w:rFonts w:ascii="Times New Roman;serif" w:hAnsi="Times New Roman;serif"/>
          <w:b/>
          <w:sz w:val="20"/>
        </w:rPr>
        <w:t>Condensed Statements of Stockholders' (Deficit) Equity</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813"/>
        <w:gridCol w:w="146"/>
        <w:gridCol w:w="146"/>
        <w:gridCol w:w="676"/>
        <w:gridCol w:w="146"/>
        <w:gridCol w:w="146"/>
        <w:gridCol w:w="295"/>
        <w:gridCol w:w="486"/>
        <w:gridCol w:w="146"/>
        <w:gridCol w:w="146"/>
        <w:gridCol w:w="268"/>
        <w:gridCol w:w="1000"/>
        <w:gridCol w:w="166"/>
        <w:gridCol w:w="146"/>
        <w:gridCol w:w="243"/>
        <w:gridCol w:w="973"/>
        <w:gridCol w:w="166"/>
        <w:gridCol w:w="146"/>
        <w:gridCol w:w="386"/>
        <w:gridCol w:w="1352"/>
        <w:gridCol w:w="213"/>
      </w:tblGrid>
      <w:tr>
        <w:trPr/>
        <w:tc>
          <w:tcPr>
            <w:tcW w:w="2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81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68"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Additional Paid</w:t>
              <w:noBreakHyphen/>
              <w:t>In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38"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 Stockholders' (Deficit)</w:t>
            </w:r>
          </w:p>
        </w:tc>
        <w:tc>
          <w:tcPr>
            <w:tcW w:w="213" w:type="dxa"/>
            <w:tcBorders/>
            <w:vAlign w:val="center"/>
          </w:tcPr>
          <w:p>
            <w:pPr>
              <w:pStyle w:val="TableContents"/>
              <w:bidi w:val="0"/>
              <w:spacing w:before="0" w:after="0"/>
              <w:ind w:left="0" w:right="0" w:hanging="0"/>
              <w:jc w:val="center"/>
              <w:rPr/>
            </w:pPr>
            <w:r>
              <w:rPr/>
              <w:t> </w:t>
            </w:r>
          </w:p>
        </w:tc>
      </w:tr>
      <w:tr>
        <w:trPr/>
        <w:tc>
          <w:tcPr>
            <w:tcW w:w="281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6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3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Equity</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13"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 xml:space="preserve">Balance </w:t>
              <w:noBreakHyphen/>
              <w:t xml:space="preserve">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77,614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387,948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(367,420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20,606</w:t>
            </w:r>
          </w:p>
        </w:tc>
        <w:tc>
          <w:tcPr>
            <w:tcW w:w="213" w:type="dxa"/>
            <w:tcBorders/>
            <w:vAlign w:val="center"/>
          </w:tcPr>
          <w:p>
            <w:pPr>
              <w:pStyle w:val="TableContents"/>
              <w:bidi w:val="0"/>
              <w:spacing w:before="0" w:after="0"/>
              <w:ind w:left="0" w:right="0" w:hanging="0"/>
              <w:jc w:val="left"/>
              <w:rPr/>
            </w:pPr>
            <w:r>
              <w:rPr/>
              <w:t> </w:t>
            </w:r>
          </w:p>
        </w:tc>
      </w:tr>
      <w:tr>
        <w:trPr/>
        <w:tc>
          <w:tcPr>
            <w:tcW w:w="28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net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8" w:type="dxa"/>
            <w:tcBorders/>
            <w:vAlign w:val="center"/>
          </w:tcPr>
          <w:p>
            <w:pPr>
              <w:pStyle w:val="TableContents"/>
              <w:bidi w:val="0"/>
              <w:spacing w:before="0" w:after="0"/>
              <w:ind w:left="0" w:right="0" w:hanging="0"/>
              <w:jc w:val="left"/>
              <w:rPr/>
            </w:pPr>
            <w:r>
              <w:rPr/>
              <w:t> </w:t>
            </w:r>
          </w:p>
        </w:tc>
        <w:tc>
          <w:tcPr>
            <w:tcW w:w="10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left"/>
              <w:rPr/>
            </w:pPr>
            <w:r>
              <w:rPr/>
              <w:t> </w:t>
            </w:r>
          </w:p>
        </w:tc>
        <w:tc>
          <w:tcPr>
            <w:tcW w:w="13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under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8" w:type="dxa"/>
            <w:tcBorders/>
            <w:vAlign w:val="center"/>
          </w:tcPr>
          <w:p>
            <w:pPr>
              <w:pStyle w:val="TableContents"/>
              <w:bidi w:val="0"/>
              <w:spacing w:before="0" w:after="0"/>
              <w:ind w:left="0" w:right="0" w:hanging="0"/>
              <w:jc w:val="left"/>
              <w:rPr/>
            </w:pPr>
            <w:r>
              <w:rPr/>
              <w:t> </w:t>
            </w:r>
          </w:p>
        </w:tc>
        <w:tc>
          <w:tcPr>
            <w:tcW w:w="10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left"/>
              <w:rPr/>
            </w:pPr>
            <w:r>
              <w:rPr/>
              <w:t> </w:t>
            </w:r>
          </w:p>
        </w:tc>
        <w:tc>
          <w:tcPr>
            <w:tcW w:w="13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420</w:t>
            </w:r>
          </w:p>
        </w:tc>
        <w:tc>
          <w:tcPr>
            <w:tcW w:w="213" w:type="dxa"/>
            <w:tcBorders/>
            <w:vAlign w:val="center"/>
          </w:tcPr>
          <w:p>
            <w:pPr>
              <w:pStyle w:val="TableContents"/>
              <w:bidi w:val="0"/>
              <w:spacing w:before="0" w:after="0"/>
              <w:ind w:left="0" w:right="0" w:hanging="0"/>
              <w:jc w:val="left"/>
              <w:rPr/>
            </w:pPr>
            <w:r>
              <w:rPr/>
              <w:t> </w:t>
            </w:r>
          </w:p>
        </w:tc>
      </w:tr>
      <w:tr>
        <w:trPr/>
        <w:tc>
          <w:tcPr>
            <w:tcW w:w="28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8" w:type="dxa"/>
            <w:tcBorders/>
            <w:vAlign w:val="center"/>
          </w:tcPr>
          <w:p>
            <w:pPr>
              <w:pStyle w:val="TableContents"/>
              <w:bidi w:val="0"/>
              <w:spacing w:before="0" w:after="0"/>
              <w:ind w:left="0" w:right="0" w:hanging="0"/>
              <w:jc w:val="left"/>
              <w:rPr/>
            </w:pPr>
            <w:r>
              <w:rPr/>
              <w:t> </w:t>
            </w:r>
          </w:p>
        </w:tc>
        <w:tc>
          <w:tcPr>
            <w:tcW w:w="10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left"/>
              <w:rPr/>
            </w:pPr>
            <w:r>
              <w:rPr/>
              <w:t> </w:t>
            </w:r>
          </w:p>
        </w:tc>
        <w:tc>
          <w:tcPr>
            <w:tcW w:w="13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13" w:type="dxa"/>
            <w:tcBorders/>
            <w:vAlign w:val="center"/>
          </w:tcPr>
          <w:p>
            <w:pPr>
              <w:pStyle w:val="TableContents"/>
              <w:bidi w:val="0"/>
              <w:spacing w:before="0" w:after="0"/>
              <w:ind w:left="0" w:right="0" w:hanging="0"/>
              <w:jc w:val="left"/>
              <w:rPr/>
            </w:pPr>
            <w:r>
              <w:rPr/>
              <w:t> </w:t>
            </w:r>
          </w:p>
        </w:tc>
      </w:tr>
      <w:tr>
        <w:trPr/>
        <w:tc>
          <w:tcPr>
            <w:tcW w:w="28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Release of 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8" w:type="dxa"/>
            <w:tcBorders/>
            <w:vAlign w:val="center"/>
          </w:tcPr>
          <w:p>
            <w:pPr>
              <w:pStyle w:val="TableContents"/>
              <w:bidi w:val="0"/>
              <w:spacing w:before="0" w:after="0"/>
              <w:ind w:left="0" w:right="0" w:hanging="0"/>
              <w:jc w:val="left"/>
              <w:rPr/>
            </w:pPr>
            <w:r>
              <w:rPr/>
              <w:t> </w:t>
            </w:r>
          </w:p>
        </w:tc>
        <w:tc>
          <w:tcPr>
            <w:tcW w:w="100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left"/>
              <w:rPr/>
            </w:pPr>
            <w:r>
              <w:rPr/>
              <w:t> </w:t>
            </w:r>
          </w:p>
        </w:tc>
        <w:tc>
          <w:tcPr>
            <w:tcW w:w="1352"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left"/>
              <w:rPr/>
            </w:pPr>
            <w:r>
              <w:rPr/>
              <w:t> </w:t>
            </w:r>
          </w:p>
        </w:tc>
      </w:tr>
      <w:tr>
        <w:trPr/>
        <w:tc>
          <w:tcPr>
            <w:tcW w:w="28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w:t>
              <w:noBreakHyphen/>
              <w:t>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8" w:type="dxa"/>
            <w:tcBorders/>
            <w:vAlign w:val="center"/>
          </w:tcPr>
          <w:p>
            <w:pPr>
              <w:pStyle w:val="TableContents"/>
              <w:bidi w:val="0"/>
              <w:spacing w:before="0" w:after="0"/>
              <w:ind w:left="0" w:right="0" w:hanging="0"/>
              <w:jc w:val="left"/>
              <w:rPr/>
            </w:pPr>
            <w:r>
              <w:rPr/>
              <w:t> </w:t>
            </w:r>
          </w:p>
        </w:tc>
        <w:tc>
          <w:tcPr>
            <w:tcW w:w="10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left"/>
              <w:rPr/>
            </w:pPr>
            <w:r>
              <w:rPr/>
              <w:t> </w:t>
            </w:r>
          </w:p>
        </w:tc>
        <w:tc>
          <w:tcPr>
            <w:tcW w:w="13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2,281</w:t>
            </w:r>
          </w:p>
        </w:tc>
        <w:tc>
          <w:tcPr>
            <w:tcW w:w="213" w:type="dxa"/>
            <w:tcBorders/>
            <w:vAlign w:val="center"/>
          </w:tcPr>
          <w:p>
            <w:pPr>
              <w:pStyle w:val="TableContents"/>
              <w:bidi w:val="0"/>
              <w:spacing w:before="0" w:after="0"/>
              <w:ind w:left="0" w:right="0" w:hanging="0"/>
              <w:jc w:val="left"/>
              <w:rPr/>
            </w:pPr>
            <w:r>
              <w:rPr/>
              <w:t> </w:t>
            </w:r>
          </w:p>
        </w:tc>
      </w:tr>
      <w:tr>
        <w:trPr/>
        <w:tc>
          <w:tcPr>
            <w:tcW w:w="28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(18,702</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13"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 xml:space="preserve">Balance </w:t>
              <w:noBreakHyphen/>
              <w:t xml:space="preserve">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77,979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68" w:type="dxa"/>
            <w:tcBorders/>
            <w:vAlign w:val="center"/>
          </w:tcPr>
          <w:p>
            <w:pPr>
              <w:pStyle w:val="TableContents"/>
              <w:bidi w:val="0"/>
              <w:spacing w:before="0" w:after="0"/>
              <w:ind w:left="0" w:right="0" w:hanging="0"/>
              <w:jc w:val="left"/>
              <w:rPr/>
            </w:pPr>
            <w:r>
              <w:rPr/>
              <w:t> </w:t>
            </w:r>
          </w:p>
        </w:tc>
        <w:tc>
          <w:tcPr>
            <w:tcW w:w="10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390,594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(386,122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86" w:type="dxa"/>
            <w:tcBorders/>
            <w:vAlign w:val="center"/>
          </w:tcPr>
          <w:p>
            <w:pPr>
              <w:pStyle w:val="TableContents"/>
              <w:bidi w:val="0"/>
              <w:spacing w:before="0" w:after="0"/>
              <w:ind w:left="0" w:right="0" w:hanging="0"/>
              <w:jc w:val="left"/>
              <w:rPr/>
            </w:pPr>
            <w:r>
              <w:rPr/>
              <w:t> </w:t>
            </w:r>
          </w:p>
        </w:tc>
        <w:tc>
          <w:tcPr>
            <w:tcW w:w="13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4,550</w:t>
            </w:r>
          </w:p>
        </w:tc>
        <w:tc>
          <w:tcPr>
            <w:tcW w:w="213" w:type="dxa"/>
            <w:tcBorders/>
            <w:vAlign w:val="center"/>
          </w:tcPr>
          <w:p>
            <w:pPr>
              <w:pStyle w:val="TableContents"/>
              <w:bidi w:val="0"/>
              <w:spacing w:before="0" w:after="0"/>
              <w:ind w:left="0" w:right="0" w:hanging="0"/>
              <w:jc w:val="left"/>
              <w:rPr/>
            </w:pPr>
            <w:r>
              <w:rPr/>
              <w:t> </w:t>
            </w:r>
          </w:p>
        </w:tc>
      </w:tr>
      <w:tr>
        <w:trPr/>
        <w:tc>
          <w:tcPr>
            <w:tcW w:w="28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8" w:type="dxa"/>
            <w:tcBorders/>
            <w:vAlign w:val="center"/>
          </w:tcPr>
          <w:p>
            <w:pPr>
              <w:pStyle w:val="TableContents"/>
              <w:bidi w:val="0"/>
              <w:spacing w:before="0" w:after="0"/>
              <w:ind w:left="0" w:right="0" w:hanging="0"/>
              <w:jc w:val="left"/>
              <w:rPr/>
            </w:pPr>
            <w:r>
              <w:rPr/>
              <w:t> </w:t>
            </w:r>
          </w:p>
        </w:tc>
        <w:tc>
          <w:tcPr>
            <w:tcW w:w="10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left"/>
              <w:rPr/>
            </w:pPr>
            <w:r>
              <w:rPr/>
              <w:t> </w:t>
            </w:r>
          </w:p>
        </w:tc>
        <w:tc>
          <w:tcPr>
            <w:tcW w:w="13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213" w:type="dxa"/>
            <w:tcBorders/>
            <w:vAlign w:val="center"/>
          </w:tcPr>
          <w:p>
            <w:pPr>
              <w:pStyle w:val="TableContents"/>
              <w:bidi w:val="0"/>
              <w:spacing w:before="0" w:after="0"/>
              <w:ind w:left="0" w:right="0" w:hanging="0"/>
              <w:jc w:val="left"/>
              <w:rPr/>
            </w:pPr>
            <w:r>
              <w:rPr/>
              <w:t> </w:t>
            </w:r>
          </w:p>
        </w:tc>
      </w:tr>
      <w:tr>
        <w:trPr/>
        <w:tc>
          <w:tcPr>
            <w:tcW w:w="28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Release of 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8" w:type="dxa"/>
            <w:tcBorders/>
            <w:vAlign w:val="center"/>
          </w:tcPr>
          <w:p>
            <w:pPr>
              <w:pStyle w:val="TableContents"/>
              <w:bidi w:val="0"/>
              <w:spacing w:before="0" w:after="0"/>
              <w:ind w:left="0" w:right="0" w:hanging="0"/>
              <w:jc w:val="left"/>
              <w:rPr/>
            </w:pPr>
            <w:r>
              <w:rPr/>
              <w:t> </w:t>
            </w:r>
          </w:p>
        </w:tc>
        <w:tc>
          <w:tcPr>
            <w:tcW w:w="100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left"/>
              <w:rPr/>
            </w:pPr>
            <w:r>
              <w:rPr/>
              <w:t> </w:t>
            </w:r>
          </w:p>
        </w:tc>
        <w:tc>
          <w:tcPr>
            <w:tcW w:w="13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13" w:type="dxa"/>
            <w:tcBorders/>
            <w:vAlign w:val="center"/>
          </w:tcPr>
          <w:p>
            <w:pPr>
              <w:pStyle w:val="TableContents"/>
              <w:bidi w:val="0"/>
              <w:spacing w:before="0" w:after="0"/>
              <w:ind w:left="0" w:right="0" w:hanging="0"/>
              <w:jc w:val="left"/>
              <w:rPr/>
            </w:pPr>
            <w:r>
              <w:rPr/>
              <w:t> </w:t>
            </w:r>
          </w:p>
        </w:tc>
      </w:tr>
      <w:tr>
        <w:trPr/>
        <w:tc>
          <w:tcPr>
            <w:tcW w:w="28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warrants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8" w:type="dxa"/>
            <w:tcBorders/>
            <w:vAlign w:val="center"/>
          </w:tcPr>
          <w:p>
            <w:pPr>
              <w:pStyle w:val="TableContents"/>
              <w:bidi w:val="0"/>
              <w:spacing w:before="0" w:after="0"/>
              <w:ind w:left="0" w:right="0" w:hanging="0"/>
              <w:jc w:val="left"/>
              <w:rPr/>
            </w:pPr>
            <w:r>
              <w:rPr/>
              <w:t> </w:t>
            </w:r>
          </w:p>
        </w:tc>
        <w:tc>
          <w:tcPr>
            <w:tcW w:w="10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left"/>
              <w:rPr/>
            </w:pPr>
            <w:r>
              <w:rPr/>
              <w:t> </w:t>
            </w:r>
          </w:p>
        </w:tc>
        <w:tc>
          <w:tcPr>
            <w:tcW w:w="13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674</w:t>
            </w:r>
          </w:p>
        </w:tc>
        <w:tc>
          <w:tcPr>
            <w:tcW w:w="213" w:type="dxa"/>
            <w:tcBorders/>
            <w:vAlign w:val="center"/>
          </w:tcPr>
          <w:p>
            <w:pPr>
              <w:pStyle w:val="TableContents"/>
              <w:bidi w:val="0"/>
              <w:spacing w:before="0" w:after="0"/>
              <w:ind w:left="0" w:right="0" w:hanging="0"/>
              <w:jc w:val="left"/>
              <w:rPr/>
            </w:pPr>
            <w:r>
              <w:rPr/>
              <w:t> </w:t>
            </w:r>
          </w:p>
        </w:tc>
      </w:tr>
      <w:tr>
        <w:trPr/>
        <w:tc>
          <w:tcPr>
            <w:tcW w:w="28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w:t>
              <w:noBreakHyphen/>
              <w:t>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8" w:type="dxa"/>
            <w:tcBorders/>
            <w:vAlign w:val="center"/>
          </w:tcPr>
          <w:p>
            <w:pPr>
              <w:pStyle w:val="TableContents"/>
              <w:bidi w:val="0"/>
              <w:spacing w:before="0" w:after="0"/>
              <w:ind w:left="0" w:right="0" w:hanging="0"/>
              <w:jc w:val="left"/>
              <w:rPr/>
            </w:pPr>
            <w:r>
              <w:rPr/>
              <w:t> </w:t>
            </w:r>
          </w:p>
        </w:tc>
        <w:tc>
          <w:tcPr>
            <w:tcW w:w="10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86" w:type="dxa"/>
            <w:tcBorders/>
            <w:vAlign w:val="center"/>
          </w:tcPr>
          <w:p>
            <w:pPr>
              <w:pStyle w:val="TableContents"/>
              <w:bidi w:val="0"/>
              <w:spacing w:before="0" w:after="0"/>
              <w:ind w:left="0" w:right="0" w:hanging="0"/>
              <w:jc w:val="left"/>
              <w:rPr/>
            </w:pPr>
            <w:r>
              <w:rPr/>
              <w:t> </w:t>
            </w:r>
          </w:p>
        </w:tc>
        <w:tc>
          <w:tcPr>
            <w:tcW w:w="13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1,057</w:t>
            </w:r>
          </w:p>
        </w:tc>
        <w:tc>
          <w:tcPr>
            <w:tcW w:w="213" w:type="dxa"/>
            <w:tcBorders/>
            <w:vAlign w:val="center"/>
          </w:tcPr>
          <w:p>
            <w:pPr>
              <w:pStyle w:val="TableContents"/>
              <w:bidi w:val="0"/>
              <w:spacing w:before="0" w:after="0"/>
              <w:ind w:left="0" w:right="0" w:hanging="0"/>
              <w:jc w:val="left"/>
              <w:rPr/>
            </w:pPr>
            <w:r>
              <w:rPr/>
              <w:t> </w:t>
            </w:r>
          </w:p>
        </w:tc>
      </w:tr>
      <w:tr>
        <w:trPr/>
        <w:tc>
          <w:tcPr>
            <w:tcW w:w="28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(13,356</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13"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78,611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392,406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(399,478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(6,993</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070"/>
        <w:gridCol w:w="146"/>
        <w:gridCol w:w="146"/>
        <w:gridCol w:w="676"/>
        <w:gridCol w:w="146"/>
        <w:gridCol w:w="146"/>
        <w:gridCol w:w="295"/>
        <w:gridCol w:w="486"/>
        <w:gridCol w:w="146"/>
        <w:gridCol w:w="146"/>
        <w:gridCol w:w="277"/>
        <w:gridCol w:w="1034"/>
        <w:gridCol w:w="146"/>
        <w:gridCol w:w="146"/>
        <w:gridCol w:w="243"/>
        <w:gridCol w:w="973"/>
        <w:gridCol w:w="166"/>
        <w:gridCol w:w="146"/>
        <w:gridCol w:w="324"/>
        <w:gridCol w:w="1134"/>
        <w:gridCol w:w="213"/>
      </w:tblGrid>
      <w:tr>
        <w:trPr/>
        <w:tc>
          <w:tcPr>
            <w:tcW w:w="30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7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11"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Additional Paid</w:t>
              <w:noBreakHyphen/>
              <w:t>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58"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 Stockholders'</w:t>
            </w:r>
          </w:p>
        </w:tc>
        <w:tc>
          <w:tcPr>
            <w:tcW w:w="213" w:type="dxa"/>
            <w:tcBorders/>
            <w:vAlign w:val="center"/>
          </w:tcPr>
          <w:p>
            <w:pPr>
              <w:pStyle w:val="TableContents"/>
              <w:bidi w:val="0"/>
              <w:spacing w:before="0" w:after="0"/>
              <w:ind w:left="0" w:right="0" w:hanging="0"/>
              <w:jc w:val="center"/>
              <w:rPr/>
            </w:pPr>
            <w:r>
              <w:rPr/>
              <w:t> </w:t>
            </w:r>
          </w:p>
        </w:tc>
      </w:tr>
      <w:tr>
        <w:trPr/>
        <w:tc>
          <w:tcPr>
            <w:tcW w:w="307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5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Equity</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7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 xml:space="preserve">Balance </w:t>
              <w:noBreakHyphen/>
              <w:t xml:space="preserve">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30,790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321,669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(301,973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19,727</w:t>
            </w:r>
          </w:p>
        </w:tc>
        <w:tc>
          <w:tcPr>
            <w:tcW w:w="213" w:type="dxa"/>
            <w:tcBorders/>
            <w:vAlign w:val="center"/>
          </w:tcPr>
          <w:p>
            <w:pPr>
              <w:pStyle w:val="TableContents"/>
              <w:bidi w:val="0"/>
              <w:spacing w:before="0" w:after="0"/>
              <w:ind w:left="0" w:right="0" w:hanging="0"/>
              <w:jc w:val="left"/>
              <w:rPr/>
            </w:pPr>
            <w:r>
              <w:rPr/>
              <w:t> </w:t>
            </w:r>
          </w:p>
        </w:tc>
      </w:tr>
      <w:tr>
        <w:trPr/>
        <w:tc>
          <w:tcPr>
            <w:tcW w:w="30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net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 </w:t>
            </w:r>
          </w:p>
        </w:tc>
        <w:tc>
          <w:tcPr>
            <w:tcW w:w="10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1,417</w:t>
            </w:r>
          </w:p>
        </w:tc>
        <w:tc>
          <w:tcPr>
            <w:tcW w:w="213" w:type="dxa"/>
            <w:tcBorders/>
            <w:vAlign w:val="center"/>
          </w:tcPr>
          <w:p>
            <w:pPr>
              <w:pStyle w:val="TableContents"/>
              <w:bidi w:val="0"/>
              <w:spacing w:before="0" w:after="0"/>
              <w:ind w:left="0" w:right="0" w:hanging="0"/>
              <w:jc w:val="left"/>
              <w:rPr/>
            </w:pPr>
            <w:r>
              <w:rPr/>
              <w:t> </w:t>
            </w:r>
          </w:p>
        </w:tc>
      </w:tr>
      <w:tr>
        <w:trPr/>
        <w:tc>
          <w:tcPr>
            <w:tcW w:w="30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under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left"/>
              <w:rPr/>
            </w:pPr>
            <w:r>
              <w:rPr/>
              <w:t> </w:t>
            </w:r>
          </w:p>
        </w:tc>
        <w:tc>
          <w:tcPr>
            <w:tcW w:w="10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w:t>
            </w:r>
          </w:p>
        </w:tc>
        <w:tc>
          <w:tcPr>
            <w:tcW w:w="213" w:type="dxa"/>
            <w:tcBorders/>
            <w:vAlign w:val="center"/>
          </w:tcPr>
          <w:p>
            <w:pPr>
              <w:pStyle w:val="TableContents"/>
              <w:bidi w:val="0"/>
              <w:spacing w:before="0" w:after="0"/>
              <w:ind w:left="0" w:right="0" w:hanging="0"/>
              <w:jc w:val="left"/>
              <w:rPr/>
            </w:pPr>
            <w:r>
              <w:rPr/>
              <w:t> </w:t>
            </w:r>
          </w:p>
        </w:tc>
      </w:tr>
      <w:tr>
        <w:trPr/>
        <w:tc>
          <w:tcPr>
            <w:tcW w:w="30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for deferred offering costs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left"/>
              <w:rPr/>
            </w:pPr>
            <w:r>
              <w:rPr/>
              <w:t> </w:t>
            </w:r>
          </w:p>
        </w:tc>
        <w:tc>
          <w:tcPr>
            <w:tcW w:w="10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w:t>
            </w:r>
          </w:p>
        </w:tc>
        <w:tc>
          <w:tcPr>
            <w:tcW w:w="213" w:type="dxa"/>
            <w:tcBorders/>
            <w:vAlign w:val="center"/>
          </w:tcPr>
          <w:p>
            <w:pPr>
              <w:pStyle w:val="TableContents"/>
              <w:bidi w:val="0"/>
              <w:spacing w:before="0" w:after="0"/>
              <w:ind w:left="0" w:right="0" w:hanging="0"/>
              <w:jc w:val="left"/>
              <w:rPr/>
            </w:pPr>
            <w:r>
              <w:rPr/>
              <w:t> </w:t>
            </w:r>
          </w:p>
        </w:tc>
      </w:tr>
      <w:tr>
        <w:trPr/>
        <w:tc>
          <w:tcPr>
            <w:tcW w:w="30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left"/>
              <w:rPr/>
            </w:pPr>
            <w:r>
              <w:rPr/>
              <w:t> </w:t>
            </w:r>
          </w:p>
        </w:tc>
        <w:tc>
          <w:tcPr>
            <w:tcW w:w="10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24"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213" w:type="dxa"/>
            <w:tcBorders/>
            <w:vAlign w:val="center"/>
          </w:tcPr>
          <w:p>
            <w:pPr>
              <w:pStyle w:val="TableContents"/>
              <w:bidi w:val="0"/>
              <w:spacing w:before="0" w:after="0"/>
              <w:ind w:left="0" w:right="0" w:hanging="0"/>
              <w:jc w:val="left"/>
              <w:rPr/>
            </w:pPr>
            <w:r>
              <w:rPr/>
              <w:t> </w:t>
            </w:r>
          </w:p>
        </w:tc>
      </w:tr>
      <w:tr>
        <w:trPr/>
        <w:tc>
          <w:tcPr>
            <w:tcW w:w="30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w:t>
              <w:noBreakHyphen/>
              <w:t>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7" w:type="dxa"/>
            <w:tcBorders/>
            <w:vAlign w:val="center"/>
          </w:tcPr>
          <w:p>
            <w:pPr>
              <w:pStyle w:val="TableContents"/>
              <w:bidi w:val="0"/>
              <w:spacing w:before="0" w:after="0"/>
              <w:ind w:left="0" w:right="0" w:hanging="0"/>
              <w:jc w:val="left"/>
              <w:rPr/>
            </w:pPr>
            <w:r>
              <w:rPr/>
              <w:t> </w:t>
            </w:r>
          </w:p>
        </w:tc>
        <w:tc>
          <w:tcPr>
            <w:tcW w:w="10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1,346</w:t>
            </w:r>
          </w:p>
        </w:tc>
        <w:tc>
          <w:tcPr>
            <w:tcW w:w="213" w:type="dxa"/>
            <w:tcBorders/>
            <w:vAlign w:val="center"/>
          </w:tcPr>
          <w:p>
            <w:pPr>
              <w:pStyle w:val="TableContents"/>
              <w:bidi w:val="0"/>
              <w:spacing w:before="0" w:after="0"/>
              <w:ind w:left="0" w:right="0" w:hanging="0"/>
              <w:jc w:val="left"/>
              <w:rPr/>
            </w:pPr>
            <w:r>
              <w:rPr/>
              <w:t> </w:t>
            </w:r>
          </w:p>
        </w:tc>
      </w:tr>
      <w:tr>
        <w:trPr/>
        <w:tc>
          <w:tcPr>
            <w:tcW w:w="30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(15,586</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7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31,889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 </w:t>
            </w:r>
          </w:p>
        </w:tc>
        <w:tc>
          <w:tcPr>
            <w:tcW w:w="10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325,308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(317,559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7,781</w:t>
            </w:r>
          </w:p>
        </w:tc>
        <w:tc>
          <w:tcPr>
            <w:tcW w:w="213" w:type="dxa"/>
            <w:tcBorders/>
            <w:vAlign w:val="center"/>
          </w:tcPr>
          <w:p>
            <w:pPr>
              <w:pStyle w:val="TableContents"/>
              <w:bidi w:val="0"/>
              <w:spacing w:before="0" w:after="0"/>
              <w:ind w:left="0" w:right="0" w:hanging="0"/>
              <w:jc w:val="left"/>
              <w:rPr/>
            </w:pPr>
            <w:r>
              <w:rPr/>
              <w:t> </w:t>
            </w:r>
          </w:p>
        </w:tc>
      </w:tr>
      <w:tr>
        <w:trPr/>
        <w:tc>
          <w:tcPr>
            <w:tcW w:w="30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net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 </w:t>
            </w:r>
          </w:p>
        </w:tc>
        <w:tc>
          <w:tcPr>
            <w:tcW w:w="10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14,329</w:t>
            </w:r>
          </w:p>
        </w:tc>
        <w:tc>
          <w:tcPr>
            <w:tcW w:w="213" w:type="dxa"/>
            <w:tcBorders/>
            <w:vAlign w:val="center"/>
          </w:tcPr>
          <w:p>
            <w:pPr>
              <w:pStyle w:val="TableContents"/>
              <w:bidi w:val="0"/>
              <w:spacing w:before="0" w:after="0"/>
              <w:ind w:left="0" w:right="0" w:hanging="0"/>
              <w:jc w:val="left"/>
              <w:rPr/>
            </w:pPr>
            <w:r>
              <w:rPr/>
              <w:t> </w:t>
            </w:r>
          </w:p>
        </w:tc>
      </w:tr>
      <w:tr>
        <w:trPr/>
        <w:tc>
          <w:tcPr>
            <w:tcW w:w="30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 </w:t>
            </w:r>
          </w:p>
        </w:tc>
        <w:tc>
          <w:tcPr>
            <w:tcW w:w="10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213" w:type="dxa"/>
            <w:tcBorders/>
            <w:vAlign w:val="center"/>
          </w:tcPr>
          <w:p>
            <w:pPr>
              <w:pStyle w:val="TableContents"/>
              <w:bidi w:val="0"/>
              <w:spacing w:before="0" w:after="0"/>
              <w:ind w:left="0" w:right="0" w:hanging="0"/>
              <w:jc w:val="left"/>
              <w:rPr/>
            </w:pPr>
            <w:r>
              <w:rPr/>
              <w:t> </w:t>
            </w:r>
          </w:p>
        </w:tc>
      </w:tr>
      <w:tr>
        <w:trPr/>
        <w:tc>
          <w:tcPr>
            <w:tcW w:w="30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Release of 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 </w:t>
            </w:r>
          </w:p>
        </w:tc>
        <w:tc>
          <w:tcPr>
            <w:tcW w:w="103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left"/>
              <w:rPr/>
            </w:pPr>
            <w:r>
              <w:rPr/>
              <w:t> </w:t>
            </w:r>
          </w:p>
        </w:tc>
      </w:tr>
      <w:tr>
        <w:trPr/>
        <w:tc>
          <w:tcPr>
            <w:tcW w:w="30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w:t>
              <w:noBreakHyphen/>
              <w:t>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 </w:t>
            </w:r>
          </w:p>
        </w:tc>
        <w:tc>
          <w:tcPr>
            <w:tcW w:w="10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1,368</w:t>
            </w:r>
          </w:p>
        </w:tc>
        <w:tc>
          <w:tcPr>
            <w:tcW w:w="213" w:type="dxa"/>
            <w:tcBorders/>
            <w:vAlign w:val="center"/>
          </w:tcPr>
          <w:p>
            <w:pPr>
              <w:pStyle w:val="TableContents"/>
              <w:bidi w:val="0"/>
              <w:spacing w:before="0" w:after="0"/>
              <w:ind w:left="0" w:right="0" w:hanging="0"/>
              <w:jc w:val="left"/>
              <w:rPr/>
            </w:pPr>
            <w:r>
              <w:rPr/>
              <w:t> </w:t>
            </w:r>
          </w:p>
        </w:tc>
      </w:tr>
      <w:tr>
        <w:trPr/>
        <w:tc>
          <w:tcPr>
            <w:tcW w:w="30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(15,824</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7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 xml:space="preserve">Balance </w:t>
              <w:noBreakHyphen/>
              <w:t xml:space="preserve">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39,979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341,014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(333,383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7,671</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financial statements.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200" w:after="0"/>
        <w:jc w:val="center"/>
        <w:rPr>
          <w:rFonts w:ascii="Times New Roman;serif" w:hAnsi="Times New Roman;serif"/>
          <w:b/>
          <w:sz w:val="20"/>
        </w:rPr>
      </w:pPr>
      <w:bookmarkStart w:id="7" w:name="condensed_statements_cash_flows_unaudite"/>
      <w:bookmarkEnd w:id="7"/>
      <w:r>
        <w:rPr>
          <w:rFonts w:ascii="Times New Roman;serif" w:hAnsi="Times New Roman;serif"/>
          <w:b/>
          <w:sz w:val="20"/>
        </w:rPr>
        <w:t>Condensed Statements of Cash Flows</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w:t>
      </w:r>
    </w:p>
    <w:tbl>
      <w:tblPr>
        <w:tblW w:w="10205" w:type="dxa"/>
        <w:jc w:val="left"/>
        <w:tblInd w:w="0" w:type="dxa"/>
        <w:tblLayout w:type="fixed"/>
        <w:tblCellMar>
          <w:top w:w="28" w:type="dxa"/>
          <w:left w:w="28" w:type="dxa"/>
          <w:bottom w:w="28" w:type="dxa"/>
          <w:right w:w="28" w:type="dxa"/>
        </w:tblCellMar>
      </w:tblPr>
      <w:tblGrid>
        <w:gridCol w:w="7076"/>
        <w:gridCol w:w="146"/>
        <w:gridCol w:w="226"/>
        <w:gridCol w:w="791"/>
        <w:gridCol w:w="178"/>
        <w:gridCol w:w="156"/>
        <w:gridCol w:w="226"/>
        <w:gridCol w:w="791"/>
        <w:gridCol w:w="615"/>
      </w:tblGrid>
      <w:tr>
        <w:trPr/>
        <w:tc>
          <w:tcPr>
            <w:tcW w:w="7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70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 June 30,</w:t>
            </w:r>
          </w:p>
        </w:tc>
        <w:tc>
          <w:tcPr>
            <w:tcW w:w="6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0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6" w:type="dxa"/>
            <w:tcBorders/>
            <w:vAlign w:val="center"/>
          </w:tcPr>
          <w:p>
            <w:pPr>
              <w:pStyle w:val="TableContents"/>
              <w:bidi w:val="0"/>
              <w:spacing w:before="0" w:after="0"/>
              <w:ind w:left="0" w:right="0" w:hanging="0"/>
              <w:jc w:val="left"/>
              <w:rPr/>
            </w:pPr>
            <w:r>
              <w:rPr/>
              <w:t> </w:t>
            </w:r>
          </w:p>
        </w:tc>
        <w:tc>
          <w:tcPr>
            <w:tcW w:w="10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6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operating activities</w:t>
            </w:r>
          </w:p>
        </w:tc>
        <w:tc>
          <w:tcPr>
            <w:tcW w:w="146" w:type="dxa"/>
            <w:tcBorders/>
            <w:vAlign w:val="center"/>
          </w:tcPr>
          <w:p>
            <w:pPr>
              <w:pStyle w:val="TableContents"/>
              <w:bidi w:val="0"/>
              <w:spacing w:before="0" w:after="0"/>
              <w:ind w:left="0" w:right="0" w:hanging="0"/>
              <w:jc w:val="left"/>
              <w:rPr/>
            </w:pPr>
            <w:r>
              <w:rPr/>
              <w:t> </w:t>
            </w:r>
          </w:p>
        </w:tc>
        <w:tc>
          <w:tcPr>
            <w:tcW w:w="1017" w:type="dxa"/>
            <w:gridSpan w:val="2"/>
            <w:tcBorders/>
            <w:vAlign w:val="center"/>
          </w:tcPr>
          <w:p>
            <w:pPr>
              <w:pStyle w:val="TableContents"/>
              <w:bidi w:val="0"/>
              <w:spacing w:before="0" w:after="0"/>
              <w:ind w:left="0" w:right="0" w:hanging="0"/>
              <w:jc w:val="right"/>
              <w:rPr/>
            </w:pPr>
            <w:r>
              <w:rPr/>
              <w:t> </w:t>
            </w:r>
          </w:p>
        </w:tc>
        <w:tc>
          <w:tcPr>
            <w:tcW w:w="178" w:type="dxa"/>
            <w:tcBorders/>
            <w:vAlign w:val="center"/>
          </w:tcPr>
          <w:p>
            <w:pPr>
              <w:pStyle w:val="TableContents"/>
              <w:bidi w:val="0"/>
              <w:spacing w:before="0" w:after="0"/>
              <w:ind w:left="0" w:right="0" w:hanging="0"/>
              <w:jc w:val="right"/>
              <w:rPr/>
            </w:pPr>
            <w:r>
              <w:rPr/>
              <w:t> </w:t>
            </w:r>
          </w:p>
        </w:tc>
        <w:tc>
          <w:tcPr>
            <w:tcW w:w="156" w:type="dxa"/>
            <w:tcBorders/>
            <w:vAlign w:val="center"/>
          </w:tcPr>
          <w:p>
            <w:pPr>
              <w:pStyle w:val="TableContents"/>
              <w:bidi w:val="0"/>
              <w:spacing w:before="0" w:after="0"/>
              <w:ind w:left="0" w:right="0" w:hanging="0"/>
              <w:jc w:val="left"/>
              <w:rPr/>
            </w:pPr>
            <w:r>
              <w:rPr/>
              <w:t> </w:t>
            </w:r>
          </w:p>
        </w:tc>
        <w:tc>
          <w:tcPr>
            <w:tcW w:w="1017" w:type="dxa"/>
            <w:gridSpan w:val="2"/>
            <w:tcBorders/>
            <w:vAlign w:val="center"/>
          </w:tcPr>
          <w:p>
            <w:pPr>
              <w:pStyle w:val="TableContents"/>
              <w:bidi w:val="0"/>
              <w:spacing w:before="0" w:after="0"/>
              <w:ind w:left="0" w:right="0" w:hanging="0"/>
              <w:jc w:val="right"/>
              <w:rPr/>
            </w:pPr>
            <w:r>
              <w:rPr/>
              <w:t> </w:t>
            </w:r>
          </w:p>
        </w:tc>
        <w:tc>
          <w:tcPr>
            <w:tcW w:w="615" w:type="dxa"/>
            <w:tcBorders/>
            <w:vAlign w:val="center"/>
          </w:tcPr>
          <w:p>
            <w:pPr>
              <w:pStyle w:val="TableContents"/>
              <w:bidi w:val="0"/>
              <w:spacing w:before="0" w:after="0"/>
              <w:ind w:left="0" w:right="0" w:firstLine="200"/>
              <w:jc w:val="right"/>
              <w:rPr/>
            </w:pPr>
            <w:r>
              <w:rPr/>
              <w:t> </w:t>
            </w:r>
          </w:p>
        </w:tc>
      </w:tr>
      <w:tr>
        <w:trPr/>
        <w:tc>
          <w:tcPr>
            <w:tcW w:w="7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(32,058</w:t>
            </w:r>
          </w:p>
        </w:tc>
        <w:tc>
          <w:tcPr>
            <w:tcW w:w="1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(31,410</w:t>
            </w:r>
          </w:p>
        </w:tc>
        <w:tc>
          <w:tcPr>
            <w:tcW w:w="615"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cash equivalents, and restricted</w:t>
              <w:br/>
              <w: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1017" w:type="dxa"/>
            <w:gridSpan w:val="2"/>
            <w:tcBorders/>
            <w:vAlign w:val="center"/>
          </w:tcPr>
          <w:p>
            <w:pPr>
              <w:pStyle w:val="TableContents"/>
              <w:bidi w:val="0"/>
              <w:spacing w:before="0" w:after="0"/>
              <w:ind w:left="0" w:right="0" w:hanging="0"/>
              <w:jc w:val="right"/>
              <w:rPr/>
            </w:pPr>
            <w:r>
              <w:rPr/>
              <w:t> </w:t>
            </w:r>
          </w:p>
        </w:tc>
        <w:tc>
          <w:tcPr>
            <w:tcW w:w="178" w:type="dxa"/>
            <w:tcBorders/>
            <w:vAlign w:val="center"/>
          </w:tcPr>
          <w:p>
            <w:pPr>
              <w:pStyle w:val="TableContents"/>
              <w:bidi w:val="0"/>
              <w:spacing w:before="0" w:after="0"/>
              <w:ind w:left="0" w:right="0" w:hanging="0"/>
              <w:jc w:val="right"/>
              <w:rPr/>
            </w:pPr>
            <w:r>
              <w:rPr/>
              <w:t> </w:t>
            </w:r>
          </w:p>
        </w:tc>
        <w:tc>
          <w:tcPr>
            <w:tcW w:w="156" w:type="dxa"/>
            <w:tcBorders/>
            <w:vAlign w:val="center"/>
          </w:tcPr>
          <w:p>
            <w:pPr>
              <w:pStyle w:val="TableContents"/>
              <w:bidi w:val="0"/>
              <w:spacing w:before="0" w:after="0"/>
              <w:ind w:left="0" w:right="0" w:hanging="0"/>
              <w:jc w:val="left"/>
              <w:rPr/>
            </w:pPr>
            <w:r>
              <w:rPr/>
              <w:t> </w:t>
            </w:r>
          </w:p>
        </w:tc>
        <w:tc>
          <w:tcPr>
            <w:tcW w:w="1017" w:type="dxa"/>
            <w:gridSpan w:val="2"/>
            <w:tcBorders/>
            <w:vAlign w:val="center"/>
          </w:tcPr>
          <w:p>
            <w:pPr>
              <w:pStyle w:val="TableContents"/>
              <w:bidi w:val="0"/>
              <w:spacing w:before="0" w:after="0"/>
              <w:ind w:left="0" w:right="0" w:hanging="0"/>
              <w:jc w:val="right"/>
              <w:rPr/>
            </w:pPr>
            <w:r>
              <w:rPr/>
              <w:t> </w:t>
            </w:r>
          </w:p>
        </w:tc>
        <w:tc>
          <w:tcPr>
            <w:tcW w:w="615" w:type="dxa"/>
            <w:tcBorders/>
            <w:vAlign w:val="center"/>
          </w:tcPr>
          <w:p>
            <w:pPr>
              <w:pStyle w:val="TableContents"/>
              <w:bidi w:val="0"/>
              <w:spacing w:before="0" w:after="0"/>
              <w:ind w:left="0" w:right="0" w:firstLine="400"/>
              <w:jc w:val="right"/>
              <w:rPr/>
            </w:pPr>
            <w:r>
              <w:rPr/>
              <w:t> </w:t>
            </w:r>
          </w:p>
        </w:tc>
      </w:tr>
      <w:tr>
        <w:trPr/>
        <w:tc>
          <w:tcPr>
            <w:tcW w:w="707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1,569</w:t>
            </w:r>
          </w:p>
        </w:tc>
        <w:tc>
          <w:tcPr>
            <w:tcW w:w="178"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1,806</w:t>
            </w:r>
          </w:p>
        </w:tc>
        <w:tc>
          <w:tcPr>
            <w:tcW w:w="615" w:type="dxa"/>
            <w:tcBorders/>
            <w:vAlign w:val="center"/>
          </w:tcPr>
          <w:p>
            <w:pPr>
              <w:pStyle w:val="TableContents"/>
              <w:bidi w:val="0"/>
              <w:spacing w:before="0" w:after="0"/>
              <w:ind w:left="0" w:right="0" w:firstLine="400"/>
              <w:jc w:val="left"/>
              <w:rPr/>
            </w:pPr>
            <w:r>
              <w:rPr/>
              <w:t> </w:t>
            </w:r>
          </w:p>
        </w:tc>
      </w:tr>
      <w:tr>
        <w:trPr/>
        <w:tc>
          <w:tcPr>
            <w:tcW w:w="707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Amortization of lease right-of-use assets</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1,394</w:t>
            </w:r>
          </w:p>
        </w:tc>
        <w:tc>
          <w:tcPr>
            <w:tcW w:w="178"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728</w:t>
            </w:r>
          </w:p>
        </w:tc>
        <w:tc>
          <w:tcPr>
            <w:tcW w:w="615" w:type="dxa"/>
            <w:tcBorders/>
            <w:vAlign w:val="center"/>
          </w:tcPr>
          <w:p>
            <w:pPr>
              <w:pStyle w:val="TableContents"/>
              <w:bidi w:val="0"/>
              <w:spacing w:before="0" w:after="0"/>
              <w:ind w:left="0" w:right="0" w:firstLine="400"/>
              <w:jc w:val="left"/>
              <w:rPr/>
            </w:pPr>
            <w:r>
              <w:rPr/>
              <w:t> </w:t>
            </w:r>
          </w:p>
        </w:tc>
      </w:tr>
      <w:tr>
        <w:trPr/>
        <w:tc>
          <w:tcPr>
            <w:tcW w:w="707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Loss on extinguishment of liabilities, net</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pPr>
            <w:r>
              <w:rPr/>
              <w:t>—</w:t>
            </w:r>
          </w:p>
        </w:tc>
        <w:tc>
          <w:tcPr>
            <w:tcW w:w="178"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2,952</w:t>
            </w:r>
          </w:p>
        </w:tc>
        <w:tc>
          <w:tcPr>
            <w:tcW w:w="615" w:type="dxa"/>
            <w:tcBorders/>
            <w:vAlign w:val="center"/>
          </w:tcPr>
          <w:p>
            <w:pPr>
              <w:pStyle w:val="TableContents"/>
              <w:bidi w:val="0"/>
              <w:spacing w:before="0" w:after="0"/>
              <w:ind w:left="0" w:right="0" w:firstLine="400"/>
              <w:jc w:val="left"/>
              <w:rPr/>
            </w:pPr>
            <w:r>
              <w:rPr/>
              <w:t> </w:t>
            </w:r>
          </w:p>
        </w:tc>
      </w:tr>
      <w:tr>
        <w:trPr/>
        <w:tc>
          <w:tcPr>
            <w:tcW w:w="707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Share</w:t>
              <w:noBreakHyphen/>
              <w:t>based compensation expense</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3,338</w:t>
            </w:r>
          </w:p>
        </w:tc>
        <w:tc>
          <w:tcPr>
            <w:tcW w:w="178"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2,714</w:t>
            </w:r>
          </w:p>
        </w:tc>
        <w:tc>
          <w:tcPr>
            <w:tcW w:w="615" w:type="dxa"/>
            <w:tcBorders/>
            <w:vAlign w:val="center"/>
          </w:tcPr>
          <w:p>
            <w:pPr>
              <w:pStyle w:val="TableContents"/>
              <w:bidi w:val="0"/>
              <w:spacing w:before="0" w:after="0"/>
              <w:ind w:left="0" w:right="0" w:firstLine="400"/>
              <w:jc w:val="left"/>
              <w:rPr/>
            </w:pPr>
            <w:r>
              <w:rPr/>
              <w:t> </w:t>
            </w:r>
          </w:p>
        </w:tc>
      </w:tr>
      <w:tr>
        <w:trPr/>
        <w:tc>
          <w:tcPr>
            <w:tcW w:w="707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Change in fair value of warrant liability</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1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pPr>
            <w:r>
              <w:rPr/>
              <w:t>—</w:t>
            </w:r>
          </w:p>
        </w:tc>
        <w:tc>
          <w:tcPr>
            <w:tcW w:w="615" w:type="dxa"/>
            <w:tcBorders/>
            <w:vAlign w:val="center"/>
          </w:tcPr>
          <w:p>
            <w:pPr>
              <w:pStyle w:val="TableContents"/>
              <w:bidi w:val="0"/>
              <w:spacing w:before="0" w:after="0"/>
              <w:ind w:left="0" w:right="0" w:firstLine="400"/>
              <w:jc w:val="left"/>
              <w:rPr/>
            </w:pPr>
            <w:r>
              <w:rPr/>
              <w:t> </w:t>
            </w:r>
          </w:p>
        </w:tc>
      </w:tr>
      <w:tr>
        <w:trPr/>
        <w:tc>
          <w:tcPr>
            <w:tcW w:w="707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Provision for doubtful accounts</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367</w:t>
            </w:r>
          </w:p>
        </w:tc>
        <w:tc>
          <w:tcPr>
            <w:tcW w:w="178"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615"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707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Accrued interest, amortization of debt issuance costs and other</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2,695</w:t>
            </w:r>
          </w:p>
        </w:tc>
        <w:tc>
          <w:tcPr>
            <w:tcW w:w="178"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2,174</w:t>
            </w:r>
          </w:p>
        </w:tc>
        <w:tc>
          <w:tcPr>
            <w:tcW w:w="615" w:type="dxa"/>
            <w:tcBorders/>
            <w:vAlign w:val="center"/>
          </w:tcPr>
          <w:p>
            <w:pPr>
              <w:pStyle w:val="TableContents"/>
              <w:bidi w:val="0"/>
              <w:spacing w:before="0" w:after="0"/>
              <w:ind w:left="0" w:right="0" w:firstLine="400"/>
              <w:jc w:val="left"/>
              <w:rPr/>
            </w:pPr>
            <w:r>
              <w:rPr/>
              <w:t> </w:t>
            </w:r>
          </w:p>
        </w:tc>
      </w:tr>
      <w:tr>
        <w:trPr/>
        <w:tc>
          <w:tcPr>
            <w:tcW w:w="707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Inventory excess and obsolescence</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w:t>
            </w:r>
          </w:p>
        </w:tc>
        <w:tc>
          <w:tcPr>
            <w:tcW w:w="178"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535</w:t>
            </w:r>
          </w:p>
        </w:tc>
        <w:tc>
          <w:tcPr>
            <w:tcW w:w="615" w:type="dxa"/>
            <w:tcBorders/>
            <w:vAlign w:val="center"/>
          </w:tcPr>
          <w:p>
            <w:pPr>
              <w:pStyle w:val="TableContents"/>
              <w:bidi w:val="0"/>
              <w:spacing w:before="0" w:after="0"/>
              <w:ind w:left="0" w:right="0" w:firstLine="400"/>
              <w:jc w:val="left"/>
              <w:rPr/>
            </w:pPr>
            <w:r>
              <w:rPr/>
              <w:t> </w:t>
            </w:r>
          </w:p>
        </w:tc>
      </w:tr>
      <w:tr>
        <w:trPr/>
        <w:tc>
          <w:tcPr>
            <w:tcW w:w="707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Impairment loss on intangible assets</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78"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615" w:type="dxa"/>
            <w:tcBorders/>
            <w:vAlign w:val="center"/>
          </w:tcPr>
          <w:p>
            <w:pPr>
              <w:pStyle w:val="TableContents"/>
              <w:bidi w:val="0"/>
              <w:spacing w:before="0" w:after="0"/>
              <w:ind w:left="0" w:right="0" w:firstLine="200"/>
              <w:jc w:val="left"/>
              <w:rPr/>
            </w:pPr>
            <w:r>
              <w:rPr/>
              <w:t> </w:t>
            </w:r>
          </w:p>
        </w:tc>
      </w:tr>
      <w:tr>
        <w:trPr/>
        <w:tc>
          <w:tcPr>
            <w:tcW w:w="7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1017" w:type="dxa"/>
            <w:gridSpan w:val="2"/>
            <w:tcBorders/>
            <w:vAlign w:val="center"/>
          </w:tcPr>
          <w:p>
            <w:pPr>
              <w:pStyle w:val="TableContents"/>
              <w:bidi w:val="0"/>
              <w:spacing w:before="0" w:after="0"/>
              <w:ind w:left="0" w:right="0" w:hanging="0"/>
              <w:jc w:val="right"/>
              <w:rPr/>
            </w:pPr>
            <w:r>
              <w:rPr/>
              <w:t> </w:t>
            </w:r>
          </w:p>
        </w:tc>
        <w:tc>
          <w:tcPr>
            <w:tcW w:w="178" w:type="dxa"/>
            <w:tcBorders/>
            <w:vAlign w:val="center"/>
          </w:tcPr>
          <w:p>
            <w:pPr>
              <w:pStyle w:val="TableContents"/>
              <w:bidi w:val="0"/>
              <w:spacing w:before="0" w:after="0"/>
              <w:ind w:left="0" w:right="0" w:hanging="0"/>
              <w:jc w:val="right"/>
              <w:rPr/>
            </w:pPr>
            <w:r>
              <w:rPr/>
              <w:t> </w:t>
            </w:r>
          </w:p>
        </w:tc>
        <w:tc>
          <w:tcPr>
            <w:tcW w:w="156" w:type="dxa"/>
            <w:tcBorders/>
            <w:vAlign w:val="center"/>
          </w:tcPr>
          <w:p>
            <w:pPr>
              <w:pStyle w:val="TableContents"/>
              <w:bidi w:val="0"/>
              <w:spacing w:before="0" w:after="0"/>
              <w:ind w:left="0" w:right="0" w:hanging="0"/>
              <w:jc w:val="left"/>
              <w:rPr/>
            </w:pPr>
            <w:r>
              <w:rPr/>
              <w:t> </w:t>
            </w:r>
          </w:p>
        </w:tc>
        <w:tc>
          <w:tcPr>
            <w:tcW w:w="1017" w:type="dxa"/>
            <w:gridSpan w:val="2"/>
            <w:tcBorders/>
            <w:vAlign w:val="center"/>
          </w:tcPr>
          <w:p>
            <w:pPr>
              <w:pStyle w:val="TableContents"/>
              <w:bidi w:val="0"/>
              <w:spacing w:before="0" w:after="0"/>
              <w:ind w:left="0" w:right="0" w:hanging="0"/>
              <w:jc w:val="right"/>
              <w:rPr/>
            </w:pPr>
            <w:r>
              <w:rPr/>
              <w:t> </w:t>
            </w:r>
          </w:p>
        </w:tc>
        <w:tc>
          <w:tcPr>
            <w:tcW w:w="615" w:type="dxa"/>
            <w:tcBorders/>
            <w:vAlign w:val="center"/>
          </w:tcPr>
          <w:p>
            <w:pPr>
              <w:pStyle w:val="TableContents"/>
              <w:bidi w:val="0"/>
              <w:spacing w:before="0" w:after="0"/>
              <w:ind w:left="0" w:right="0" w:firstLine="400"/>
              <w:jc w:val="right"/>
              <w:rPr/>
            </w:pPr>
            <w:r>
              <w:rPr/>
              <w:t> </w:t>
            </w:r>
          </w:p>
        </w:tc>
      </w:tr>
      <w:tr>
        <w:trPr/>
        <w:tc>
          <w:tcPr>
            <w:tcW w:w="707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580</w:t>
            </w:r>
          </w:p>
        </w:tc>
        <w:tc>
          <w:tcPr>
            <w:tcW w:w="178"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(1,757</w:t>
            </w:r>
          </w:p>
        </w:tc>
        <w:tc>
          <w:tcPr>
            <w:tcW w:w="615"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707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Other current assets</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1,349</w:t>
            </w:r>
          </w:p>
        </w:tc>
        <w:tc>
          <w:tcPr>
            <w:tcW w:w="178"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690</w:t>
            </w:r>
          </w:p>
        </w:tc>
        <w:tc>
          <w:tcPr>
            <w:tcW w:w="615" w:type="dxa"/>
            <w:tcBorders/>
            <w:vAlign w:val="center"/>
          </w:tcPr>
          <w:p>
            <w:pPr>
              <w:pStyle w:val="TableContents"/>
              <w:bidi w:val="0"/>
              <w:spacing w:before="0" w:after="0"/>
              <w:ind w:left="0" w:right="0" w:firstLine="400"/>
              <w:jc w:val="left"/>
              <w:rPr/>
            </w:pPr>
            <w:r>
              <w:rPr/>
              <w:t> </w:t>
            </w:r>
          </w:p>
        </w:tc>
      </w:tr>
      <w:tr>
        <w:trPr/>
        <w:tc>
          <w:tcPr>
            <w:tcW w:w="707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Other long-term assets</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pPr>
            <w:r>
              <w:rPr/>
              <w:t>—</w:t>
            </w:r>
          </w:p>
        </w:tc>
        <w:tc>
          <w:tcPr>
            <w:tcW w:w="178"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933</w:t>
            </w:r>
          </w:p>
        </w:tc>
        <w:tc>
          <w:tcPr>
            <w:tcW w:w="615" w:type="dxa"/>
            <w:tcBorders/>
            <w:vAlign w:val="center"/>
          </w:tcPr>
          <w:p>
            <w:pPr>
              <w:pStyle w:val="TableContents"/>
              <w:bidi w:val="0"/>
              <w:spacing w:before="0" w:after="0"/>
              <w:ind w:left="0" w:right="0" w:firstLine="400"/>
              <w:jc w:val="left"/>
              <w:rPr/>
            </w:pPr>
            <w:r>
              <w:rPr/>
              <w:t> </w:t>
            </w:r>
          </w:p>
        </w:tc>
      </w:tr>
      <w:tr>
        <w:trPr/>
        <w:tc>
          <w:tcPr>
            <w:tcW w:w="707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payable and other accrued liabilities</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1,236</w:t>
            </w:r>
          </w:p>
        </w:tc>
        <w:tc>
          <w:tcPr>
            <w:tcW w:w="178"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(1,195</w:t>
            </w:r>
          </w:p>
        </w:tc>
        <w:tc>
          <w:tcPr>
            <w:tcW w:w="615"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707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178"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(392</w:t>
            </w:r>
          </w:p>
        </w:tc>
        <w:tc>
          <w:tcPr>
            <w:tcW w:w="615"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707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Tenant improvement allowances received</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12,978</w:t>
            </w:r>
          </w:p>
        </w:tc>
        <w:tc>
          <w:tcPr>
            <w:tcW w:w="178"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pPr>
            <w:r>
              <w:rPr/>
              <w:t>—</w:t>
            </w:r>
          </w:p>
        </w:tc>
        <w:tc>
          <w:tcPr>
            <w:tcW w:w="615" w:type="dxa"/>
            <w:tcBorders/>
            <w:vAlign w:val="center"/>
          </w:tcPr>
          <w:p>
            <w:pPr>
              <w:pStyle w:val="TableContents"/>
              <w:bidi w:val="0"/>
              <w:spacing w:before="0" w:after="0"/>
              <w:ind w:left="0" w:right="0" w:firstLine="400"/>
              <w:jc w:val="left"/>
              <w:rPr/>
            </w:pPr>
            <w:r>
              <w:rPr/>
              <w:t> </w:t>
            </w:r>
          </w:p>
        </w:tc>
      </w:tr>
      <w:tr>
        <w:trPr/>
        <w:tc>
          <w:tcPr>
            <w:tcW w:w="707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Current and long-term operating lease liabilities</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(513</w:t>
            </w:r>
          </w:p>
        </w:tc>
        <w:tc>
          <w:tcPr>
            <w:tcW w:w="6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and cash equivalents and restricted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(6,749</w:t>
            </w:r>
          </w:p>
        </w:tc>
        <w:tc>
          <w:tcPr>
            <w:tcW w:w="1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(22,693</w:t>
            </w:r>
          </w:p>
        </w:tc>
        <w:tc>
          <w:tcPr>
            <w:tcW w:w="615"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7076" w:type="dxa"/>
            <w:tcBorders/>
            <w:vAlign w:val="center"/>
          </w:tcPr>
          <w:p>
            <w:pPr>
              <w:pStyle w:val="TableContents"/>
              <w:bidi w:val="0"/>
              <w:spacing w:before="0" w:after="283"/>
              <w:ind w:left="0" w:right="0" w:firstLine="40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017" w:type="dxa"/>
            <w:gridSpan w:val="2"/>
            <w:tcBorders/>
            <w:vAlign w:val="center"/>
          </w:tcPr>
          <w:p>
            <w:pPr>
              <w:pStyle w:val="TableContents"/>
              <w:bidi w:val="0"/>
              <w:spacing w:before="0" w:after="0"/>
              <w:ind w:left="0" w:right="0" w:hanging="0"/>
              <w:jc w:val="right"/>
              <w:rPr/>
            </w:pPr>
            <w:r>
              <w:rPr/>
              <w:t> </w:t>
            </w:r>
          </w:p>
        </w:tc>
        <w:tc>
          <w:tcPr>
            <w:tcW w:w="178" w:type="dxa"/>
            <w:tcBorders/>
            <w:vAlign w:val="center"/>
          </w:tcPr>
          <w:p>
            <w:pPr>
              <w:pStyle w:val="TableContents"/>
              <w:bidi w:val="0"/>
              <w:spacing w:before="0" w:after="0"/>
              <w:ind w:left="0" w:right="0" w:hanging="0"/>
              <w:jc w:val="right"/>
              <w:rPr/>
            </w:pPr>
            <w:r>
              <w:rPr/>
              <w:t> </w:t>
            </w:r>
          </w:p>
        </w:tc>
        <w:tc>
          <w:tcPr>
            <w:tcW w:w="156" w:type="dxa"/>
            <w:tcBorders/>
            <w:vAlign w:val="center"/>
          </w:tcPr>
          <w:p>
            <w:pPr>
              <w:pStyle w:val="TableContents"/>
              <w:bidi w:val="0"/>
              <w:spacing w:before="0" w:after="0"/>
              <w:ind w:left="0" w:right="0" w:hanging="0"/>
              <w:jc w:val="left"/>
              <w:rPr/>
            </w:pPr>
            <w:r>
              <w:rPr/>
              <w:t> </w:t>
            </w:r>
          </w:p>
        </w:tc>
        <w:tc>
          <w:tcPr>
            <w:tcW w:w="1017" w:type="dxa"/>
            <w:gridSpan w:val="2"/>
            <w:tcBorders/>
            <w:vAlign w:val="center"/>
          </w:tcPr>
          <w:p>
            <w:pPr>
              <w:pStyle w:val="TableContents"/>
              <w:bidi w:val="0"/>
              <w:spacing w:before="0" w:after="0"/>
              <w:ind w:left="0" w:right="0" w:hanging="0"/>
              <w:jc w:val="right"/>
              <w:rPr/>
            </w:pPr>
            <w:r>
              <w:rPr/>
              <w:t> </w:t>
            </w:r>
          </w:p>
        </w:tc>
        <w:tc>
          <w:tcPr>
            <w:tcW w:w="615" w:type="dxa"/>
            <w:tcBorders/>
            <w:vAlign w:val="center"/>
          </w:tcPr>
          <w:p>
            <w:pPr>
              <w:pStyle w:val="TableContents"/>
              <w:bidi w:val="0"/>
              <w:spacing w:before="0" w:after="0"/>
              <w:ind w:left="0" w:right="0" w:hanging="0"/>
              <w:jc w:val="right"/>
              <w:rPr/>
            </w:pPr>
            <w:r>
              <w:rPr/>
              <w:t> </w:t>
            </w:r>
          </w:p>
        </w:tc>
      </w:tr>
      <w:tr>
        <w:trPr/>
        <w:tc>
          <w:tcPr>
            <w:tcW w:w="7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investing activities</w:t>
            </w:r>
          </w:p>
        </w:tc>
        <w:tc>
          <w:tcPr>
            <w:tcW w:w="146" w:type="dxa"/>
            <w:tcBorders/>
            <w:vAlign w:val="center"/>
          </w:tcPr>
          <w:p>
            <w:pPr>
              <w:pStyle w:val="TableContents"/>
              <w:bidi w:val="0"/>
              <w:spacing w:before="0" w:after="0"/>
              <w:ind w:left="0" w:right="0" w:hanging="0"/>
              <w:jc w:val="left"/>
              <w:rPr/>
            </w:pPr>
            <w:r>
              <w:rPr/>
              <w:t> </w:t>
            </w:r>
          </w:p>
        </w:tc>
        <w:tc>
          <w:tcPr>
            <w:tcW w:w="1017" w:type="dxa"/>
            <w:gridSpan w:val="2"/>
            <w:tcBorders/>
            <w:vAlign w:val="center"/>
          </w:tcPr>
          <w:p>
            <w:pPr>
              <w:pStyle w:val="TableContents"/>
              <w:bidi w:val="0"/>
              <w:spacing w:before="0" w:after="0"/>
              <w:ind w:left="0" w:right="0" w:hanging="0"/>
              <w:jc w:val="right"/>
              <w:rPr/>
            </w:pPr>
            <w:r>
              <w:rPr/>
              <w:t> </w:t>
            </w:r>
          </w:p>
        </w:tc>
        <w:tc>
          <w:tcPr>
            <w:tcW w:w="178" w:type="dxa"/>
            <w:tcBorders/>
            <w:vAlign w:val="center"/>
          </w:tcPr>
          <w:p>
            <w:pPr>
              <w:pStyle w:val="TableContents"/>
              <w:bidi w:val="0"/>
              <w:spacing w:before="0" w:after="0"/>
              <w:ind w:left="0" w:right="0" w:hanging="0"/>
              <w:jc w:val="right"/>
              <w:rPr/>
            </w:pPr>
            <w:r>
              <w:rPr/>
              <w:t> </w:t>
            </w:r>
          </w:p>
        </w:tc>
        <w:tc>
          <w:tcPr>
            <w:tcW w:w="156" w:type="dxa"/>
            <w:tcBorders/>
            <w:vAlign w:val="center"/>
          </w:tcPr>
          <w:p>
            <w:pPr>
              <w:pStyle w:val="TableContents"/>
              <w:bidi w:val="0"/>
              <w:spacing w:before="0" w:after="0"/>
              <w:ind w:left="0" w:right="0" w:hanging="0"/>
              <w:jc w:val="left"/>
              <w:rPr/>
            </w:pPr>
            <w:r>
              <w:rPr/>
              <w:t> </w:t>
            </w:r>
          </w:p>
        </w:tc>
        <w:tc>
          <w:tcPr>
            <w:tcW w:w="1017" w:type="dxa"/>
            <w:gridSpan w:val="2"/>
            <w:tcBorders/>
            <w:vAlign w:val="center"/>
          </w:tcPr>
          <w:p>
            <w:pPr>
              <w:pStyle w:val="TableContents"/>
              <w:bidi w:val="0"/>
              <w:spacing w:before="0" w:after="0"/>
              <w:ind w:left="0" w:right="0" w:hanging="0"/>
              <w:jc w:val="right"/>
              <w:rPr/>
            </w:pPr>
            <w:r>
              <w:rPr/>
              <w:t> </w:t>
            </w:r>
          </w:p>
        </w:tc>
        <w:tc>
          <w:tcPr>
            <w:tcW w:w="615" w:type="dxa"/>
            <w:tcBorders/>
            <w:vAlign w:val="center"/>
          </w:tcPr>
          <w:p>
            <w:pPr>
              <w:pStyle w:val="TableContents"/>
              <w:bidi w:val="0"/>
              <w:spacing w:before="0" w:after="0"/>
              <w:ind w:left="0" w:right="0" w:firstLine="200"/>
              <w:jc w:val="right"/>
              <w:rPr/>
            </w:pPr>
            <w:r>
              <w:rPr/>
              <w:t> </w:t>
            </w:r>
          </w:p>
        </w:tc>
      </w:tr>
      <w:tr>
        <w:trPr/>
        <w:tc>
          <w:tcPr>
            <w:tcW w:w="7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 of property and equipment</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(14,093</w:t>
            </w:r>
          </w:p>
        </w:tc>
        <w:tc>
          <w:tcPr>
            <w:tcW w:w="1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(591</w:t>
            </w:r>
          </w:p>
        </w:tc>
        <w:tc>
          <w:tcPr>
            <w:tcW w:w="615"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Patent costs and intangible asset acquisition, net</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w:t>
            </w:r>
          </w:p>
        </w:tc>
        <w:tc>
          <w:tcPr>
            <w:tcW w:w="6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and cash equivalents and restricted cash used in investing activities</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(14,178</w:t>
            </w:r>
          </w:p>
        </w:tc>
        <w:tc>
          <w:tcPr>
            <w:tcW w:w="1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(732</w:t>
            </w:r>
          </w:p>
        </w:tc>
        <w:tc>
          <w:tcPr>
            <w:tcW w:w="6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7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017" w:type="dxa"/>
            <w:gridSpan w:val="2"/>
            <w:tcBorders/>
            <w:vAlign w:val="center"/>
          </w:tcPr>
          <w:p>
            <w:pPr>
              <w:pStyle w:val="TableContents"/>
              <w:bidi w:val="0"/>
              <w:spacing w:before="0" w:after="0"/>
              <w:ind w:left="0" w:right="0" w:hanging="0"/>
              <w:jc w:val="right"/>
              <w:rPr/>
            </w:pPr>
            <w:r>
              <w:rPr/>
              <w:t> </w:t>
            </w:r>
          </w:p>
        </w:tc>
        <w:tc>
          <w:tcPr>
            <w:tcW w:w="178" w:type="dxa"/>
            <w:tcBorders/>
            <w:vAlign w:val="center"/>
          </w:tcPr>
          <w:p>
            <w:pPr>
              <w:pStyle w:val="TableContents"/>
              <w:bidi w:val="0"/>
              <w:spacing w:before="0" w:after="0"/>
              <w:ind w:left="0" w:right="0" w:hanging="0"/>
              <w:jc w:val="right"/>
              <w:rPr/>
            </w:pPr>
            <w:r>
              <w:rPr/>
              <w:t> </w:t>
            </w:r>
          </w:p>
        </w:tc>
        <w:tc>
          <w:tcPr>
            <w:tcW w:w="156" w:type="dxa"/>
            <w:tcBorders/>
            <w:vAlign w:val="center"/>
          </w:tcPr>
          <w:p>
            <w:pPr>
              <w:pStyle w:val="TableContents"/>
              <w:bidi w:val="0"/>
              <w:spacing w:before="0" w:after="0"/>
              <w:ind w:left="0" w:right="0" w:hanging="0"/>
              <w:jc w:val="left"/>
              <w:rPr/>
            </w:pPr>
            <w:r>
              <w:rPr/>
              <w:t> </w:t>
            </w:r>
          </w:p>
        </w:tc>
        <w:tc>
          <w:tcPr>
            <w:tcW w:w="1017" w:type="dxa"/>
            <w:gridSpan w:val="2"/>
            <w:tcBorders/>
            <w:vAlign w:val="center"/>
          </w:tcPr>
          <w:p>
            <w:pPr>
              <w:pStyle w:val="TableContents"/>
              <w:bidi w:val="0"/>
              <w:spacing w:before="0" w:after="0"/>
              <w:ind w:left="0" w:right="0" w:hanging="0"/>
              <w:jc w:val="right"/>
              <w:rPr/>
            </w:pPr>
            <w:r>
              <w:rPr/>
              <w:t> </w:t>
            </w:r>
          </w:p>
        </w:tc>
        <w:tc>
          <w:tcPr>
            <w:tcW w:w="615" w:type="dxa"/>
            <w:tcBorders/>
            <w:vAlign w:val="center"/>
          </w:tcPr>
          <w:p>
            <w:pPr>
              <w:pStyle w:val="TableContents"/>
              <w:bidi w:val="0"/>
              <w:spacing w:before="0" w:after="0"/>
              <w:ind w:left="0" w:right="0" w:hanging="0"/>
              <w:jc w:val="right"/>
              <w:rPr/>
            </w:pPr>
            <w:r>
              <w:rPr/>
              <w:t> </w:t>
            </w:r>
          </w:p>
        </w:tc>
      </w:tr>
      <w:tr>
        <w:trPr/>
        <w:tc>
          <w:tcPr>
            <w:tcW w:w="7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financing activities</w:t>
            </w:r>
          </w:p>
        </w:tc>
        <w:tc>
          <w:tcPr>
            <w:tcW w:w="146" w:type="dxa"/>
            <w:tcBorders/>
            <w:vAlign w:val="center"/>
          </w:tcPr>
          <w:p>
            <w:pPr>
              <w:pStyle w:val="TableContents"/>
              <w:bidi w:val="0"/>
              <w:spacing w:before="0" w:after="0"/>
              <w:ind w:left="0" w:right="0" w:hanging="0"/>
              <w:jc w:val="left"/>
              <w:rPr/>
            </w:pPr>
            <w:r>
              <w:rPr/>
              <w:t> </w:t>
            </w:r>
          </w:p>
        </w:tc>
        <w:tc>
          <w:tcPr>
            <w:tcW w:w="1017" w:type="dxa"/>
            <w:gridSpan w:val="2"/>
            <w:tcBorders/>
            <w:vAlign w:val="center"/>
          </w:tcPr>
          <w:p>
            <w:pPr>
              <w:pStyle w:val="TableContents"/>
              <w:bidi w:val="0"/>
              <w:spacing w:before="0" w:after="0"/>
              <w:ind w:left="0" w:right="0" w:hanging="0"/>
              <w:jc w:val="right"/>
              <w:rPr/>
            </w:pPr>
            <w:r>
              <w:rPr/>
              <w:t> </w:t>
            </w:r>
          </w:p>
        </w:tc>
        <w:tc>
          <w:tcPr>
            <w:tcW w:w="178" w:type="dxa"/>
            <w:tcBorders/>
            <w:vAlign w:val="center"/>
          </w:tcPr>
          <w:p>
            <w:pPr>
              <w:pStyle w:val="TableContents"/>
              <w:bidi w:val="0"/>
              <w:spacing w:before="0" w:after="0"/>
              <w:ind w:left="0" w:right="0" w:hanging="0"/>
              <w:jc w:val="right"/>
              <w:rPr/>
            </w:pPr>
            <w:r>
              <w:rPr/>
              <w:t> </w:t>
            </w:r>
          </w:p>
        </w:tc>
        <w:tc>
          <w:tcPr>
            <w:tcW w:w="156" w:type="dxa"/>
            <w:tcBorders/>
            <w:vAlign w:val="center"/>
          </w:tcPr>
          <w:p>
            <w:pPr>
              <w:pStyle w:val="TableContents"/>
              <w:bidi w:val="0"/>
              <w:spacing w:before="0" w:after="0"/>
              <w:ind w:left="0" w:right="0" w:hanging="0"/>
              <w:jc w:val="left"/>
              <w:rPr/>
            </w:pPr>
            <w:r>
              <w:rPr/>
              <w:t> </w:t>
            </w:r>
          </w:p>
        </w:tc>
        <w:tc>
          <w:tcPr>
            <w:tcW w:w="1017" w:type="dxa"/>
            <w:gridSpan w:val="2"/>
            <w:tcBorders/>
            <w:vAlign w:val="center"/>
          </w:tcPr>
          <w:p>
            <w:pPr>
              <w:pStyle w:val="TableContents"/>
              <w:bidi w:val="0"/>
              <w:spacing w:before="0" w:after="0"/>
              <w:ind w:left="0" w:right="0" w:hanging="0"/>
              <w:jc w:val="right"/>
              <w:rPr/>
            </w:pPr>
            <w:r>
              <w:rPr/>
              <w:t> </w:t>
            </w:r>
          </w:p>
        </w:tc>
        <w:tc>
          <w:tcPr>
            <w:tcW w:w="615" w:type="dxa"/>
            <w:tcBorders/>
            <w:vAlign w:val="center"/>
          </w:tcPr>
          <w:p>
            <w:pPr>
              <w:pStyle w:val="TableContents"/>
              <w:bidi w:val="0"/>
              <w:spacing w:before="0" w:after="0"/>
              <w:ind w:left="0" w:right="0" w:firstLine="200"/>
              <w:jc w:val="right"/>
              <w:rPr/>
            </w:pPr>
            <w:r>
              <w:rPr/>
              <w:t> </w:t>
            </w:r>
          </w:p>
        </w:tc>
      </w:tr>
      <w:tr>
        <w:trPr/>
        <w:tc>
          <w:tcPr>
            <w:tcW w:w="7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the issuance of common stock</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pPr>
            <w:r>
              <w:rPr/>
              <w:t>—</w:t>
            </w:r>
          </w:p>
        </w:tc>
        <w:tc>
          <w:tcPr>
            <w:tcW w:w="178"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16,135</w:t>
            </w:r>
          </w:p>
        </w:tc>
        <w:tc>
          <w:tcPr>
            <w:tcW w:w="615" w:type="dxa"/>
            <w:tcBorders/>
            <w:vAlign w:val="center"/>
          </w:tcPr>
          <w:p>
            <w:pPr>
              <w:pStyle w:val="TableContents"/>
              <w:bidi w:val="0"/>
              <w:spacing w:before="0" w:after="0"/>
              <w:ind w:left="0" w:right="0" w:firstLine="200"/>
              <w:jc w:val="left"/>
              <w:rPr/>
            </w:pPr>
            <w:r>
              <w:rPr/>
              <w:t> </w:t>
            </w:r>
          </w:p>
        </w:tc>
      </w:tr>
      <w:tr>
        <w:trPr/>
        <w:tc>
          <w:tcPr>
            <w:tcW w:w="7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issuance of common stock under employee stock purchase plan</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420</w:t>
            </w:r>
          </w:p>
        </w:tc>
        <w:tc>
          <w:tcPr>
            <w:tcW w:w="178"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w:t>
            </w:r>
          </w:p>
        </w:tc>
        <w:tc>
          <w:tcPr>
            <w:tcW w:w="615" w:type="dxa"/>
            <w:tcBorders/>
            <w:vAlign w:val="center"/>
          </w:tcPr>
          <w:p>
            <w:pPr>
              <w:pStyle w:val="TableContents"/>
              <w:bidi w:val="0"/>
              <w:spacing w:before="0" w:after="0"/>
              <w:ind w:left="0" w:right="0" w:firstLine="200"/>
              <w:jc w:val="left"/>
              <w:rPr/>
            </w:pPr>
            <w:r>
              <w:rPr/>
              <w:t> </w:t>
            </w:r>
          </w:p>
        </w:tc>
      </w:tr>
      <w:tr>
        <w:trPr/>
        <w:tc>
          <w:tcPr>
            <w:tcW w:w="7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exercise of stock options</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w:t>
            </w:r>
          </w:p>
        </w:tc>
        <w:tc>
          <w:tcPr>
            <w:tcW w:w="178"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w:t>
            </w:r>
          </w:p>
        </w:tc>
        <w:tc>
          <w:tcPr>
            <w:tcW w:w="615" w:type="dxa"/>
            <w:tcBorders/>
            <w:vAlign w:val="center"/>
          </w:tcPr>
          <w:p>
            <w:pPr>
              <w:pStyle w:val="TableContents"/>
              <w:bidi w:val="0"/>
              <w:spacing w:before="0" w:after="0"/>
              <w:ind w:left="0" w:right="0" w:firstLine="200"/>
              <w:jc w:val="left"/>
              <w:rPr/>
            </w:pPr>
            <w:r>
              <w:rPr/>
              <w:t> </w:t>
            </w:r>
          </w:p>
        </w:tc>
      </w:tr>
      <w:tr>
        <w:trPr/>
        <w:tc>
          <w:tcPr>
            <w:tcW w:w="7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 of contingent consideration</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(4,262</w:t>
            </w:r>
          </w:p>
        </w:tc>
        <w:tc>
          <w:tcPr>
            <w:tcW w:w="1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(6,625</w:t>
            </w:r>
          </w:p>
        </w:tc>
        <w:tc>
          <w:tcPr>
            <w:tcW w:w="615"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term loan and notes payable</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pPr>
            <w:r>
              <w:rPr/>
              <w:t>—</w:t>
            </w:r>
          </w:p>
        </w:tc>
        <w:tc>
          <w:tcPr>
            <w:tcW w:w="178"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15,102</w:t>
            </w:r>
          </w:p>
        </w:tc>
        <w:tc>
          <w:tcPr>
            <w:tcW w:w="615" w:type="dxa"/>
            <w:tcBorders/>
            <w:vAlign w:val="center"/>
          </w:tcPr>
          <w:p>
            <w:pPr>
              <w:pStyle w:val="TableContents"/>
              <w:bidi w:val="0"/>
              <w:spacing w:before="0" w:after="0"/>
              <w:ind w:left="0" w:right="0" w:firstLine="200"/>
              <w:jc w:val="left"/>
              <w:rPr/>
            </w:pPr>
            <w:r>
              <w:rPr/>
              <w:t> </w:t>
            </w:r>
          </w:p>
        </w:tc>
      </w:tr>
      <w:tr>
        <w:trPr/>
        <w:tc>
          <w:tcPr>
            <w:tcW w:w="7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Repayment of term loan and notes payable</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(3,025</w:t>
            </w:r>
          </w:p>
        </w:tc>
        <w:tc>
          <w:tcPr>
            <w:tcW w:w="615"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 of debt issuance costs</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(832</w:t>
            </w:r>
          </w:p>
        </w:tc>
        <w:tc>
          <w:tcPr>
            <w:tcW w:w="1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(2,115</w:t>
            </w:r>
          </w:p>
        </w:tc>
        <w:tc>
          <w:tcPr>
            <w:tcW w:w="615"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offering costs</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pPr>
            <w:r>
              <w:rPr/>
              <w:t>—</w:t>
            </w:r>
          </w:p>
        </w:tc>
        <w:tc>
          <w:tcPr>
            <w:tcW w:w="178"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w:t>
            </w:r>
          </w:p>
        </w:tc>
        <w:tc>
          <w:tcPr>
            <w:tcW w:w="615"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Equity financing costs</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1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w:t>
            </w:r>
          </w:p>
        </w:tc>
        <w:tc>
          <w:tcPr>
            <w:tcW w:w="615"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0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6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and cash equivalents and restricted cash (used in) provided by financing activities</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(4,751</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19,299</w:t>
            </w:r>
          </w:p>
        </w:tc>
        <w:tc>
          <w:tcPr>
            <w:tcW w:w="6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decrease in cash and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(25,678</w:t>
            </w:r>
          </w:p>
        </w:tc>
        <w:tc>
          <w:tcPr>
            <w:tcW w:w="1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(4,126</w:t>
            </w:r>
          </w:p>
        </w:tc>
        <w:tc>
          <w:tcPr>
            <w:tcW w:w="6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Cash, cash equivalents, and restricted cash </w:t>
              <w:noBreakHyphen/>
              <w:t xml:space="preserve"> beginning of period</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43,174</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32,798</w:t>
            </w:r>
          </w:p>
        </w:tc>
        <w:tc>
          <w:tcPr>
            <w:tcW w:w="6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Cash, cash equivalents, and restricted cash </w:t>
              <w:noBreakHyphen/>
              <w:t xml:space="preserve"> end of period</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17,496</w:t>
            </w:r>
          </w:p>
        </w:tc>
        <w:tc>
          <w:tcPr>
            <w:tcW w:w="1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28,672</w:t>
            </w:r>
          </w:p>
        </w:tc>
        <w:tc>
          <w:tcPr>
            <w:tcW w:w="6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financial statements.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200" w:after="0"/>
        <w:jc w:val="center"/>
        <w:rPr>
          <w:rFonts w:ascii="Times New Roman" w:hAnsi="Times New Roman"/>
          <w:sz w:val="20"/>
        </w:rPr>
      </w:pPr>
      <w:r>
        <w:rPr>
          <w:rFonts w:ascii="Times New Roman;serif" w:hAnsi="Times New Roman;serif"/>
          <w:b/>
          <w:sz w:val="20"/>
        </w:rPr>
        <w:t>Statements of Cash Flows</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(Continued from the previous page)</w:t>
      </w:r>
    </w:p>
    <w:p>
      <w:pPr>
        <w:pStyle w:val="TextBody"/>
        <w:bidi w:val="0"/>
        <w:spacing w:before="240" w:after="0"/>
        <w:jc w:val="left"/>
        <w:rPr>
          <w:rFonts w:ascii="Times New Roman" w:hAnsi="Times New Roman"/>
          <w:sz w:val="20"/>
        </w:rPr>
      </w:pPr>
      <w:r>
        <w:rPr>
          <w:rFonts w:ascii="Times New Roman;serif" w:hAnsi="Times New Roman;serif"/>
          <w:b/>
          <w:sz w:val="20"/>
        </w:rPr>
        <w:t>Supplemental cash flow information</w:t>
      </w:r>
      <w:r>
        <w:rPr>
          <w:rFonts w:ascii="Times New Roman;serif" w:hAnsi="Times New Roman;serif"/>
          <w:b w:val="false"/>
          <w:sz w:val="20"/>
        </w:rPr>
        <w:t>:</w:t>
      </w:r>
    </w:p>
    <w:tbl>
      <w:tblPr>
        <w:tblW w:w="10205" w:type="dxa"/>
        <w:jc w:val="left"/>
        <w:tblInd w:w="0" w:type="dxa"/>
        <w:tblLayout w:type="fixed"/>
        <w:tblCellMar>
          <w:top w:w="28" w:type="dxa"/>
          <w:left w:w="28" w:type="dxa"/>
          <w:bottom w:w="28" w:type="dxa"/>
          <w:right w:w="28" w:type="dxa"/>
        </w:tblCellMar>
      </w:tblPr>
      <w:tblGrid>
        <w:gridCol w:w="7533"/>
        <w:gridCol w:w="146"/>
        <w:gridCol w:w="265"/>
        <w:gridCol w:w="718"/>
        <w:gridCol w:w="183"/>
        <w:gridCol w:w="183"/>
        <w:gridCol w:w="265"/>
        <w:gridCol w:w="718"/>
        <w:gridCol w:w="194"/>
      </w:tblGrid>
      <w:tr>
        <w:trPr/>
        <w:tc>
          <w:tcPr>
            <w:tcW w:w="7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53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 June 30,</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53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8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3" w:type="dxa"/>
            <w:tcBorders/>
            <w:vAlign w:val="center"/>
          </w:tcPr>
          <w:p>
            <w:pPr>
              <w:pStyle w:val="TableContents"/>
              <w:bidi w:val="0"/>
              <w:spacing w:before="0" w:after="0"/>
              <w:ind w:left="0" w:right="0" w:hanging="0"/>
              <w:jc w:val="left"/>
              <w:rPr/>
            </w:pPr>
            <w:r>
              <w:rPr/>
              <w:t> </w:t>
            </w:r>
          </w:p>
        </w:tc>
        <w:tc>
          <w:tcPr>
            <w:tcW w:w="98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5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Common stock issued for deferred offering costs</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8" w:type="dxa"/>
            <w:tcBorders/>
            <w:vAlign w:val="center"/>
          </w:tcPr>
          <w:p>
            <w:pPr>
              <w:pStyle w:val="TableContents"/>
              <w:bidi w:val="0"/>
              <w:spacing w:before="0" w:after="0"/>
              <w:ind w:left="0" w:right="0" w:hanging="0"/>
              <w:jc w:val="right"/>
              <w:rPr/>
            </w:pPr>
            <w:r>
              <w:rPr/>
              <w:t>—</w:t>
            </w:r>
          </w:p>
        </w:tc>
        <w:tc>
          <w:tcPr>
            <w:tcW w:w="183"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w:t>
            </w:r>
          </w:p>
        </w:tc>
        <w:tc>
          <w:tcPr>
            <w:tcW w:w="194" w:type="dxa"/>
            <w:tcBorders/>
            <w:vAlign w:val="center"/>
          </w:tcPr>
          <w:p>
            <w:pPr>
              <w:pStyle w:val="TableContents"/>
              <w:bidi w:val="0"/>
              <w:spacing w:before="0" w:after="0"/>
              <w:ind w:left="0" w:right="0" w:hanging="0"/>
              <w:jc w:val="left"/>
              <w:rPr/>
            </w:pPr>
            <w:r>
              <w:rPr/>
              <w:t> </w:t>
            </w:r>
          </w:p>
        </w:tc>
      </w:tr>
      <w:tr>
        <w:trPr/>
        <w:tc>
          <w:tcPr>
            <w:tcW w:w="75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offering costs amortized against Additional paid-in capital</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pPr>
            <w:r>
              <w:rPr/>
              <w:t>—</w:t>
            </w:r>
          </w:p>
        </w:tc>
        <w:tc>
          <w:tcPr>
            <w:tcW w:w="183"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94" w:type="dxa"/>
            <w:tcBorders/>
            <w:vAlign w:val="center"/>
          </w:tcPr>
          <w:p>
            <w:pPr>
              <w:pStyle w:val="TableContents"/>
              <w:bidi w:val="0"/>
              <w:spacing w:before="0" w:after="0"/>
              <w:ind w:left="0" w:right="0" w:hanging="0"/>
              <w:jc w:val="left"/>
              <w:rPr/>
            </w:pPr>
            <w:r>
              <w:rPr/>
              <w:t> </w:t>
            </w:r>
          </w:p>
        </w:tc>
      </w:tr>
      <w:tr>
        <w:trPr/>
        <w:tc>
          <w:tcPr>
            <w:tcW w:w="75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Original issue discount associated with Promissory Note One</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pPr>
            <w:r>
              <w:rPr/>
              <w:t>—</w:t>
            </w:r>
          </w:p>
        </w:tc>
        <w:tc>
          <w:tcPr>
            <w:tcW w:w="183"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1,025</w:t>
            </w:r>
          </w:p>
        </w:tc>
        <w:tc>
          <w:tcPr>
            <w:tcW w:w="194" w:type="dxa"/>
            <w:tcBorders/>
            <w:vAlign w:val="center"/>
          </w:tcPr>
          <w:p>
            <w:pPr>
              <w:pStyle w:val="TableContents"/>
              <w:bidi w:val="0"/>
              <w:spacing w:before="0" w:after="0"/>
              <w:ind w:left="0" w:right="0" w:hanging="0"/>
              <w:jc w:val="left"/>
              <w:rPr/>
            </w:pPr>
            <w:r>
              <w:rPr/>
              <w:t> </w:t>
            </w:r>
          </w:p>
        </w:tc>
      </w:tr>
      <w:tr>
        <w:trPr/>
        <w:tc>
          <w:tcPr>
            <w:tcW w:w="75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issuance costs included in Accounts payable and other accrued liabilities</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pPr>
            <w:r>
              <w:rPr/>
              <w:t>—</w:t>
            </w:r>
          </w:p>
        </w:tc>
        <w:tc>
          <w:tcPr>
            <w:tcW w:w="183"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w:t>
            </w:r>
          </w:p>
        </w:tc>
        <w:tc>
          <w:tcPr>
            <w:tcW w:w="194" w:type="dxa"/>
            <w:tcBorders/>
            <w:vAlign w:val="center"/>
          </w:tcPr>
          <w:p>
            <w:pPr>
              <w:pStyle w:val="TableContents"/>
              <w:bidi w:val="0"/>
              <w:spacing w:before="0" w:after="0"/>
              <w:ind w:left="0" w:right="0" w:hanging="0"/>
              <w:jc w:val="left"/>
              <w:rPr/>
            </w:pPr>
            <w:r>
              <w:rPr/>
              <w:t> </w:t>
            </w:r>
          </w:p>
        </w:tc>
      </w:tr>
      <w:tr>
        <w:trPr/>
        <w:tc>
          <w:tcPr>
            <w:tcW w:w="75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Perceptive Warrants</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674</w:t>
            </w:r>
          </w:p>
        </w:tc>
        <w:tc>
          <w:tcPr>
            <w:tcW w:w="183"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 </w:t>
            </w:r>
          </w:p>
        </w:tc>
      </w:tr>
      <w:tr>
        <w:trPr/>
        <w:tc>
          <w:tcPr>
            <w:tcW w:w="75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Equity financing costs included in Accounts payable and other accrued liabilities</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pPr>
            <w:r>
              <w:rPr/>
              <w:t>—</w:t>
            </w:r>
          </w:p>
        </w:tc>
        <w:tc>
          <w:tcPr>
            <w:tcW w:w="183"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94" w:type="dxa"/>
            <w:tcBorders/>
            <w:vAlign w:val="center"/>
          </w:tcPr>
          <w:p>
            <w:pPr>
              <w:pStyle w:val="TableContents"/>
              <w:bidi w:val="0"/>
              <w:spacing w:before="0" w:after="0"/>
              <w:ind w:left="0" w:right="0" w:hanging="0"/>
              <w:jc w:val="left"/>
              <w:rPr/>
            </w:pPr>
            <w:r>
              <w:rPr/>
              <w:t> </w:t>
            </w:r>
          </w:p>
        </w:tc>
      </w:tr>
      <w:tr>
        <w:trPr/>
        <w:tc>
          <w:tcPr>
            <w:tcW w:w="75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 obtained in exchange for lease liabilities at adoption of ASC 842</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pPr>
            <w:r>
              <w:rPr/>
              <w:t>—</w:t>
            </w:r>
          </w:p>
        </w:tc>
        <w:tc>
          <w:tcPr>
            <w:tcW w:w="183"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1,269</w:t>
            </w:r>
          </w:p>
        </w:tc>
        <w:tc>
          <w:tcPr>
            <w:tcW w:w="194" w:type="dxa"/>
            <w:tcBorders/>
            <w:vAlign w:val="center"/>
          </w:tcPr>
          <w:p>
            <w:pPr>
              <w:pStyle w:val="TableContents"/>
              <w:bidi w:val="0"/>
              <w:spacing w:before="0" w:after="0"/>
              <w:ind w:left="0" w:right="0" w:hanging="0"/>
              <w:jc w:val="left"/>
              <w:rPr/>
            </w:pPr>
            <w:r>
              <w:rPr/>
              <w:t> </w:t>
            </w:r>
          </w:p>
        </w:tc>
      </w:tr>
      <w:tr>
        <w:trPr/>
        <w:tc>
          <w:tcPr>
            <w:tcW w:w="75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 obtained in exchange for lease liabilities</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858</w:t>
            </w:r>
          </w:p>
        </w:tc>
        <w:tc>
          <w:tcPr>
            <w:tcW w:w="183"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3,403</w:t>
            </w:r>
          </w:p>
        </w:tc>
        <w:tc>
          <w:tcPr>
            <w:tcW w:w="194" w:type="dxa"/>
            <w:tcBorders/>
            <w:vAlign w:val="center"/>
          </w:tcPr>
          <w:p>
            <w:pPr>
              <w:pStyle w:val="TableContents"/>
              <w:bidi w:val="0"/>
              <w:spacing w:before="0" w:after="0"/>
              <w:ind w:left="0" w:right="0" w:hanging="0"/>
              <w:jc w:val="left"/>
              <w:rPr/>
            </w:pPr>
            <w:r>
              <w:rPr/>
              <w:t> </w:t>
            </w:r>
          </w:p>
        </w:tc>
      </w:tr>
      <w:tr>
        <w:trPr/>
        <w:tc>
          <w:tcPr>
            <w:tcW w:w="75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lease right-of-use assets obtained in exchange for lease liabilities</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773</w:t>
            </w:r>
          </w:p>
        </w:tc>
        <w:tc>
          <w:tcPr>
            <w:tcW w:w="183"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w:t>
            </w:r>
          </w:p>
        </w:tc>
        <w:tc>
          <w:tcPr>
            <w:tcW w:w="194" w:type="dxa"/>
            <w:tcBorders/>
            <w:vAlign w:val="center"/>
          </w:tcPr>
          <w:p>
            <w:pPr>
              <w:pStyle w:val="TableContents"/>
              <w:bidi w:val="0"/>
              <w:spacing w:before="0" w:after="0"/>
              <w:ind w:left="0" w:right="0" w:hanging="0"/>
              <w:jc w:val="left"/>
              <w:rPr/>
            </w:pPr>
            <w:r>
              <w:rPr/>
              <w:t> </w:t>
            </w:r>
          </w:p>
        </w:tc>
      </w:tr>
      <w:tr>
        <w:trPr/>
        <w:tc>
          <w:tcPr>
            <w:tcW w:w="75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interest</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2,119</w:t>
            </w:r>
          </w:p>
        </w:tc>
        <w:tc>
          <w:tcPr>
            <w:tcW w:w="183"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w:t>
            </w:r>
          </w:p>
        </w:tc>
        <w:tc>
          <w:tcPr>
            <w:tcW w:w="194" w:type="dxa"/>
            <w:tcBorders/>
            <w:vAlign w:val="center"/>
          </w:tcPr>
          <w:p>
            <w:pPr>
              <w:pStyle w:val="TableContents"/>
              <w:bidi w:val="0"/>
              <w:spacing w:before="0" w:after="0"/>
              <w:ind w:left="0" w:right="0" w:hanging="0"/>
              <w:jc w:val="left"/>
              <w:rPr/>
            </w:pPr>
            <w:r>
              <w:rPr/>
              <w:t> </w:t>
            </w:r>
          </w:p>
        </w:tc>
      </w:tr>
      <w:tr>
        <w:trPr/>
        <w:tc>
          <w:tcPr>
            <w:tcW w:w="75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income taxes</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pPr>
            <w:r>
              <w:rPr/>
              <w:t>—</w:t>
            </w:r>
          </w:p>
        </w:tc>
        <w:tc>
          <w:tcPr>
            <w:tcW w:w="183"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 </w:t>
            </w:r>
          </w:p>
        </w:tc>
      </w:tr>
      <w:tr>
        <w:trPr/>
        <w:tc>
          <w:tcPr>
            <w:tcW w:w="75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Purchases of property &amp; equipment included in Accrued liabilities</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83" w:type="dxa"/>
            <w:tcBorders/>
            <w:vAlign w:val="center"/>
          </w:tcPr>
          <w:p>
            <w:pPr>
              <w:pStyle w:val="TableContents"/>
              <w:bidi w:val="0"/>
              <w:spacing w:before="0" w:after="0"/>
              <w:ind w:left="0" w:right="0" w:hanging="0"/>
              <w:jc w:val="left"/>
              <w:rPr/>
            </w:pPr>
            <w:r>
              <w:rPr/>
              <w:t> </w:t>
            </w:r>
          </w:p>
        </w:tc>
        <w:tc>
          <w:tcPr>
            <w:tcW w:w="183"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unaudited condensed financial statements.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200" w:after="0"/>
        <w:jc w:val="center"/>
        <w:rPr>
          <w:rFonts w:ascii="Times New Roman;serif" w:hAnsi="Times New Roman;serif"/>
          <w:b/>
          <w:sz w:val="20"/>
        </w:rPr>
      </w:pPr>
      <w:bookmarkStart w:id="8" w:name="notes_to_financial_statements"/>
      <w:bookmarkEnd w:id="8"/>
      <w:r>
        <w:rPr>
          <w:rFonts w:ascii="Times New Roman;serif" w:hAnsi="Times New Roman;serif"/>
          <w:b/>
          <w:sz w:val="20"/>
        </w:rPr>
        <w:t>Notes to Unaudited Condensed Financial Statements</w:t>
      </w:r>
    </w:p>
    <w:p>
      <w:pPr>
        <w:pStyle w:val="TextBody"/>
        <w:bidi w:val="0"/>
        <w:spacing w:before="240" w:after="0"/>
        <w:jc w:val="both"/>
        <w:rPr>
          <w:rFonts w:ascii="Times New Roman;serif" w:hAnsi="Times New Roman;serif"/>
          <w:b/>
          <w:sz w:val="20"/>
        </w:rPr>
      </w:pPr>
      <w:r>
        <w:rPr>
          <w:rFonts w:ascii="Times New Roman;serif" w:hAnsi="Times New Roman;serif"/>
          <w:b/>
          <w:sz w:val="20"/>
        </w:rPr>
        <w:t>Note 1 – Organization and Description of Business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Biodesix, Inc. (the “Company”, “Biodesix”, “we” “us” and “our”), formerly Elston Technologies, Inc., was incorporated in Delaware in 2005. The Company’s headquarters are in Colorado and the Company performs its blood-based diagnostic tests in its laboratory facilities, which are located in Boulder, Colorado and De Soto, Kansas. The Company conducts all of its operations within a single legal entity. Biodesix is a leading data-driven diagnostic solutions company leveraging state of the art technologies with its proprietary artificial intelligence platform to discover, develop, and commercialize solutions for clinical unmet needs, with a primary focus in lung disease. The Company develops diagnostic tests addressing important clinical questions by combining multi-omics through the power of artificial intelligence. We derive our revenue from two sources: (i) providing diagnostic testing services associated with (a) blood-based lung tests and (b) prior to May 11, 2023, Coronavirus Disease 2019 (COVID-19) tests (Diagnostic Tests); and (ii) providing biopharmaceutical companies with services that include diagnostic research, clinical research, development and testing services generally provided outside the clinical setting and governed by individual contracts with third parties as well as development and commercialization of companion diagnostics (Services). Biodesix offers five Medicare-covered tests for patients with lung diseases. The blood based Nodify Lung® nodule risk assessment testing strategy, consisting of the Nodify XL2® and the Nodify CDT® tests, evaluates the risk of malignancy in incidental pulmonary nodules, enabling physicians to better triage patients to the most appropriate course of action. The blood based IQLung strategy for lung cancer patients integrates the GeneStrat® ddPCR test, the GeneStrat NGS test and the VeriStrat® test to support treatment decisions across all stages of lung cancer.</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 addition to diagnostic tests, the Company provides biopharmaceutical companies with services that include diagnostic research, clinical trial testing, and the discovery, development, and commercialization of companion diagnostics. The Company leverages the proprietary and advanced Diagnostic Cortex® AI (Artificial Intelligence) platform, to collaborate with many of the world’s leading biotechnology and pharmaceutical companies to solve complex diagnostic challenges in lung disease.</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also offered three SARS-CoV-2 tests. The Bio-Rad SARS-CoV-2 ddPCR test, the cPASS</w:t>
      </w:r>
      <w:r>
        <w:rPr>
          <w:rFonts w:ascii="Times New Roman;serif" w:hAnsi="Times New Roman;serif"/>
          <w:b w:val="false"/>
          <w:i/>
          <w:sz w:val="20"/>
        </w:rPr>
        <w:t xml:space="preserve"> </w:t>
      </w:r>
      <w:r>
        <w:rPr>
          <w:rFonts w:ascii="Times New Roman;serif" w:hAnsi="Times New Roman;serif"/>
          <w:b w:val="false"/>
          <w:sz w:val="20"/>
        </w:rPr>
        <w:t>neutralization antibody test kit, and the Platelia SARS-CoV-2 Total Ab test have been granted Emergency Use Authorization (EUA) by the Federal Drug Administration (FDA) under Section 564 of the Federal Food, Drug, and Cosmetic Act (FDCA).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The EUA declaration under Section 564 of the FDCA is distinct from and independent of the declaration by the Secretary of HHS of a public health emergency under Section 319 of the Public Health Service Act (the PHS Act). On January 30, 2023, the White House issued a Statement of Administration Policy announcing the President’s intention to allow the Public Health Emergency declaration under Section 319 to expire on May 11, 2023. Because the EUA declaration from the FDA is distinct from the declaration under Section 319 of the PHS Act, the FDA EUA may remain in effect beyond the duration of the Section 319 declaration. We cannot predict how long the EUAs for the SARS-CoV-2 tests will remain in place. In connection with the expiration of the Public Health Emergency declaration under Section 319, the Company no longer provides commercial COVID-19 diagnostic testing services.</w:t>
      </w:r>
    </w:p>
    <w:p>
      <w:pPr>
        <w:pStyle w:val="TextBody"/>
        <w:bidi w:val="0"/>
        <w:spacing w:before="120" w:after="0"/>
        <w:jc w:val="both"/>
        <w:rPr>
          <w:rFonts w:ascii="Times New Roman;serif" w:hAnsi="Times New Roman;serif"/>
          <w:b/>
          <w:sz w:val="20"/>
        </w:rPr>
      </w:pPr>
      <w:r>
        <w:rPr>
          <w:rFonts w:ascii="Times New Roman;serif" w:hAnsi="Times New Roman;serif"/>
          <w:b/>
          <w:sz w:val="20"/>
        </w:rPr>
        <w:t>Blood-Based Lung Tests</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offers five</w:t>
      </w:r>
      <w:r>
        <w:rPr>
          <w:rFonts w:ascii="Times New Roman" w:hAnsi="Times New Roman"/>
          <w:sz w:val="20"/>
        </w:rPr>
        <w:t xml:space="preserve"> </w:t>
      </w:r>
      <w:r>
        <w:rPr>
          <w:rFonts w:ascii="Times New Roman;serif" w:hAnsi="Times New Roman;serif"/>
          <w:b w:val="false"/>
          <w:sz w:val="20"/>
        </w:rPr>
        <w:t>blood-based lung cancer tests across the lung cancer continuum of care:</w:t>
      </w:r>
    </w:p>
    <w:p>
      <w:pPr>
        <w:pStyle w:val="TextBody"/>
        <w:bidi w:val="0"/>
        <w:spacing w:before="120" w:after="0"/>
        <w:jc w:val="both"/>
        <w:rPr>
          <w:rFonts w:ascii="Times New Roman;serif" w:hAnsi="Times New Roman;serif"/>
          <w:b w:val="false"/>
          <w:i/>
          <w:sz w:val="20"/>
          <w:u w:val="single"/>
        </w:rPr>
      </w:pPr>
      <w:r>
        <w:rPr>
          <w:rFonts w:ascii="Times New Roman;serif" w:hAnsi="Times New Roman;serif"/>
          <w:b w:val="false"/>
          <w:i/>
          <w:sz w:val="20"/>
          <w:u w:val="single"/>
        </w:rPr>
        <w:t>Diagnosis</w:t>
      </w:r>
    </w:p>
    <w:p>
      <w:pPr>
        <w:pStyle w:val="TextBody"/>
        <w:bidi w:val="0"/>
        <w:spacing w:before="120" w:after="0"/>
        <w:jc w:val="both"/>
        <w:rPr/>
      </w:pPr>
      <w:r>
        <w:rPr/>
        <w:t>•</w:t>
      </w:r>
    </w:p>
    <w:p>
      <w:pPr>
        <w:pStyle w:val="TextBody"/>
        <w:bidi w:val="0"/>
        <w:spacing w:before="120" w:after="283"/>
        <w:jc w:val="both"/>
        <w:rPr>
          <w:rFonts w:ascii="Times New Roman;serif" w:hAnsi="Times New Roman;serif"/>
          <w:sz w:val="20"/>
        </w:rPr>
      </w:pPr>
      <w:r>
        <w:rPr>
          <w:rFonts w:ascii="Times New Roman;serif" w:hAnsi="Times New Roman;serif"/>
          <w:b w:val="false"/>
          <w:i/>
          <w:sz w:val="20"/>
        </w:rPr>
        <w:t xml:space="preserve">Nodify XL2 </w:t>
      </w:r>
      <w:r>
        <w:rPr>
          <w:rFonts w:ascii="Times New Roman;serif" w:hAnsi="Times New Roman;serif"/>
          <w:b w:val="false"/>
          <w:sz w:val="20"/>
        </w:rPr>
        <w:t xml:space="preserve">and </w:t>
      </w:r>
      <w:r>
        <w:rPr>
          <w:rFonts w:ascii="Times New Roman;serif" w:hAnsi="Times New Roman;serif"/>
          <w:b w:val="false"/>
          <w:i/>
          <w:sz w:val="20"/>
        </w:rPr>
        <w:t>Nodify CDT</w:t>
      </w:r>
      <w:r>
        <w:rPr>
          <w:rFonts w:ascii="Times New Roman;serif" w:hAnsi="Times New Roman;serif"/>
          <w:sz w:val="20"/>
        </w:rPr>
        <w:t xml:space="preserve"> </w:t>
      </w:r>
      <w:r>
        <w:rPr>
          <w:rFonts w:ascii="Times New Roman;serif" w:hAnsi="Times New Roman;serif"/>
          <w:b w:val="false"/>
          <w:sz w:val="20"/>
        </w:rPr>
        <w:t>tests, marketed as our Nodify Lung Nodule Risk Assessment testing strategy, assess a suspicious lung nodule's risk of lung cancer to help identify the most appropriate treatment pathway. We believe we are the only company to offer two</w:t>
      </w:r>
      <w:r>
        <w:rPr>
          <w:rFonts w:ascii="Times New Roman;serif" w:hAnsi="Times New Roman;serif"/>
          <w:sz w:val="20"/>
        </w:rPr>
        <w:t xml:space="preserve"> </w:t>
      </w:r>
      <w:r>
        <w:rPr>
          <w:rFonts w:ascii="Times New Roman;serif" w:hAnsi="Times New Roman;serif"/>
          <w:b w:val="false"/>
          <w:sz w:val="20"/>
        </w:rPr>
        <w:t>commercial blood-based tests to help physicians reclassify risk of malignancy in patients with suspicious lung nodules.</w:t>
      </w:r>
    </w:p>
    <w:p>
      <w:pPr>
        <w:pStyle w:val="TextBody"/>
        <w:bidi w:val="0"/>
        <w:spacing w:before="120" w:after="0"/>
        <w:jc w:val="both"/>
        <w:rPr>
          <w:rFonts w:ascii="Times New Roman;serif" w:hAnsi="Times New Roman;serif"/>
          <w:b w:val="false"/>
          <w:i/>
          <w:sz w:val="20"/>
          <w:u w:val="single"/>
        </w:rPr>
      </w:pPr>
      <w:r>
        <w:rPr>
          <w:rFonts w:ascii="Times New Roman;serif" w:hAnsi="Times New Roman;serif"/>
          <w:b w:val="false"/>
          <w:i/>
          <w:sz w:val="20"/>
          <w:u w:val="single"/>
        </w:rPr>
        <w:t>Treatment &amp; Monitoring</w:t>
      </w:r>
    </w:p>
    <w:p>
      <w:pPr>
        <w:pStyle w:val="TextBody"/>
        <w:bidi w:val="0"/>
        <w:spacing w:before="120" w:after="0"/>
        <w:jc w:val="both"/>
        <w:rPr/>
      </w:pPr>
      <w:r>
        <w:rPr/>
        <w:t>•</w:t>
      </w:r>
    </w:p>
    <w:p>
      <w:pPr>
        <w:pStyle w:val="TextBody"/>
        <w:bidi w:val="0"/>
        <w:spacing w:before="120" w:after="0"/>
        <w:jc w:val="both"/>
        <w:rPr>
          <w:rFonts w:ascii="Times New Roman;serif" w:hAnsi="Times New Roman;serif"/>
          <w:sz w:val="20"/>
        </w:rPr>
      </w:pPr>
      <w:r>
        <w:rPr>
          <w:rFonts w:ascii="Times New Roman;serif" w:hAnsi="Times New Roman;serif"/>
          <w:b w:val="false"/>
          <w:i/>
          <w:sz w:val="20"/>
        </w:rPr>
        <w:t xml:space="preserve">GeneStrat ddPCR </w:t>
      </w:r>
      <w:r>
        <w:rPr>
          <w:rFonts w:ascii="Times New Roman;serif" w:hAnsi="Times New Roman;serif"/>
          <w:b w:val="false"/>
          <w:sz w:val="20"/>
        </w:rPr>
        <w:t xml:space="preserve">and </w:t>
      </w:r>
      <w:r>
        <w:rPr>
          <w:rFonts w:ascii="Times New Roman;serif" w:hAnsi="Times New Roman;serif"/>
          <w:b w:val="false"/>
          <w:i/>
          <w:sz w:val="20"/>
        </w:rPr>
        <w:t>VeriStrat</w:t>
      </w:r>
      <w:r>
        <w:rPr>
          <w:rFonts w:ascii="Times New Roman;serif" w:hAnsi="Times New Roman;serif"/>
          <w:sz w:val="20"/>
        </w:rPr>
        <w:t xml:space="preserve"> </w:t>
      </w:r>
      <w:r>
        <w:rPr>
          <w:rFonts w:ascii="Times New Roman;serif" w:hAnsi="Times New Roman;serif"/>
          <w:b w:val="false"/>
          <w:sz w:val="20"/>
        </w:rPr>
        <w:t>tests, marketed as part of our IQLung testing strategy, are used following diagnosis of lung cancer to measure the presence of mutations in the tumor and the state of the patient’s immune system to establish the patient’s prognosis and help guide treatment decisions. The GeneStrat ddPCR tumor profiling test and the VeriStrat immune profiling test have a turnaround time of two business days, providing physicians with timely results to facilitate treatment decisions.</w:t>
      </w:r>
    </w:p>
    <w:p>
      <w:pPr>
        <w:pStyle w:val="TextBody"/>
        <w:bidi w:val="0"/>
        <w:spacing w:before="120" w:after="0"/>
        <w:jc w:val="both"/>
        <w:rPr/>
      </w:pPr>
      <w:r>
        <w:rPr/>
        <w:t>•</w:t>
      </w:r>
    </w:p>
    <w:p>
      <w:pPr>
        <w:pStyle w:val="TextBody"/>
        <w:bidi w:val="0"/>
        <w:spacing w:before="120" w:after="283"/>
        <w:jc w:val="both"/>
        <w:rPr>
          <w:rFonts w:ascii="Times New Roman;serif" w:hAnsi="Times New Roman;serif"/>
          <w:sz w:val="20"/>
        </w:rPr>
      </w:pPr>
      <w:r>
        <w:rPr>
          <w:rFonts w:ascii="Times New Roman;serif" w:hAnsi="Times New Roman;serif"/>
          <w:b w:val="false"/>
          <w:i/>
          <w:sz w:val="20"/>
        </w:rPr>
        <w:t xml:space="preserve">GeneStrat NGS </w:t>
      </w:r>
      <w:r>
        <w:rPr>
          <w:rFonts w:ascii="Times New Roman;serif" w:hAnsi="Times New Roman;serif"/>
          <w:b w:val="false"/>
          <w:sz w:val="20"/>
        </w:rPr>
        <w:t>(NGS) test, also marketed as part of our IQLung testing strategy, is our blood-based NGS test with results in three business days. The NGS test was launched in November 2021 to a select group of physicians, with national launch in January 2022. The 52-gene panel includes guideline recommended mutations to help physicians treating advanced-stage lung cancer patients identify targeted therapy mutations in genes, such as EGFR, ALK, KRAS, MET, NTRK, ERBB2, and others, and delivers them in an expedited timeframe so patient treatment can begin sooner.</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Financial Statements</w:t>
      </w:r>
    </w:p>
    <w:p>
      <w:pPr>
        <w:pStyle w:val="TextBody"/>
        <w:bidi w:val="0"/>
        <w:spacing w:before="0" w:after="0"/>
        <w:jc w:val="center"/>
        <w:rPr/>
      </w:pPr>
      <w:r>
        <w:rPr/>
        <w:t> </w:t>
      </w:r>
    </w:p>
    <w:p>
      <w:pPr>
        <w:pStyle w:val="TextBody"/>
        <w:bidi w:val="0"/>
        <w:spacing w:before="120" w:after="0"/>
        <w:jc w:val="both"/>
        <w:rPr>
          <w:rFonts w:ascii="Times New Roman" w:hAnsi="Times New Roman"/>
          <w:sz w:val="20"/>
        </w:rPr>
      </w:pPr>
      <w:r>
        <w:rPr>
          <w:rFonts w:ascii="Times New Roman;serif" w:hAnsi="Times New Roman;serif"/>
          <w:b/>
          <w:sz w:val="20"/>
        </w:rPr>
        <w:t>COVID-19 Tests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We operated and commercialized the Biodesix WorkSafe testing program, under which the Company offered three</w:t>
      </w:r>
      <w:r>
        <w:rPr>
          <w:rFonts w:ascii="Times New Roman" w:hAnsi="Times New Roman"/>
          <w:sz w:val="20"/>
        </w:rPr>
        <w:t xml:space="preserve"> </w:t>
      </w:r>
      <w:r>
        <w:rPr>
          <w:rFonts w:ascii="Times New Roman;serif" w:hAnsi="Times New Roman;serif"/>
          <w:b w:val="false"/>
          <w:sz w:val="20"/>
        </w:rPr>
        <w:t>SARS-CoV-2 tests:</w:t>
      </w:r>
    </w:p>
    <w:p>
      <w:pPr>
        <w:pStyle w:val="TextBody"/>
        <w:bidi w:val="0"/>
        <w:spacing w:before="120" w:after="0"/>
        <w:jc w:val="both"/>
        <w:rPr/>
      </w:pPr>
      <w:r>
        <w:rPr/>
        <w:t>•</w:t>
      </w:r>
    </w:p>
    <w:p>
      <w:pPr>
        <w:pStyle w:val="TextBody"/>
        <w:bidi w:val="0"/>
        <w:spacing w:before="120" w:after="0"/>
        <w:jc w:val="both"/>
        <w:rPr>
          <w:rFonts w:ascii="Times New Roman;serif" w:hAnsi="Times New Roman;serif"/>
          <w:sz w:val="20"/>
        </w:rPr>
      </w:pPr>
      <w:r>
        <w:rPr>
          <w:rFonts w:ascii="Times New Roman;serif" w:hAnsi="Times New Roman;serif"/>
          <w:b w:val="false"/>
          <w:i/>
          <w:sz w:val="20"/>
        </w:rPr>
        <w:t xml:space="preserve">Bio-Rad SARS-CoV-2 ddPCR </w:t>
      </w:r>
      <w:r>
        <w:rPr>
          <w:rFonts w:ascii="Times New Roman;serif" w:hAnsi="Times New Roman;serif"/>
          <w:b w:val="false"/>
          <w:sz w:val="20"/>
        </w:rPr>
        <w:t>test, which is FDA EUA authorized to be performed by Clinical Laboratory Institute Amendments (CLIA) authorized laboratories that perform high complexity tests. The ddPCR test is designed to detect the presence of current infection by the SARS-CoV-2 virus.</w:t>
      </w:r>
    </w:p>
    <w:p>
      <w:pPr>
        <w:pStyle w:val="TextBody"/>
        <w:bidi w:val="0"/>
        <w:spacing w:before="120" w:after="0"/>
        <w:jc w:val="both"/>
        <w:rPr/>
      </w:pPr>
      <w:r>
        <w:rPr/>
        <w:t>•</w:t>
      </w:r>
    </w:p>
    <w:p>
      <w:pPr>
        <w:pStyle w:val="TextBody"/>
        <w:bidi w:val="0"/>
        <w:spacing w:before="120" w:after="0"/>
        <w:jc w:val="both"/>
        <w:rPr>
          <w:rFonts w:ascii="Times New Roman;serif" w:hAnsi="Times New Roman;serif"/>
          <w:sz w:val="20"/>
        </w:rPr>
      </w:pPr>
      <w:r>
        <w:rPr>
          <w:rFonts w:ascii="Times New Roman;serif" w:hAnsi="Times New Roman;serif"/>
          <w:b w:val="false"/>
          <w:i/>
          <w:sz w:val="20"/>
        </w:rPr>
        <w:t xml:space="preserve">Platelia SARS-CoV-2 Total Ab </w:t>
      </w:r>
      <w:r>
        <w:rPr>
          <w:rFonts w:ascii="Times New Roman;serif" w:hAnsi="Times New Roman;serif"/>
          <w:b w:val="false"/>
          <w:sz w:val="20"/>
        </w:rPr>
        <w:t>test, which is an antibody test, FDA EUA authorized by the FDA, intended for detecting a B-cell immune response to SARS-CoV-2, indicating recent or prior infection.</w:t>
      </w:r>
    </w:p>
    <w:p>
      <w:pPr>
        <w:pStyle w:val="TextBody"/>
        <w:bidi w:val="0"/>
        <w:spacing w:before="120" w:after="0"/>
        <w:jc w:val="both"/>
        <w:rPr/>
      </w:pPr>
      <w:r>
        <w:rPr/>
        <w:t>•</w:t>
      </w:r>
    </w:p>
    <w:p>
      <w:pPr>
        <w:pStyle w:val="TextBody"/>
        <w:bidi w:val="0"/>
        <w:spacing w:before="120" w:after="283"/>
        <w:jc w:val="both"/>
        <w:rPr>
          <w:rFonts w:ascii="Times New Roman;serif" w:hAnsi="Times New Roman;serif"/>
          <w:sz w:val="20"/>
        </w:rPr>
      </w:pPr>
      <w:r>
        <w:rPr>
          <w:rFonts w:ascii="Times New Roman;serif" w:hAnsi="Times New Roman;serif"/>
          <w:b w:val="false"/>
          <w:i/>
          <w:sz w:val="20"/>
        </w:rPr>
        <w:t xml:space="preserve">cPass SARS-CoV-2 Neutralization Antibody </w:t>
      </w:r>
      <w:r>
        <w:rPr>
          <w:rFonts w:ascii="Times New Roman;serif" w:hAnsi="Times New Roman;serif"/>
          <w:b w:val="false"/>
          <w:sz w:val="20"/>
        </w:rPr>
        <w:t>test, which is the first blood-based surrogate neutralizing antibody test with FDA EUA and uses ELISA technology to qualitatively detect circulating neutralizing antibodies to the receptor binding domain (RBD) in the spike protein of SARS-CoV-2 that are produced in response to a previous SARS-CoV-2 infection. This test was commercially introduced in partnership with GenScript Biotech Corporation.</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These tests under the Biodesix WorkSafe testing program were utilized by healthcare providers, including hospitals and nursing homes, and were also offered to businesses and educational systems.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On January 30, 2023, the White House issued a Statement of Administration Policy announcing the President’s intention to allow the Public Health Emergency declaration under Section 319 to expire on May 11, 2023. In connection with the expiration of the Public Health Emergency declaration under Section 319, the Company no longer provides commercial COVID-19 diagnostic testing services.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 developing the Company's products, the Company has built or gained access to unique biorepositories, proprietary technology, and bioinformatics methods that it believes are important to the development of new targeted therapies, determining clinical trial eligibility and guiding treatment selection. The Company’s testing services are made available through its clinical laboratories.</w:t>
      </w:r>
    </w:p>
    <w:p>
      <w:pPr>
        <w:pStyle w:val="TextBody"/>
        <w:bidi w:val="0"/>
        <w:spacing w:before="240" w:after="0"/>
        <w:jc w:val="both"/>
        <w:rPr>
          <w:rFonts w:ascii="Times New Roman;serif" w:hAnsi="Times New Roman;serif"/>
          <w:b/>
          <w:sz w:val="20"/>
        </w:rPr>
      </w:pPr>
      <w:r>
        <w:rPr>
          <w:rFonts w:ascii="Times New Roman;serif" w:hAnsi="Times New Roman;serif"/>
          <w:b/>
          <w:sz w:val="20"/>
        </w:rPr>
        <w:t>Note 2 – Summary of Significant Accounting Policies</w:t>
      </w:r>
    </w:p>
    <w:p>
      <w:pPr>
        <w:pStyle w:val="TextBody"/>
        <w:bidi w:val="0"/>
        <w:spacing w:before="120" w:after="0"/>
        <w:jc w:val="both"/>
        <w:rPr>
          <w:rFonts w:ascii="Times New Roman;serif" w:hAnsi="Times New Roman;serif"/>
          <w:b/>
          <w:i/>
          <w:sz w:val="20"/>
        </w:rPr>
      </w:pPr>
      <w:r>
        <w:rPr>
          <w:rFonts w:ascii="Times New Roman;serif" w:hAnsi="Times New Roman;serif"/>
          <w:b/>
          <w:i/>
          <w:sz w:val="20"/>
        </w:rPr>
        <w:t>Basis of Presentation</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accompanying unaudited condensed financial statements have been prepared in accordance with the instructions to Form 10-Q and Rule 10-01 of Regulation S-X for interim financial information and reflect all 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The accompanying unaudited condensed financial statements should be read in conjunction with the audited financial statements included in the Company’s Annual Report on Form 10-K for the year ended December 31, 2022. Certain information and footnote disclosures, including significant accounting policies, normally included in fiscal year financial statements prepared in accordance with accounting principles generally accepted in the U.S. (GAAP) have been condensed or omitted. The condensed balance sheet as of December 31, 2022 was derived from the audited financial statements.</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Liquidity and Capital Resources</w:t>
      </w:r>
    </w:p>
    <w:p>
      <w:pPr>
        <w:pStyle w:val="TextBody"/>
        <w:bidi w:val="0"/>
        <w:spacing w:before="120" w:after="0"/>
        <w:jc w:val="both"/>
        <w:rPr>
          <w:rFonts w:ascii="Times New Roman" w:hAnsi="Times New Roman"/>
          <w:sz w:val="20"/>
        </w:rPr>
      </w:pPr>
      <w:r>
        <w:rPr>
          <w:rFonts w:ascii="Times New Roman;serif" w:hAnsi="Times New Roman;serif"/>
          <w:b w:val="false"/>
          <w:sz w:val="20"/>
        </w:rPr>
        <w:t>As of June 30, 2023, we maintained cash and cash equivalents of $17.4</w:t>
      </w:r>
      <w:r>
        <w:rPr>
          <w:rFonts w:ascii="Times New Roman" w:hAnsi="Times New Roman"/>
          <w:sz w:val="20"/>
        </w:rPr>
        <w:t xml:space="preserve"> </w:t>
      </w:r>
      <w:r>
        <w:rPr>
          <w:rFonts w:ascii="Times New Roman;serif" w:hAnsi="Times New Roman;serif"/>
          <w:b w:val="false"/>
          <w:sz w:val="20"/>
        </w:rPr>
        <w:t>million and we have $30.0</w:t>
      </w:r>
      <w:r>
        <w:rPr>
          <w:rFonts w:ascii="Times New Roman" w:hAnsi="Times New Roman"/>
          <w:sz w:val="20"/>
        </w:rPr>
        <w:t xml:space="preserve"> </w:t>
      </w:r>
      <w:r>
        <w:rPr>
          <w:rFonts w:ascii="Times New Roman;serif" w:hAnsi="Times New Roman;serif"/>
          <w:b w:val="false"/>
          <w:sz w:val="20"/>
        </w:rPr>
        <w:t xml:space="preserve">million in outstanding aggregate principal amount on our Perceptive Term Loan Facility (see Note </w:t>
      </w:r>
      <w:r>
        <w:rPr>
          <w:rFonts w:ascii="Times New Roman;serif" w:hAnsi="Times New Roman;serif"/>
          <w:b w:val="false"/>
          <w:i/>
          <w:sz w:val="20"/>
        </w:rPr>
        <w:t>6</w:t>
      </w:r>
      <w:r>
        <w:rPr>
          <w:rFonts w:ascii="Times New Roman" w:hAnsi="Times New Roman"/>
          <w:sz w:val="20"/>
        </w:rPr>
        <w:t xml:space="preserve"> – </w:t>
      </w:r>
      <w:r>
        <w:rPr>
          <w:rFonts w:ascii="Times New Roman;serif" w:hAnsi="Times New Roman;serif"/>
          <w:b w:val="false"/>
          <w:i/>
          <w:sz w:val="20"/>
        </w:rPr>
        <w:t>Debt</w:t>
      </w:r>
      <w:r>
        <w:rPr>
          <w:rFonts w:ascii="Times New Roman;serif" w:hAnsi="Times New Roman;serif"/>
          <w:b w:val="false"/>
          <w:sz w:val="20"/>
        </w:rPr>
        <w:t xml:space="preserve">). We have incurred significant losses since inception and, as a result, we have funded our operations to date primarily through the sale of common stock, the sale of convertible preferred stock, the issuance of notes payable, and from our two primary revenue sources: (i) diagnostic testing, which includes lung diagnostic testing and, prior to May 11, 2023, COVID-19 testing, and (ii) providing biopharmaceutical companies with development and testing services. In accordance with Accounting Standards Update 2014-15 (ASC Topic 205-40), </w:t>
      </w:r>
      <w:r>
        <w:rPr>
          <w:rFonts w:ascii="Times New Roman;serif" w:hAnsi="Times New Roman;serif"/>
          <w:b w:val="false"/>
          <w:i/>
          <w:sz w:val="20"/>
        </w:rPr>
        <w:t>Presentation of Financial Statements - Going Concern: Disclosure of Uncertainties about an Entity’s Ability to Continue as a Going Concern</w:t>
      </w:r>
      <w:r>
        <w:rPr>
          <w:rFonts w:ascii="Times New Roman;serif" w:hAnsi="Times New Roman;serif"/>
          <w:b w:val="false"/>
          <w:sz w:val="20"/>
        </w:rPr>
        <w:t>, the Company is required to evaluate whether there is substantial doubt about its ability to continue as a going concern each reporting period, including interim periods. In evaluating the Company’s ability to continue as a going concern, management projected its cash flow sources and evaluated the conditions and events that could raise substantial doubt about the Company’s ability to continue as a going concern within one year after the date that these financial statements were issued. Management considered the Company’s current projections of future cash flows, current financial condition, sources of liquidity and debt obligations for at least one year from the date of issuance of this Form 10-Q in considering whether it has the ability to meet its obligations.</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Our ability to meet our obligations as they come due may be impacted by our ability to remain compliant with financial covenants in our Perceptive Term Loan Facility (see Note 6 – </w:t>
      </w:r>
      <w:r>
        <w:rPr>
          <w:rFonts w:ascii="Times New Roman;serif" w:hAnsi="Times New Roman;serif"/>
          <w:b w:val="false"/>
          <w:i/>
          <w:sz w:val="20"/>
        </w:rPr>
        <w:t>Debt</w:t>
      </w:r>
      <w:r>
        <w:rPr>
          <w:rFonts w:ascii="Times New Roman;serif" w:hAnsi="Times New Roman;serif"/>
          <w:b w:val="false"/>
          <w:sz w:val="20"/>
        </w:rPr>
        <w:t>) or to obtain waivers or amendments that impact the related covenants. As of June 30, 2023, the Company was in compliance with all restrictive and financial covenants associated with its borrowings.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Financial Statements</w:t>
      </w:r>
    </w:p>
    <w:p>
      <w:pPr>
        <w:pStyle w:val="TextBody"/>
        <w:bidi w:val="0"/>
        <w:spacing w:before="0" w:after="0"/>
        <w:jc w:val="center"/>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20"/>
        </w:rPr>
        <w:t>Based on our current operating plan, unless we continue to raise additional capital (debt or equity) or obtain a waiver from complying with such financial covenants, we expect that we will be unable to maintain our financial covenants under our existing loan agreement during the next twelve months, which could result in an Event of Default (as defined in the Perceptive Term Loan Facility), causing an acceleration and repayment of the outstanding balances. We have taken steps to improve our liquidity through raising debt and equity capital and amended the agreement with Integrated Diagnostics (Indi) during 2022 to delay near term cash requirements and extend the period of milestone payments. We have also undertaken several proactive measures including, among other things, the reduction of planned capital expenditures and certain operating expenses, but we do not expect that these actions alone will be sufficient to maintain our financial covenants. The Perceptive Term Loan Facility requires the Company to recognize revenue in amounts agreed to between the Company and Perceptive as of the last day of each fiscal quarter commencing on the fiscal quarter ending March 31, 2023. On May 10, 2023 (the First Amendment Effective Date), the Company entered into the First Amendment to the Credit Agreement (the First Amendment), whereby subject to the terms and conditions of the First Amendment, the Minimum Net Revenue Covenant (as defined in the Credit Agreement) was amended to reduce the relevant threshold through the twelve month period ended March 31, 2024. Subsequent to June 30, 2023, the Company entered into a second amendment to the Perceptive Term Loan Facility and raised approximately $27.5</w:t>
      </w:r>
      <w:r>
        <w:rPr>
          <w:rFonts w:ascii="Times New Roman" w:hAnsi="Times New Roman"/>
          <w:sz w:val="20"/>
        </w:rPr>
        <w:t xml:space="preserve"> </w:t>
      </w:r>
      <w:r>
        <w:rPr>
          <w:rFonts w:ascii="Times New Roman;serif" w:hAnsi="Times New Roman;serif"/>
          <w:b w:val="false"/>
          <w:sz w:val="20"/>
        </w:rPr>
        <w:t xml:space="preserve">million in net proceeds through a private placement equity offering (see Note 14 - </w:t>
      </w:r>
      <w:r>
        <w:rPr>
          <w:rFonts w:ascii="Times New Roman;serif" w:hAnsi="Times New Roman;serif"/>
          <w:b w:val="false"/>
          <w:i/>
          <w:sz w:val="20"/>
        </w:rPr>
        <w:t>Subsequent Events</w:t>
      </w:r>
      <w:r>
        <w:rPr>
          <w:rFonts w:ascii="Times New Roman;serif" w:hAnsi="Times New Roman;serif"/>
          <w:b w:val="false"/>
          <w:sz w:val="20"/>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To maintain an adequate amount of available liquidity and execute our current operating plan, we will need to continue to raise additional funds from external sources, such as through the issuance of equity or debt securities; however, we have not secured such funding at the time of this filing and any such financing activities are subject to market conditions. If we raise additional capital through debt financing, we may be subject to covenants limiting or restricting our ability to take specific actions, such as incurring additional debt, making capital expenditures or declaring dividends.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There can be no assurance that additional capital will be available to us or, if available, will be available in sufficient amounts or on terms acceptable to us or on a timely basis. If adequate capital resources are not available on a timely basis, we intend to consider limiting our operations substantially. This limitation of operations could include a hiring freeze, reductions in our workforce, reduction in cash compensation, deferring capital expenditures, and reducing other operating costs.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expect to continue to incur operating losses in the near term while we make investments to support our anticipated growth. Our current operating plan, which is in part determined based on our most recent historical actual results and trends, along with the items noted above, raises substantial doubt about the Company’s ability to continue as a going concern for a period beyond one year after these financial statements are issued. Our unaudited financial statements have been prepared assuming we will continue as a going concern and do not include any adjustments that might be necessary should we be unable to continue as a going concern.</w:t>
      </w:r>
    </w:p>
    <w:p>
      <w:pPr>
        <w:pStyle w:val="TextBody"/>
        <w:bidi w:val="0"/>
        <w:spacing w:before="120" w:after="0"/>
        <w:jc w:val="both"/>
        <w:rPr>
          <w:rFonts w:ascii="Times New Roman;serif" w:hAnsi="Times New Roman;serif"/>
          <w:b/>
          <w:i/>
          <w:sz w:val="20"/>
        </w:rPr>
      </w:pPr>
      <w:r>
        <w:rPr>
          <w:rFonts w:ascii="Times New Roman;serif" w:hAnsi="Times New Roman;serif"/>
          <w:b/>
          <w:i/>
          <w:sz w:val="20"/>
        </w:rPr>
        <w:t>Use of Estimates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preparation of financial statements in conformity with GAAP requires management to make estimates and assumptions that affect the reported amounts of assets and liabilities, the disclosure of contingent assets and liabilities at the balance sheet date and the reported amounts of revenue and expenses during the reporting periods. Actual results could differ from those estimates.</w:t>
      </w:r>
    </w:p>
    <w:p>
      <w:pPr>
        <w:pStyle w:val="TextBody"/>
        <w:bidi w:val="0"/>
        <w:spacing w:before="120" w:after="0"/>
        <w:jc w:val="both"/>
        <w:rPr>
          <w:rFonts w:ascii="Times New Roman;serif" w:hAnsi="Times New Roman;serif"/>
          <w:b/>
          <w:i/>
          <w:sz w:val="20"/>
        </w:rPr>
      </w:pPr>
      <w:r>
        <w:rPr>
          <w:rFonts w:ascii="Times New Roman;serif" w:hAnsi="Times New Roman;serif"/>
          <w:b/>
          <w:i/>
          <w:sz w:val="20"/>
        </w:rPr>
        <w:t>Concentrations of Credit Risk and Other Uncertainties</w:t>
      </w:r>
    </w:p>
    <w:p>
      <w:pPr>
        <w:pStyle w:val="TextBody"/>
        <w:bidi w:val="0"/>
        <w:spacing w:before="120" w:after="0"/>
        <w:jc w:val="both"/>
        <w:rPr>
          <w:rFonts w:ascii="Times New Roman" w:hAnsi="Times New Roman"/>
          <w:sz w:val="20"/>
        </w:rPr>
      </w:pPr>
      <w:r>
        <w:rPr>
          <w:rFonts w:ascii="Times New Roman;serif" w:hAnsi="Times New Roman;serif"/>
          <w:b w:val="false"/>
          <w:sz w:val="20"/>
        </w:rPr>
        <w:t>Substantially all of the Company’s cash and cash equivalents are deposited with one major financial institution in the United States. The Company continually monitors its positions with, and the credit quality of, the financial institution with which it holds cash. Periodically throughout the year, the Company has maintained balances in various operating accounts in excess of federally insured limits. The Company has not experienced any losses on its deposits of cash and cash equivalents.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Several of the components for certain of the Company's sample collection kits, test reagents, and test systems are obtained from single-source suppliers. If these single-source suppliers fail to satisfy the Company's requirements on a timely basis, the Company could suffer delays in being able to deliver its diagnostic solutions, a possible loss of revenue, or incur higher costs, any of which could adversely affect its operating results.</w:t>
      </w:r>
    </w:p>
    <w:p>
      <w:pPr>
        <w:pStyle w:val="TextBody"/>
        <w:bidi w:val="0"/>
        <w:spacing w:before="120" w:after="0"/>
        <w:jc w:val="both"/>
        <w:rPr>
          <w:rFonts w:ascii="Times New Roman" w:hAnsi="Times New Roman"/>
          <w:sz w:val="20"/>
        </w:rPr>
      </w:pPr>
      <w:r>
        <w:rPr>
          <w:rFonts w:ascii="Times New Roman;serif" w:hAnsi="Times New Roman;serif"/>
          <w:b w:val="false"/>
          <w:sz w:val="20"/>
        </w:rPr>
        <w:t>For a discussion of credit risk concentration of accounts receivable as of June 30, 2023 and December 31, 2022, see Note 9</w:t>
      </w:r>
      <w:r>
        <w:rPr>
          <w:rFonts w:ascii="Times New Roman" w:hAnsi="Times New Roman"/>
          <w:sz w:val="20"/>
        </w:rPr>
        <w:t xml:space="preserve"> – </w:t>
      </w:r>
      <w:r>
        <w:rPr>
          <w:rFonts w:ascii="Times New Roman;serif" w:hAnsi="Times New Roman;serif"/>
          <w:b w:val="false"/>
          <w:i/>
          <w:sz w:val="20"/>
        </w:rPr>
        <w:t>Revenue and Accounts Receivable Credit Concentration</w:t>
      </w:r>
      <w:r>
        <w:rPr>
          <w:rFonts w:ascii="Times New Roman;serif" w:hAnsi="Times New Roman;serif"/>
          <w:b w:val="false"/>
          <w:sz w:val="20"/>
        </w:rPr>
        <w:t>.</w:t>
      </w:r>
      <w:r>
        <w:rPr>
          <w:rFonts w:ascii="Times New Roman" w:hAnsi="Times New Roman"/>
          <w:sz w:val="20"/>
        </w:rPr>
        <w:t xml:space="preserve"> </w:t>
      </w:r>
    </w:p>
    <w:p>
      <w:pPr>
        <w:pStyle w:val="TextBody"/>
        <w:bidi w:val="0"/>
        <w:spacing w:before="120" w:after="0"/>
        <w:jc w:val="both"/>
        <w:rPr>
          <w:rFonts w:ascii="Times New Roman;serif" w:hAnsi="Times New Roman;serif"/>
          <w:b/>
          <w:i/>
          <w:sz w:val="20"/>
        </w:rPr>
      </w:pPr>
      <w:r>
        <w:rPr>
          <w:rFonts w:ascii="Times New Roman;serif" w:hAnsi="Times New Roman;serif"/>
          <w:b/>
          <w:i/>
          <w:sz w:val="20"/>
        </w:rPr>
        <w:t>Restricted Cash</w:t>
      </w:r>
    </w:p>
    <w:p>
      <w:pPr>
        <w:pStyle w:val="TextBody"/>
        <w:bidi w:val="0"/>
        <w:spacing w:before="120" w:after="0"/>
        <w:jc w:val="both"/>
        <w:rPr>
          <w:rFonts w:ascii="Times New Roman" w:hAnsi="Times New Roman"/>
          <w:sz w:val="20"/>
        </w:rPr>
      </w:pPr>
      <w:r>
        <w:rPr>
          <w:rFonts w:ascii="Times New Roman;serif" w:hAnsi="Times New Roman;serif"/>
          <w:b w:val="false"/>
          <w:sz w:val="20"/>
        </w:rPr>
        <w:t>Restricted cash consists of deposits related to the Company’s corporate credit card. As of June 30, 2023 and December 31, 2022, the Company</w:t>
      </w:r>
      <w:r>
        <w:rPr>
          <w:rFonts w:ascii="Times New Roman" w:hAnsi="Times New Roman"/>
          <w:sz w:val="20"/>
        </w:rPr>
        <w:t xml:space="preserve"> </w:t>
      </w:r>
      <w:r>
        <w:rPr>
          <w:rFonts w:ascii="Times New Roman;serif" w:hAnsi="Times New Roman;serif"/>
          <w:b w:val="false"/>
          <w:sz w:val="20"/>
        </w:rPr>
        <w:t>had $0.1</w:t>
      </w:r>
      <w:r>
        <w:rPr>
          <w:rFonts w:ascii="Times New Roman" w:hAnsi="Times New Roman"/>
          <w:sz w:val="20"/>
        </w:rPr>
        <w:t xml:space="preserve"> </w:t>
      </w:r>
      <w:r>
        <w:rPr>
          <w:rFonts w:ascii="Times New Roman;serif" w:hAnsi="Times New Roman;serif"/>
          <w:b w:val="false"/>
          <w:sz w:val="20"/>
        </w:rPr>
        <w:t>million restricted cash, respectively, which was included in ‘Other current assets</w:t>
      </w:r>
      <w:r>
        <w:rPr>
          <w:rFonts w:ascii="Times New Roman" w:hAnsi="Times New Roman"/>
          <w:sz w:val="20"/>
        </w:rPr>
        <w:t xml:space="preserve">’ </w:t>
      </w:r>
      <w:r>
        <w:rPr>
          <w:rFonts w:ascii="Times New Roman;serif" w:hAnsi="Times New Roman;serif"/>
          <w:b w:val="false"/>
          <w:sz w:val="20"/>
        </w:rPr>
        <w:t>in the accompanying condensed balance sheets.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Financial Statements</w:t>
      </w:r>
    </w:p>
    <w:p>
      <w:pPr>
        <w:pStyle w:val="TextBody"/>
        <w:bidi w:val="0"/>
        <w:spacing w:before="0" w:after="0"/>
        <w:jc w:val="center"/>
        <w:rPr/>
      </w:pPr>
      <w:r>
        <w:rPr/>
        <w:t> </w:t>
      </w:r>
    </w:p>
    <w:p>
      <w:pPr>
        <w:pStyle w:val="TextBody"/>
        <w:bidi w:val="0"/>
        <w:spacing w:before="120" w:after="0"/>
        <w:jc w:val="both"/>
        <w:rPr>
          <w:rFonts w:ascii="Times New Roman;serif" w:hAnsi="Times New Roman;serif"/>
          <w:b/>
          <w:i/>
          <w:sz w:val="20"/>
        </w:rPr>
      </w:pPr>
      <w:r>
        <w:rPr>
          <w:rFonts w:ascii="Times New Roman;serif" w:hAnsi="Times New Roman;serif"/>
          <w:b/>
          <w:i/>
          <w:sz w:val="20"/>
        </w:rPr>
        <w:t>Inventory</w:t>
      </w:r>
    </w:p>
    <w:p>
      <w:pPr>
        <w:pStyle w:val="TextBody"/>
        <w:bidi w:val="0"/>
        <w:spacing w:before="120" w:after="0"/>
        <w:jc w:val="both"/>
        <w:rPr>
          <w:rFonts w:ascii="Times New Roman" w:hAnsi="Times New Roman"/>
          <w:sz w:val="20"/>
        </w:rPr>
      </w:pPr>
      <w:r>
        <w:rPr>
          <w:rFonts w:ascii="Times New Roman;serif" w:hAnsi="Times New Roman;serif"/>
          <w:b w:val="false"/>
          <w:sz w:val="20"/>
        </w:rPr>
        <w:t>Inventory consists primarily of material supplies, which are consumed in the performance of testing services and charged to ‘Direct costs and expenses’. Inventory is stated at cost and reported within ‘Other current assets’ in the condensed balance sheets and was $1.4</w:t>
      </w:r>
      <w:r>
        <w:rPr>
          <w:rFonts w:ascii="Times New Roman" w:hAnsi="Times New Roman"/>
          <w:sz w:val="20"/>
        </w:rPr>
        <w:t xml:space="preserve"> </w:t>
      </w:r>
      <w:r>
        <w:rPr>
          <w:rFonts w:ascii="Times New Roman;serif" w:hAnsi="Times New Roman;serif"/>
          <w:b w:val="false"/>
          <w:sz w:val="20"/>
        </w:rPr>
        <w:t>million as of June 30, 2023 and December 31, 2022, respectively. The Company recorded a reserve for excess inventory of zero</w:t>
      </w:r>
      <w:r>
        <w:rPr>
          <w:rFonts w:ascii="Times New Roman" w:hAnsi="Times New Roman"/>
          <w:sz w:val="20"/>
        </w:rPr>
        <w:t xml:space="preserve"> </w:t>
      </w:r>
      <w:r>
        <w:rPr>
          <w:rFonts w:ascii="Times New Roman;serif" w:hAnsi="Times New Roman;serif"/>
          <w:b w:val="false"/>
          <w:sz w:val="20"/>
        </w:rPr>
        <w:t>and $0.1</w:t>
      </w:r>
      <w:r>
        <w:rPr>
          <w:rFonts w:ascii="Times New Roman" w:hAnsi="Times New Roman"/>
          <w:sz w:val="20"/>
        </w:rPr>
        <w:t xml:space="preserve"> </w:t>
      </w:r>
      <w:r>
        <w:rPr>
          <w:rFonts w:ascii="Times New Roman;serif" w:hAnsi="Times New Roman;serif"/>
          <w:b w:val="false"/>
          <w:sz w:val="20"/>
        </w:rPr>
        <w:t>million as of June 30, 2023 and December 31, 2022, respectively. During the six months ended June 30, 2023 and 2022, the Company recorded</w:t>
      </w:r>
      <w:r>
        <w:rPr>
          <w:rFonts w:ascii="Times New Roman" w:hAnsi="Times New Roman"/>
          <w:sz w:val="20"/>
        </w:rPr>
        <w:t xml:space="preserve"> </w:t>
      </w:r>
      <w:r>
        <w:rPr>
          <w:rFonts w:ascii="Times New Roman;serif" w:hAnsi="Times New Roman;serif"/>
          <w:b w:val="false"/>
          <w:sz w:val="20"/>
        </w:rPr>
        <w:t>$0.1</w:t>
      </w:r>
      <w:r>
        <w:rPr>
          <w:rFonts w:ascii="Times New Roman" w:hAnsi="Times New Roman"/>
          <w:sz w:val="20"/>
        </w:rPr>
        <w:t xml:space="preserve"> </w:t>
      </w:r>
      <w:r>
        <w:rPr>
          <w:rFonts w:ascii="Times New Roman;serif" w:hAnsi="Times New Roman;serif"/>
          <w:b w:val="false"/>
          <w:sz w:val="20"/>
        </w:rPr>
        <w:t>million and $0.5</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respectively, to the condensed statement of operations for excess and obsolete inventory.</w:t>
      </w:r>
    </w:p>
    <w:p>
      <w:pPr>
        <w:pStyle w:val="TextBody"/>
        <w:bidi w:val="0"/>
        <w:spacing w:before="120" w:after="0"/>
        <w:jc w:val="both"/>
        <w:rPr>
          <w:rFonts w:ascii="Times New Roman;serif" w:hAnsi="Times New Roman;serif"/>
          <w:b/>
          <w:i/>
          <w:sz w:val="20"/>
        </w:rPr>
      </w:pPr>
      <w:r>
        <w:rPr>
          <w:rFonts w:ascii="Times New Roman;serif" w:hAnsi="Times New Roman;serif"/>
          <w:b/>
          <w:i/>
          <w:sz w:val="20"/>
        </w:rPr>
        <w:t>Leases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 acts as a lessee under all its lease agreements and holds various real estate leases for its headquarters and laboratory facilities in Boulder, Colorado and De Soto, Kansas and other various copier and storage facility leases.</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The Company elected the following practical expedients as part of the adoption of ASC 842, </w:t>
      </w:r>
      <w:r>
        <w:rPr>
          <w:rFonts w:ascii="Times New Roman;serif" w:hAnsi="Times New Roman;serif"/>
          <w:b w:val="false"/>
          <w:i/>
          <w:sz w:val="20"/>
        </w:rPr>
        <w:t>Leases</w:t>
      </w:r>
      <w:r>
        <w:rPr>
          <w:rFonts w:ascii="Times New Roman;serif" w:hAnsi="Times New Roman;serif"/>
          <w:b w:val="false"/>
          <w:sz w:val="20"/>
        </w:rPr>
        <w:t>:</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Package of practical expedients which allows the Company to carry forward the historical lease classification;</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Hindsight practical expedient which allows the Company to use hindsight in determining the lease term, in assessing purchase options, and in assessing impairment of right-of-use (ROU) assets;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Short-term lease practical expedient which allows the Company to capitalize only those leases with an initial term of twelve months or more; and</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The practical expedient to account for lease and non-lease components (such as common area maintenance, utilities, insurance and taxes) as a single lease component for all classes of underlying assets.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Management determines if an arrangement is a lease at inception or upon modification of a contract. Leases are classified as either financing or operating, with classification affecting the pattern of expense recognition in the statements of operations. When determining whether a lease is a finance lease or an operating lease, ASC 842 does not specifically define criteria to determine the “major part of remaining economic life of the underlying asset” and “substantially all of the fair value of the underlying asset.” For lease classification determination, Management continues to use (i) 75% or greater to determine whether the lease term is a major part of the remaining economic life of the underlying asset and (ii) 90% or greater to determine whether the present value of the sum of lease payments is substantially all of the fair value of the underlying asset.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ROU assets represent the Company's right to use an underlying asset for the lease term. Lease liabilities represent the Company's obligation to make lease payments under the lease. Operating lease ROU assets and liabilities are recognized at the lease commencement date based on the present value of lease payments over the lease term. In determining the present value of lease payments, the Company uses either the rate implicit in the lease or its incremental borrowing rate, as applicable, based on the information available at lease commencement date. The Company applies the estimated incremental borrowing rates on a lease-by-lease level based on the economic environment associated with the lease. The operating lease ROU asset also includes any lease prepayments, net of lease incentives. Certain of the Company's leases include options to extend or terminate the lease. As leases approach maturity, the Company considers various factors such as market conditions and the terms of any renewal and termination options that may exist to determine whether we will renew or terminate the lease, as such, we generally do not include renewal or termination options in our lease terms for calculating our lease liability, as the options allow us to maintain operational flexibility and we are not reasonably certain we will exercise these options at the time of the lease commencement. The Company's lease agreements do not contain any material residual value guarantees or restrictive covenants. Lease expense for lease payments of operating leases is recognized on a straight-line basis over the term of the lease. The Company uses the long-lived assets impairment guidance to determine recognition and measurement of an ROU asset impairment, if any. The Company monitors for events or changes in circumstances that require a reassessment.</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Additional information and disclosures required by this standard are contained in Note 7 </w:t>
      </w:r>
      <w:r>
        <w:rPr>
          <w:rFonts w:ascii="Times New Roman" w:hAnsi="Times New Roman"/>
          <w:sz w:val="20"/>
        </w:rPr>
        <w:t xml:space="preserve">— </w:t>
      </w:r>
      <w:r>
        <w:rPr>
          <w:rFonts w:ascii="Times New Roman;serif" w:hAnsi="Times New Roman;serif"/>
          <w:b w:val="false"/>
          <w:i/>
          <w:sz w:val="20"/>
        </w:rPr>
        <w:t>Leases</w:t>
      </w:r>
      <w:r>
        <w:rPr>
          <w:rFonts w:ascii="Times New Roman;serif" w:hAnsi="Times New Roman;serif"/>
          <w:b w:val="false"/>
          <w:sz w:val="20"/>
        </w:rPr>
        <w:t>.</w:t>
      </w:r>
    </w:p>
    <w:p>
      <w:pPr>
        <w:pStyle w:val="TextBody"/>
        <w:bidi w:val="0"/>
        <w:spacing w:before="120" w:after="0"/>
        <w:jc w:val="both"/>
        <w:rPr>
          <w:rFonts w:ascii="Times New Roman;serif" w:hAnsi="Times New Roman;serif"/>
          <w:b/>
          <w:i/>
          <w:sz w:val="20"/>
        </w:rPr>
      </w:pPr>
      <w:r>
        <w:rPr>
          <w:rFonts w:ascii="Times New Roman;serif" w:hAnsi="Times New Roman;serif"/>
          <w:b/>
          <w:i/>
          <w:sz w:val="20"/>
        </w:rPr>
        <w:t>Other Assets</w:t>
      </w:r>
    </w:p>
    <w:p>
      <w:pPr>
        <w:pStyle w:val="TextBody"/>
        <w:bidi w:val="0"/>
        <w:spacing w:before="120" w:after="0"/>
        <w:jc w:val="both"/>
        <w:rPr>
          <w:rFonts w:ascii="Times New Roman" w:hAnsi="Times New Roman"/>
          <w:sz w:val="20"/>
        </w:rPr>
      </w:pPr>
      <w:r>
        <w:rPr>
          <w:rFonts w:ascii="Times New Roman;serif" w:hAnsi="Times New Roman;serif"/>
          <w:b w:val="false"/>
          <w:sz w:val="20"/>
        </w:rPr>
        <w:t>As of June 30, 2023 and December 31, 2022, the Company has a $5.0</w:t>
      </w:r>
      <w:r>
        <w:rPr>
          <w:rFonts w:ascii="Times New Roman" w:hAnsi="Times New Roman"/>
          <w:sz w:val="20"/>
        </w:rPr>
        <w:t xml:space="preserve"> </w:t>
      </w:r>
      <w:r>
        <w:rPr>
          <w:rFonts w:ascii="Times New Roman;serif" w:hAnsi="Times New Roman;serif"/>
          <w:b w:val="false"/>
          <w:sz w:val="20"/>
        </w:rPr>
        <w:t xml:space="preserve">million cash refundable deposit to secure the performance of the Company’s obligations associated with the operating lease agreement with Centennial Valley Properties I, LLC (see Note 7 – </w:t>
      </w:r>
      <w:r>
        <w:rPr>
          <w:rFonts w:ascii="Times New Roman;serif" w:hAnsi="Times New Roman;serif"/>
          <w:b w:val="false"/>
          <w:i/>
          <w:sz w:val="20"/>
        </w:rPr>
        <w:t>Leases</w:t>
      </w:r>
      <w:r>
        <w:rPr>
          <w:rFonts w:ascii="Times New Roman;serif" w:hAnsi="Times New Roman;serif"/>
          <w:b w:val="false"/>
          <w:sz w:val="20"/>
        </w:rPr>
        <w:t>). The $5.0</w:t>
      </w:r>
      <w:r>
        <w:rPr>
          <w:rFonts w:ascii="Times New Roman" w:hAnsi="Times New Roman"/>
          <w:sz w:val="20"/>
        </w:rPr>
        <w:t xml:space="preserve"> </w:t>
      </w:r>
      <w:r>
        <w:rPr>
          <w:rFonts w:ascii="Times New Roman;serif" w:hAnsi="Times New Roman;serif"/>
          <w:b w:val="false"/>
          <w:sz w:val="20"/>
        </w:rPr>
        <w:t>million refundable deposit is reported within 'Other long-term assets' in the condensed balance sheets.</w:t>
      </w:r>
    </w:p>
    <w:p>
      <w:pPr>
        <w:pStyle w:val="TextBody"/>
        <w:bidi w:val="0"/>
        <w:spacing w:before="120" w:after="0"/>
        <w:jc w:val="both"/>
        <w:rPr>
          <w:rFonts w:ascii="Times New Roman;serif" w:hAnsi="Times New Roman;serif"/>
          <w:b/>
          <w:i/>
          <w:sz w:val="20"/>
        </w:rPr>
      </w:pPr>
      <w:r>
        <w:rPr>
          <w:rFonts w:ascii="Times New Roman;serif" w:hAnsi="Times New Roman;serif"/>
          <w:b/>
          <w:i/>
          <w:sz w:val="20"/>
        </w:rPr>
        <w:t>Fair Value of Financial Instruments</w:t>
      </w:r>
    </w:p>
    <w:p>
      <w:pPr>
        <w:pStyle w:val="TextBody"/>
        <w:bidi w:val="0"/>
        <w:spacing w:before="120" w:after="0"/>
        <w:jc w:val="both"/>
        <w:rPr>
          <w:rFonts w:ascii="Times New Roman" w:hAnsi="Times New Roman"/>
          <w:sz w:val="20"/>
        </w:rPr>
      </w:pPr>
      <w:r>
        <w:rPr>
          <w:rFonts w:ascii="Times New Roman;serif" w:hAnsi="Times New Roman;serif"/>
          <w:b w:val="false"/>
          <w:sz w:val="20"/>
        </w:rPr>
        <w:t>U.S. GAAP for fair value establishes a hierarchy that prioritizes fair value measurements based on the types of inputs used for the various valuation techniques (market approach, income approach and cost approach). We utilize a combination of market and income approaches to value our financial instruments. Our financial assets and liabilities are measured using inputs from the three levels of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Financial Statements</w:t>
      </w:r>
    </w:p>
    <w:p>
      <w:pPr>
        <w:pStyle w:val="TextBody"/>
        <w:bidi w:val="0"/>
        <w:spacing w:before="0" w:after="0"/>
        <w:jc w:val="center"/>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20"/>
        </w:rPr>
        <w:t>fair value hierarchy. Fair value measurements are categorized within the fair value hierarchy based upon the lowest level of the most significant inputs used to determine fair value.</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three levels of the hierarchy and the related inputs are as follows:</w:t>
      </w:r>
    </w:p>
    <w:tbl>
      <w:tblPr>
        <w:tblW w:w="9013" w:type="dxa"/>
        <w:jc w:val="left"/>
        <w:tblInd w:w="0" w:type="dxa"/>
        <w:tblLayout w:type="fixed"/>
        <w:tblCellMar>
          <w:top w:w="28" w:type="dxa"/>
          <w:left w:w="28" w:type="dxa"/>
          <w:bottom w:w="28" w:type="dxa"/>
          <w:right w:w="28" w:type="dxa"/>
        </w:tblCellMar>
      </w:tblPr>
      <w:tblGrid>
        <w:gridCol w:w="601"/>
        <w:gridCol w:w="146"/>
        <w:gridCol w:w="8266"/>
      </w:tblGrid>
      <w:tr>
        <w:trPr/>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6" w:type="dxa"/>
            <w:tcBorders/>
            <w:vAlign w:val="center"/>
          </w:tcPr>
          <w:p>
            <w:pPr>
              <w:pStyle w:val="TableContents"/>
              <w:bidi w:val="0"/>
              <w:spacing w:before="0" w:after="283"/>
              <w:jc w:val="left"/>
              <w:rPr>
                <w:sz w:val="4"/>
                <w:szCs w:val="4"/>
              </w:rPr>
            </w:pPr>
            <w:r>
              <w:rPr>
                <w:sz w:val="4"/>
                <w:szCs w:val="4"/>
              </w:rPr>
            </w:r>
          </w:p>
        </w:tc>
      </w:tr>
      <w:tr>
        <w:trPr/>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Level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Inputs</w:t>
            </w:r>
          </w:p>
        </w:tc>
      </w:tr>
      <w:tr>
        <w:trPr/>
        <w:tc>
          <w:tcPr>
            <w:tcW w:w="60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8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Unadjusted quoted prices in active markets for identical assets and liabilities.</w:t>
            </w:r>
          </w:p>
        </w:tc>
      </w:tr>
      <w:tr>
        <w:trPr/>
        <w:tc>
          <w:tcPr>
            <w:tcW w:w="60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8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Unadjusted quoted prices in active markets for similar assets and liabilities;</w:t>
            </w:r>
          </w:p>
        </w:tc>
      </w:tr>
      <w:tr>
        <w:trPr/>
        <w:tc>
          <w:tcPr>
            <w:tcW w:w="6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Unadjusted quoted prices for identical or similar assets or liabilities in markets that are not active; or</w:t>
            </w:r>
          </w:p>
        </w:tc>
      </w:tr>
      <w:tr>
        <w:trPr/>
        <w:tc>
          <w:tcPr>
            <w:tcW w:w="6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Inputs other than quoted prices that are observable for the asset or liability.</w:t>
            </w:r>
          </w:p>
        </w:tc>
      </w:tr>
      <w:tr>
        <w:trPr/>
        <w:tc>
          <w:tcPr>
            <w:tcW w:w="60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w:t>
            </w:r>
          </w:p>
        </w:tc>
        <w:tc>
          <w:tcPr>
            <w:tcW w:w="146" w:type="dxa"/>
            <w:tcBorders/>
            <w:vAlign w:val="center"/>
          </w:tcPr>
          <w:p>
            <w:pPr>
              <w:pStyle w:val="TableContents"/>
              <w:bidi w:val="0"/>
              <w:spacing w:before="0" w:after="0"/>
              <w:ind w:left="0" w:right="0" w:hanging="0"/>
              <w:jc w:val="left"/>
              <w:rPr/>
            </w:pPr>
            <w:r>
              <w:rPr/>
              <w:t> </w:t>
            </w:r>
          </w:p>
        </w:tc>
        <w:tc>
          <w:tcPr>
            <w:tcW w:w="8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Unobservable inputs for the asset or liability.</w:t>
            </w:r>
          </w:p>
        </w:tc>
      </w:tr>
    </w:tbl>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carrying amounts of certain financial instruments including cash and cash equivalents, accounts receivable, prepaid expenses and other current assets, other long-term assets, accounts payable and accrued liabilities approximate fair value due to their relatively short maturities.</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See Note 4 </w:t>
      </w:r>
      <w:r>
        <w:rPr>
          <w:rFonts w:ascii="Times New Roman" w:hAnsi="Times New Roman"/>
          <w:sz w:val="20"/>
        </w:rPr>
        <w:t xml:space="preserve">— </w:t>
      </w:r>
      <w:r>
        <w:rPr>
          <w:rFonts w:ascii="Times New Roman;serif" w:hAnsi="Times New Roman;serif"/>
          <w:b w:val="false"/>
          <w:i/>
          <w:sz w:val="20"/>
        </w:rPr>
        <w:t xml:space="preserve">Fair Value </w:t>
      </w:r>
      <w:r>
        <w:rPr>
          <w:rFonts w:ascii="Times New Roman;serif" w:hAnsi="Times New Roman;serif"/>
          <w:b w:val="false"/>
          <w:sz w:val="20"/>
        </w:rPr>
        <w:t>for further discussion related to estimated fair value measurements.</w:t>
      </w:r>
    </w:p>
    <w:p>
      <w:pPr>
        <w:pStyle w:val="TextBody"/>
        <w:bidi w:val="0"/>
        <w:spacing w:before="240" w:after="0"/>
        <w:jc w:val="both"/>
        <w:rPr>
          <w:rFonts w:ascii="Times New Roman;serif" w:hAnsi="Times New Roman;serif"/>
          <w:b/>
          <w:sz w:val="20"/>
        </w:rPr>
      </w:pPr>
      <w:r>
        <w:rPr>
          <w:rFonts w:ascii="Times New Roman;serif" w:hAnsi="Times New Roman;serif"/>
          <w:b/>
          <w:sz w:val="20"/>
        </w:rPr>
        <w:t>Note 3 - Recent Issued Accounting Standards</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Recently adopted accounting standards</w:t>
      </w:r>
    </w:p>
    <w:p>
      <w:pPr>
        <w:pStyle w:val="TextBody"/>
        <w:bidi w:val="0"/>
        <w:spacing w:before="120" w:after="0"/>
        <w:jc w:val="both"/>
        <w:rPr>
          <w:rFonts w:ascii="Times New Roman" w:hAnsi="Times New Roman"/>
          <w:sz w:val="20"/>
        </w:rPr>
      </w:pPr>
      <w:r>
        <w:rPr>
          <w:rFonts w:ascii="Times New Roman;serif" w:hAnsi="Times New Roman;serif"/>
          <w:b w:val="false"/>
          <w:sz w:val="20"/>
        </w:rPr>
        <w:t>In June 2016, the FASB issued ASU No. 2016-13,</w:t>
      </w:r>
      <w:r>
        <w:rPr>
          <w:rFonts w:ascii="Times New Roman" w:hAnsi="Times New Roman"/>
          <w:sz w:val="20"/>
        </w:rPr>
        <w:t xml:space="preserve"> </w:t>
      </w:r>
      <w:r>
        <w:rPr>
          <w:rFonts w:ascii="Times New Roman;serif" w:hAnsi="Times New Roman;serif"/>
          <w:b w:val="false"/>
          <w:i/>
          <w:sz w:val="20"/>
        </w:rPr>
        <w:t xml:space="preserve">Financial Instruments-Credit Losses: Measurement of Credit Losses on Financial Instruments </w:t>
      </w:r>
      <w:r>
        <w:rPr>
          <w:rFonts w:ascii="Times New Roman;serif" w:hAnsi="Times New Roman;serif"/>
          <w:b w:val="false"/>
          <w:sz w:val="20"/>
        </w:rPr>
        <w:t>(ASC Topic 326). This ASU requires measurement and recognition of expected credit losses for financial assets. This guidance became effective for the Company beginning January 1, 2023. The Company evaluated the guidance and determined the overall impact of the adoption had an immaterial impact on</w:t>
      </w:r>
      <w:r>
        <w:rPr>
          <w:rFonts w:ascii="Times New Roman" w:hAnsi="Times New Roman"/>
          <w:sz w:val="20"/>
        </w:rPr>
        <w:t xml:space="preserve"> </w:t>
      </w:r>
      <w:r>
        <w:rPr>
          <w:rFonts w:ascii="Times New Roman;serif" w:hAnsi="Times New Roman;serif"/>
          <w:b w:val="false"/>
          <w:sz w:val="20"/>
        </w:rPr>
        <w:t>our financial statements.</w:t>
      </w:r>
    </w:p>
    <w:p>
      <w:pPr>
        <w:pStyle w:val="TextBody"/>
        <w:bidi w:val="0"/>
        <w:spacing w:before="240" w:after="0"/>
        <w:jc w:val="both"/>
        <w:rPr>
          <w:rFonts w:ascii="Times New Roman" w:hAnsi="Times New Roman"/>
          <w:sz w:val="20"/>
        </w:rPr>
      </w:pPr>
      <w:r>
        <w:rPr>
          <w:rFonts w:ascii="Times New Roman;serif" w:hAnsi="Times New Roman;serif"/>
          <w:b/>
          <w:sz w:val="20"/>
        </w:rPr>
        <w:t>Note 4 - Fair Value</w:t>
      </w:r>
      <w:r>
        <w:rPr>
          <w:rFonts w:ascii="Times New Roman" w:hAnsi="Times New Roman"/>
          <w:sz w:val="20"/>
        </w:rPr>
        <w:t xml:space="preserve"> </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Recurring Fair Value Measurements</w:t>
      </w:r>
    </w:p>
    <w:p>
      <w:pPr>
        <w:pStyle w:val="TextBody"/>
        <w:bidi w:val="0"/>
        <w:spacing w:before="120" w:after="200"/>
        <w:jc w:val="both"/>
        <w:rPr>
          <w:rFonts w:ascii="Times New Roman" w:hAnsi="Times New Roman"/>
          <w:sz w:val="20"/>
        </w:rPr>
      </w:pPr>
      <w:r>
        <w:rPr>
          <w:rFonts w:ascii="Times New Roman;serif" w:hAnsi="Times New Roman;serif"/>
          <w:b w:val="false"/>
          <w:sz w:val="20"/>
        </w:rPr>
        <w:t xml:space="preserve">Our borrowing instruments are recorded at their carrying values in the condensed balance sheets, which may differ from their respective fair values. The fair value of borrowings as of June 30, 2023 is primarily associated with the Perceptive Term Loan Facility entered into with Perceptive Credit Holdings IV, LP, in November 2022 and was determined using a discounted cash flow analysis, excluding the fair value of the Perceptive Warrant (as defined below) issued in conjunction with the transaction. The difference between the carrying value and fair value of outstanding borrowings as of June 30, 2023 is due to the issuance of the First Amendment Warrants (see Note 6 - </w:t>
      </w:r>
      <w:r>
        <w:rPr>
          <w:rFonts w:ascii="Times New Roman;serif" w:hAnsi="Times New Roman;serif"/>
          <w:b w:val="false"/>
          <w:i/>
          <w:sz w:val="20"/>
        </w:rPr>
        <w:t xml:space="preserve">Debt </w:t>
      </w:r>
      <w:r>
        <w:rPr>
          <w:rFonts w:ascii="Times New Roman;serif" w:hAnsi="Times New Roman;serif"/>
          <w:b w:val="false"/>
          <w:sz w:val="20"/>
        </w:rPr>
        <w:t xml:space="preserve">and Note 8 </w:t>
      </w:r>
      <w:r>
        <w:rPr>
          <w:rFonts w:ascii="Times New Roman;serif" w:hAnsi="Times New Roman;serif"/>
          <w:b w:val="false"/>
          <w:i/>
          <w:sz w:val="20"/>
        </w:rPr>
        <w:t xml:space="preserve">- Equity) </w:t>
      </w:r>
      <w:r>
        <w:rPr>
          <w:rFonts w:ascii="Times New Roman;serif" w:hAnsi="Times New Roman;serif"/>
          <w:b w:val="false"/>
          <w:sz w:val="20"/>
        </w:rPr>
        <w:t>netted against the Perceptive Term Loan Facility as well as an increase in the fair value of the debt as a result of improved credit markets. The difference between the carrying value and fair value of outstanding borrowings as of December 31, 2022</w:t>
      </w:r>
      <w:r>
        <w:rPr>
          <w:rFonts w:ascii="Times New Roman" w:hAnsi="Times New Roman"/>
          <w:sz w:val="20"/>
        </w:rPr>
        <w:t xml:space="preserve"> </w:t>
      </w:r>
      <w:r>
        <w:rPr>
          <w:rFonts w:ascii="Times New Roman;serif" w:hAnsi="Times New Roman;serif"/>
          <w:b w:val="false"/>
          <w:sz w:val="20"/>
        </w:rPr>
        <w:t>is due to the debt issuance costs and the fair value of the Perceptive Warrant netted against the Perceptive Term Loan Facility. The table below presents the carrying and fair values of outstanding borrowings, which are classified as Level 2, as of the dates indicated (in thousands):</w:t>
      </w:r>
    </w:p>
    <w:tbl>
      <w:tblPr>
        <w:tblW w:w="7199" w:type="dxa"/>
        <w:jc w:val="left"/>
        <w:tblInd w:w="0" w:type="dxa"/>
        <w:tblLayout w:type="fixed"/>
        <w:tblCellMar>
          <w:top w:w="28" w:type="dxa"/>
          <w:left w:w="28" w:type="dxa"/>
          <w:bottom w:w="28" w:type="dxa"/>
          <w:right w:w="28" w:type="dxa"/>
        </w:tblCellMar>
      </w:tblPr>
      <w:tblGrid>
        <w:gridCol w:w="1066"/>
        <w:gridCol w:w="146"/>
        <w:gridCol w:w="342"/>
        <w:gridCol w:w="1098"/>
        <w:gridCol w:w="146"/>
        <w:gridCol w:w="146"/>
        <w:gridCol w:w="242"/>
        <w:gridCol w:w="778"/>
        <w:gridCol w:w="146"/>
        <w:gridCol w:w="146"/>
        <w:gridCol w:w="342"/>
        <w:gridCol w:w="1098"/>
        <w:gridCol w:w="146"/>
        <w:gridCol w:w="146"/>
        <w:gridCol w:w="242"/>
        <w:gridCol w:w="778"/>
        <w:gridCol w:w="191"/>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96"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12" w:type="dxa"/>
            <w:gridSpan w:val="2"/>
            <w:tcBorders/>
            <w:vAlign w:val="center"/>
          </w:tcPr>
          <w:p>
            <w:pPr>
              <w:pStyle w:val="TableContents"/>
              <w:bidi w:val="0"/>
              <w:spacing w:before="0" w:after="0"/>
              <w:ind w:left="0" w:right="0" w:hanging="0"/>
              <w:jc w:val="left"/>
              <w:rPr/>
            </w:pPr>
            <w:r>
              <w:rPr/>
              <w:t> </w:t>
            </w:r>
          </w:p>
        </w:tc>
        <w:tc>
          <w:tcPr>
            <w:tcW w:w="275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75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Carrying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Carrying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Borrowings</w:t>
            </w:r>
          </w:p>
        </w:tc>
        <w:tc>
          <w:tcPr>
            <w:tcW w:w="14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26,785</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 w:hAnsi="Times New Roman"/>
          <w:sz w:val="20"/>
        </w:rPr>
      </w:pPr>
      <w:r>
        <w:rPr>
          <w:rFonts w:ascii="Times New Roman;serif" w:hAnsi="Times New Roman;serif"/>
          <w:b w:val="false"/>
          <w:sz w:val="20"/>
        </w:rPr>
        <w:t xml:space="preserve">The financial liabilities that are measured and recorded at estimated fair value on a recurring basis consist of our contingent consideration associated with our previous acquisition of Indi and the warrant liabilities granted as consideration for the Perceptive Term Loan Facility (see Note 6 - </w:t>
      </w:r>
      <w:r>
        <w:rPr>
          <w:rFonts w:ascii="Times New Roman;serif" w:hAnsi="Times New Roman;serif"/>
          <w:b w:val="false"/>
          <w:i/>
          <w:sz w:val="20"/>
        </w:rPr>
        <w:t>Debt</w:t>
      </w:r>
      <w:r>
        <w:rPr>
          <w:rFonts w:ascii="Times New Roman;serif" w:hAnsi="Times New Roman;serif"/>
          <w:b w:val="false"/>
          <w:sz w:val="20"/>
        </w:rPr>
        <w:t>), which were accounted for as liabilities and remeasured through our condensed statements of operations.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Financial Statements</w:t>
      </w:r>
    </w:p>
    <w:p>
      <w:pPr>
        <w:pStyle w:val="TextBody"/>
        <w:bidi w:val="0"/>
        <w:spacing w:before="0" w:after="0"/>
        <w:jc w:val="center"/>
        <w:rPr/>
      </w:pPr>
      <w:r>
        <w:rPr/>
        <w:t> </w:t>
      </w:r>
    </w:p>
    <w:p>
      <w:pPr>
        <w:pStyle w:val="TextBody"/>
        <w:bidi w:val="0"/>
        <w:spacing w:before="120" w:after="200"/>
        <w:jc w:val="both"/>
        <w:rPr>
          <w:rFonts w:ascii="Times New Roman;serif" w:hAnsi="Times New Roman;serif"/>
          <w:b w:val="false"/>
          <w:sz w:val="20"/>
        </w:rPr>
      </w:pPr>
      <w:r>
        <w:rPr>
          <w:rFonts w:ascii="Times New Roman;serif" w:hAnsi="Times New Roman;serif"/>
          <w:b w:val="false"/>
          <w:sz w:val="20"/>
        </w:rPr>
        <w:t>The table below presents the reported fair values of contingent consideration and warrant liabilities, which are classified as Level 3 in the fair value hierarchy, as of the dates indicated (in thousands):</w:t>
      </w:r>
    </w:p>
    <w:tbl>
      <w:tblPr>
        <w:tblW w:w="7505" w:type="dxa"/>
        <w:jc w:val="left"/>
        <w:tblInd w:w="0" w:type="dxa"/>
        <w:tblLayout w:type="fixed"/>
        <w:tblCellMar>
          <w:top w:w="28" w:type="dxa"/>
          <w:left w:w="28" w:type="dxa"/>
          <w:bottom w:w="28" w:type="dxa"/>
          <w:right w:w="28" w:type="dxa"/>
        </w:tblCellMar>
      </w:tblPr>
      <w:tblGrid>
        <w:gridCol w:w="3676"/>
        <w:gridCol w:w="146"/>
        <w:gridCol w:w="303"/>
        <w:gridCol w:w="972"/>
        <w:gridCol w:w="146"/>
        <w:gridCol w:w="146"/>
        <w:gridCol w:w="409"/>
        <w:gridCol w:w="1316"/>
        <w:gridCol w:w="3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7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3292" w:type="dxa"/>
            <w:gridSpan w:val="6"/>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3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sz w:val="20"/>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portion of contingent consideration</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10,341</w:t>
            </w:r>
          </w:p>
        </w:tc>
        <w:tc>
          <w:tcPr>
            <w:tcW w:w="391" w:type="dxa"/>
            <w:tcBorders/>
            <w:vAlign w:val="center"/>
          </w:tcPr>
          <w:p>
            <w:pPr>
              <w:pStyle w:val="TableContents"/>
              <w:bidi w:val="0"/>
              <w:spacing w:before="0" w:after="0"/>
              <w:ind w:left="0" w:right="0" w:hanging="0"/>
              <w:jc w:val="left"/>
              <w:rPr/>
            </w:pPr>
            <w:r>
              <w:rPr/>
              <w:t> </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Contingent consideration</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12,303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18,645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6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contingent consideration</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26,864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28,986</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676"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Warrant liabilities</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391" w:type="dxa"/>
            <w:tcBorders/>
            <w:vAlign w:val="center"/>
          </w:tcPr>
          <w:p>
            <w:pPr>
              <w:pStyle w:val="TableContents"/>
              <w:bidi w:val="0"/>
              <w:spacing w:before="0" w:after="0"/>
              <w:ind w:left="0" w:right="0" w:hanging="0"/>
              <w:jc w:val="left"/>
              <w:rPr/>
            </w:pPr>
            <w:r>
              <w:rPr/>
              <w:t> </w:t>
            </w:r>
          </w:p>
        </w:tc>
      </w:tr>
    </w:tbl>
    <w:p>
      <w:pPr>
        <w:pStyle w:val="TextBody"/>
        <w:bidi w:val="0"/>
        <w:spacing w:before="240" w:after="120"/>
        <w:jc w:val="both"/>
        <w:rPr>
          <w:rFonts w:ascii="Times New Roman;serif" w:hAnsi="Times New Roman;serif"/>
          <w:b w:val="false"/>
          <w:sz w:val="20"/>
        </w:rPr>
      </w:pPr>
      <w:r>
        <w:rPr>
          <w:rFonts w:ascii="Times New Roman;serif" w:hAnsi="Times New Roman;serif"/>
          <w:b w:val="false"/>
          <w:sz w:val="20"/>
        </w:rPr>
        <w:t>The following table presents the changes in contingent consideration and warrant liabilities for the dates indicated (in thousands):</w:t>
      </w:r>
    </w:p>
    <w:tbl>
      <w:tblPr>
        <w:tblW w:w="7973" w:type="dxa"/>
        <w:jc w:val="left"/>
        <w:tblInd w:w="0" w:type="dxa"/>
        <w:tblLayout w:type="fixed"/>
        <w:tblCellMar>
          <w:top w:w="28" w:type="dxa"/>
          <w:left w:w="28" w:type="dxa"/>
          <w:bottom w:w="28" w:type="dxa"/>
          <w:right w:w="28" w:type="dxa"/>
        </w:tblCellMar>
      </w:tblPr>
      <w:tblGrid>
        <w:gridCol w:w="3181"/>
        <w:gridCol w:w="146"/>
        <w:gridCol w:w="541"/>
        <w:gridCol w:w="1739"/>
        <w:gridCol w:w="205"/>
        <w:gridCol w:w="180"/>
        <w:gridCol w:w="635"/>
        <w:gridCol w:w="1135"/>
        <w:gridCol w:w="21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3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six months ended</w:t>
              <w:br/>
              <w:t>June 30, 2023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Level 3 Rollforward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Contingent Consideration</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0" w:type="dxa"/>
            <w:tcBorders/>
            <w:vAlign w:val="center"/>
          </w:tcPr>
          <w:p>
            <w:pPr>
              <w:pStyle w:val="TableContents"/>
              <w:bidi w:val="0"/>
              <w:spacing w:before="0" w:after="0"/>
              <w:ind w:left="0" w:right="0" w:hanging="0"/>
              <w:jc w:val="left"/>
              <w:rPr/>
            </w:pPr>
            <w:r>
              <w:rPr/>
              <w:t> </w:t>
            </w:r>
          </w:p>
        </w:tc>
        <w:tc>
          <w:tcPr>
            <w:tcW w:w="17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Warrant Liabilities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balances - January 1, 2023</w:t>
            </w:r>
          </w:p>
        </w:tc>
        <w:tc>
          <w:tcPr>
            <w:tcW w:w="1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28,986</w:t>
            </w:r>
          </w:p>
        </w:tc>
        <w:tc>
          <w:tcPr>
            <w:tcW w:w="205"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211" w:type="dxa"/>
            <w:tcBorders/>
            <w:vAlign w:val="center"/>
          </w:tcPr>
          <w:p>
            <w:pPr>
              <w:pStyle w:val="TableContents"/>
              <w:bidi w:val="0"/>
              <w:spacing w:before="0" w:after="0"/>
              <w:ind w:left="0" w:right="0" w:hanging="0"/>
              <w:jc w:val="left"/>
              <w:rPr/>
            </w:pPr>
            <w:r>
              <w:rPr/>
              <w:t> </w:t>
            </w:r>
          </w:p>
        </w:tc>
      </w:tr>
      <w:tr>
        <w:trPr/>
        <w:tc>
          <w:tcPr>
            <w:tcW w:w="31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 fair value</w:t>
            </w:r>
          </w:p>
        </w:tc>
        <w:tc>
          <w:tcPr>
            <w:tcW w:w="146" w:type="dxa"/>
            <w:tcBorders/>
            <w:vAlign w:val="center"/>
          </w:tcPr>
          <w:p>
            <w:pPr>
              <w:pStyle w:val="TableContents"/>
              <w:bidi w:val="0"/>
              <w:spacing w:before="0" w:after="0"/>
              <w:ind w:left="0" w:right="0" w:hanging="0"/>
              <w:jc w:val="right"/>
              <w:rPr/>
            </w:pPr>
            <w:r>
              <w:rPr/>
              <w:t> </w:t>
            </w:r>
          </w:p>
        </w:tc>
        <w:tc>
          <w:tcPr>
            <w:tcW w:w="541" w:type="dxa"/>
            <w:tcBorders/>
            <w:vAlign w:val="center"/>
          </w:tcPr>
          <w:p>
            <w:pPr>
              <w:pStyle w:val="TableContents"/>
              <w:bidi w:val="0"/>
              <w:spacing w:before="0" w:after="0"/>
              <w:ind w:left="0" w:right="0" w:hanging="0"/>
              <w:jc w:val="left"/>
              <w:rPr/>
            </w:pPr>
            <w:r>
              <w:rPr/>
              <w:t> </w:t>
            </w:r>
          </w:p>
        </w:tc>
        <w:tc>
          <w:tcPr>
            <w:tcW w:w="1739" w:type="dxa"/>
            <w:tcBorders/>
            <w:vAlign w:val="center"/>
          </w:tcPr>
          <w:p>
            <w:pPr>
              <w:pStyle w:val="TableContents"/>
              <w:bidi w:val="0"/>
              <w:spacing w:before="0" w:after="0"/>
              <w:ind w:left="0" w:right="0" w:hanging="0"/>
              <w:jc w:val="right"/>
              <w:rPr/>
            </w:pPr>
            <w:r>
              <w:rPr/>
              <w:t>—</w:t>
            </w:r>
          </w:p>
        </w:tc>
        <w:tc>
          <w:tcPr>
            <w:tcW w:w="205"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11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left"/>
              <w:rPr/>
            </w:pPr>
            <w:r>
              <w:rPr/>
              <w:t> </w:t>
            </w:r>
          </w:p>
        </w:tc>
        <w:tc>
          <w:tcPr>
            <w:tcW w:w="1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2,140</w:t>
            </w:r>
          </w:p>
        </w:tc>
        <w:tc>
          <w:tcPr>
            <w:tcW w:w="205" w:type="dxa"/>
            <w:tcBorders/>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635" w:type="dxa"/>
            <w:tcBorders/>
            <w:vAlign w:val="center"/>
          </w:tcPr>
          <w:p>
            <w:pPr>
              <w:pStyle w:val="TableContents"/>
              <w:bidi w:val="0"/>
              <w:spacing w:before="0" w:after="0"/>
              <w:ind w:left="0" w:right="0" w:hanging="0"/>
              <w:jc w:val="left"/>
              <w:rPr/>
            </w:pPr>
            <w:r>
              <w:rPr/>
              <w:t> </w:t>
            </w:r>
          </w:p>
        </w:tc>
        <w:tc>
          <w:tcPr>
            <w:tcW w:w="1135"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31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Payments</w:t>
            </w:r>
          </w:p>
        </w:tc>
        <w:tc>
          <w:tcPr>
            <w:tcW w:w="146" w:type="dxa"/>
            <w:tcBorders/>
            <w:vAlign w:val="center"/>
          </w:tcPr>
          <w:p>
            <w:pPr>
              <w:pStyle w:val="TableContents"/>
              <w:bidi w:val="0"/>
              <w:spacing w:before="0" w:after="0"/>
              <w:ind w:left="0" w:right="0" w:hanging="0"/>
              <w:jc w:val="left"/>
              <w:rPr/>
            </w:pPr>
            <w:r>
              <w:rPr/>
              <w:t> </w:t>
            </w:r>
          </w:p>
        </w:tc>
        <w:tc>
          <w:tcPr>
            <w:tcW w:w="5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(4,262</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0" w:type="dxa"/>
            <w:tcBorders/>
            <w:vAlign w:val="center"/>
          </w:tcPr>
          <w:p>
            <w:pPr>
              <w:pStyle w:val="TableContents"/>
              <w:bidi w:val="0"/>
              <w:spacing w:before="0" w:after="0"/>
              <w:ind w:left="0" w:right="0" w:hanging="0"/>
              <w:jc w:val="left"/>
              <w:rPr/>
            </w:pPr>
            <w:r>
              <w:rPr/>
              <w:t> </w:t>
            </w:r>
          </w:p>
        </w:tc>
        <w:tc>
          <w:tcPr>
            <w:tcW w:w="6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balances - June 30, 2023</w:t>
            </w:r>
          </w:p>
        </w:tc>
        <w:tc>
          <w:tcPr>
            <w:tcW w:w="146" w:type="dxa"/>
            <w:tcBorders/>
            <w:vAlign w:val="center"/>
          </w:tcPr>
          <w:p>
            <w:pPr>
              <w:pStyle w:val="TableContents"/>
              <w:bidi w:val="0"/>
              <w:spacing w:before="0" w:after="0"/>
              <w:ind w:left="0" w:right="0" w:hanging="0"/>
              <w:jc w:val="left"/>
              <w:rPr/>
            </w:pPr>
            <w:r>
              <w:rPr/>
              <w:t> </w:t>
            </w:r>
          </w:p>
        </w:tc>
        <w:tc>
          <w:tcPr>
            <w:tcW w:w="5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26,864</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0" w:type="dxa"/>
            <w:tcBorders/>
            <w:vAlign w:val="center"/>
          </w:tcPr>
          <w:p>
            <w:pPr>
              <w:pStyle w:val="TableContents"/>
              <w:bidi w:val="0"/>
              <w:spacing w:before="0" w:after="0"/>
              <w:ind w:left="0" w:right="0" w:hanging="0"/>
              <w:jc w:val="left"/>
              <w:rPr/>
            </w:pPr>
            <w:r>
              <w:rPr/>
              <w:t> </w:t>
            </w:r>
          </w:p>
        </w:tc>
        <w:tc>
          <w:tcPr>
            <w:tcW w:w="6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The following table presents the changes in contingent consideration as of the date indicated (in thousands):</w:t>
      </w:r>
    </w:p>
    <w:p>
      <w:pPr>
        <w:pStyle w:val="TextBody"/>
        <w:bidi w:val="0"/>
        <w:spacing w:before="0" w:after="0"/>
        <w:jc w:val="both"/>
        <w:rPr/>
      </w:pPr>
      <w:r>
        <w:rPr/>
        <w:t> </w:t>
      </w:r>
    </w:p>
    <w:tbl>
      <w:tblPr>
        <w:tblW w:w="6973" w:type="dxa"/>
        <w:jc w:val="left"/>
        <w:tblInd w:w="0" w:type="dxa"/>
        <w:tblLayout w:type="fixed"/>
        <w:tblCellMar>
          <w:top w:w="28" w:type="dxa"/>
          <w:left w:w="28" w:type="dxa"/>
          <w:bottom w:w="28" w:type="dxa"/>
          <w:right w:w="28" w:type="dxa"/>
        </w:tblCellMar>
      </w:tblPr>
      <w:tblGrid>
        <w:gridCol w:w="3196"/>
        <w:gridCol w:w="146"/>
        <w:gridCol w:w="813"/>
        <w:gridCol w:w="2607"/>
        <w:gridCol w:w="2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Level 3 Rollforward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six months ended June 30,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balances - January 1, 2022</w:t>
            </w:r>
          </w:p>
        </w:tc>
        <w:tc>
          <w:tcPr>
            <w:tcW w:w="146"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6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33,792</w:t>
            </w:r>
          </w:p>
        </w:tc>
        <w:tc>
          <w:tcPr>
            <w:tcW w:w="211" w:type="dxa"/>
            <w:tcBorders/>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left"/>
              <w:rPr/>
            </w:pPr>
            <w:r>
              <w:rPr/>
              <w:t> </w:t>
            </w:r>
          </w:p>
        </w:tc>
        <w:tc>
          <w:tcPr>
            <w:tcW w:w="26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966</w:t>
            </w:r>
          </w:p>
        </w:tc>
        <w:tc>
          <w:tcPr>
            <w:tcW w:w="211" w:type="dxa"/>
            <w:tcBorders/>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on extinguishment of liabilities</w:t>
            </w:r>
          </w:p>
        </w:tc>
        <w:tc>
          <w:tcPr>
            <w:tcW w:w="146"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left"/>
              <w:rPr/>
            </w:pPr>
            <w:r>
              <w:rPr/>
              <w:t> </w:t>
            </w:r>
          </w:p>
        </w:tc>
        <w:tc>
          <w:tcPr>
            <w:tcW w:w="26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2,934</w:t>
            </w:r>
          </w:p>
        </w:tc>
        <w:tc>
          <w:tcPr>
            <w:tcW w:w="211" w:type="dxa"/>
            <w:tcBorders/>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Payments of contingent consideration</w:t>
            </w:r>
          </w:p>
        </w:tc>
        <w:tc>
          <w:tcPr>
            <w:tcW w:w="146" w:type="dxa"/>
            <w:tcBorders/>
            <w:vAlign w:val="center"/>
          </w:tcPr>
          <w:p>
            <w:pPr>
              <w:pStyle w:val="TableContents"/>
              <w:bidi w:val="0"/>
              <w:spacing w:before="0" w:after="0"/>
              <w:ind w:left="0" w:right="0" w:hanging="0"/>
              <w:jc w:val="left"/>
              <w:rPr/>
            </w:pPr>
            <w:r>
              <w:rPr/>
              <w:t> </w:t>
            </w:r>
          </w:p>
        </w:tc>
        <w:tc>
          <w:tcPr>
            <w:tcW w:w="8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(6,625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balances - June 30, 2022</w:t>
            </w:r>
          </w:p>
        </w:tc>
        <w:tc>
          <w:tcPr>
            <w:tcW w:w="146" w:type="dxa"/>
            <w:tcBorders/>
            <w:vAlign w:val="center"/>
          </w:tcPr>
          <w:p>
            <w:pPr>
              <w:pStyle w:val="TableContents"/>
              <w:bidi w:val="0"/>
              <w:spacing w:before="0" w:after="0"/>
              <w:ind w:left="0" w:right="0" w:hanging="0"/>
              <w:jc w:val="left"/>
              <w:rPr/>
            </w:pPr>
            <w:r>
              <w:rPr/>
              <w:t> </w:t>
            </w:r>
          </w:p>
        </w:tc>
        <w:tc>
          <w:tcPr>
            <w:tcW w:w="8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6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31,067</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serif" w:hAnsi="Times New Roman;serif"/>
          <w:b w:val="false"/>
          <w:i/>
          <w:sz w:val="20"/>
        </w:rPr>
      </w:pPr>
      <w:r>
        <w:rPr>
          <w:rFonts w:ascii="Times New Roman;serif" w:hAnsi="Times New Roman;serif"/>
          <w:b w:val="false"/>
          <w:i/>
          <w:sz w:val="20"/>
        </w:rPr>
        <w:t>Contingent Consideration</w:t>
      </w:r>
    </w:p>
    <w:p>
      <w:pPr>
        <w:pStyle w:val="TextBody"/>
        <w:bidi w:val="0"/>
        <w:spacing w:before="120" w:after="0"/>
        <w:jc w:val="both"/>
        <w:rPr>
          <w:rFonts w:ascii="Times New Roman" w:hAnsi="Times New Roman"/>
          <w:sz w:val="20"/>
        </w:rPr>
      </w:pPr>
      <w:r>
        <w:rPr>
          <w:rFonts w:ascii="Times New Roman;serif" w:hAnsi="Times New Roman;serif"/>
          <w:b w:val="false"/>
          <w:sz w:val="20"/>
        </w:rPr>
        <w:t>In connection with the acquisition of Indi in 2018, the Company recorded contingent consideration for amounts contingently payable to Indi's selling shareholders pursuant to the terms of the asset purchase agreement (the Indi APA). The contingent consideration arrangement requires additional consideration to be paid by the Company to such shareholders upon attainment of a three-consecutive month</w:t>
      </w:r>
      <w:r>
        <w:rPr>
          <w:rFonts w:ascii="Times New Roman" w:hAnsi="Times New Roman"/>
          <w:sz w:val="20"/>
        </w:rPr>
        <w:t xml:space="preserve"> </w:t>
      </w:r>
      <w:r>
        <w:rPr>
          <w:rFonts w:ascii="Times New Roman;serif" w:hAnsi="Times New Roman;serif"/>
          <w:b w:val="false"/>
          <w:sz w:val="20"/>
        </w:rPr>
        <w:t>gross margin target of $2.0</w:t>
      </w:r>
      <w:r>
        <w:rPr>
          <w:rFonts w:ascii="Times New Roman" w:hAnsi="Times New Roman"/>
          <w:sz w:val="20"/>
        </w:rPr>
        <w:t xml:space="preserve"> </w:t>
      </w:r>
      <w:r>
        <w:rPr>
          <w:rFonts w:ascii="Times New Roman;serif" w:hAnsi="Times New Roman;serif"/>
          <w:b w:val="false"/>
          <w:sz w:val="20"/>
        </w:rPr>
        <w:t>million within the seven-year</w:t>
      </w:r>
      <w:r>
        <w:rPr>
          <w:rFonts w:ascii="Times New Roman" w:hAnsi="Times New Roman"/>
          <w:sz w:val="20"/>
        </w:rPr>
        <w:t xml:space="preserve"> </w:t>
      </w:r>
      <w:r>
        <w:rPr>
          <w:rFonts w:ascii="Times New Roman;serif" w:hAnsi="Times New Roman;serif"/>
          <w:b w:val="false"/>
          <w:sz w:val="20"/>
        </w:rPr>
        <w:t>period after the acquisition date, which was achieved during the three months ended June 30, 2021. Under the terms of the original agreement, when the gross margin target was achieved the Company was required to issue 2,520,108</w:t>
      </w:r>
      <w:r>
        <w:rPr>
          <w:rFonts w:ascii="Times New Roman" w:hAnsi="Times New Roman"/>
          <w:sz w:val="20"/>
        </w:rPr>
        <w:t xml:space="preserve"> </w:t>
      </w:r>
      <w:r>
        <w:rPr>
          <w:rFonts w:ascii="Times New Roman;serif" w:hAnsi="Times New Roman;serif"/>
          <w:b w:val="false"/>
          <w:sz w:val="20"/>
        </w:rPr>
        <w:t>shares of common stock. For the six months following the achievement of the gross margin target, Indi had the option to require the Company to redeem these common shares for $37.0</w:t>
      </w:r>
      <w:r>
        <w:rPr>
          <w:rFonts w:ascii="Times New Roman" w:hAnsi="Times New Roman"/>
          <w:sz w:val="20"/>
        </w:rPr>
        <w:t xml:space="preserve"> </w:t>
      </w:r>
      <w:r>
        <w:rPr>
          <w:rFonts w:ascii="Times New Roman;serif" w:hAnsi="Times New Roman;serif"/>
          <w:b w:val="false"/>
          <w:sz w:val="20"/>
        </w:rPr>
        <w:t>million in cash over eight</w:t>
      </w:r>
      <w:r>
        <w:rPr>
          <w:rFonts w:ascii="Times New Roman" w:hAnsi="Times New Roman"/>
          <w:sz w:val="20"/>
        </w:rPr>
        <w:t xml:space="preserve"> </w:t>
      </w:r>
      <w:r>
        <w:rPr>
          <w:rFonts w:ascii="Times New Roman;serif" w:hAnsi="Times New Roman;serif"/>
          <w:b w:val="false"/>
          <w:sz w:val="20"/>
        </w:rPr>
        <w:t>equal quarterly installments. If Indi elected to not exercise its option, the Company had 12 months to repurchase the common stock in two equal and consecutive quarterly cash installments totaling $37.0</w:t>
      </w:r>
      <w:r>
        <w:rPr>
          <w:rFonts w:ascii="Times New Roman;serif" w:hAnsi="Times New Roman;serif"/>
          <w:sz w:val="20"/>
        </w:rPr>
        <w:t xml:space="preserve"> </w:t>
      </w:r>
      <w:r>
        <w:rPr>
          <w:rFonts w:ascii="Times New Roman;serif" w:hAnsi="Times New Roman;serif"/>
          <w:b w:val="false"/>
          <w:sz w:val="20"/>
        </w:rPr>
        <w:t>million.</w:t>
      </w:r>
    </w:p>
    <w:p>
      <w:pPr>
        <w:pStyle w:val="TextBody"/>
        <w:bidi w:val="0"/>
        <w:spacing w:before="120" w:after="0"/>
        <w:jc w:val="both"/>
        <w:rPr>
          <w:rFonts w:ascii="Times New Roman" w:hAnsi="Times New Roman"/>
          <w:sz w:val="20"/>
        </w:rPr>
      </w:pPr>
      <w:r>
        <w:rPr>
          <w:rFonts w:ascii="Times New Roman;serif" w:hAnsi="Times New Roman;serif"/>
          <w:b w:val="false"/>
          <w:sz w:val="20"/>
        </w:rPr>
        <w:t>In August 2021, the Company entered into an amendment to the original agreement in which all parties agreed to forgo the issuance of common stock and agreed that the Company would, in lieu thereof, make six quarterly installments of approximately $4.6</w:t>
      </w:r>
      <w:r>
        <w:rPr>
          <w:rFonts w:ascii="Times New Roman" w:hAnsi="Times New Roman"/>
          <w:sz w:val="20"/>
        </w:rPr>
        <w:t xml:space="preserve"> </w:t>
      </w:r>
      <w:r>
        <w:rPr>
          <w:rFonts w:ascii="Times New Roman;serif" w:hAnsi="Times New Roman;serif"/>
          <w:b w:val="false"/>
          <w:sz w:val="20"/>
        </w:rPr>
        <w:t>million each beginning in January 2022 and a final payment of approximately $9.3</w:t>
      </w:r>
      <w:r>
        <w:rPr>
          <w:rFonts w:ascii="Times New Roman" w:hAnsi="Times New Roman"/>
          <w:sz w:val="20"/>
        </w:rPr>
        <w:t xml:space="preserve"> </w:t>
      </w:r>
      <w:r>
        <w:rPr>
          <w:rFonts w:ascii="Times New Roman;serif" w:hAnsi="Times New Roman;serif"/>
          <w:b w:val="false"/>
          <w:sz w:val="20"/>
        </w:rPr>
        <w:t>million in July 2023 for a total of $37.0</w:t>
      </w:r>
      <w:r>
        <w:rPr>
          <w:rFonts w:ascii="Times New Roman" w:hAnsi="Times New Roman"/>
          <w:sz w:val="20"/>
        </w:rPr>
        <w:t xml:space="preserve"> </w:t>
      </w:r>
      <w:r>
        <w:rPr>
          <w:rFonts w:ascii="Times New Roman;serif" w:hAnsi="Times New Roman;serif"/>
          <w:b w:val="false"/>
          <w:sz w:val="20"/>
        </w:rPr>
        <w:t>million (the Milestone Payments, and each individually a Milestone Payment). The aggregate amount of payments owed by the Company under this amendment is the same as if Indi had exercised the put right or the Company had exercised the call right provided for in the original agreement.</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On April 7, 2022, the Company entered into Amendment No. 3 to the Indi APA in which the parties agreed to restructure the Milestone Payments whereby the Company will make five</w:t>
      </w:r>
      <w:r>
        <w:rPr>
          <w:rFonts w:ascii="Times New Roman" w:hAnsi="Times New Roman"/>
          <w:sz w:val="20"/>
        </w:rPr>
        <w:t xml:space="preserve"> </w:t>
      </w:r>
      <w:r>
        <w:rPr>
          <w:rFonts w:ascii="Times New Roman;serif" w:hAnsi="Times New Roman;serif"/>
          <w:b w:val="false"/>
          <w:sz w:val="20"/>
        </w:rPr>
        <w:t>quarterly installments of $2.0</w:t>
      </w:r>
      <w:r>
        <w:rPr>
          <w:rFonts w:ascii="Times New Roman" w:hAnsi="Times New Roman"/>
          <w:sz w:val="20"/>
        </w:rPr>
        <w:t xml:space="preserve"> </w:t>
      </w:r>
      <w:r>
        <w:rPr>
          <w:rFonts w:ascii="Times New Roman;serif" w:hAnsi="Times New Roman;serif"/>
          <w:b w:val="false"/>
          <w:sz w:val="20"/>
        </w:rPr>
        <w:t>million each beginning in April 2022, three</w:t>
      </w:r>
      <w:r>
        <w:rPr>
          <w:rFonts w:ascii="Times New Roman" w:hAnsi="Times New Roman"/>
          <w:sz w:val="20"/>
        </w:rPr>
        <w:t xml:space="preserve"> </w:t>
      </w:r>
      <w:r>
        <w:rPr>
          <w:rFonts w:ascii="Times New Roman;serif" w:hAnsi="Times New Roman;serif"/>
          <w:b w:val="false"/>
          <w:sz w:val="20"/>
        </w:rPr>
        <w:t>quarterly installments of $3.0</w:t>
      </w:r>
      <w:r>
        <w:rPr>
          <w:rFonts w:ascii="Times New Roman" w:hAnsi="Times New Roman"/>
          <w:sz w:val="20"/>
        </w:rPr>
        <w:t xml:space="preserve"> </w:t>
      </w:r>
      <w:r>
        <w:rPr>
          <w:rFonts w:ascii="Times New Roman;serif" w:hAnsi="Times New Roman;serif"/>
          <w:b w:val="false"/>
          <w:sz w:val="20"/>
        </w:rPr>
        <w:t>million beginning in July 2023, one</w:t>
      </w:r>
      <w:r>
        <w:rPr>
          <w:rFonts w:ascii="Times New Roman" w:hAnsi="Times New Roman"/>
          <w:sz w:val="20"/>
        </w:rPr>
        <w:t xml:space="preserve"> </w:t>
      </w:r>
      <w:r>
        <w:rPr>
          <w:rFonts w:ascii="Times New Roman;serif" w:hAnsi="Times New Roman;serif"/>
          <w:b w:val="false"/>
          <w:sz w:val="20"/>
        </w:rPr>
        <w:t>installment of $5.0</w:t>
      </w:r>
      <w:r>
        <w:rPr>
          <w:rFonts w:ascii="Times New Roman" w:hAnsi="Times New Roman"/>
          <w:sz w:val="20"/>
        </w:rPr>
        <w:t xml:space="preserve"> </w:t>
      </w:r>
      <w:r>
        <w:rPr>
          <w:rFonts w:ascii="Times New Roman;serif" w:hAnsi="Times New Roman;serif"/>
          <w:b w:val="false"/>
          <w:sz w:val="20"/>
        </w:rPr>
        <w:t>million in April 2024, and one installment of approximately $8.4</w:t>
      </w:r>
      <w:r>
        <w:rPr>
          <w:rFonts w:ascii="Times New Roman" w:hAnsi="Times New Roman"/>
          <w:sz w:val="20"/>
        </w:rPr>
        <w:t xml:space="preserve"> </w:t>
      </w:r>
      <w:r>
        <w:rPr>
          <w:rFonts w:ascii="Times New Roman;serif" w:hAnsi="Times New Roman;serif"/>
          <w:b w:val="false"/>
          <w:sz w:val="20"/>
        </w:rPr>
        <w:t>million in July 2024. In addition, the Company agreed to an exit fee of approximately $6.1</w:t>
      </w:r>
      <w:r>
        <w:rPr>
          <w:rFonts w:ascii="Times New Roman" w:hAnsi="Times New Roman"/>
          <w:sz w:val="20"/>
        </w:rPr>
        <w:t xml:space="preserve"> </w:t>
      </w:r>
      <w:r>
        <w:rPr>
          <w:rFonts w:ascii="Times New Roman;serif" w:hAnsi="Times New Roman;serif"/>
          <w:b w:val="false"/>
          <w:sz w:val="20"/>
        </w:rPr>
        <w:t>million in October 2024. Interest shall accrue on the difference between the payment schedule as agreed in the August 2021 amendment and the April 2022 amended payment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Financial Statements</w:t>
      </w:r>
    </w:p>
    <w:p>
      <w:pPr>
        <w:pStyle w:val="TextBody"/>
        <w:bidi w:val="0"/>
        <w:spacing w:before="0" w:after="0"/>
        <w:jc w:val="center"/>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schedule, at an aggregate per annum rate equal to 10%, with such interest to be payable quarterly on the following installment payment date. Our ability to make these payments is subject to ongoing compliance under the Perceptive Term Loan Facility and commencing January 1, 2024, consent from Perceptive (see Note </w:t>
      </w:r>
      <w:r>
        <w:rPr>
          <w:rFonts w:ascii="Times New Roman;serif" w:hAnsi="Times New Roman;serif"/>
          <w:b w:val="false"/>
          <w:i/>
          <w:sz w:val="20"/>
        </w:rPr>
        <w:t xml:space="preserve">6 </w:t>
      </w:r>
      <w:r>
        <w:rPr>
          <w:rFonts w:ascii="Times New Roman;serif" w:hAnsi="Times New Roman;serif"/>
          <w:b w:val="false"/>
          <w:sz w:val="20"/>
        </w:rPr>
        <w:t xml:space="preserve">- </w:t>
      </w:r>
      <w:r>
        <w:rPr>
          <w:rFonts w:ascii="Times New Roman;serif" w:hAnsi="Times New Roman;serif"/>
          <w:b w:val="false"/>
          <w:i/>
          <w:sz w:val="20"/>
        </w:rPr>
        <w:t>Debt</w:t>
      </w:r>
      <w:r>
        <w:rPr>
          <w:rFonts w:ascii="Times New Roman;serif" w:hAnsi="Times New Roman;serif"/>
          <w:b w:val="false"/>
          <w:sz w:val="20"/>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contingent consideration liability is accounted for at fair value and subject to certain unobservable inputs. The significant unobservable inputs used in the measurement of the fair value include the probability of successful achievement of the specified product gross margin targets, the period in which the targets were expected to be achieved, and discount rates which ranged from 11% to 16%. As a result of the achievement of the gross margin target, the only remaining significant unobservable input used in the measurement of fair value includes the discount rate since all other inputs became fixed and determinable. Significant increases or decreases in the discount rate could result in a significantly higher or lower fair value measurement.</w:t>
      </w:r>
    </w:p>
    <w:p>
      <w:pPr>
        <w:pStyle w:val="TextBody"/>
        <w:bidi w:val="0"/>
        <w:spacing w:before="120" w:after="0"/>
        <w:jc w:val="both"/>
        <w:rPr>
          <w:rFonts w:ascii="Times New Roman" w:hAnsi="Times New Roman"/>
          <w:sz w:val="20"/>
        </w:rPr>
      </w:pPr>
      <w:r>
        <w:rPr>
          <w:rFonts w:ascii="Times New Roman;serif" w:hAnsi="Times New Roman;serif"/>
          <w:b w:val="false"/>
          <w:sz w:val="20"/>
        </w:rPr>
        <w:t>During the three and six months ended June 30, 2023, the Company recorded $1.0</w:t>
      </w:r>
      <w:r>
        <w:rPr>
          <w:rFonts w:ascii="Times New Roman" w:hAnsi="Times New Roman"/>
          <w:sz w:val="20"/>
        </w:rPr>
        <w:t xml:space="preserve"> </w:t>
      </w:r>
      <w:r>
        <w:rPr>
          <w:rFonts w:ascii="Times New Roman;serif" w:hAnsi="Times New Roman;serif"/>
          <w:b w:val="false"/>
          <w:sz w:val="20"/>
        </w:rPr>
        <w:t>million and $2.1</w:t>
      </w:r>
      <w:r>
        <w:rPr>
          <w:rFonts w:ascii="Times New Roman" w:hAnsi="Times New Roman"/>
          <w:sz w:val="20"/>
        </w:rPr>
        <w:t xml:space="preserve"> </w:t>
      </w:r>
      <w:r>
        <w:rPr>
          <w:rFonts w:ascii="Times New Roman;serif" w:hAnsi="Times New Roman;serif"/>
          <w:b w:val="false"/>
          <w:sz w:val="20"/>
        </w:rPr>
        <w:t>million, respectively, and $0.1</w:t>
      </w:r>
      <w:r>
        <w:rPr>
          <w:rFonts w:ascii="Times New Roman" w:hAnsi="Times New Roman"/>
          <w:sz w:val="20"/>
        </w:rPr>
        <w:t xml:space="preserve"> </w:t>
      </w:r>
      <w:r>
        <w:rPr>
          <w:rFonts w:ascii="Times New Roman;serif" w:hAnsi="Times New Roman;serif"/>
          <w:b w:val="false"/>
          <w:sz w:val="20"/>
        </w:rPr>
        <w:t>million and $1.0</w:t>
      </w:r>
      <w:r>
        <w:rPr>
          <w:rFonts w:ascii="Times New Roman" w:hAnsi="Times New Roman"/>
          <w:sz w:val="20"/>
        </w:rPr>
        <w:t xml:space="preserve"> </w:t>
      </w:r>
      <w:r>
        <w:rPr>
          <w:rFonts w:ascii="Times New Roman;serif" w:hAnsi="Times New Roman;serif"/>
          <w:b w:val="false"/>
          <w:sz w:val="20"/>
        </w:rPr>
        <w:t>million during the three and six months ended June 30, 2022, respectively, in interest expense due to the passage of time and fixed payment schedule.</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Contingent consideration expected to be paid in the next twelve months is recorded in the condensed balance sheets as ‘Current portion of contingent consideration’ while the remaining amount to be paid is recorded as ‘Contingent consideration’ within non-current liabilities. The net change to contingent consideration through the date the gross margin target was achieved is recorded as operating expenses in the condensed statements of operations. Subsequent changes to the contingent consideration following the achievement of the gross margin target are recorded as ‘Interest expense’ in the condensed statements of operations resulting from the passage of time and fixed payment schedule.</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Warrant Liabilities</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On November 21, 2022, as consideration for the Perceptive Term Loan Facility (see Note 6 - </w:t>
      </w:r>
      <w:r>
        <w:rPr>
          <w:rFonts w:ascii="Times New Roman;serif" w:hAnsi="Times New Roman;serif"/>
          <w:b w:val="false"/>
          <w:i/>
          <w:sz w:val="20"/>
        </w:rPr>
        <w:t>Debt</w:t>
      </w:r>
      <w:r>
        <w:rPr>
          <w:rFonts w:ascii="Times New Roman;serif" w:hAnsi="Times New Roman;serif"/>
          <w:b w:val="false"/>
          <w:sz w:val="20"/>
        </w:rPr>
        <w:t>), the Company issued Perceptive a warrant to purchase up to 5,000,000</w:t>
      </w:r>
      <w:r>
        <w:rPr>
          <w:rFonts w:ascii="Times New Roman" w:hAnsi="Times New Roman"/>
          <w:sz w:val="20"/>
        </w:rPr>
        <w:t xml:space="preserve"> </w:t>
      </w:r>
      <w:r>
        <w:rPr>
          <w:rFonts w:ascii="Times New Roman;serif" w:hAnsi="Times New Roman;serif"/>
          <w:b w:val="false"/>
          <w:sz w:val="20"/>
        </w:rPr>
        <w:t xml:space="preserve">shares of the Company's common stock (the Perceptive Warrant), including Initial Warrants (as defined below) and Additional Warrants (as defined below). The Initial Warrants are equity classified (see Note 8 - </w:t>
      </w:r>
      <w:r>
        <w:rPr>
          <w:rFonts w:ascii="Times New Roman;serif" w:hAnsi="Times New Roman;serif"/>
          <w:b w:val="false"/>
          <w:i/>
          <w:sz w:val="20"/>
        </w:rPr>
        <w:t>Equity</w:t>
      </w:r>
      <w:r>
        <w:rPr>
          <w:rFonts w:ascii="Times New Roman;serif" w:hAnsi="Times New Roman;serif"/>
          <w:b w:val="false"/>
          <w:sz w:val="20"/>
        </w:rPr>
        <w:t>) while the Additional Warrants are classified as liabilities within 'Other long-term liabilities' and recognized at fair value. The fair value of the Additional Warrants is determined using a Black-Scholes model and subject to certain unobservable inputs. The significant unobservable inputs used in the measurement of the fair value include the fair value of the Company's common stock, risk-free rate, the volatility of common stock, and the probability of the expected borrowing. Significant increases or decreases in the unobservable inputs could result in a significantly higher or lower fair value measurement. During the three and six months ended June 30, 2023, the Company recorded zero and a $0.1</w:t>
      </w:r>
      <w:r>
        <w:rPr>
          <w:rFonts w:ascii="Times New Roman" w:hAnsi="Times New Roman"/>
          <w:sz w:val="20"/>
        </w:rPr>
        <w:t xml:space="preserve"> </w:t>
      </w:r>
      <w:r>
        <w:rPr>
          <w:rFonts w:ascii="Times New Roman;serif" w:hAnsi="Times New Roman;serif"/>
          <w:b w:val="false"/>
          <w:sz w:val="20"/>
        </w:rPr>
        <w:t>million gain, respectively, as a change in fair value through the condensed statement of operations due to changes in unobservable inputs. This is a result of changes in the probability of our ability to draw on Tranche B and C loans.</w:t>
      </w:r>
    </w:p>
    <w:p>
      <w:pPr>
        <w:pStyle w:val="TextBody"/>
        <w:bidi w:val="0"/>
        <w:spacing w:before="240" w:after="0"/>
        <w:jc w:val="both"/>
        <w:rPr>
          <w:rFonts w:ascii="Times New Roman" w:hAnsi="Times New Roman"/>
          <w:sz w:val="20"/>
        </w:rPr>
      </w:pPr>
      <w:r>
        <w:rPr>
          <w:rFonts w:ascii="Times New Roman;serif" w:hAnsi="Times New Roman;serif"/>
          <w:b/>
          <w:sz w:val="20"/>
        </w:rPr>
        <w:t>Note 5 – Supplementary Balance Sheet Information</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Property and equipment consist of the following (in thousands):</w:t>
      </w:r>
    </w:p>
    <w:tbl>
      <w:tblPr>
        <w:tblW w:w="6745" w:type="dxa"/>
        <w:jc w:val="left"/>
        <w:tblInd w:w="0" w:type="dxa"/>
        <w:tblLayout w:type="fixed"/>
        <w:tblCellMar>
          <w:top w:w="28" w:type="dxa"/>
          <w:left w:w="28" w:type="dxa"/>
          <w:bottom w:w="28" w:type="dxa"/>
          <w:right w:w="28" w:type="dxa"/>
        </w:tblCellMar>
      </w:tblPr>
      <w:tblGrid>
        <w:gridCol w:w="3076"/>
        <w:gridCol w:w="146"/>
        <w:gridCol w:w="303"/>
        <w:gridCol w:w="972"/>
        <w:gridCol w:w="166"/>
        <w:gridCol w:w="146"/>
        <w:gridCol w:w="409"/>
        <w:gridCol w:w="1316"/>
        <w:gridCol w:w="21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12" w:type="dxa"/>
            <w:gridSpan w:val="6"/>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30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Lab equipment</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6,035</w:t>
            </w:r>
          </w:p>
        </w:tc>
        <w:tc>
          <w:tcPr>
            <w:tcW w:w="211" w:type="dxa"/>
            <w:tcBorders/>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2,365</w:t>
            </w:r>
          </w:p>
        </w:tc>
        <w:tc>
          <w:tcPr>
            <w:tcW w:w="211" w:type="dxa"/>
            <w:tcBorders/>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equipment</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749</w:t>
            </w:r>
          </w:p>
        </w:tc>
        <w:tc>
          <w:tcPr>
            <w:tcW w:w="211" w:type="dxa"/>
            <w:tcBorders/>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fixtures</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w:t>
            </w:r>
          </w:p>
        </w:tc>
        <w:tc>
          <w:tcPr>
            <w:tcW w:w="211" w:type="dxa"/>
            <w:tcBorders/>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Software</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w:t>
            </w:r>
          </w:p>
        </w:tc>
        <w:tc>
          <w:tcPr>
            <w:tcW w:w="211" w:type="dxa"/>
            <w:tcBorders/>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Vehicles</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211" w:type="dxa"/>
            <w:tcBorders/>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Construction in process</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16,338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12,866</w:t>
            </w:r>
          </w:p>
        </w:tc>
        <w:tc>
          <w:tcPr>
            <w:tcW w:w="211" w:type="dxa"/>
            <w:tcBorders/>
            <w:vAlign w:val="center"/>
          </w:tcPr>
          <w:p>
            <w:pPr>
              <w:pStyle w:val="TableContents"/>
              <w:bidi w:val="0"/>
              <w:spacing w:before="0" w:after="0"/>
              <w:ind w:left="0" w:right="0" w:hanging="0"/>
              <w:jc w:val="left"/>
              <w:rPr/>
            </w:pPr>
            <w:r>
              <w:rPr/>
              <w:t> </w:t>
            </w:r>
          </w:p>
        </w:tc>
      </w:tr>
      <w:tr>
        <w:trPr/>
        <w:tc>
          <w:tcPr>
            <w:tcW w:w="30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(7,591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(7,018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7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 property and equipment, net</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18,996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5,848</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both"/>
        <w:rPr>
          <w:rFonts w:ascii="Times New Roman" w:hAnsi="Times New Roman"/>
          <w:sz w:val="20"/>
        </w:rPr>
      </w:pPr>
      <w:r>
        <w:rPr>
          <w:rFonts w:ascii="Times New Roman;serif" w:hAnsi="Times New Roman;serif"/>
          <w:b w:val="false"/>
          <w:sz w:val="20"/>
        </w:rPr>
        <w:t>Depreciation expense for the three and six months ended June 30, 2023 was $0.3</w:t>
      </w:r>
      <w:r>
        <w:rPr>
          <w:rFonts w:ascii="Times New Roman" w:hAnsi="Times New Roman"/>
          <w:sz w:val="20"/>
        </w:rPr>
        <w:t xml:space="preserve"> </w:t>
      </w:r>
      <w:r>
        <w:rPr>
          <w:rFonts w:ascii="Times New Roman;serif" w:hAnsi="Times New Roman;serif"/>
          <w:b w:val="false"/>
          <w:sz w:val="20"/>
        </w:rPr>
        <w:t>million and $0.6</w:t>
      </w:r>
      <w:r>
        <w:rPr>
          <w:rFonts w:ascii="Times New Roman" w:hAnsi="Times New Roman"/>
          <w:sz w:val="20"/>
        </w:rPr>
        <w:t xml:space="preserve"> </w:t>
      </w:r>
      <w:r>
        <w:rPr>
          <w:rFonts w:ascii="Times New Roman;serif" w:hAnsi="Times New Roman;serif"/>
          <w:b w:val="false"/>
          <w:sz w:val="20"/>
        </w:rPr>
        <w:t>million, respectively, compared to $0.4</w:t>
      </w:r>
      <w:r>
        <w:rPr>
          <w:rFonts w:ascii="Times New Roman" w:hAnsi="Times New Roman"/>
          <w:sz w:val="20"/>
        </w:rPr>
        <w:t xml:space="preserve"> </w:t>
      </w:r>
      <w:r>
        <w:rPr>
          <w:rFonts w:ascii="Times New Roman;serif" w:hAnsi="Times New Roman;serif"/>
          <w:b w:val="false"/>
          <w:sz w:val="20"/>
        </w:rPr>
        <w:t>million and $0.8</w:t>
      </w:r>
      <w:r>
        <w:rPr>
          <w:rFonts w:ascii="Times New Roman" w:hAnsi="Times New Roman"/>
          <w:sz w:val="20"/>
        </w:rPr>
        <w:t xml:space="preserve"> </w:t>
      </w:r>
      <w:r>
        <w:rPr>
          <w:rFonts w:ascii="Times New Roman;serif" w:hAnsi="Times New Roman;serif"/>
          <w:b w:val="false"/>
          <w:sz w:val="20"/>
        </w:rPr>
        <w:t>million for the three and six months ended June 30, 2022, respectively.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Financial Statements</w:t>
      </w:r>
    </w:p>
    <w:p>
      <w:pPr>
        <w:pStyle w:val="TextBody"/>
        <w:bidi w:val="0"/>
        <w:spacing w:before="0" w:after="0"/>
        <w:jc w:val="center"/>
        <w:rPr/>
      </w:pPr>
      <w:r>
        <w:rPr/>
        <w:t> </w:t>
      </w:r>
    </w:p>
    <w:p>
      <w:pPr>
        <w:pStyle w:val="TextBody"/>
        <w:bidi w:val="0"/>
        <w:spacing w:before="240" w:after="120"/>
        <w:jc w:val="both"/>
        <w:rPr>
          <w:rFonts w:ascii="Times New Roman;serif" w:hAnsi="Times New Roman;serif"/>
          <w:b w:val="false"/>
          <w:sz w:val="20"/>
        </w:rPr>
      </w:pPr>
      <w:r>
        <w:rPr>
          <w:rFonts w:ascii="Times New Roman;serif" w:hAnsi="Times New Roman;serif"/>
          <w:b w:val="false"/>
          <w:sz w:val="20"/>
        </w:rPr>
        <w:t>Intangible assets, excluding goodwill, consist of the following (in thousands):</w:t>
      </w:r>
    </w:p>
    <w:tbl>
      <w:tblPr>
        <w:tblW w:w="10205" w:type="dxa"/>
        <w:jc w:val="left"/>
        <w:tblInd w:w="0" w:type="dxa"/>
        <w:tblLayout w:type="fixed"/>
        <w:tblCellMar>
          <w:top w:w="28" w:type="dxa"/>
          <w:left w:w="28" w:type="dxa"/>
          <w:bottom w:w="28" w:type="dxa"/>
          <w:right w:w="28" w:type="dxa"/>
        </w:tblCellMar>
      </w:tblPr>
      <w:tblGrid>
        <w:gridCol w:w="1749"/>
        <w:gridCol w:w="146"/>
        <w:gridCol w:w="211"/>
        <w:gridCol w:w="676"/>
        <w:gridCol w:w="146"/>
        <w:gridCol w:w="146"/>
        <w:gridCol w:w="277"/>
        <w:gridCol w:w="969"/>
        <w:gridCol w:w="166"/>
        <w:gridCol w:w="146"/>
        <w:gridCol w:w="290"/>
        <w:gridCol w:w="785"/>
        <w:gridCol w:w="146"/>
        <w:gridCol w:w="146"/>
        <w:gridCol w:w="211"/>
        <w:gridCol w:w="676"/>
        <w:gridCol w:w="146"/>
        <w:gridCol w:w="146"/>
        <w:gridCol w:w="312"/>
        <w:gridCol w:w="934"/>
        <w:gridCol w:w="166"/>
        <w:gridCol w:w="146"/>
        <w:gridCol w:w="290"/>
        <w:gridCol w:w="785"/>
        <w:gridCol w:w="394"/>
      </w:tblGrid>
      <w:tr>
        <w:trPr/>
        <w:tc>
          <w:tcPr>
            <w:tcW w:w="1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7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12"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812"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Accumulated</w:t>
              <w:br/>
              <w:t>Amortization</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Net Carrying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Accumulated</w:t>
              <w:br/>
              <w:t>Amortization</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Net Carrying Value</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subject to amortization</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75"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firstLine="200"/>
              <w:jc w:val="right"/>
              <w:rPr/>
            </w:pPr>
            <w:r>
              <w:rPr/>
              <w:t> </w:t>
            </w:r>
          </w:p>
        </w:tc>
      </w:tr>
      <w:tr>
        <w:trPr/>
        <w:tc>
          <w:tcPr>
            <w:tcW w:w="174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Patents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1,233</w:t>
            </w:r>
          </w:p>
        </w:tc>
        <w:tc>
          <w:tcPr>
            <w:tcW w:w="394" w:type="dxa"/>
            <w:tcBorders/>
            <w:vAlign w:val="center"/>
          </w:tcPr>
          <w:p>
            <w:pPr>
              <w:pStyle w:val="TableContents"/>
              <w:bidi w:val="0"/>
              <w:spacing w:before="0" w:after="0"/>
              <w:ind w:left="0" w:right="0" w:firstLine="200"/>
              <w:jc w:val="left"/>
              <w:rPr/>
            </w:pPr>
            <w:r>
              <w:rPr/>
              <w:t> </w:t>
            </w:r>
          </w:p>
        </w:tc>
      </w:tr>
      <w:tr>
        <w:trPr/>
        <w:tc>
          <w:tcPr>
            <w:tcW w:w="174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Purchased technology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(9,389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9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8,450</w:t>
            </w:r>
          </w:p>
        </w:tc>
        <w:tc>
          <w:tcPr>
            <w:tcW w:w="394" w:type="dxa"/>
            <w:tcBorders/>
            <w:vAlign w:val="center"/>
          </w:tcPr>
          <w:p>
            <w:pPr>
              <w:pStyle w:val="TableContents"/>
              <w:bidi w:val="0"/>
              <w:spacing w:before="0" w:after="0"/>
              <w:ind w:left="0" w:right="0" w:hanging="0"/>
              <w:jc w:val="left"/>
              <w:rPr/>
            </w:pPr>
            <w:r>
              <w:rPr/>
              <w:t> </w:t>
            </w:r>
          </w:p>
        </w:tc>
      </w:tr>
      <w:tr>
        <w:trPr/>
        <w:tc>
          <w:tcPr>
            <w:tcW w:w="17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not subject to</w:t>
              <w:br/>
              <w:t>    amortization</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5" w:type="dxa"/>
            <w:gridSpan w:val="2"/>
            <w:tcBorders/>
            <w:vAlign w:val="center"/>
          </w:tcPr>
          <w:p>
            <w:pPr>
              <w:pStyle w:val="TableContents"/>
              <w:bidi w:val="0"/>
              <w:spacing w:before="0" w:after="0"/>
              <w:ind w:left="0" w:right="0" w:hanging="0"/>
              <w:jc w:val="left"/>
              <w:rPr/>
            </w:pPr>
            <w:r>
              <w:rPr/>
              <w:t> </w:t>
            </w:r>
          </w:p>
        </w:tc>
        <w:tc>
          <w:tcPr>
            <w:tcW w:w="394" w:type="dxa"/>
            <w:tcBorders/>
            <w:vAlign w:val="center"/>
          </w:tcPr>
          <w:p>
            <w:pPr>
              <w:pStyle w:val="TableContents"/>
              <w:bidi w:val="0"/>
              <w:spacing w:before="0" w:after="0"/>
              <w:ind w:left="0" w:right="0" w:firstLine="200"/>
              <w:jc w:val="left"/>
              <w:rPr/>
            </w:pPr>
            <w:r>
              <w:rPr/>
              <w:t> </w:t>
            </w:r>
          </w:p>
        </w:tc>
      </w:tr>
      <w:tr>
        <w:trPr/>
        <w:tc>
          <w:tcPr>
            <w:tcW w:w="174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Trademarks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749"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18,959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(10,088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8,871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18,894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(9,097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9,797</w:t>
            </w:r>
          </w:p>
        </w:tc>
        <w:tc>
          <w:tcPr>
            <w:tcW w:w="3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 w:hAnsi="Times New Roman"/>
          <w:sz w:val="20"/>
        </w:rPr>
      </w:pPr>
      <w:r>
        <w:rPr>
          <w:rFonts w:ascii="Times New Roman;serif" w:hAnsi="Times New Roman;serif"/>
          <w:b w:val="false"/>
          <w:sz w:val="20"/>
        </w:rPr>
        <w:t>Amortization expense related to definite-lived intangible assets was $0.5</w:t>
      </w:r>
      <w:r>
        <w:rPr>
          <w:rFonts w:ascii="Times New Roman" w:hAnsi="Times New Roman"/>
          <w:sz w:val="20"/>
        </w:rPr>
        <w:t xml:space="preserve"> </w:t>
      </w:r>
      <w:r>
        <w:rPr>
          <w:rFonts w:ascii="Times New Roman;serif" w:hAnsi="Times New Roman;serif"/>
          <w:b w:val="false"/>
          <w:sz w:val="20"/>
        </w:rPr>
        <w:t>million and $1.0</w:t>
      </w:r>
      <w:r>
        <w:rPr>
          <w:rFonts w:ascii="Times New Roman" w:hAnsi="Times New Roman"/>
          <w:sz w:val="20"/>
        </w:rPr>
        <w:t xml:space="preserve"> </w:t>
      </w:r>
      <w:r>
        <w:rPr>
          <w:rFonts w:ascii="Times New Roman;serif" w:hAnsi="Times New Roman;serif"/>
          <w:b w:val="false"/>
          <w:sz w:val="20"/>
        </w:rPr>
        <w:t>million for both the three and six months ended June 30, 2023 and 2022, respectively.</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Future estimated amortization expense of intangible assets is (in thousands):</w:t>
      </w:r>
    </w:p>
    <w:tbl>
      <w:tblPr>
        <w:tblW w:w="3508" w:type="dxa"/>
        <w:jc w:val="left"/>
        <w:tblInd w:w="0" w:type="dxa"/>
        <w:tblLayout w:type="fixed"/>
        <w:tblCellMar>
          <w:top w:w="28" w:type="dxa"/>
          <w:left w:w="28" w:type="dxa"/>
          <w:bottom w:w="28" w:type="dxa"/>
          <w:right w:w="28" w:type="dxa"/>
        </w:tblCellMar>
      </w:tblPr>
      <w:tblGrid>
        <w:gridCol w:w="1696"/>
        <w:gridCol w:w="146"/>
        <w:gridCol w:w="344"/>
        <w:gridCol w:w="931"/>
        <w:gridCol w:w="3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xml:space="preserve">As of </w:t>
              <w:br/>
              <w:t>June 30,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Remainder of 2023</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990</w:t>
            </w:r>
          </w:p>
        </w:tc>
        <w:tc>
          <w:tcPr>
            <w:tcW w:w="391" w:type="dxa"/>
            <w:tcBorders/>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1,973</w:t>
            </w:r>
          </w:p>
        </w:tc>
        <w:tc>
          <w:tcPr>
            <w:tcW w:w="391" w:type="dxa"/>
            <w:tcBorders/>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1,967</w:t>
            </w:r>
          </w:p>
        </w:tc>
        <w:tc>
          <w:tcPr>
            <w:tcW w:w="391" w:type="dxa"/>
            <w:tcBorders/>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1,953</w:t>
            </w:r>
          </w:p>
        </w:tc>
        <w:tc>
          <w:tcPr>
            <w:tcW w:w="391" w:type="dxa"/>
            <w:tcBorders/>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1,003</w:t>
            </w:r>
          </w:p>
        </w:tc>
        <w:tc>
          <w:tcPr>
            <w:tcW w:w="391" w:type="dxa"/>
            <w:tcBorders/>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2028 and thereafter</w:t>
            </w:r>
          </w:p>
        </w:tc>
        <w:tc>
          <w:tcPr>
            <w:tcW w:w="146" w:type="dxa"/>
            <w:tcBorders/>
            <w:vAlign w:val="center"/>
          </w:tcPr>
          <w:p>
            <w:pPr>
              <w:pStyle w:val="TableContents"/>
              <w:bidi w:val="0"/>
              <w:spacing w:before="0" w:after="0"/>
              <w:ind w:left="0" w:right="0" w:hanging="0"/>
              <w:jc w:val="left"/>
              <w:rPr/>
            </w:pPr>
            <w:r>
              <w:rPr/>
              <w:t> </w:t>
            </w:r>
          </w:p>
        </w:tc>
        <w:tc>
          <w:tcPr>
            <w:tcW w:w="3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6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3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8,757</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120"/>
        <w:jc w:val="both"/>
        <w:rPr>
          <w:rFonts w:ascii="Times New Roman;serif" w:hAnsi="Times New Roman;serif"/>
          <w:b w:val="false"/>
          <w:sz w:val="20"/>
        </w:rPr>
      </w:pPr>
      <w:r>
        <w:rPr>
          <w:rFonts w:ascii="Times New Roman;serif" w:hAnsi="Times New Roman;serif"/>
          <w:b w:val="false"/>
          <w:sz w:val="20"/>
        </w:rPr>
        <w:t>Accrued liabilities consist of the following (in thousands):</w:t>
      </w:r>
    </w:p>
    <w:tbl>
      <w:tblPr>
        <w:tblW w:w="6240" w:type="dxa"/>
        <w:jc w:val="left"/>
        <w:tblInd w:w="0" w:type="dxa"/>
        <w:tblLayout w:type="fixed"/>
        <w:tblCellMar>
          <w:top w:w="28" w:type="dxa"/>
          <w:left w:w="28" w:type="dxa"/>
          <w:bottom w:w="28" w:type="dxa"/>
          <w:right w:w="28" w:type="dxa"/>
        </w:tblCellMar>
      </w:tblPr>
      <w:tblGrid>
        <w:gridCol w:w="2611"/>
        <w:gridCol w:w="146"/>
        <w:gridCol w:w="344"/>
        <w:gridCol w:w="931"/>
        <w:gridCol w:w="146"/>
        <w:gridCol w:w="146"/>
        <w:gridCol w:w="465"/>
        <w:gridCol w:w="1260"/>
        <w:gridCol w:w="1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92" w:type="dxa"/>
            <w:gridSpan w:val="6"/>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26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Compensation related accruals</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4,671</w:t>
            </w:r>
          </w:p>
        </w:tc>
        <w:tc>
          <w:tcPr>
            <w:tcW w:w="191" w:type="dxa"/>
            <w:tcBorders/>
            <w:vAlign w:val="center"/>
          </w:tcPr>
          <w:p>
            <w:pPr>
              <w:pStyle w:val="TableContents"/>
              <w:bidi w:val="0"/>
              <w:spacing w:before="0" w:after="0"/>
              <w:ind w:left="0" w:right="0" w:hanging="0"/>
              <w:jc w:val="left"/>
              <w:rPr/>
            </w:pPr>
            <w:r>
              <w:rPr/>
              <w:t> </w:t>
            </w:r>
          </w:p>
        </w:tc>
      </w:tr>
      <w:tr>
        <w:trPr/>
        <w:tc>
          <w:tcPr>
            <w:tcW w:w="2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clinical trial expense</w:t>
            </w:r>
          </w:p>
        </w:tc>
        <w:tc>
          <w:tcPr>
            <w:tcW w:w="146" w:type="dxa"/>
            <w:tcBorders/>
            <w:vAlign w:val="center"/>
          </w:tcPr>
          <w:p>
            <w:pPr>
              <w:pStyle w:val="TableContents"/>
              <w:bidi w:val="0"/>
              <w:spacing w:before="0" w:after="0"/>
              <w:ind w:left="0" w:right="0" w:hanging="0"/>
              <w:jc w:val="left"/>
              <w:rPr/>
            </w:pPr>
            <w:r>
              <w:rPr/>
              <w:t> </w:t>
            </w:r>
          </w:p>
        </w:tc>
        <w:tc>
          <w:tcPr>
            <w:tcW w:w="344"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vAlign w:val="center"/>
          </w:tcPr>
          <w:p>
            <w:pPr>
              <w:pStyle w:val="TableContents"/>
              <w:bidi w:val="0"/>
              <w:spacing w:before="0" w:after="0"/>
              <w:ind w:left="0" w:right="0" w:hanging="0"/>
              <w:jc w:val="left"/>
              <w:rPr/>
            </w:pPr>
            <w:r>
              <w:rPr/>
              <w:t> </w:t>
            </w:r>
          </w:p>
        </w:tc>
        <w:tc>
          <w:tcPr>
            <w:tcW w:w="12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1,232</w:t>
            </w:r>
          </w:p>
        </w:tc>
        <w:tc>
          <w:tcPr>
            <w:tcW w:w="191" w:type="dxa"/>
            <w:tcBorders/>
            <w:vAlign w:val="center"/>
          </w:tcPr>
          <w:p>
            <w:pPr>
              <w:pStyle w:val="TableContents"/>
              <w:bidi w:val="0"/>
              <w:spacing w:before="0" w:after="0"/>
              <w:ind w:left="0" w:right="0" w:hanging="0"/>
              <w:jc w:val="left"/>
              <w:rPr/>
            </w:pPr>
            <w:r>
              <w:rPr/>
              <w:t> </w:t>
            </w:r>
          </w:p>
        </w:tc>
      </w:tr>
      <w:tr>
        <w:trPr/>
        <w:tc>
          <w:tcPr>
            <w:tcW w:w="2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expenses</w:t>
            </w:r>
          </w:p>
        </w:tc>
        <w:tc>
          <w:tcPr>
            <w:tcW w:w="146" w:type="dxa"/>
            <w:tcBorders/>
            <w:vAlign w:val="center"/>
          </w:tcPr>
          <w:p>
            <w:pPr>
              <w:pStyle w:val="TableContents"/>
              <w:bidi w:val="0"/>
              <w:spacing w:before="0" w:after="0"/>
              <w:ind w:left="0" w:right="0" w:hanging="0"/>
              <w:jc w:val="left"/>
              <w:rPr/>
            </w:pPr>
            <w:r>
              <w:rPr/>
              <w:t> </w:t>
            </w:r>
          </w:p>
        </w:tc>
        <w:tc>
          <w:tcPr>
            <w:tcW w:w="3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1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 accrued liabilities</w:t>
            </w:r>
          </w:p>
        </w:tc>
        <w:tc>
          <w:tcPr>
            <w:tcW w:w="146" w:type="dxa"/>
            <w:tcBorders/>
            <w:vAlign w:val="center"/>
          </w:tcPr>
          <w:p>
            <w:pPr>
              <w:pStyle w:val="TableContents"/>
              <w:bidi w:val="0"/>
              <w:spacing w:before="0" w:after="0"/>
              <w:ind w:left="0" w:right="0" w:hanging="0"/>
              <w:jc w:val="left"/>
              <w:rPr/>
            </w:pPr>
            <w:r>
              <w:rPr/>
              <w:t> </w:t>
            </w:r>
          </w:p>
        </w:tc>
        <w:tc>
          <w:tcPr>
            <w:tcW w:w="3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6,981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8,218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sz w:val="20"/>
        </w:rPr>
        <w:t>Note 6 – Debt</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Our long-term debt primarily consists of notes payable associated with our Perceptive Term Loan Facility which is described in further detail below. Long-term notes payable were as follows (in thousands):</w:t>
      </w:r>
    </w:p>
    <w:tbl>
      <w:tblPr>
        <w:tblW w:w="7930" w:type="dxa"/>
        <w:jc w:val="left"/>
        <w:tblInd w:w="0" w:type="dxa"/>
        <w:tblLayout w:type="fixed"/>
        <w:tblCellMar>
          <w:top w:w="28" w:type="dxa"/>
          <w:left w:w="28" w:type="dxa"/>
          <w:bottom w:w="28" w:type="dxa"/>
          <w:right w:w="28" w:type="dxa"/>
        </w:tblCellMar>
      </w:tblPr>
      <w:tblGrid>
        <w:gridCol w:w="4261"/>
        <w:gridCol w:w="146"/>
        <w:gridCol w:w="303"/>
        <w:gridCol w:w="972"/>
        <w:gridCol w:w="166"/>
        <w:gridCol w:w="146"/>
        <w:gridCol w:w="409"/>
        <w:gridCol w:w="1316"/>
        <w:gridCol w:w="21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12" w:type="dxa"/>
            <w:gridSpan w:val="6"/>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42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Perceptive Term Loan Facility</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30,000</w:t>
            </w:r>
          </w:p>
        </w:tc>
        <w:tc>
          <w:tcPr>
            <w:tcW w:w="21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w:t>
            </w:r>
          </w:p>
        </w:tc>
        <w:tc>
          <w:tcPr>
            <w:tcW w:w="21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Unamortized debt discount and debt issuance costs</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(5,395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(5,074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25,053</w:t>
            </w:r>
          </w:p>
        </w:tc>
        <w:tc>
          <w:tcPr>
            <w:tcW w:w="21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current maturities</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notes payable</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24,658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25,004</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serif" w:hAnsi="Times New Roman;serif"/>
          <w:b/>
          <w:i/>
          <w:sz w:val="20"/>
        </w:rPr>
      </w:pPr>
      <w:r>
        <w:rPr>
          <w:rFonts w:ascii="Times New Roman;serif" w:hAnsi="Times New Roman;serif"/>
          <w:b/>
          <w:i/>
          <w:sz w:val="20"/>
        </w:rPr>
        <w:t>Perceptive Term Loan Facility</w:t>
      </w:r>
    </w:p>
    <w:p>
      <w:pPr>
        <w:pStyle w:val="TextBody"/>
        <w:bidi w:val="0"/>
        <w:spacing w:before="120" w:after="0"/>
        <w:jc w:val="both"/>
        <w:rPr>
          <w:rFonts w:ascii="Times New Roman" w:hAnsi="Times New Roman"/>
          <w:sz w:val="20"/>
        </w:rPr>
      </w:pPr>
      <w:r>
        <w:rPr>
          <w:rFonts w:ascii="Times New Roman;serif" w:hAnsi="Times New Roman;serif"/>
          <w:b w:val="false"/>
          <w:sz w:val="20"/>
        </w:rPr>
        <w:t>On November 16, 2022 (the Closing Date), the Company entered into a Credit Agreement and Guaranty (the Credit Agreement) with Perceptive Credit Holdings IV, LP as lender and administrative agent (the Lender). The Credit Agreement provides for a senior secured delayed draw term loan facility with Perceptive Advisors LLC (Perceptive), in an aggregate principal amount of up to $50.0</w:t>
      </w:r>
      <w:r>
        <w:rPr>
          <w:rFonts w:ascii="Times New Roman" w:hAnsi="Times New Roman"/>
          <w:sz w:val="20"/>
        </w:rPr>
        <w:t xml:space="preserve"> </w:t>
      </w:r>
      <w:r>
        <w:rPr>
          <w:rFonts w:ascii="Times New Roman;serif" w:hAnsi="Times New Roman;serif"/>
          <w:b w:val="false"/>
          <w:sz w:val="20"/>
        </w:rPr>
        <w:t>million (the Perceptive Term Loan Facility). The initial funding of the Perceptive Term Loan Facility was subject to a capital raise of at least $30.0</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Financial Statements</w:t>
      </w:r>
    </w:p>
    <w:p>
      <w:pPr>
        <w:pStyle w:val="TextBody"/>
        <w:bidi w:val="0"/>
        <w:spacing w:before="0" w:after="0"/>
        <w:jc w:val="center"/>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20"/>
        </w:rPr>
        <w:t>million in gross proceeds from an equity offering of the Company's common stock. On November 21, 2022 (the Funding Date), the Company raised approximately $40.6</w:t>
      </w:r>
      <w:r>
        <w:rPr>
          <w:rFonts w:ascii="Times New Roman" w:hAnsi="Times New Roman"/>
          <w:sz w:val="20"/>
        </w:rPr>
        <w:t xml:space="preserve"> </w:t>
      </w:r>
      <w:r>
        <w:rPr>
          <w:rFonts w:ascii="Times New Roman;serif" w:hAnsi="Times New Roman;serif"/>
          <w:b w:val="false"/>
          <w:sz w:val="20"/>
        </w:rPr>
        <w:t>million in gross proceeds from the sale of common stock. The Tranche A Loan, in an aggregate amount of up to $30.0</w:t>
      </w:r>
      <w:r>
        <w:rPr>
          <w:rFonts w:ascii="Times New Roman" w:hAnsi="Times New Roman"/>
          <w:sz w:val="20"/>
        </w:rPr>
        <w:t xml:space="preserve"> </w:t>
      </w:r>
      <w:r>
        <w:rPr>
          <w:rFonts w:ascii="Times New Roman;serif" w:hAnsi="Times New Roman;serif"/>
          <w:b w:val="false"/>
          <w:sz w:val="20"/>
        </w:rPr>
        <w:t>million (the Tranche A Loan), was funded under the Perceptive Term Loan Facility substantially and concurrently with the closing of the sale of common stock on the Funding Date. In addition to the Tranche A Loan, the Perceptive Term Loan Facility includes an additional Tranche B Loan, in an aggregate amount of up to $10.0</w:t>
      </w:r>
      <w:r>
        <w:rPr>
          <w:rFonts w:ascii="Times New Roman" w:hAnsi="Times New Roman"/>
          <w:sz w:val="20"/>
        </w:rPr>
        <w:t xml:space="preserve"> </w:t>
      </w:r>
      <w:r>
        <w:rPr>
          <w:rFonts w:ascii="Times New Roman;serif" w:hAnsi="Times New Roman;serif"/>
          <w:b w:val="false"/>
          <w:sz w:val="20"/>
        </w:rPr>
        <w:t>million, and an additional Tranche C Loan, in an aggregate amount of up to $10.0</w:t>
      </w:r>
      <w:r>
        <w:rPr>
          <w:rFonts w:ascii="Times New Roman" w:hAnsi="Times New Roman"/>
          <w:sz w:val="20"/>
        </w:rPr>
        <w:t xml:space="preserve"> </w:t>
      </w:r>
      <w:r>
        <w:rPr>
          <w:rFonts w:ascii="Times New Roman;serif" w:hAnsi="Times New Roman;serif"/>
          <w:b w:val="false"/>
          <w:sz w:val="20"/>
        </w:rPr>
        <w:t>million, which will be accessible by the Company so long as the Company satisfies certain customary conditions precedent, including revenue milestones. The Tranche B and C loans have loan commitments dates through December 31, 2023 and September 30, 2024, respectively. The Perceptive Term Loan Facility has a maturity date of November 21, 2027</w:t>
      </w:r>
      <w:r>
        <w:rPr>
          <w:rFonts w:ascii="Times New Roman" w:hAnsi="Times New Roman"/>
          <w:sz w:val="20"/>
        </w:rPr>
        <w:t xml:space="preserve"> </w:t>
      </w:r>
      <w:r>
        <w:rPr>
          <w:rFonts w:ascii="Times New Roman;serif" w:hAnsi="Times New Roman;serif"/>
          <w:b w:val="false"/>
          <w:sz w:val="20"/>
        </w:rPr>
        <w:t>(the Maturity Date) and provides for an interest-only period during the term of the loan with principal due at the Maturity Date. The Company's net proceeds from the Tranche A Loan were approximately $27.9</w:t>
      </w:r>
      <w:r>
        <w:rPr>
          <w:rFonts w:ascii="Times New Roman" w:hAnsi="Times New Roman"/>
          <w:sz w:val="20"/>
        </w:rPr>
        <w:t xml:space="preserve"> </w:t>
      </w:r>
      <w:r>
        <w:rPr>
          <w:rFonts w:ascii="Times New Roman;serif" w:hAnsi="Times New Roman;serif"/>
          <w:b w:val="false"/>
          <w:sz w:val="20"/>
        </w:rPr>
        <w:t>million, after deducting debt issuance costs and expenses.</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Interest Rate</w:t>
      </w:r>
    </w:p>
    <w:p>
      <w:pPr>
        <w:pStyle w:val="TextBody"/>
        <w:bidi w:val="0"/>
        <w:spacing w:before="120" w:after="0"/>
        <w:jc w:val="both"/>
        <w:rPr>
          <w:rFonts w:ascii="Times New Roman" w:hAnsi="Times New Roman"/>
          <w:sz w:val="20"/>
        </w:rPr>
      </w:pPr>
      <w:r>
        <w:rPr>
          <w:rFonts w:ascii="Times New Roman;serif" w:hAnsi="Times New Roman;serif"/>
          <w:b w:val="false"/>
          <w:sz w:val="20"/>
        </w:rPr>
        <w:t>The Perceptive Term Loan Facility will accrue interest at an annual rate equal to the greater of (a) forward-looking one-month term SOFR as posted by CME Group Inc. and (b) 3.0% per annum, plus an applicable margin of 9.0%. As of June 30, 2023, the stated interest rate was approximately</w:t>
      </w:r>
      <w:r>
        <w:rPr>
          <w:rFonts w:ascii="Times New Roman" w:hAnsi="Times New Roman"/>
          <w:sz w:val="20"/>
        </w:rPr>
        <w:t xml:space="preserve"> </w:t>
      </w:r>
      <w:r>
        <w:rPr>
          <w:rFonts w:ascii="Times New Roman;serif" w:hAnsi="Times New Roman;serif"/>
          <w:b w:val="false"/>
          <w:sz w:val="20"/>
        </w:rPr>
        <w:t>14.1%.</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Amortization and Prepayment</w:t>
      </w:r>
    </w:p>
    <w:p>
      <w:pPr>
        <w:pStyle w:val="TextBody"/>
        <w:bidi w:val="0"/>
        <w:spacing w:before="120" w:after="0"/>
        <w:jc w:val="both"/>
        <w:rPr>
          <w:rFonts w:ascii="Times New Roman" w:hAnsi="Times New Roman"/>
          <w:sz w:val="20"/>
        </w:rPr>
      </w:pPr>
      <w:r>
        <w:rPr>
          <w:rFonts w:ascii="Times New Roman;serif" w:hAnsi="Times New Roman;serif"/>
          <w:b w:val="false"/>
          <w:sz w:val="20"/>
        </w:rPr>
        <w:t>On the Maturity Date, the Company is required to pay the Lender the aggregate outstanding principal amount underlying the Perceptive Term Loan Facility and any accrued and unpaid interest thereon. Prior to the Maturity Date, there will be no scheduled principal payments under the Perceptive Term Loan Facility. The Perceptive Term Loan Facility may be prepaid at any time, subject to a prepayment premium equal to 2% to 10% of the aggregate outstanding principal amount being prepaid, depending on the date of prepayment.</w:t>
      </w:r>
      <w:r>
        <w:rPr>
          <w:rFonts w:ascii="Times New Roman" w:hAnsi="Times New Roman"/>
          <w:sz w:val="20"/>
        </w:rPr>
        <w:t xml:space="preserve"> </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Security Instruments and Warrants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Pursuant to a Security Agreement, dated as of the Funding Date (the Security Agreement), between the Company and the Lender, substantially all of the Company’s obligations under the Credit Agreement are secured by a first lien perfected security interest on all of the Company’s assets, subject to customary exceptions.</w:t>
      </w:r>
    </w:p>
    <w:p>
      <w:pPr>
        <w:pStyle w:val="TextBody"/>
        <w:bidi w:val="0"/>
        <w:spacing w:before="120" w:after="0"/>
        <w:jc w:val="both"/>
        <w:rPr>
          <w:rFonts w:ascii="Times New Roman" w:hAnsi="Times New Roman"/>
          <w:sz w:val="20"/>
        </w:rPr>
      </w:pPr>
      <w:r>
        <w:rPr>
          <w:rFonts w:ascii="Times New Roman;serif" w:hAnsi="Times New Roman;serif"/>
          <w:b w:val="false"/>
          <w:sz w:val="20"/>
        </w:rPr>
        <w:t>As consideration for the Credit Agreement, the Company has issued, on the Funding Date, the Perceptive Warrant of up to 5,000,000</w:t>
      </w:r>
      <w:r>
        <w:rPr>
          <w:rFonts w:ascii="Times New Roman" w:hAnsi="Times New Roman"/>
          <w:sz w:val="20"/>
        </w:rPr>
        <w:t xml:space="preserve"> </w:t>
      </w:r>
      <w:r>
        <w:rPr>
          <w:rFonts w:ascii="Times New Roman;serif" w:hAnsi="Times New Roman;serif"/>
          <w:b w:val="false"/>
          <w:sz w:val="20"/>
        </w:rPr>
        <w:t>shares of the Company's common stock, including the Initial Warrants which are equity classified at a per share exercise price equal to $1.0648</w:t>
      </w:r>
      <w:r>
        <w:rPr>
          <w:rFonts w:ascii="Times New Roman" w:hAnsi="Times New Roman"/>
          <w:sz w:val="20"/>
        </w:rPr>
        <w:t xml:space="preserve"> </w:t>
      </w:r>
      <w:r>
        <w:rPr>
          <w:rFonts w:ascii="Times New Roman;serif" w:hAnsi="Times New Roman;serif"/>
          <w:b w:val="false"/>
          <w:sz w:val="20"/>
        </w:rPr>
        <w:t>which is equal to the lower of (A) the 10-day volume weighted average price (VWAP) of the Company’s common stock, on the business day immediately prior to the Closing Date of the Tranche A Loan or (B) the public offering price per share of Common Stock of $1.15</w:t>
      </w:r>
      <w:r>
        <w:rPr>
          <w:rFonts w:ascii="Times New Roman" w:hAnsi="Times New Roman"/>
          <w:sz w:val="20"/>
        </w:rPr>
        <w:t xml:space="preserve"> </w:t>
      </w:r>
      <w:r>
        <w:rPr>
          <w:rFonts w:ascii="Times New Roman;serif" w:hAnsi="Times New Roman;serif"/>
          <w:b w:val="false"/>
          <w:sz w:val="20"/>
        </w:rPr>
        <w:t xml:space="preserve">(see Note 8 - </w:t>
      </w:r>
      <w:r>
        <w:rPr>
          <w:rFonts w:ascii="Times New Roman;serif" w:hAnsi="Times New Roman;serif"/>
          <w:b w:val="false"/>
          <w:i/>
          <w:sz w:val="20"/>
        </w:rPr>
        <w:t>Equity</w:t>
      </w:r>
      <w:r>
        <w:rPr>
          <w:rFonts w:ascii="Times New Roman;serif" w:hAnsi="Times New Roman;serif"/>
          <w:b w:val="false"/>
          <w:sz w:val="20"/>
        </w:rPr>
        <w:t>). In addition to the Initial Warrants, the Additional Warrants will each become exercisable into 1,000,000</w:t>
      </w:r>
      <w:r>
        <w:rPr>
          <w:rFonts w:ascii="Times New Roman" w:hAnsi="Times New Roman"/>
          <w:sz w:val="20"/>
        </w:rPr>
        <w:t xml:space="preserve"> </w:t>
      </w:r>
      <w:r>
        <w:rPr>
          <w:rFonts w:ascii="Times New Roman;serif" w:hAnsi="Times New Roman;serif"/>
          <w:b w:val="false"/>
          <w:sz w:val="20"/>
        </w:rPr>
        <w:t xml:space="preserve">shares of common stock concurrently with the borrowing date of the Tranche B and C Loans, respectively. The per share exercise price for the Additional Warrants will be equal to the lower of (A) the Initial Warrant exercise price or (B) the 10-day VWAP ending on the business day immediately preceding the funding date of the Tranche B Loan or the Tranche C loan, respectively. Each warrant will be exercisable, in whole or in part, until the 10th anniversary of the applicable date of issuance. If the Tranche B or C loans are not drawn by the respective loan commitment dates, the associated Additional Warrants expire and will not become exercisable. The Company accounts for the Additional Warrants as liabilities as the Additional Warrants do not meet the criteria for equity treatment (see Note 4 - </w:t>
      </w:r>
      <w:r>
        <w:rPr>
          <w:rFonts w:ascii="Times New Roman;serif" w:hAnsi="Times New Roman;serif"/>
          <w:b w:val="false"/>
          <w:i/>
          <w:sz w:val="20"/>
        </w:rPr>
        <w:t>Fair Value</w:t>
      </w:r>
      <w:r>
        <w:rPr>
          <w:rFonts w:ascii="Times New Roman;serif" w:hAnsi="Times New Roman;serif"/>
          <w:b w:val="false"/>
          <w:sz w:val="20"/>
        </w:rPr>
        <w:t>).</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Representations, Warranties, Covenants, and Events of Default</w:t>
      </w:r>
    </w:p>
    <w:p>
      <w:pPr>
        <w:pStyle w:val="TextBody"/>
        <w:bidi w:val="0"/>
        <w:spacing w:before="120" w:after="0"/>
        <w:jc w:val="both"/>
        <w:rPr>
          <w:rFonts w:ascii="Times New Roman" w:hAnsi="Times New Roman"/>
          <w:sz w:val="20"/>
        </w:rPr>
      </w:pPr>
      <w:r>
        <w:rPr>
          <w:rFonts w:ascii="Times New Roman;serif" w:hAnsi="Times New Roman;serif"/>
          <w:b w:val="false"/>
          <w:sz w:val="20"/>
        </w:rPr>
        <w:t>The Credit Agreement contains certain representations and warranties, affirmative covenants, negative covenants, financial covenants, and conditions that are customarily required for similar financings. The affirmative covenants, among other things, require the Company to undertake various reporting and notice requirements, maintain insurance and maintain in full force and effect all Regulatory Approvals, Material Agreements, Material Intellectual Property (each as defined in the Credit Agreement) and other rights, interests or assets (whether tangible or intangible) reasonably necessary for the operations of the Company’s business. The negative covenants restrict or limit the ability of the Company to, among other things and subject to certain exceptions contained in the Credit Agreement, incur new indebtedness; create liens on assets; engage in certain fundamental corporate changes, such as mergers or acquisitions, or changes to the Company’s business activities; make certain Investments or Restricted Payments (each as defined in the Credit Agreement); change its fiscal year; pay dividends; repay other certain indebtedness; engage in certain affiliate transactions; or enter into, amend or terminate any other agreements that has the impact of restricting the Company’s ability to make loan repayments under the Credit Agreement. In addition, the Company must (i) at all times prior to the Maturity Date maintain a minimum cash balance of $2.5</w:t>
      </w:r>
      <w:r>
        <w:rPr>
          <w:rFonts w:ascii="Times New Roman" w:hAnsi="Times New Roman"/>
          <w:sz w:val="20"/>
        </w:rPr>
        <w:t xml:space="preserve"> </w:t>
      </w:r>
      <w:r>
        <w:rPr>
          <w:rFonts w:ascii="Times New Roman;serif" w:hAnsi="Times New Roman;serif"/>
          <w:b w:val="false"/>
          <w:sz w:val="20"/>
        </w:rPr>
        <w:t>million; and (ii) as of the last day of each fiscal quarter commencing on the fiscal quarter ending March 31, 2023, recognize revenue in amounts agreed to between the Company and Perceptive.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Financial Statements</w:t>
      </w:r>
    </w:p>
    <w:p>
      <w:pPr>
        <w:pStyle w:val="TextBody"/>
        <w:bidi w:val="0"/>
        <w:spacing w:before="0" w:after="0"/>
        <w:jc w:val="center"/>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20"/>
        </w:rPr>
        <w:t>On May 10, 2023, the Company entered into the First Amendment with the Lender, whereby subject to the terms and conditions of the First Amendment, the Minimum Net Revenue Covenant (as defined in the Credit Agreement) was amended to reduce the relevant threshold of each fiscal quarter commencing on the fiscal quarter ending June 30, 2023 through and including the fiscal quarter ending March 31, 2024. As consideration for the First Amendment, the Company agreed to issue to Perceptive a warrant to purchase up to 500,000</w:t>
      </w:r>
      <w:r>
        <w:rPr>
          <w:rFonts w:ascii="Times New Roman" w:hAnsi="Times New Roman"/>
          <w:sz w:val="20"/>
        </w:rPr>
        <w:t xml:space="preserve"> </w:t>
      </w:r>
      <w:r>
        <w:rPr>
          <w:rFonts w:ascii="Times New Roman;serif" w:hAnsi="Times New Roman;serif"/>
          <w:b w:val="false"/>
          <w:sz w:val="20"/>
        </w:rPr>
        <w:t>shares of the Company’s common stock (the First Amendment Warrants) which are equity classified at a per share exercise price equal to $1.6254</w:t>
      </w:r>
      <w:r>
        <w:rPr>
          <w:rFonts w:ascii="Times New Roman" w:hAnsi="Times New Roman"/>
          <w:sz w:val="20"/>
        </w:rPr>
        <w:t xml:space="preserve"> </w:t>
      </w:r>
      <w:r>
        <w:rPr>
          <w:rFonts w:ascii="Times New Roman;serif" w:hAnsi="Times New Roman;serif"/>
          <w:b w:val="false"/>
          <w:sz w:val="20"/>
        </w:rPr>
        <w:t xml:space="preserve">(see Note 8 - </w:t>
      </w:r>
      <w:r>
        <w:rPr>
          <w:rFonts w:ascii="Times New Roman;serif" w:hAnsi="Times New Roman;serif"/>
          <w:b w:val="false"/>
          <w:i/>
          <w:sz w:val="20"/>
        </w:rPr>
        <w:t>Equity</w:t>
      </w:r>
      <w:r>
        <w:rPr>
          <w:rFonts w:ascii="Times New Roman;serif" w:hAnsi="Times New Roman;serif"/>
          <w:b w:val="false"/>
          <w:sz w:val="20"/>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Credit Agreement also contains certain customary Events of Default which include, among others, non-payment of principal, interest, or fees, violation of covenants, inaccuracy of representations and warranties, bankruptcy and insolvency events, material judgments, cross-defaults to material contracts, certain regulatory-related events and events constituting a change of control. As of June 30, 2023, the Company was in compliance with all restrictive and financial covenants associated with its borrowings. The occurrence of an Event of Default could result in, among other things, the declaration that all outstanding principal and interest under the Perceptive Term Loan Facility are immediately due and payable in whole or in part.</w:t>
      </w:r>
    </w:p>
    <w:p>
      <w:pPr>
        <w:pStyle w:val="TextBody"/>
        <w:bidi w:val="0"/>
        <w:spacing w:before="120" w:after="0"/>
        <w:jc w:val="both"/>
        <w:rPr>
          <w:rFonts w:ascii="Times New Roman" w:hAnsi="Times New Roman"/>
          <w:sz w:val="20"/>
        </w:rPr>
      </w:pPr>
      <w:r>
        <w:rPr>
          <w:rFonts w:ascii="Times New Roman;serif" w:hAnsi="Times New Roman;serif"/>
          <w:b w:val="false"/>
          <w:sz w:val="20"/>
        </w:rPr>
        <w:t>On the Closing Date, the Initial Warrants and Additional Warrants were valued at $2.9</w:t>
      </w:r>
      <w:r>
        <w:rPr>
          <w:rFonts w:ascii="Times New Roman" w:hAnsi="Times New Roman"/>
          <w:sz w:val="20"/>
        </w:rPr>
        <w:t xml:space="preserve"> </w:t>
      </w:r>
      <w:r>
        <w:rPr>
          <w:rFonts w:ascii="Times New Roman;serif" w:hAnsi="Times New Roman;serif"/>
          <w:b w:val="false"/>
          <w:sz w:val="20"/>
        </w:rPr>
        <w:t>million and $0.1</w:t>
      </w:r>
      <w:r>
        <w:rPr>
          <w:rFonts w:ascii="Times New Roman" w:hAnsi="Times New Roman"/>
          <w:sz w:val="20"/>
        </w:rPr>
        <w:t xml:space="preserve"> </w:t>
      </w:r>
      <w:r>
        <w:rPr>
          <w:rFonts w:ascii="Times New Roman;serif" w:hAnsi="Times New Roman;serif"/>
          <w:b w:val="false"/>
          <w:sz w:val="20"/>
        </w:rPr>
        <w:t>million, respectively, using the Black-Scholes option-pricing model, estimated settlement probabilities and estimated exercise prices. As a result of the fees paid to Perceptive and the value of the Perceptive Warrant, the Company recognized a discount on the Perceptive Term Loan Facility in the amount of $5.2</w:t>
      </w:r>
      <w:r>
        <w:rPr>
          <w:rFonts w:ascii="Times New Roman" w:hAnsi="Times New Roman"/>
          <w:sz w:val="20"/>
        </w:rPr>
        <w:t xml:space="preserve"> </w:t>
      </w:r>
      <w:r>
        <w:rPr>
          <w:rFonts w:ascii="Times New Roman;serif" w:hAnsi="Times New Roman;serif"/>
          <w:b w:val="false"/>
          <w:sz w:val="20"/>
        </w:rPr>
        <w:t>million. The First Amendment Warrants were valued at</w:t>
      </w:r>
      <w:r>
        <w:rPr>
          <w:rFonts w:ascii="Times New Roman" w:hAnsi="Times New Roman"/>
          <w:sz w:val="20"/>
        </w:rPr>
        <w:t xml:space="preserve"> </w:t>
      </w:r>
      <w:r>
        <w:rPr>
          <w:rFonts w:ascii="Times New Roman;serif" w:hAnsi="Times New Roman;serif"/>
          <w:b w:val="false"/>
          <w:sz w:val="20"/>
        </w:rPr>
        <w:t>$0.7</w:t>
      </w:r>
      <w:r>
        <w:rPr>
          <w:rFonts w:ascii="Times New Roman" w:hAnsi="Times New Roman"/>
          <w:sz w:val="20"/>
        </w:rPr>
        <w:t xml:space="preserve"> </w:t>
      </w:r>
      <w:r>
        <w:rPr>
          <w:rFonts w:ascii="Times New Roman;serif" w:hAnsi="Times New Roman;serif"/>
          <w:b w:val="false"/>
          <w:sz w:val="20"/>
        </w:rPr>
        <w:t>million using the Black-Scholes option-pricing model which the recognized as a discount on the Perceptive Term Loan Facility. The Company recorded the discount as a reduction to the principal amount of the debt and is amortized as interest expense over the life of the debt.</w:t>
      </w:r>
    </w:p>
    <w:p>
      <w:pPr>
        <w:pStyle w:val="TextBody"/>
        <w:bidi w:val="0"/>
        <w:spacing w:before="120" w:after="120"/>
        <w:jc w:val="both"/>
        <w:rPr>
          <w:rFonts w:ascii="Times New Roman" w:hAnsi="Times New Roman"/>
          <w:sz w:val="20"/>
        </w:rPr>
      </w:pPr>
      <w:r>
        <w:rPr>
          <w:rFonts w:ascii="Times New Roman;serif" w:hAnsi="Times New Roman;serif"/>
          <w:b w:val="false"/>
          <w:sz w:val="20"/>
        </w:rPr>
        <w:t>Scheduled principal repayments (maturities) of long-term obligations were as follows (in thousands):</w:t>
      </w:r>
      <w:r>
        <w:rPr>
          <w:rFonts w:ascii="Times New Roman" w:hAnsi="Times New Roman"/>
          <w:sz w:val="20"/>
        </w:rPr>
        <w:t xml:space="preserve"> </w:t>
      </w:r>
    </w:p>
    <w:tbl>
      <w:tblPr>
        <w:tblW w:w="3508" w:type="dxa"/>
        <w:jc w:val="left"/>
        <w:tblInd w:w="0" w:type="dxa"/>
        <w:tblLayout w:type="fixed"/>
        <w:tblCellMar>
          <w:top w:w="28" w:type="dxa"/>
          <w:left w:w="28" w:type="dxa"/>
          <w:bottom w:w="28" w:type="dxa"/>
          <w:right w:w="28" w:type="dxa"/>
        </w:tblCellMar>
      </w:tblPr>
      <w:tblGrid>
        <w:gridCol w:w="1696"/>
        <w:gridCol w:w="146"/>
        <w:gridCol w:w="303"/>
        <w:gridCol w:w="972"/>
        <w:gridCol w:w="3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w:t>
              <w:br/>
              <w:t>June 30,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Remainder of 2023</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391" w:type="dxa"/>
            <w:tcBorders/>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391" w:type="dxa"/>
            <w:tcBorders/>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391" w:type="dxa"/>
            <w:tcBorders/>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391" w:type="dxa"/>
            <w:tcBorders/>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30,000</w:t>
            </w:r>
          </w:p>
        </w:tc>
        <w:tc>
          <w:tcPr>
            <w:tcW w:w="391" w:type="dxa"/>
            <w:tcBorders/>
            <w:vAlign w:val="center"/>
          </w:tcPr>
          <w:p>
            <w:pPr>
              <w:pStyle w:val="TableContents"/>
              <w:bidi w:val="0"/>
              <w:spacing w:before="0" w:after="0"/>
              <w:ind w:left="0" w:right="0" w:hanging="0"/>
              <w:jc w:val="left"/>
              <w:rPr/>
            </w:pPr>
            <w:r>
              <w:rPr/>
              <w:t> </w:t>
            </w:r>
          </w:p>
        </w:tc>
      </w:tr>
      <w:tr>
        <w:trPr/>
        <w:tc>
          <w:tcPr>
            <w:tcW w:w="16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2028 and thereafter</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6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30,103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Note 7 – Leases</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Operating Leases</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acts as a lessee under all its lease agreements. The Company leases its headquarters and laboratory facilities in Boulder, Colorado, under a non-cancelable lease agreement for approximately 29,722</w:t>
      </w:r>
      <w:r>
        <w:rPr>
          <w:rFonts w:ascii="Times New Roman" w:hAnsi="Times New Roman"/>
          <w:sz w:val="20"/>
        </w:rPr>
        <w:t xml:space="preserve"> </w:t>
      </w:r>
      <w:r>
        <w:rPr>
          <w:rFonts w:ascii="Times New Roman;serif" w:hAnsi="Times New Roman;serif"/>
          <w:b w:val="false"/>
          <w:sz w:val="20"/>
        </w:rPr>
        <w:t>square feet that is set to expire in January 2024. The Company also leases laboratory and office space in De Soto, Kansas, under a non-cancelable lease agreement for approximately 9,066</w:t>
      </w:r>
      <w:r>
        <w:rPr>
          <w:rFonts w:ascii="Times New Roman" w:hAnsi="Times New Roman"/>
          <w:sz w:val="20"/>
        </w:rPr>
        <w:t xml:space="preserve"> </w:t>
      </w:r>
      <w:r>
        <w:rPr>
          <w:rFonts w:ascii="Times New Roman;serif" w:hAnsi="Times New Roman;serif"/>
          <w:b w:val="false"/>
          <w:sz w:val="20"/>
        </w:rPr>
        <w:t>square feet that was set to expire in October 2023. In April 2023, the Company amended the agreement to extend the lease agreement through October 2026. The Company also holds various copier and storage facility leases under non-cancelable lease agreements that expire in the next one</w:t>
      </w:r>
      <w:r>
        <w:rPr>
          <w:rFonts w:ascii="Times New Roman" w:hAnsi="Times New Roman"/>
          <w:sz w:val="20"/>
        </w:rPr>
        <w:t xml:space="preserve"> </w:t>
      </w:r>
      <w:r>
        <w:rPr>
          <w:rFonts w:ascii="Times New Roman;serif" w:hAnsi="Times New Roman;serif"/>
          <w:b w:val="false"/>
          <w:sz w:val="20"/>
        </w:rPr>
        <w:t>to four years.</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Centennial Valley Properties I, LLC Lease Agreement</w:t>
      </w:r>
    </w:p>
    <w:p>
      <w:pPr>
        <w:pStyle w:val="TextBody"/>
        <w:bidi w:val="0"/>
        <w:spacing w:before="120" w:after="0"/>
        <w:jc w:val="both"/>
        <w:rPr>
          <w:rFonts w:ascii="Times New Roman" w:hAnsi="Times New Roman"/>
          <w:sz w:val="20"/>
        </w:rPr>
      </w:pPr>
      <w:r>
        <w:rPr>
          <w:rFonts w:ascii="Times New Roman;serif" w:hAnsi="Times New Roman;serif"/>
          <w:b w:val="false"/>
          <w:sz w:val="20"/>
        </w:rPr>
        <w:t>On March 11, 2022, the Company entered into a Lease Agreement (the Lease) with Centennial Valley Properties I, LLC, a Colorado limited liability company (the Landlord) for office and laboratory space in Louisville, Colorado (the Leased Premises). The purpose of the Lease is to replace the Company’s current leased premises in Boulder, Colorado. The Company intends to move its corporate headquarters to the Leased Premises by the end of 2023.</w:t>
      </w:r>
      <w:r>
        <w:rPr>
          <w:rFonts w:ascii="Times New Roman" w:hAnsi="Times New Roman"/>
          <w:sz w:val="20"/>
        </w:rPr>
        <w:t xml:space="preserve"> </w:t>
      </w:r>
    </w:p>
    <w:p>
      <w:pPr>
        <w:pStyle w:val="TextBody"/>
        <w:bidi w:val="0"/>
        <w:spacing w:before="120" w:after="0"/>
        <w:jc w:val="both"/>
        <w:rPr>
          <w:rFonts w:ascii="Times New Roman;serif" w:hAnsi="Times New Roman;serif"/>
          <w:sz w:val="20"/>
        </w:rPr>
      </w:pPr>
      <w:r>
        <w:rPr>
          <w:rFonts w:ascii="Times New Roman;serif" w:hAnsi="Times New Roman;serif"/>
          <w:b w:val="false"/>
          <w:sz w:val="20"/>
        </w:rPr>
        <w:t>The initial term of the Lease is twelve years</w:t>
      </w:r>
      <w:r>
        <w:rPr>
          <w:rFonts w:ascii="Times New Roman;serif" w:hAnsi="Times New Roman;serif"/>
          <w:sz w:val="20"/>
        </w:rPr>
        <w:t xml:space="preserve"> </w:t>
      </w:r>
      <w:r>
        <w:rPr>
          <w:rFonts w:ascii="Times New Roman;serif" w:hAnsi="Times New Roman;serif"/>
          <w:b w:val="false"/>
          <w:sz w:val="20"/>
        </w:rPr>
        <w:t>(the Initial Term) from the commencement date, which is the earlier of: (i) the Company conducting revenue generating business (as defined in the Lease), or (ii) April 1, 2023. The Company has two</w:t>
      </w:r>
      <w:r>
        <w:rPr>
          <w:rFonts w:ascii="Times New Roman;serif" w:hAnsi="Times New Roman;serif"/>
          <w:sz w:val="20"/>
        </w:rPr>
        <w:t xml:space="preserve"> </w:t>
      </w:r>
      <w:r>
        <w:rPr>
          <w:rFonts w:ascii="Times New Roman;serif" w:hAnsi="Times New Roman;serif"/>
          <w:b w:val="false"/>
          <w:sz w:val="20"/>
        </w:rPr>
        <w:t>renewal options to extend</w:t>
      </w:r>
      <w:r>
        <w:rPr>
          <w:rFonts w:ascii="Times New Roman;serif" w:hAnsi="Times New Roman;serif"/>
          <w:sz w:val="20"/>
        </w:rPr>
        <w:t xml:space="preserve"> </w:t>
      </w:r>
      <w:r>
        <w:rPr>
          <w:rFonts w:ascii="Times New Roman;serif" w:hAnsi="Times New Roman;serif"/>
          <w:b w:val="false"/>
          <w:sz w:val="20"/>
        </w:rPr>
        <w:t>the term of the Lease for an additional seven-</w:t>
      </w:r>
      <w:r>
        <w:rPr>
          <w:rFonts w:ascii="Times New Roman;serif" w:hAnsi="Times New Roman;serif"/>
          <w:sz w:val="20"/>
        </w:rPr>
        <w:t xml:space="preserve"> </w:t>
      </w:r>
      <w:r>
        <w:rPr>
          <w:rFonts w:ascii="Times New Roman;serif" w:hAnsi="Times New Roman;serif"/>
          <w:b w:val="false"/>
          <w:sz w:val="20"/>
        </w:rPr>
        <w:t>or ten-year</w:t>
      </w:r>
      <w:r>
        <w:rPr>
          <w:rFonts w:ascii="Times New Roman;serif" w:hAnsi="Times New Roman;serif"/>
          <w:sz w:val="20"/>
        </w:rPr>
        <w:t xml:space="preserve"> </w:t>
      </w:r>
      <w:r>
        <w:rPr>
          <w:rFonts w:ascii="Times New Roman;serif" w:hAnsi="Times New Roman;serif"/>
          <w:b w:val="false"/>
          <w:sz w:val="20"/>
        </w:rPr>
        <w:t>terms for each renewal. During the three months ended June 30, 2022, the lease commenced for accounting purposes resulting in $2.0</w:t>
      </w:r>
      <w:r>
        <w:rPr>
          <w:rFonts w:ascii="Times New Roman;serif" w:hAnsi="Times New Roman;serif"/>
          <w:sz w:val="20"/>
        </w:rPr>
        <w:t xml:space="preserve"> </w:t>
      </w:r>
      <w:r>
        <w:rPr>
          <w:rFonts w:ascii="Times New Roman;serif" w:hAnsi="Times New Roman;serif"/>
          <w:b w:val="false"/>
          <w:sz w:val="20"/>
        </w:rPr>
        <w:t>million in ROU assets and lease liabilities being recorded, however, the Lease commenced for legal purposes on April 1, 2023</w:t>
      </w:r>
      <w:r>
        <w:rPr>
          <w:rFonts w:ascii="Times New Roman;serif" w:hAnsi="Times New Roman;serif"/>
          <w:sz w:val="20"/>
        </w:rPr>
        <w:t xml:space="preserve"> </w:t>
      </w:r>
      <w:r>
        <w:rPr>
          <w:rFonts w:ascii="Times New Roman;serif" w:hAnsi="Times New Roman;serif"/>
          <w:b w:val="false"/>
          <w:sz w:val="20"/>
        </w:rPr>
        <w:t>(the Commencement Date).</w:t>
      </w:r>
    </w:p>
    <w:p>
      <w:pPr>
        <w:pStyle w:val="TextBody"/>
        <w:bidi w:val="0"/>
        <w:spacing w:before="120" w:after="0"/>
        <w:jc w:val="both"/>
        <w:rPr>
          <w:rFonts w:ascii="Times New Roman" w:hAnsi="Times New Roman"/>
          <w:sz w:val="20"/>
        </w:rPr>
      </w:pPr>
      <w:r>
        <w:rPr>
          <w:rFonts w:ascii="Times New Roman;serif" w:hAnsi="Times New Roman;serif"/>
          <w:b w:val="false"/>
          <w:sz w:val="20"/>
        </w:rPr>
        <w:t>Under the Lease, the Company will lease approximately 79,980</w:t>
      </w:r>
      <w:r>
        <w:rPr>
          <w:rFonts w:ascii="Times New Roman" w:hAnsi="Times New Roman"/>
          <w:sz w:val="20"/>
        </w:rPr>
        <w:t xml:space="preserve"> </w:t>
      </w:r>
      <w:r>
        <w:rPr>
          <w:rFonts w:ascii="Times New Roman;serif" w:hAnsi="Times New Roman;serif"/>
          <w:b w:val="false"/>
          <w:sz w:val="20"/>
        </w:rPr>
        <w:t>square feet at the Leased Premises. The Company will pay base rent over the life of the Lease beginning at approximately $227,000</w:t>
      </w:r>
      <w:r>
        <w:rPr>
          <w:rFonts w:ascii="Times New Roman" w:hAnsi="Times New Roman"/>
          <w:sz w:val="20"/>
        </w:rPr>
        <w:t xml:space="preserve"> </w:t>
      </w:r>
      <w:r>
        <w:rPr>
          <w:rFonts w:ascii="Times New Roman;serif" w:hAnsi="Times New Roman;serif"/>
          <w:b w:val="false"/>
          <w:sz w:val="20"/>
        </w:rPr>
        <w:t>per month and escalating, based on fixed escalation provisions, to approximately $326,000</w:t>
      </w:r>
      <w:r>
        <w:rPr>
          <w:rFonts w:ascii="Times New Roman" w:hAnsi="Times New Roman"/>
          <w:sz w:val="20"/>
        </w:rPr>
        <w:t xml:space="preserve"> </w:t>
      </w:r>
      <w:r>
        <w:rPr>
          <w:rFonts w:ascii="Times New Roman;serif" w:hAnsi="Times New Roman;serif"/>
          <w:b w:val="false"/>
          <w:sz w:val="20"/>
        </w:rPr>
        <w:t>per month, plus certain operating expenses and taxes. The Company's obligation to pay base rent shall be abated, commencing as of the Commencement Date and ending on and including the date that is 12 months after the Commencement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Financial Statements</w:t>
      </w:r>
    </w:p>
    <w:p>
      <w:pPr>
        <w:pStyle w:val="TextBody"/>
        <w:bidi w:val="0"/>
        <w:spacing w:before="0" w:after="0"/>
        <w:jc w:val="center"/>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20"/>
        </w:rPr>
        <w:t>Date (the Abated Rent Period). Further, the Company's obligation to pay base rent with respect to a portion of the area of the Lease Premises equal to 19,980</w:t>
      </w:r>
      <w:r>
        <w:rPr>
          <w:rFonts w:ascii="Times New Roman" w:hAnsi="Times New Roman"/>
          <w:sz w:val="20"/>
        </w:rPr>
        <w:t xml:space="preserve"> </w:t>
      </w:r>
      <w:r>
        <w:rPr>
          <w:rFonts w:ascii="Times New Roman;serif" w:hAnsi="Times New Roman;serif"/>
          <w:b w:val="false"/>
          <w:sz w:val="20"/>
        </w:rPr>
        <w:t>square feet shall be abated (the Partial Abated Rent), commencing as of the day after the end of the Abated Rent Period and ending on and including the date that is 24 months after the Commencement Date (the Partial Abated Rent Period). Pursuant to a work letter entered by the parties in connection with the Lease, the Landlord will contribute an aggregate of $18.8</w:t>
      </w:r>
      <w:r>
        <w:rPr>
          <w:rFonts w:ascii="Times New Roman" w:hAnsi="Times New Roman"/>
          <w:sz w:val="20"/>
        </w:rPr>
        <w:t xml:space="preserve"> </w:t>
      </w:r>
      <w:r>
        <w:rPr>
          <w:rFonts w:ascii="Times New Roman;serif" w:hAnsi="Times New Roman;serif"/>
          <w:b w:val="false"/>
          <w:sz w:val="20"/>
        </w:rPr>
        <w:t>million toward the cost of construction and improvements for the Leased Premises and the Company exercised its option for an additional tenant improvement allowance of $2.0</w:t>
      </w:r>
      <w:r>
        <w:rPr>
          <w:rFonts w:ascii="Times New Roman" w:hAnsi="Times New Roman"/>
          <w:sz w:val="20"/>
        </w:rPr>
        <w:t xml:space="preserve"> </w:t>
      </w:r>
      <w:r>
        <w:rPr>
          <w:rFonts w:ascii="Times New Roman;serif" w:hAnsi="Times New Roman;serif"/>
          <w:b w:val="false"/>
          <w:sz w:val="20"/>
        </w:rPr>
        <w:t>million (the Extra Allowance Amount). The Company will repay the Extra Allowance Amount actually funded by the Landlord in equal monthly payments with an interest rate of 6% per year over the Initial Term excluding any part of the Abated Rent Period or Partial Abated Rent Period, which shall start to accrue on the date that the Landlord first disburses the Extra Allowance Amount. The Company made an accounting policy election to reduce the right-of-use asset and lease liability at lease commencement because the Lease specifies a maximum level of reimbursement for tenant improvements which are probable of being incurred and within the Company's control. Due to the tenant improvement allowances at the accounting lease commencement date and rent abatement periods described above, the Company expects the lease liability to accrete to approximately $25.5</w:t>
      </w:r>
      <w:r>
        <w:rPr>
          <w:rFonts w:ascii="Times New Roman" w:hAnsi="Times New Roman"/>
          <w:sz w:val="20"/>
        </w:rPr>
        <w:t xml:space="preserve"> </w:t>
      </w:r>
      <w:r>
        <w:rPr>
          <w:rFonts w:ascii="Times New Roman;serif" w:hAnsi="Times New Roman;serif"/>
          <w:b w:val="false"/>
          <w:sz w:val="20"/>
        </w:rPr>
        <w:t>million by November 2024 after receiving $20.8</w:t>
      </w:r>
      <w:r>
        <w:rPr>
          <w:rFonts w:ascii="Times New Roman" w:hAnsi="Times New Roman"/>
          <w:sz w:val="20"/>
        </w:rPr>
        <w:t xml:space="preserve"> </w:t>
      </w:r>
      <w:r>
        <w:rPr>
          <w:rFonts w:ascii="Times New Roman;serif" w:hAnsi="Times New Roman;serif"/>
          <w:b w:val="false"/>
          <w:sz w:val="20"/>
        </w:rPr>
        <w:t>million in lessor reimbursements. As of June 30, 2023, the Company has incurred</w:t>
      </w:r>
      <w:r>
        <w:rPr>
          <w:rFonts w:ascii="Times New Roman" w:hAnsi="Times New Roman"/>
          <w:sz w:val="20"/>
        </w:rPr>
        <w:t xml:space="preserve"> </w:t>
      </w:r>
      <w:r>
        <w:rPr>
          <w:rFonts w:ascii="Times New Roman;serif" w:hAnsi="Times New Roman;serif"/>
          <w:b w:val="false"/>
          <w:sz w:val="20"/>
        </w:rPr>
        <w:t>a total of $15.5</w:t>
      </w:r>
      <w:r>
        <w:rPr>
          <w:rFonts w:ascii="Times New Roman" w:hAnsi="Times New Roman"/>
          <w:sz w:val="20"/>
        </w:rPr>
        <w:t xml:space="preserve"> </w:t>
      </w:r>
      <w:r>
        <w:rPr>
          <w:rFonts w:ascii="Times New Roman;serif" w:hAnsi="Times New Roman;serif"/>
          <w:b w:val="false"/>
          <w:sz w:val="20"/>
        </w:rPr>
        <w:t>million ($5.8</w:t>
      </w:r>
      <w:r>
        <w:rPr>
          <w:rFonts w:ascii="Times New Roman" w:hAnsi="Times New Roman"/>
          <w:sz w:val="20"/>
        </w:rPr>
        <w:t xml:space="preserve"> </w:t>
      </w:r>
      <w:r>
        <w:rPr>
          <w:rFonts w:ascii="Times New Roman;serif" w:hAnsi="Times New Roman;serif"/>
          <w:b w:val="false"/>
          <w:sz w:val="20"/>
        </w:rPr>
        <w:t>million and $13.0</w:t>
      </w:r>
      <w:r>
        <w:rPr>
          <w:rFonts w:ascii="Times New Roman" w:hAnsi="Times New Roman"/>
          <w:sz w:val="20"/>
        </w:rPr>
        <w:t xml:space="preserve"> </w:t>
      </w:r>
      <w:r>
        <w:rPr>
          <w:rFonts w:ascii="Times New Roman;serif" w:hAnsi="Times New Roman;serif"/>
          <w:b w:val="false"/>
          <w:sz w:val="20"/>
        </w:rPr>
        <w:t>million during the three and six months ended June 30, 2023, respectively) in capital expenditures for leasehold improvements related to the Leased Premises which are tenant improvements and have been reimbursed from the Landlord. As of June 30, 2023, the Company had remaining capacity under the tenant improvement allowances of approximately $5.3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The Lease includes various covenants, indemnities, defaults, termination rights, and other provisions customary for lease transactions of this nature. During the three months ended September 30, 2022, a $5.0</w:t>
      </w:r>
      <w:r>
        <w:rPr>
          <w:rFonts w:ascii="Times New Roman" w:hAnsi="Times New Roman"/>
          <w:sz w:val="20"/>
        </w:rPr>
        <w:t xml:space="preserve"> </w:t>
      </w:r>
      <w:r>
        <w:rPr>
          <w:rFonts w:ascii="Times New Roman;serif" w:hAnsi="Times New Roman;serif"/>
          <w:b w:val="false"/>
          <w:sz w:val="20"/>
        </w:rPr>
        <w:t>million cash collateralized letter of credit under the operating lease agreement was released and the funds were subsequently transferred to the Landlord as a refundable deposit (subject to contingent reduction over the term of the lease) to secure the performance of the Company’s obligations. The $5.0</w:t>
      </w:r>
      <w:r>
        <w:rPr>
          <w:rFonts w:ascii="Times New Roman" w:hAnsi="Times New Roman"/>
          <w:sz w:val="20"/>
        </w:rPr>
        <w:t xml:space="preserve"> </w:t>
      </w:r>
      <w:r>
        <w:rPr>
          <w:rFonts w:ascii="Times New Roman;serif" w:hAnsi="Times New Roman;serif"/>
          <w:b w:val="false"/>
          <w:sz w:val="20"/>
        </w:rPr>
        <w:t>million refundable deposit is included within 'Other long-term assets' in the condensed balance sheet as of June 30, 2023.</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Operating lease expense for all operating leases was $1.1</w:t>
      </w:r>
      <w:r>
        <w:rPr>
          <w:rFonts w:ascii="Times New Roman" w:hAnsi="Times New Roman"/>
          <w:sz w:val="20"/>
        </w:rPr>
        <w:t xml:space="preserve"> </w:t>
      </w:r>
      <w:r>
        <w:rPr>
          <w:rFonts w:ascii="Times New Roman;serif" w:hAnsi="Times New Roman;serif"/>
          <w:b w:val="false"/>
          <w:sz w:val="20"/>
        </w:rPr>
        <w:t>million and $2.2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for the three and six months ended June 30, 2023, respectively, compared to $0.5</w:t>
      </w:r>
      <w:r>
        <w:rPr>
          <w:rFonts w:ascii="Times New Roman" w:hAnsi="Times New Roman"/>
          <w:sz w:val="20"/>
        </w:rPr>
        <w:t xml:space="preserve"> </w:t>
      </w:r>
      <w:r>
        <w:rPr>
          <w:rFonts w:ascii="Times New Roman;serif" w:hAnsi="Times New Roman;serif"/>
          <w:b w:val="false"/>
          <w:sz w:val="20"/>
        </w:rPr>
        <w:t>million and $0.8</w:t>
      </w:r>
      <w:r>
        <w:rPr>
          <w:rFonts w:ascii="Times New Roman" w:hAnsi="Times New Roman"/>
          <w:sz w:val="20"/>
        </w:rPr>
        <w:t xml:space="preserve"> </w:t>
      </w:r>
      <w:r>
        <w:rPr>
          <w:rFonts w:ascii="Times New Roman;serif" w:hAnsi="Times New Roman;serif"/>
          <w:b w:val="false"/>
          <w:sz w:val="20"/>
        </w:rPr>
        <w:t>million for the three and six months ended June 30, 2022, respectively. As of June 30, 2023, the weighted-average remaining lease term and discount rate associated with our operating leases were 10.5</w:t>
      </w:r>
      <w:r>
        <w:rPr>
          <w:rFonts w:ascii="Times New Roman" w:hAnsi="Times New Roman"/>
          <w:sz w:val="20"/>
        </w:rPr>
        <w:t xml:space="preserve"> </w:t>
      </w:r>
      <w:r>
        <w:rPr>
          <w:rFonts w:ascii="Times New Roman;serif" w:hAnsi="Times New Roman;serif"/>
          <w:b w:val="false"/>
          <w:sz w:val="20"/>
        </w:rPr>
        <w:t>years and 11.4%, respectively.</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Future minimum lease payments associated with our operating leases were as follows (in thousands):</w:t>
      </w:r>
    </w:p>
    <w:tbl>
      <w:tblPr>
        <w:tblW w:w="6858" w:type="dxa"/>
        <w:jc w:val="left"/>
        <w:tblInd w:w="0" w:type="dxa"/>
        <w:tblLayout w:type="fixed"/>
        <w:tblCellMar>
          <w:top w:w="28" w:type="dxa"/>
          <w:left w:w="28" w:type="dxa"/>
          <w:bottom w:w="28" w:type="dxa"/>
          <w:right w:w="28" w:type="dxa"/>
        </w:tblCellMar>
      </w:tblPr>
      <w:tblGrid>
        <w:gridCol w:w="5026"/>
        <w:gridCol w:w="146"/>
        <w:gridCol w:w="284"/>
        <w:gridCol w:w="991"/>
        <w:gridCol w:w="411"/>
      </w:tblGrid>
      <w:tr>
        <w:trPr/>
        <w:tc>
          <w:tcPr>
            <w:tcW w:w="5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0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w:t>
              <w:br/>
              <w:t>June 30, 2023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0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Remainder of 2023</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1,689</w:t>
            </w:r>
          </w:p>
        </w:tc>
        <w:tc>
          <w:tcPr>
            <w:tcW w:w="411" w:type="dxa"/>
            <w:tcBorders/>
            <w:vAlign w:val="center"/>
          </w:tcPr>
          <w:p>
            <w:pPr>
              <w:pStyle w:val="TableContents"/>
              <w:bidi w:val="0"/>
              <w:spacing w:before="0" w:after="0"/>
              <w:ind w:left="0" w:right="0" w:hanging="0"/>
              <w:jc w:val="left"/>
              <w:rPr/>
            </w:pPr>
            <w:r>
              <w:rPr/>
              <w:t> </w:t>
            </w:r>
          </w:p>
        </w:tc>
      </w:tr>
      <w:tr>
        <w:trPr/>
        <w:tc>
          <w:tcPr>
            <w:tcW w:w="50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2,406</w:t>
            </w:r>
          </w:p>
        </w:tc>
        <w:tc>
          <w:tcPr>
            <w:tcW w:w="411" w:type="dxa"/>
            <w:tcBorders/>
            <w:vAlign w:val="center"/>
          </w:tcPr>
          <w:p>
            <w:pPr>
              <w:pStyle w:val="TableContents"/>
              <w:bidi w:val="0"/>
              <w:spacing w:before="0" w:after="0"/>
              <w:ind w:left="0" w:right="0" w:hanging="0"/>
              <w:jc w:val="left"/>
              <w:rPr/>
            </w:pPr>
            <w:r>
              <w:rPr/>
              <w:t> </w:t>
            </w:r>
          </w:p>
        </w:tc>
      </w:tr>
      <w:tr>
        <w:trPr/>
        <w:tc>
          <w:tcPr>
            <w:tcW w:w="50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4,032</w:t>
            </w:r>
          </w:p>
        </w:tc>
        <w:tc>
          <w:tcPr>
            <w:tcW w:w="411" w:type="dxa"/>
            <w:tcBorders/>
            <w:vAlign w:val="center"/>
          </w:tcPr>
          <w:p>
            <w:pPr>
              <w:pStyle w:val="TableContents"/>
              <w:bidi w:val="0"/>
              <w:spacing w:before="0" w:after="0"/>
              <w:ind w:left="0" w:right="0" w:hanging="0"/>
              <w:jc w:val="left"/>
              <w:rPr/>
            </w:pPr>
            <w:r>
              <w:rPr/>
              <w:t> </w:t>
            </w:r>
          </w:p>
        </w:tc>
      </w:tr>
      <w:tr>
        <w:trPr/>
        <w:tc>
          <w:tcPr>
            <w:tcW w:w="50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4,144</w:t>
            </w:r>
          </w:p>
        </w:tc>
        <w:tc>
          <w:tcPr>
            <w:tcW w:w="411" w:type="dxa"/>
            <w:tcBorders/>
            <w:vAlign w:val="center"/>
          </w:tcPr>
          <w:p>
            <w:pPr>
              <w:pStyle w:val="TableContents"/>
              <w:bidi w:val="0"/>
              <w:spacing w:before="0" w:after="0"/>
              <w:ind w:left="0" w:right="0" w:hanging="0"/>
              <w:jc w:val="left"/>
              <w:rPr/>
            </w:pPr>
            <w:r>
              <w:rPr/>
              <w:t> </w:t>
            </w:r>
          </w:p>
        </w:tc>
      </w:tr>
      <w:tr>
        <w:trPr/>
        <w:tc>
          <w:tcPr>
            <w:tcW w:w="50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4,063</w:t>
            </w:r>
          </w:p>
        </w:tc>
        <w:tc>
          <w:tcPr>
            <w:tcW w:w="411" w:type="dxa"/>
            <w:tcBorders/>
            <w:vAlign w:val="center"/>
          </w:tcPr>
          <w:p>
            <w:pPr>
              <w:pStyle w:val="TableContents"/>
              <w:bidi w:val="0"/>
              <w:spacing w:before="0" w:after="0"/>
              <w:ind w:left="0" w:right="0" w:hanging="0"/>
              <w:jc w:val="left"/>
              <w:rPr/>
            </w:pPr>
            <w:r>
              <w:rPr/>
              <w:t> </w:t>
            </w:r>
          </w:p>
        </w:tc>
      </w:tr>
      <w:tr>
        <w:trPr/>
        <w:tc>
          <w:tcPr>
            <w:tcW w:w="50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2028 and thereafter</w:t>
            </w:r>
          </w:p>
        </w:tc>
        <w:tc>
          <w:tcPr>
            <w:tcW w:w="146" w:type="dxa"/>
            <w:tcBorders/>
            <w:vAlign w:val="center"/>
          </w:tcPr>
          <w:p>
            <w:pPr>
              <w:pStyle w:val="TableContents"/>
              <w:bidi w:val="0"/>
              <w:spacing w:before="0" w:after="0"/>
              <w:ind w:left="0" w:right="0" w:hanging="0"/>
              <w:jc w:val="left"/>
              <w:rPr/>
            </w:pPr>
            <w:r>
              <w:rPr/>
              <w:t> </w:t>
            </w:r>
          </w:p>
        </w:tc>
        <w:tc>
          <w:tcPr>
            <w:tcW w:w="2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32,264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502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future minimum lease payments</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48,598</w:t>
            </w:r>
          </w:p>
        </w:tc>
        <w:tc>
          <w:tcPr>
            <w:tcW w:w="411" w:type="dxa"/>
            <w:tcBorders/>
            <w:vAlign w:val="center"/>
          </w:tcPr>
          <w:p>
            <w:pPr>
              <w:pStyle w:val="TableContents"/>
              <w:bidi w:val="0"/>
              <w:spacing w:before="0" w:after="0"/>
              <w:ind w:left="0" w:right="0" w:hanging="0"/>
              <w:jc w:val="left"/>
              <w:rPr/>
            </w:pPr>
            <w:r>
              <w:rPr/>
              <w:t> </w:t>
            </w:r>
          </w:p>
        </w:tc>
      </w:tr>
      <w:tr>
        <w:trPr/>
        <w:tc>
          <w:tcPr>
            <w:tcW w:w="50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amount representing interest</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(22,940</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2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Less amount representing tenant improvement allowances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(5,346</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02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lease liabilities</w:t>
            </w:r>
          </w:p>
        </w:tc>
        <w:tc>
          <w:tcPr>
            <w:tcW w:w="146" w:type="dxa"/>
            <w:tcBorders/>
            <w:vAlign w:val="center"/>
          </w:tcPr>
          <w:p>
            <w:pPr>
              <w:pStyle w:val="TableContents"/>
              <w:bidi w:val="0"/>
              <w:spacing w:before="0" w:after="0"/>
              <w:ind w:left="0" w:right="0" w:hanging="0"/>
              <w:jc w:val="left"/>
              <w:rPr/>
            </w:pPr>
            <w:r>
              <w:rPr/>
              <w:t> </w:t>
            </w:r>
          </w:p>
        </w:tc>
        <w:tc>
          <w:tcPr>
            <w:tcW w:w="2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20,312</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120"/>
        <w:jc w:val="both"/>
        <w:rPr>
          <w:rFonts w:ascii="Times New Roman" w:hAnsi="Times New Roman"/>
          <w:sz w:val="20"/>
        </w:rPr>
      </w:pPr>
      <w:r>
        <w:rPr>
          <w:rFonts w:ascii="Times New Roman;serif" w:hAnsi="Times New Roman;serif"/>
          <w:b w:val="false"/>
          <w:sz w:val="13"/>
        </w:rPr>
        <w:t>(1)</w:t>
      </w:r>
      <w:r>
        <w:rPr>
          <w:rFonts w:ascii="Times New Roman" w:hAnsi="Times New Roman"/>
          <w:sz w:val="20"/>
        </w:rPr>
        <w:t xml:space="preserve"> </w:t>
      </w:r>
      <w:r>
        <w:rPr>
          <w:rFonts w:ascii="Times New Roman;serif" w:hAnsi="Times New Roman;serif"/>
          <w:b w:val="false"/>
          <w:sz w:val="20"/>
        </w:rPr>
        <w:t>The remaining contractually agreed upon tenant improvement allowances of</w:t>
      </w:r>
      <w:r>
        <w:rPr>
          <w:rFonts w:ascii="Times New Roman" w:hAnsi="Times New Roman"/>
          <w:sz w:val="20"/>
        </w:rPr>
        <w:t xml:space="preserve"> </w:t>
      </w:r>
      <w:r>
        <w:rPr>
          <w:rFonts w:ascii="Times New Roman;serif" w:hAnsi="Times New Roman;serif"/>
          <w:b w:val="false"/>
          <w:sz w:val="20"/>
        </w:rPr>
        <w:t>$5.3</w:t>
      </w:r>
      <w:r>
        <w:rPr>
          <w:rFonts w:ascii="Times New Roman" w:hAnsi="Times New Roman"/>
          <w:sz w:val="20"/>
        </w:rPr>
        <w:t xml:space="preserve"> </w:t>
      </w:r>
      <w:r>
        <w:rPr>
          <w:rFonts w:ascii="Times New Roman;serif" w:hAnsi="Times New Roman;serif"/>
          <w:b w:val="false"/>
          <w:sz w:val="20"/>
        </w:rPr>
        <w:t>million are</w:t>
      </w:r>
      <w:r>
        <w:rPr>
          <w:rFonts w:ascii="Times New Roman" w:hAnsi="Times New Roman"/>
          <w:sz w:val="20"/>
        </w:rPr>
        <w:t xml:space="preserve"> </w:t>
      </w:r>
      <w:r>
        <w:rPr>
          <w:rFonts w:ascii="Times New Roman;serif" w:hAnsi="Times New Roman;serif"/>
          <w:b w:val="false"/>
          <w:sz w:val="20"/>
        </w:rPr>
        <w:t>expected to be received throughout the remainder of fiscal year 2023.</w:t>
      </w:r>
    </w:p>
    <w:p>
      <w:pPr>
        <w:pStyle w:val="TextBody"/>
        <w:bidi w:val="0"/>
        <w:spacing w:before="0" w:after="0"/>
        <w:jc w:val="left"/>
        <w:rPr>
          <w:rFonts w:ascii="Times New Roman;serif" w:hAnsi="Times New Roman;serif"/>
          <w:b/>
          <w:sz w:val="20"/>
        </w:rPr>
      </w:pPr>
      <w:r>
        <w:rPr>
          <w:rFonts w:ascii="Times New Roman;serif" w:hAnsi="Times New Roman;serif"/>
          <w:b/>
          <w:sz w:val="20"/>
        </w:rPr>
        <w:t>Note 8 – Equity</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Equity Financing Programs</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maintains two</w:t>
      </w:r>
      <w:r>
        <w:rPr>
          <w:rFonts w:ascii="Times New Roman" w:hAnsi="Times New Roman"/>
          <w:sz w:val="20"/>
        </w:rPr>
        <w:t xml:space="preserve"> </w:t>
      </w:r>
      <w:r>
        <w:rPr>
          <w:rFonts w:ascii="Times New Roman;serif" w:hAnsi="Times New Roman;serif"/>
          <w:b w:val="false"/>
          <w:sz w:val="20"/>
        </w:rPr>
        <w:t>facilities that enable equity financing on an ongoing basis at the Company’s sole discretion, our at-the-market (ATM) offering and our common stock purchase agreement with Lincoln Park Capital Fund, LLC (the LPC facility). In November 2021, the Company entered into a sales agreement with a financial institution, pursuant to which the Company may issue and sell, from time to time, shares of its common stock having an aggregate offering price of up to $50.0</w:t>
      </w:r>
      <w:r>
        <w:rPr>
          <w:rFonts w:ascii="Times New Roman" w:hAnsi="Times New Roman"/>
          <w:sz w:val="20"/>
        </w:rPr>
        <w:t xml:space="preserve"> </w:t>
      </w:r>
      <w:r>
        <w:rPr>
          <w:rFonts w:ascii="Times New Roman;serif" w:hAnsi="Times New Roman;serif"/>
          <w:b w:val="false"/>
          <w:sz w:val="20"/>
        </w:rPr>
        <w:t>million (the ATM Shares), subject to terms and conditions. The ATM Shares will be offered and sold by the Company pursuant to its previously filed and currently effective registration statement on Form S-3, and sales of the common stock, if any, will be made at market prices by methods deemed to be an “at-the-market offering” as defined in Rule 415 promulgated under the Securities Act of 1933, as amended, including sales made directly on the NASDAQ Global Market, or any other existing trading market for our common stock.</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Financial Statements</w:t>
      </w:r>
    </w:p>
    <w:p>
      <w:pPr>
        <w:pStyle w:val="TextBody"/>
        <w:bidi w:val="0"/>
        <w:spacing w:before="0" w:after="0"/>
        <w:jc w:val="center"/>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20"/>
        </w:rPr>
        <w:t>On March 7, 2022 (the LPC Effective Date), the Company entered into a purchase agreement with Lincoln Park Capital Fund, LLC (Lincoln Park), pursuant to which Lincoln Park has committed to purchase up to $50.0</w:t>
      </w:r>
      <w:r>
        <w:rPr>
          <w:rFonts w:ascii="Times New Roman" w:hAnsi="Times New Roman"/>
          <w:sz w:val="20"/>
        </w:rPr>
        <w:t xml:space="preserve"> </w:t>
      </w:r>
      <w:r>
        <w:rPr>
          <w:rFonts w:ascii="Times New Roman;serif" w:hAnsi="Times New Roman;serif"/>
          <w:b w:val="false"/>
          <w:sz w:val="20"/>
        </w:rPr>
        <w:t>million of the Company's common stock (the Purchase Agreement). Under the terms and subject to the conditions of the Purchase Agreement, the Company has the right, but not the obligation, to sell to Lincoln Park, and Lincoln Park is obligated to purchase up to $50.0</w:t>
      </w:r>
      <w:r>
        <w:rPr>
          <w:rFonts w:ascii="Times New Roman" w:hAnsi="Times New Roman"/>
          <w:sz w:val="20"/>
        </w:rPr>
        <w:t xml:space="preserve"> </w:t>
      </w:r>
      <w:r>
        <w:rPr>
          <w:rFonts w:ascii="Times New Roman;serif" w:hAnsi="Times New Roman;serif"/>
          <w:b w:val="false"/>
          <w:sz w:val="20"/>
        </w:rPr>
        <w:t>million of the Company’s common stock. Such sales of common stock by the Company, if any, will be subject to certain limitations, and may occur from time to time, at the Company’s sole discretion, over the 36-month</w:t>
      </w:r>
      <w:r>
        <w:rPr>
          <w:rFonts w:ascii="Times New Roman" w:hAnsi="Times New Roman"/>
          <w:sz w:val="20"/>
        </w:rPr>
        <w:t xml:space="preserve"> </w:t>
      </w:r>
      <w:r>
        <w:rPr>
          <w:rFonts w:ascii="Times New Roman;serif" w:hAnsi="Times New Roman;serif"/>
          <w:b w:val="false"/>
          <w:sz w:val="20"/>
        </w:rPr>
        <w:t>period commencing on the LPC Effective Date. The number of shares the Company may sell to Lincoln Park on any single business day in a regular purchase is 50,000</w:t>
      </w:r>
      <w:r>
        <w:rPr>
          <w:rFonts w:ascii="Times New Roman" w:hAnsi="Times New Roman"/>
          <w:sz w:val="20"/>
        </w:rPr>
        <w:t xml:space="preserve"> </w:t>
      </w:r>
      <w:r>
        <w:rPr>
          <w:rFonts w:ascii="Times New Roman;serif" w:hAnsi="Times New Roman;serif"/>
          <w:b w:val="false"/>
          <w:sz w:val="20"/>
        </w:rPr>
        <w:t>shares, but that amount may be increased up to 100,000</w:t>
      </w:r>
      <w:r>
        <w:rPr>
          <w:rFonts w:ascii="Times New Roman" w:hAnsi="Times New Roman"/>
          <w:sz w:val="20"/>
        </w:rPr>
        <w:t xml:space="preserve"> </w:t>
      </w:r>
      <w:r>
        <w:rPr>
          <w:rFonts w:ascii="Times New Roman;serif" w:hAnsi="Times New Roman;serif"/>
          <w:b w:val="false"/>
          <w:sz w:val="20"/>
        </w:rPr>
        <w:t>shares, depending upon the market price of the Company’s common stock at the time of sale and subject to a maximum limit of $1.5</w:t>
      </w:r>
      <w:r>
        <w:rPr>
          <w:rFonts w:ascii="Times New Roman" w:hAnsi="Times New Roman"/>
          <w:sz w:val="20"/>
        </w:rPr>
        <w:t xml:space="preserve"> </w:t>
      </w:r>
      <w:r>
        <w:rPr>
          <w:rFonts w:ascii="Times New Roman;serif" w:hAnsi="Times New Roman;serif"/>
          <w:b w:val="false"/>
          <w:sz w:val="20"/>
        </w:rPr>
        <w:t>million per regular purchase. The purchase price per share for each such regular purchase will be based on prevailing market prices of the Company’s common stock immediately preceding the time of sale as computed under the Purchase Agreement. In addition to regular purchases, the Company may also direct Lincoln Park to purchase other amounts as accelerated purchases or as additional accelerated purchases.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Under applicable rules of the NASDAQ Global Market, in no event may the Company issue or sell to Lincoln Park under the Purchase Agreement more than 19.99% of the shares of the Company’s common stock outstanding immediately prior to the execution of the Purchase Agreement (the Exchange Cap), unless (i) the Company obtains stockholder approval to issue shares of common stock in excess of the Exchange Cap or (ii) the average price of all applicable sales of common stock to Lincoln Park under the Purchase Agreement equals or exceeds $2.20 per share, such that issuances and sales of the common stock to Lincoln Park under the Purchase Agreement would be exempt from the Exchange Cap limitation under applicable NASDAQ rules.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Lincoln Park has no right to require the Company to sell any shares of common stock to Lincoln Park, but Lincoln Park is obligated to make purchases as the Company directs, subject to certain conditions. In all instances, the Company may not sell shares of its common stock to Lincoln Park under the Purchase Agreement if doing so would result in Lincoln Park beneficially owning more than 9.99% of its common stock.</w:t>
      </w:r>
    </w:p>
    <w:p>
      <w:pPr>
        <w:pStyle w:val="TextBody"/>
        <w:bidi w:val="0"/>
        <w:spacing w:before="120" w:after="0"/>
        <w:jc w:val="both"/>
        <w:rPr>
          <w:rFonts w:ascii="Times New Roman" w:hAnsi="Times New Roman"/>
          <w:sz w:val="20"/>
        </w:rPr>
      </w:pPr>
      <w:r>
        <w:rPr>
          <w:rFonts w:ascii="Times New Roman;serif" w:hAnsi="Times New Roman;serif"/>
          <w:b w:val="false"/>
          <w:sz w:val="20"/>
        </w:rPr>
        <w:t>Actual sales of shares of common stock to Lincoln Park under the Purchase Agreement will depend on a variety of factors to be determined by the Company from time to time, including, among others, market conditions, the trading price of the common stock and determinations by the Company as to the appropriate sources of funding for the Company and its operations. The net proceeds, if any, under the Purchase Agreement will depend on the frequency and prices at which the Company sells shares of its common stock to Lincoln Park. The Company intends to use any net proceeds from the sale of its common stock to Lincoln Park to advance its growth strategy and for general corporate purposes. On the LPC Effective Date, the Company issued 184,275</w:t>
      </w:r>
      <w:r>
        <w:rPr>
          <w:rFonts w:ascii="Times New Roman" w:hAnsi="Times New Roman"/>
          <w:sz w:val="20"/>
        </w:rPr>
        <w:t xml:space="preserve"> </w:t>
      </w:r>
      <w:r>
        <w:rPr>
          <w:rFonts w:ascii="Times New Roman;serif" w:hAnsi="Times New Roman;serif"/>
          <w:b w:val="false"/>
          <w:sz w:val="20"/>
        </w:rPr>
        <w:t>shares of common stock to Lincoln Park as a commitment fee (the Initial Commitment Shares) for which the Company did not receive consideration and, upon the available amount being reduced to an amount equal to or less than $20.0</w:t>
      </w:r>
      <w:r>
        <w:rPr>
          <w:rFonts w:ascii="Times New Roman" w:hAnsi="Times New Roman"/>
          <w:sz w:val="20"/>
        </w:rPr>
        <w:t xml:space="preserve"> </w:t>
      </w:r>
      <w:r>
        <w:rPr>
          <w:rFonts w:ascii="Times New Roman;serif" w:hAnsi="Times New Roman;serif"/>
          <w:b w:val="false"/>
          <w:sz w:val="20"/>
        </w:rPr>
        <w:t>million, the Company will be required to issue 61,425</w:t>
      </w:r>
      <w:r>
        <w:rPr>
          <w:rFonts w:ascii="Times New Roman" w:hAnsi="Times New Roman"/>
          <w:sz w:val="20"/>
        </w:rPr>
        <w:t xml:space="preserve"> </w:t>
      </w:r>
      <w:r>
        <w:rPr>
          <w:rFonts w:ascii="Times New Roman;serif" w:hAnsi="Times New Roman;serif"/>
          <w:b w:val="false"/>
          <w:sz w:val="20"/>
        </w:rPr>
        <w:t>shares (the Additional Commitment Shares and together with the Initial Commitment Shares, collectively, the Commitment Shares). The Initial Commitment Shares issued were valued at $600,000</w:t>
      </w:r>
      <w:r>
        <w:rPr>
          <w:rFonts w:ascii="Times New Roman" w:hAnsi="Times New Roman"/>
          <w:sz w:val="20"/>
        </w:rPr>
        <w:t xml:space="preserve"> </w:t>
      </w:r>
      <w:r>
        <w:rPr>
          <w:rFonts w:ascii="Times New Roman;serif" w:hAnsi="Times New Roman;serif"/>
          <w:b w:val="false"/>
          <w:sz w:val="20"/>
        </w:rPr>
        <w:t>and, together with due diligence expenses and legal fees of $129,000, reflect deferred offering costs of $729,000, which are included on the condensed balance sheet in 'Other long-term assets'. The deferred offering costs will be charged against 'Additional paid-in capital' upon future proceeds from the sale of common stock under the Purchase Agreement. During the three and six months ended June 30, 2023</w:t>
      </w:r>
      <w:r>
        <w:rPr>
          <w:rFonts w:ascii="Times New Roman" w:hAnsi="Times New Roman"/>
          <w:sz w:val="20"/>
        </w:rPr>
        <w:t xml:space="preserve"> </w:t>
      </w:r>
      <w:r>
        <w:rPr>
          <w:rFonts w:ascii="Times New Roman;serif" w:hAnsi="Times New Roman;serif"/>
          <w:b w:val="false"/>
          <w:sz w:val="20"/>
        </w:rPr>
        <w:t>there were no</w:t>
      </w:r>
      <w:r>
        <w:rPr>
          <w:rFonts w:ascii="Times New Roman" w:hAnsi="Times New Roman"/>
          <w:sz w:val="20"/>
        </w:rPr>
        <w:t xml:space="preserve"> </w:t>
      </w:r>
      <w:r>
        <w:rPr>
          <w:rFonts w:ascii="Times New Roman;serif" w:hAnsi="Times New Roman;serif"/>
          <w:b w:val="false"/>
          <w:sz w:val="20"/>
        </w:rPr>
        <w:t>deferred offering costs charged against 'Additional paid-in capital'. During the three and six months ended June 30, 2022,</w:t>
      </w:r>
      <w:r>
        <w:rPr>
          <w:rFonts w:ascii="Times New Roman" w:hAnsi="Times New Roman"/>
          <w:sz w:val="20"/>
        </w:rPr>
        <w:t xml:space="preserve"> </w:t>
      </w:r>
      <w:r>
        <w:rPr>
          <w:rFonts w:ascii="Times New Roman;serif" w:hAnsi="Times New Roman;serif"/>
          <w:b w:val="false"/>
          <w:sz w:val="20"/>
        </w:rPr>
        <w:t>$18,000</w:t>
      </w:r>
      <w:r>
        <w:rPr>
          <w:rFonts w:ascii="Times New Roman" w:hAnsi="Times New Roman"/>
          <w:sz w:val="20"/>
        </w:rPr>
        <w:t xml:space="preserve"> </w:t>
      </w:r>
      <w:r>
        <w:rPr>
          <w:rFonts w:ascii="Times New Roman;serif" w:hAnsi="Times New Roman;serif"/>
          <w:b w:val="false"/>
          <w:sz w:val="20"/>
        </w:rPr>
        <w:t>of deferred offering costs were charged against 'Additional paid-in capital', respectively. As of June 30, 2023, $654,000</w:t>
      </w:r>
      <w:r>
        <w:rPr>
          <w:rFonts w:ascii="Times New Roman" w:hAnsi="Times New Roman"/>
          <w:sz w:val="20"/>
        </w:rPr>
        <w:t xml:space="preserve"> </w:t>
      </w:r>
      <w:r>
        <w:rPr>
          <w:rFonts w:ascii="Times New Roman;serif" w:hAnsi="Times New Roman;serif"/>
          <w:b w:val="false"/>
          <w:sz w:val="20"/>
        </w:rPr>
        <w:t>of deferred offering costs remain.</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Purchase Agreement may be terminated by the Company at any time, at its sole discretion, without any cost or penalty, by giving one business day notice to Lincoln Park to terminate the Purchase Agreement. Lincoln Park has covenanted not to cause or engage in any manner whatsoever, any direct or indirect short selling or hedging of the common stock. Although the Company has agreed to reimburse Lincoln Park for a limited portion of the fees it incurred in connection with the Purchase Agreement, the Company did not pay any additional amounts to reimburse or otherwise compensate Lincoln Park in connection with the transaction, other than the issuance of the Commitment Shares.</w:t>
      </w:r>
    </w:p>
    <w:p>
      <w:pPr>
        <w:pStyle w:val="TextBody"/>
        <w:bidi w:val="0"/>
        <w:spacing w:before="120" w:after="0"/>
        <w:jc w:val="both"/>
        <w:rPr>
          <w:rFonts w:ascii="Times New Roman" w:hAnsi="Times New Roman"/>
          <w:sz w:val="20"/>
        </w:rPr>
      </w:pPr>
      <w:r>
        <w:rPr>
          <w:rFonts w:ascii="Times New Roman;serif" w:hAnsi="Times New Roman;serif"/>
          <w:b w:val="false"/>
          <w:sz w:val="20"/>
        </w:rPr>
        <w:t>As of June 30, 2023, the Company had remaining available capacity for share issuances of approximately $29.5</w:t>
      </w:r>
      <w:r>
        <w:rPr>
          <w:rFonts w:ascii="Times New Roman" w:hAnsi="Times New Roman"/>
          <w:sz w:val="20"/>
        </w:rPr>
        <w:t xml:space="preserve"> </w:t>
      </w:r>
      <w:r>
        <w:rPr>
          <w:rFonts w:ascii="Times New Roman;serif" w:hAnsi="Times New Roman;serif"/>
          <w:b w:val="false"/>
          <w:sz w:val="20"/>
        </w:rPr>
        <w:t>million under the ATM facility and up to $46.9</w:t>
      </w:r>
      <w:r>
        <w:rPr>
          <w:rFonts w:ascii="Times New Roman" w:hAnsi="Times New Roman"/>
          <w:sz w:val="20"/>
        </w:rPr>
        <w:t xml:space="preserve"> </w:t>
      </w:r>
      <w:r>
        <w:rPr>
          <w:rFonts w:ascii="Times New Roman;serif" w:hAnsi="Times New Roman;serif"/>
          <w:b w:val="false"/>
          <w:sz w:val="20"/>
        </w:rPr>
        <w:t>million under the LPC facility, each subject to the restrictions and limitations of the underlying facilities, as well as volume limitations under applicable SEC rules and regulations that limit their availability as sources of funding.</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Warrants</w:t>
      </w:r>
    </w:p>
    <w:p>
      <w:pPr>
        <w:pStyle w:val="TextBody"/>
        <w:bidi w:val="0"/>
        <w:spacing w:before="120" w:after="0"/>
        <w:jc w:val="both"/>
        <w:rPr>
          <w:rFonts w:ascii="Times New Roman" w:hAnsi="Times New Roman"/>
          <w:sz w:val="20"/>
        </w:rPr>
      </w:pPr>
      <w:r>
        <w:rPr>
          <w:rFonts w:ascii="Times New Roman;serif" w:hAnsi="Times New Roman;serif"/>
          <w:b w:val="false"/>
          <w:sz w:val="20"/>
        </w:rPr>
        <w:t>During 2018, the Company issued warrants to purchase shares of convertible preferred stock in conjunction with the sale of certain convertible preferred shares and issuance of debt. The Company issued to the lender a warrant to purchase 613,333</w:t>
      </w:r>
      <w:r>
        <w:rPr>
          <w:rFonts w:ascii="Times New Roman" w:hAnsi="Times New Roman"/>
          <w:sz w:val="20"/>
        </w:rPr>
        <w:t xml:space="preserve"> </w:t>
      </w:r>
      <w:r>
        <w:rPr>
          <w:rFonts w:ascii="Times New Roman;serif" w:hAnsi="Times New Roman;serif"/>
          <w:b w:val="false"/>
          <w:sz w:val="20"/>
        </w:rPr>
        <w:t>shares of Series G convertible preferred stock, at an exercise price of $0.75</w:t>
      </w:r>
      <w:r>
        <w:rPr>
          <w:rFonts w:ascii="Times New Roman" w:hAnsi="Times New Roman"/>
          <w:sz w:val="20"/>
        </w:rPr>
        <w:t xml:space="preserve"> </w:t>
      </w:r>
      <w:r>
        <w:rPr>
          <w:rFonts w:ascii="Times New Roman;serif" w:hAnsi="Times New Roman;serif"/>
          <w:b w:val="false"/>
          <w:sz w:val="20"/>
        </w:rPr>
        <w:t>per share, subject to adjustment upon specified dilutive issuances. The warrant was immediately exercisable upon issuance and expires on February 23, 2028. Through the effective date of the Company’s initial public offering (IPO) in October 2020, the Series G warrants were remeasured to an estimate of fair value using a Black-Scholes pricing</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Financial Statements</w:t>
      </w:r>
    </w:p>
    <w:p>
      <w:pPr>
        <w:pStyle w:val="TextBody"/>
        <w:bidi w:val="0"/>
        <w:spacing w:before="0" w:after="0"/>
        <w:jc w:val="center"/>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20"/>
        </w:rPr>
        <w:t>model. As a result of the Company’s IPO, the preferred stock warrants were automatically converted to warrants to purchase 103,326</w:t>
      </w:r>
      <w:r>
        <w:rPr>
          <w:rFonts w:ascii="Times New Roman" w:hAnsi="Times New Roman"/>
          <w:sz w:val="20"/>
        </w:rPr>
        <w:t xml:space="preserve"> </w:t>
      </w:r>
      <w:r>
        <w:rPr>
          <w:rFonts w:ascii="Times New Roman;serif" w:hAnsi="Times New Roman;serif"/>
          <w:b w:val="false"/>
          <w:sz w:val="20"/>
        </w:rPr>
        <w:t>shares of common stock with a weighted average exercise price of $4.46</w:t>
      </w:r>
      <w:r>
        <w:rPr>
          <w:rFonts w:ascii="Times New Roman" w:hAnsi="Times New Roman"/>
          <w:sz w:val="20"/>
        </w:rPr>
        <w:t xml:space="preserve"> </w:t>
      </w:r>
      <w:r>
        <w:rPr>
          <w:rFonts w:ascii="Times New Roman;serif" w:hAnsi="Times New Roman;serif"/>
          <w:b w:val="false"/>
          <w:sz w:val="20"/>
        </w:rPr>
        <w:t>and were also transferred to additional paid-in capital. All common stock warrants remain outstanding as of June 30, 2023.</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On November 21, 2022, as consideration for the Perceptive Term Loan Facility (see Note 6 - </w:t>
      </w:r>
      <w:r>
        <w:rPr>
          <w:rFonts w:ascii="Times New Roman;serif" w:hAnsi="Times New Roman;serif"/>
          <w:b w:val="false"/>
          <w:i/>
          <w:sz w:val="20"/>
        </w:rPr>
        <w:t>Debt</w:t>
      </w:r>
      <w:r>
        <w:rPr>
          <w:rFonts w:ascii="Times New Roman;serif" w:hAnsi="Times New Roman;serif"/>
          <w:b w:val="false"/>
          <w:sz w:val="20"/>
        </w:rPr>
        <w:t>), the Company issued the Perceptive Warrant to purchase up to 5,000,000</w:t>
      </w:r>
      <w:r>
        <w:rPr>
          <w:rFonts w:ascii="Times New Roman" w:hAnsi="Times New Roman"/>
          <w:sz w:val="20"/>
        </w:rPr>
        <w:t xml:space="preserve"> </w:t>
      </w:r>
      <w:r>
        <w:rPr>
          <w:rFonts w:ascii="Times New Roman;serif" w:hAnsi="Times New Roman;serif"/>
          <w:b w:val="false"/>
          <w:sz w:val="20"/>
        </w:rPr>
        <w:t>shares of the Company's common stock, including the Initial Warrants. In addition to the Initial Warrants, the Additional Warrants will each become exercisable into 1,000,000</w:t>
      </w:r>
      <w:r>
        <w:rPr>
          <w:rFonts w:ascii="Times New Roman" w:hAnsi="Times New Roman"/>
          <w:sz w:val="20"/>
        </w:rPr>
        <w:t xml:space="preserve"> </w:t>
      </w:r>
      <w:r>
        <w:rPr>
          <w:rFonts w:ascii="Times New Roman;serif" w:hAnsi="Times New Roman;serif"/>
          <w:b w:val="false"/>
          <w:sz w:val="20"/>
        </w:rPr>
        <w:t xml:space="preserve">shares of common stock concurrently with the borrowing date of the Tranche B and C Loans, respectively. The Company accounts for the Additional Warrants as liabilities as the Additional Warrants do not meet the criteria for equity treatment (see Note 4 - </w:t>
      </w:r>
      <w:r>
        <w:rPr>
          <w:rFonts w:ascii="Times New Roman;serif" w:hAnsi="Times New Roman;serif"/>
          <w:b w:val="false"/>
          <w:i/>
          <w:sz w:val="20"/>
        </w:rPr>
        <w:t>Fair Value</w:t>
      </w:r>
      <w:r>
        <w:rPr>
          <w:rFonts w:ascii="Times New Roman;serif" w:hAnsi="Times New Roman;serif"/>
          <w:b w:val="false"/>
          <w:sz w:val="20"/>
        </w:rPr>
        <w:t>). The per share exercise price for the Initial Warrants is equal to $1.0648, which is equal to the lower of (A) the 10-day VWAP of the Company’s common stock on the business day immediately prior to the Closing Date of the Tranche A Loan or (B) the public offering price per share of common stock of $1.15. The Initial Warrants are equity classified and were immediately exercisable upon issuance and expire on November 21, 2032. The Initial Warrants were valued at $2.9</w:t>
      </w:r>
      <w:r>
        <w:rPr>
          <w:rFonts w:ascii="Times New Roman" w:hAnsi="Times New Roman"/>
          <w:sz w:val="20"/>
        </w:rPr>
        <w:t xml:space="preserve"> </w:t>
      </w:r>
      <w:r>
        <w:rPr>
          <w:rFonts w:ascii="Times New Roman;serif" w:hAnsi="Times New Roman;serif"/>
          <w:b w:val="false"/>
          <w:sz w:val="20"/>
        </w:rPr>
        <w:t>million using the Black-Scholes option-pricing model assuming an expected term of 10 years, a volatility of 81.3%, a dividend yield of 0% and a risk-free interest rate of 3.67%. All Initial Warrants remain outstanding as of June 30, 2023.</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On May 10, 2023, as consideration for the First Amendment (see Note 6 - </w:t>
      </w:r>
      <w:r>
        <w:rPr>
          <w:rFonts w:ascii="Times New Roman;serif" w:hAnsi="Times New Roman;serif"/>
          <w:b w:val="false"/>
          <w:i/>
          <w:sz w:val="20"/>
        </w:rPr>
        <w:t>Debt</w:t>
      </w:r>
      <w:r>
        <w:rPr>
          <w:rFonts w:ascii="Times New Roman;serif" w:hAnsi="Times New Roman;serif"/>
          <w:b w:val="false"/>
          <w:sz w:val="20"/>
        </w:rPr>
        <w:t>), the Company agreed to issue to Perceptive a warrant to purchase up to 500,000</w:t>
      </w:r>
      <w:r>
        <w:rPr>
          <w:rFonts w:ascii="Times New Roman" w:hAnsi="Times New Roman"/>
          <w:sz w:val="20"/>
        </w:rPr>
        <w:t xml:space="preserve"> </w:t>
      </w:r>
      <w:r>
        <w:rPr>
          <w:rFonts w:ascii="Times New Roman;serif" w:hAnsi="Times New Roman;serif"/>
          <w:b w:val="false"/>
          <w:sz w:val="20"/>
        </w:rPr>
        <w:t>shares of the Company’s common stock (the First Amendment Warrants) at a per share exercise price equal to $1.6254, which is equal to the 10-day VWAP of the Company’s common stock ending on the business day immediately prior to the First Amendment Effective Date. The First Amendment Warrants are equity classified and immediately exercisable upon issuance and expire on May 10, 2033. The First Amendment Warrants were valued at $0.7</w:t>
      </w:r>
      <w:r>
        <w:rPr>
          <w:rFonts w:ascii="Times New Roman" w:hAnsi="Times New Roman"/>
          <w:sz w:val="20"/>
        </w:rPr>
        <w:t xml:space="preserve"> </w:t>
      </w:r>
      <w:r>
        <w:rPr>
          <w:rFonts w:ascii="Times New Roman;serif" w:hAnsi="Times New Roman;serif"/>
          <w:b w:val="false"/>
          <w:sz w:val="20"/>
        </w:rPr>
        <w:t>million using the Black-Scholes option-pricing model assuming an expected term of 10</w:t>
      </w:r>
      <w:r>
        <w:rPr>
          <w:rFonts w:ascii="Times New Roman" w:hAnsi="Times New Roman"/>
          <w:sz w:val="20"/>
        </w:rPr>
        <w:t xml:space="preserve"> </w:t>
      </w:r>
      <w:r>
        <w:rPr>
          <w:rFonts w:ascii="Times New Roman;serif" w:hAnsi="Times New Roman;serif"/>
          <w:b w:val="false"/>
          <w:sz w:val="20"/>
        </w:rPr>
        <w:t>years, a volatility of 78.7%, a dividend yield of 0% and a risk-free interest rate of 3.49%. All First Amendment Warrants remain outstanding as of June 30, 2023.</w:t>
      </w:r>
    </w:p>
    <w:p>
      <w:pPr>
        <w:pStyle w:val="TextBody"/>
        <w:bidi w:val="0"/>
        <w:spacing w:before="240" w:after="0"/>
        <w:jc w:val="left"/>
        <w:rPr>
          <w:rFonts w:ascii="Times New Roman;serif" w:hAnsi="Times New Roman;serif"/>
          <w:b/>
          <w:sz w:val="20"/>
        </w:rPr>
      </w:pPr>
      <w:r>
        <w:rPr>
          <w:rFonts w:ascii="Times New Roman;serif" w:hAnsi="Times New Roman;serif"/>
          <w:b/>
          <w:sz w:val="20"/>
        </w:rPr>
        <w:t>Note 9 – Revenue and Accounts Receivable Credit Concentration</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derive our revenue from two primary sources: (i) providing diagnostic testing in the clinical setting (Diagnostic tests); and (ii) providing biopharmaceutical companies with services that include diagnostic research, clinical research, clinical trial testing, development and testing services generally provided outside the clinical setting and governed by individual contracts with third parties as well as development and commercialization of companion diagnostics (Services).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Diagnostic test revenues consist of blood-based lung tests and COVID-19 tests, which are recognized in the amount expected to be received in exchange for diagnostic tests when the diagnostic tests are delivered. The Company conducts diagnostic tests and delivers the completed test results to the prescribing physician or patient, as applicable. The fees for diagnostic tests are billed either to a third party such as Medicare, medical facilities, commercial insurance payers, or to the patient. The Company determines the transaction price related to its diagnostic test contracts by considering the nature of the payer, test type, and historical price concessions granted to groups of customers. For diagnostic test revenue, the Company estimates the transaction price, which is the amount of consideration it expects to be entitled to receive in exchange for providing services based on its historical collection experience, using a portfolio approach. The Company recognizes revenues for diagnostic tests upon delivery of the tests to the physicians requesting the tests or patient, as applicable.</w:t>
      </w:r>
    </w:p>
    <w:p>
      <w:pPr>
        <w:pStyle w:val="TextBody"/>
        <w:bidi w:val="0"/>
        <w:spacing w:before="120" w:after="0"/>
        <w:jc w:val="both"/>
        <w:rPr>
          <w:rFonts w:ascii="Times New Roman" w:hAnsi="Times New Roman"/>
          <w:sz w:val="20"/>
        </w:rPr>
      </w:pPr>
      <w:r>
        <w:rPr>
          <w:rFonts w:ascii="Times New Roman;serif" w:hAnsi="Times New Roman;serif"/>
          <w:b w:val="false"/>
          <w:sz w:val="20"/>
        </w:rPr>
        <w:t>Services revenue consists of on-market tests, pipeline tests, custom diagnostic testing, and other scientific services for a purpose as defined by any individual customer, which is often with biopharmaceutical companies. The performance obligations and related revenue for these sales is defined by a written agreement between the Company and the customer. These services are generally completed upon the delivery of testing results, or other contractually defined milestone(s), to the customer. Revenue for these services is recognized upon delivery of the completed test results, or upon completion of the contractual milestone(s).</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Revenues consisted of the following (in thousands):</w:t>
      </w:r>
    </w:p>
    <w:tbl>
      <w:tblPr>
        <w:tblW w:w="7246" w:type="dxa"/>
        <w:jc w:val="left"/>
        <w:tblInd w:w="0" w:type="dxa"/>
        <w:tblLayout w:type="fixed"/>
        <w:tblCellMar>
          <w:top w:w="28" w:type="dxa"/>
          <w:left w:w="28" w:type="dxa"/>
          <w:bottom w:w="28" w:type="dxa"/>
          <w:right w:w="28" w:type="dxa"/>
        </w:tblCellMar>
      </w:tblPr>
      <w:tblGrid>
        <w:gridCol w:w="1411"/>
        <w:gridCol w:w="146"/>
        <w:gridCol w:w="268"/>
        <w:gridCol w:w="859"/>
        <w:gridCol w:w="185"/>
        <w:gridCol w:w="185"/>
        <w:gridCol w:w="268"/>
        <w:gridCol w:w="859"/>
        <w:gridCol w:w="146"/>
        <w:gridCol w:w="146"/>
        <w:gridCol w:w="243"/>
        <w:gridCol w:w="780"/>
        <w:gridCol w:w="168"/>
        <w:gridCol w:w="168"/>
        <w:gridCol w:w="243"/>
        <w:gridCol w:w="780"/>
        <w:gridCol w:w="391"/>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8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5" w:type="dxa"/>
            <w:tcBorders/>
            <w:vAlign w:val="center"/>
          </w:tcPr>
          <w:p>
            <w:pPr>
              <w:pStyle w:val="TableContents"/>
              <w:bidi w:val="0"/>
              <w:spacing w:before="0" w:after="0"/>
              <w:ind w:left="0" w:right="0" w:hanging="0"/>
              <w:jc w:val="left"/>
              <w:rPr/>
            </w:pPr>
            <w:r>
              <w:rPr/>
              <w:t> </w:t>
            </w:r>
          </w:p>
        </w:tc>
        <w:tc>
          <w:tcPr>
            <w:tcW w:w="11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8" w:type="dxa"/>
            <w:tcBorders/>
            <w:vAlign w:val="center"/>
          </w:tcPr>
          <w:p>
            <w:pPr>
              <w:pStyle w:val="TableContents"/>
              <w:bidi w:val="0"/>
              <w:spacing w:before="0" w:after="0"/>
              <w:ind w:left="0" w:right="0" w:hanging="0"/>
              <w:jc w:val="left"/>
              <w:rPr/>
            </w:pPr>
            <w:r>
              <w:rPr/>
              <w:t> </w:t>
            </w:r>
          </w:p>
        </w:tc>
        <w:tc>
          <w:tcPr>
            <w:tcW w:w="102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Diagnostic tests</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11,449</w:t>
            </w:r>
          </w:p>
        </w:tc>
        <w:tc>
          <w:tcPr>
            <w:tcW w:w="185"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20,094</w:t>
            </w:r>
          </w:p>
        </w:tc>
        <w:tc>
          <w:tcPr>
            <w:tcW w:w="168"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15,839</w:t>
            </w:r>
          </w:p>
        </w:tc>
        <w:tc>
          <w:tcPr>
            <w:tcW w:w="391" w:type="dxa"/>
            <w:tcBorders/>
            <w:vAlign w:val="center"/>
          </w:tcPr>
          <w:p>
            <w:pPr>
              <w:pStyle w:val="TableContents"/>
              <w:bidi w:val="0"/>
              <w:spacing w:before="0" w:after="0"/>
              <w:ind w:left="0" w:right="0" w:hanging="0"/>
              <w:jc w:val="left"/>
              <w:rPr/>
            </w:pPr>
            <w:r>
              <w:rPr/>
              <w:t> </w:t>
            </w:r>
          </w:p>
        </w:tc>
      </w:tr>
      <w:tr>
        <w:trPr/>
        <w:tc>
          <w:tcPr>
            <w:tcW w:w="1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Services</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423</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834</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1,659</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4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11,872</w:t>
            </w:r>
          </w:p>
        </w:tc>
        <w:tc>
          <w:tcPr>
            <w:tcW w:w="1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20,928</w:t>
            </w:r>
          </w:p>
        </w:tc>
        <w:tc>
          <w:tcPr>
            <w:tcW w:w="1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17,498</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left"/>
        <w:rPr>
          <w:rFonts w:ascii="Times New Roman;serif" w:hAnsi="Times New Roman;serif"/>
          <w:b/>
          <w:i/>
          <w:sz w:val="20"/>
        </w:rPr>
      </w:pPr>
      <w:r>
        <w:rPr>
          <w:rFonts w:ascii="Times New Roman;serif" w:hAnsi="Times New Roman;serif"/>
          <w:b/>
          <w:i/>
          <w:sz w:val="20"/>
        </w:rPr>
        <w:t>Deferred Revenue</w:t>
      </w:r>
    </w:p>
    <w:p>
      <w:pPr>
        <w:pStyle w:val="TextBody"/>
        <w:bidi w:val="0"/>
        <w:spacing w:before="120" w:after="0"/>
        <w:jc w:val="both"/>
        <w:rPr>
          <w:rFonts w:ascii="Times New Roman" w:hAnsi="Times New Roman"/>
          <w:sz w:val="20"/>
        </w:rPr>
      </w:pPr>
      <w:r>
        <w:rPr>
          <w:rFonts w:ascii="Times New Roman;serif" w:hAnsi="Times New Roman;serif"/>
          <w:b w:val="false"/>
          <w:sz w:val="20"/>
        </w:rPr>
        <w:t>Deferred revenue consists of cash payments from customers received in advance of delivery. As test results are delivered, the Company recognizes the deferred revenue in ‘Revenues’ in the condensed statements of operations. Of the</w:t>
      </w:r>
      <w:r>
        <w:rPr>
          <w:rFonts w:ascii="Times New Roman" w:hAnsi="Times New Roman"/>
          <w:sz w:val="20"/>
        </w:rPr>
        <w:t xml:space="preserve"> </w:t>
      </w:r>
      <w:r>
        <w:rPr>
          <w:rFonts w:ascii="Times New Roman;serif" w:hAnsi="Times New Roman;serif"/>
          <w:b w:val="false"/>
          <w:sz w:val="20"/>
        </w:rPr>
        <w:t>$1.0</w:t>
      </w:r>
      <w:r>
        <w:rPr>
          <w:rFonts w:ascii="Times New Roman" w:hAnsi="Times New Roman"/>
          <w:sz w:val="20"/>
        </w:rPr>
        <w:t xml:space="preserve"> </w:t>
      </w:r>
      <w:r>
        <w:rPr>
          <w:rFonts w:ascii="Times New Roman;serif" w:hAnsi="Times New Roman;serif"/>
          <w:b w:val="false"/>
          <w:sz w:val="20"/>
        </w:rPr>
        <w:t>million in</w:t>
      </w:r>
      <w:r>
        <w:rPr>
          <w:rFonts w:ascii="Times New Roman" w:hAnsi="Times New Roman"/>
          <w:sz w:val="20"/>
        </w:rPr>
        <w:t xml:space="preserve"> ‘</w:t>
      </w:r>
      <w:r>
        <w:rPr>
          <w:rFonts w:ascii="Times New Roman;serif" w:hAnsi="Times New Roman;serif"/>
          <w:b w:val="false"/>
          <w:sz w:val="20"/>
        </w:rPr>
        <w:t>Deferred revenue’ recorded in the condensed balance sheet as of December 31, 2022, $0.4</w:t>
      </w:r>
      <w:r>
        <w:rPr>
          <w:rFonts w:ascii="Times New Roman" w:hAnsi="Times New Roman"/>
          <w:sz w:val="20"/>
        </w:rPr>
        <w:t xml:space="preserve"> </w:t>
      </w:r>
      <w:r>
        <w:rPr>
          <w:rFonts w:ascii="Times New Roman;serif" w:hAnsi="Times New Roman;serif"/>
          <w:b w:val="false"/>
          <w:sz w:val="20"/>
        </w:rPr>
        <w:t>million was recognized in revenues during the six months ended June 30, 2023. In addition, $0.5</w:t>
      </w:r>
      <w:r>
        <w:rPr>
          <w:rFonts w:ascii="Times New Roman" w:hAnsi="Times New Roman"/>
          <w:sz w:val="20"/>
        </w:rPr>
        <w:t xml:space="preserve"> </w:t>
      </w:r>
      <w:r>
        <w:rPr>
          <w:rFonts w:ascii="Times New Roman;serif" w:hAnsi="Times New Roman;serif"/>
          <w:b w:val="false"/>
          <w:sz w:val="20"/>
        </w:rPr>
        <w:t>million was added to ‘Deferred revenue’ for up-front cash payments received for which the revenue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Financial Statements</w:t>
      </w:r>
    </w:p>
    <w:p>
      <w:pPr>
        <w:pStyle w:val="TextBody"/>
        <w:bidi w:val="0"/>
        <w:spacing w:before="0" w:after="0"/>
        <w:jc w:val="center"/>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20"/>
        </w:rPr>
        <w:t>recognition criteria have not been met. The ‘Deferred revenue’ of $1.1</w:t>
      </w:r>
      <w:r>
        <w:rPr>
          <w:rFonts w:ascii="Times New Roman" w:hAnsi="Times New Roman"/>
          <w:sz w:val="20"/>
        </w:rPr>
        <w:t xml:space="preserve"> </w:t>
      </w:r>
      <w:r>
        <w:rPr>
          <w:rFonts w:ascii="Times New Roman;serif" w:hAnsi="Times New Roman;serif"/>
          <w:b w:val="false"/>
          <w:sz w:val="20"/>
        </w:rPr>
        <w:t>million recorded in the condensed balance sheet as of June 30, 2023 is expected to be recognized in revenues over the next twelve months as test results are delivered and services are performed. As of June 30, 2023 and December 31, 2022, the Company had $0.4</w:t>
      </w:r>
      <w:r>
        <w:rPr>
          <w:rFonts w:ascii="Times New Roman" w:hAnsi="Times New Roman"/>
          <w:sz w:val="20"/>
        </w:rPr>
        <w:t xml:space="preserve"> </w:t>
      </w:r>
      <w:r>
        <w:rPr>
          <w:rFonts w:ascii="Times New Roman;serif" w:hAnsi="Times New Roman;serif"/>
          <w:b w:val="false"/>
          <w:sz w:val="20"/>
        </w:rPr>
        <w:t>million in non-current deferred revenue, respectively, recorded within ‘Other long-term liabilities’ in the condensed balance sheets which represent amounts to be recognized in excess of twelve months from the respective balance sheet date.</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Company’s customers in excess of 10% of total revenue and their related revenue as a percentage of total revenue were as follows:</w:t>
      </w:r>
    </w:p>
    <w:tbl>
      <w:tblPr>
        <w:tblW w:w="7790" w:type="dxa"/>
        <w:jc w:val="left"/>
        <w:tblInd w:w="0" w:type="dxa"/>
        <w:tblLayout w:type="fixed"/>
        <w:tblCellMar>
          <w:top w:w="28" w:type="dxa"/>
          <w:left w:w="28" w:type="dxa"/>
          <w:bottom w:w="28" w:type="dxa"/>
          <w:right w:w="28" w:type="dxa"/>
        </w:tblCellMar>
      </w:tblPr>
      <w:tblGrid>
        <w:gridCol w:w="1906"/>
        <w:gridCol w:w="146"/>
        <w:gridCol w:w="273"/>
        <w:gridCol w:w="648"/>
        <w:gridCol w:w="507"/>
        <w:gridCol w:w="273"/>
        <w:gridCol w:w="273"/>
        <w:gridCol w:w="648"/>
        <w:gridCol w:w="271"/>
        <w:gridCol w:w="146"/>
        <w:gridCol w:w="248"/>
        <w:gridCol w:w="589"/>
        <w:gridCol w:w="461"/>
        <w:gridCol w:w="248"/>
        <w:gridCol w:w="248"/>
        <w:gridCol w:w="589"/>
        <w:gridCol w:w="316"/>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8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 June 30,</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5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3" w:type="dxa"/>
            <w:tcBorders/>
            <w:vAlign w:val="center"/>
          </w:tcPr>
          <w:p>
            <w:pPr>
              <w:pStyle w:val="TableContents"/>
              <w:bidi w:val="0"/>
              <w:spacing w:before="0" w:after="0"/>
              <w:ind w:left="0" w:right="0" w:hanging="0"/>
              <w:jc w:val="left"/>
              <w:rPr/>
            </w:pPr>
            <w:r>
              <w:rPr/>
              <w:t> </w:t>
            </w:r>
          </w:p>
        </w:tc>
        <w:tc>
          <w:tcPr>
            <w:tcW w:w="9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4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8" w:type="dxa"/>
            <w:tcBorders/>
            <w:vAlign w:val="center"/>
          </w:tcPr>
          <w:p>
            <w:pPr>
              <w:pStyle w:val="TableContents"/>
              <w:bidi w:val="0"/>
              <w:spacing w:before="0" w:after="0"/>
              <w:ind w:left="0" w:right="0" w:hanging="0"/>
              <w:jc w:val="left"/>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United Healthcare</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5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3"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48"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5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4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8"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589"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19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 State of Colorado</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48" w:type="dxa"/>
            <w:tcBorders/>
            <w:vAlign w:val="center"/>
          </w:tcPr>
          <w:p>
            <w:pPr>
              <w:pStyle w:val="TableContents"/>
              <w:bidi w:val="0"/>
              <w:spacing w:before="0" w:after="0"/>
              <w:ind w:left="0" w:right="0" w:hanging="0"/>
              <w:jc w:val="right"/>
              <w:rPr/>
            </w:pPr>
            <w:r>
              <w:rPr/>
              <w:t>—</w:t>
            </w:r>
          </w:p>
        </w:tc>
        <w:tc>
          <w:tcPr>
            <w:tcW w:w="507"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589" w:type="dxa"/>
            <w:tcBorders/>
            <w:vAlign w:val="center"/>
          </w:tcPr>
          <w:p>
            <w:pPr>
              <w:pStyle w:val="TableContents"/>
              <w:bidi w:val="0"/>
              <w:spacing w:before="0" w:after="0"/>
              <w:ind w:left="0" w:right="0" w:hanging="0"/>
              <w:jc w:val="right"/>
              <w:rPr/>
            </w:pPr>
            <w:r>
              <w:rPr/>
              <w:t>—</w:t>
            </w:r>
          </w:p>
        </w:tc>
        <w:tc>
          <w:tcPr>
            <w:tcW w:w="461"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5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120"/>
        <w:jc w:val="both"/>
        <w:rPr>
          <w:rFonts w:ascii="Times New Roman" w:hAnsi="Times New Roman"/>
          <w:sz w:val="20"/>
        </w:rPr>
      </w:pPr>
      <w:r>
        <w:rPr>
          <w:rFonts w:ascii="Times New Roman;serif" w:hAnsi="Times New Roman;serif"/>
          <w:b w:val="false"/>
          <w:sz w:val="20"/>
        </w:rPr>
        <w:t>In addition to the above table, we collect reimbursement on behalf of customers covered by Medicare, which accounted for</w:t>
      </w:r>
      <w:r>
        <w:rPr>
          <w:rFonts w:ascii="Times New Roman" w:hAnsi="Times New Roman"/>
          <w:sz w:val="20"/>
        </w:rPr>
        <w:t xml:space="preserve"> </w:t>
      </w:r>
      <w:r>
        <w:rPr>
          <w:rFonts w:ascii="Times New Roman;serif" w:hAnsi="Times New Roman;serif"/>
          <w:b w:val="false"/>
          <w:sz w:val="20"/>
        </w:rPr>
        <w:t>48% and 47% of the Company’s total revenue for the three and six months ended June 30, 2023, respectively, compared to 28% and 33% for the three and six months ended June 30, 2022, respectively.</w:t>
      </w:r>
    </w:p>
    <w:p>
      <w:pPr>
        <w:pStyle w:val="TextBody"/>
        <w:bidi w:val="0"/>
        <w:spacing w:before="240" w:after="120"/>
        <w:jc w:val="both"/>
        <w:rPr>
          <w:rFonts w:ascii="Times New Roman;serif" w:hAnsi="Times New Roman;serif"/>
          <w:b w:val="false"/>
          <w:sz w:val="20"/>
        </w:rPr>
      </w:pPr>
      <w:r>
        <w:rPr>
          <w:rFonts w:ascii="Times New Roman;serif" w:hAnsi="Times New Roman;serif"/>
          <w:b w:val="false"/>
          <w:sz w:val="20"/>
        </w:rPr>
        <w:t>The Company is subject to credit risk from its accounts receivable related to services provided to its customers. The Company’s third-party payors and other customers in excess of 10% of accounts receivable, and their related accounts receivable as a percentage of total accounts receivable were as follows:</w:t>
      </w:r>
    </w:p>
    <w:tbl>
      <w:tblPr>
        <w:tblW w:w="5320" w:type="dxa"/>
        <w:jc w:val="left"/>
        <w:tblInd w:w="0" w:type="dxa"/>
        <w:tblLayout w:type="fixed"/>
        <w:tblCellMar>
          <w:top w:w="28" w:type="dxa"/>
          <w:left w:w="28" w:type="dxa"/>
          <w:bottom w:w="28" w:type="dxa"/>
          <w:right w:w="28" w:type="dxa"/>
        </w:tblCellMar>
      </w:tblPr>
      <w:tblGrid>
        <w:gridCol w:w="1441"/>
        <w:gridCol w:w="146"/>
        <w:gridCol w:w="377"/>
        <w:gridCol w:w="898"/>
        <w:gridCol w:w="271"/>
        <w:gridCol w:w="146"/>
        <w:gridCol w:w="544"/>
        <w:gridCol w:w="1181"/>
        <w:gridCol w:w="316"/>
      </w:tblGrid>
      <w:tr>
        <w:trPr/>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Medicare</w:t>
            </w:r>
          </w:p>
        </w:tc>
        <w:tc>
          <w:tcPr>
            <w:tcW w:w="146"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left"/>
              <w:rPr/>
            </w:pPr>
            <w:r>
              <w:rPr/>
              <w:t> </w:t>
            </w:r>
          </w:p>
        </w:tc>
        <w:tc>
          <w:tcPr>
            <w:tcW w:w="11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4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AstraZeneca UK</w:t>
            </w:r>
          </w:p>
        </w:tc>
        <w:tc>
          <w:tcPr>
            <w:tcW w:w="146"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left"/>
              <w:rPr/>
            </w:pPr>
            <w:r>
              <w:rPr/>
              <w:t> </w:t>
            </w:r>
          </w:p>
        </w:tc>
        <w:tc>
          <w:tcPr>
            <w:tcW w:w="11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sz w:val="20"/>
        </w:rPr>
        <w:t>Note 10 – Share-Based Compensation</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Company’s share-based compensation awards are issued under the 2020 Equity Incentive Plan (2020 Plan), the predecessor 2016 Equity Incentive Plan (2016 Plan) and 2006 Equity Incentive Plan (2006 Plan). Any awards that expire or are forfeited under the 2016 Plan or 2006 Plan become available for issuance under the 2020 Plan. As of June 30, 2023, 21,305</w:t>
      </w:r>
      <w:r>
        <w:rPr>
          <w:rFonts w:ascii="Times New Roman" w:hAnsi="Times New Roman"/>
          <w:sz w:val="20"/>
        </w:rPr>
        <w:t xml:space="preserve"> </w:t>
      </w:r>
      <w:r>
        <w:rPr>
          <w:rFonts w:ascii="Times New Roman;serif" w:hAnsi="Times New Roman;serif"/>
          <w:b w:val="false"/>
          <w:sz w:val="20"/>
        </w:rPr>
        <w:t>shares of common stock remained available for future issuance under the 2020 Plan.</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Share-Based Compensation Expense</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Share-based compensation expense reported in the Company’s condensed statements of operations was (in thousands):</w:t>
      </w:r>
    </w:p>
    <w:tbl>
      <w:tblPr>
        <w:tblW w:w="9541" w:type="dxa"/>
        <w:jc w:val="left"/>
        <w:tblInd w:w="0" w:type="dxa"/>
        <w:tblLayout w:type="fixed"/>
        <w:tblCellMar>
          <w:top w:w="28" w:type="dxa"/>
          <w:left w:w="28" w:type="dxa"/>
          <w:bottom w:w="28" w:type="dxa"/>
          <w:right w:w="28" w:type="dxa"/>
        </w:tblCellMar>
      </w:tblPr>
      <w:tblGrid>
        <w:gridCol w:w="3706"/>
        <w:gridCol w:w="146"/>
        <w:gridCol w:w="298"/>
        <w:gridCol w:w="807"/>
        <w:gridCol w:w="206"/>
        <w:gridCol w:w="206"/>
        <w:gridCol w:w="298"/>
        <w:gridCol w:w="807"/>
        <w:gridCol w:w="146"/>
        <w:gridCol w:w="146"/>
        <w:gridCol w:w="271"/>
        <w:gridCol w:w="734"/>
        <w:gridCol w:w="187"/>
        <w:gridCol w:w="187"/>
        <w:gridCol w:w="271"/>
        <w:gridCol w:w="734"/>
        <w:gridCol w:w="3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8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6" w:type="dxa"/>
            <w:tcBorders/>
            <w:vAlign w:val="center"/>
          </w:tcPr>
          <w:p>
            <w:pPr>
              <w:pStyle w:val="TableContents"/>
              <w:bidi w:val="0"/>
              <w:spacing w:before="0" w:after="0"/>
              <w:ind w:left="0" w:right="0" w:hanging="0"/>
              <w:jc w:val="left"/>
              <w:rPr/>
            </w:pPr>
            <w:r>
              <w:rPr/>
              <w:t> </w:t>
            </w:r>
          </w:p>
        </w:tc>
        <w:tc>
          <w:tcPr>
            <w:tcW w:w="11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7"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Direct costs and expenses</w:t>
            </w:r>
          </w:p>
        </w:tc>
        <w:tc>
          <w:tcPr>
            <w:tcW w:w="146"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20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87"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391" w:type="dxa"/>
            <w:tcBorders/>
            <w:vAlign w:val="center"/>
          </w:tcPr>
          <w:p>
            <w:pPr>
              <w:pStyle w:val="TableContents"/>
              <w:bidi w:val="0"/>
              <w:spacing w:before="0" w:after="0"/>
              <w:ind w:left="0" w:right="0" w:hanging="0"/>
              <w:jc w:val="left"/>
              <w:rPr/>
            </w:pPr>
            <w:r>
              <w:rPr/>
              <w:t> </w:t>
            </w:r>
          </w:p>
        </w:tc>
      </w:tr>
      <w:tr>
        <w:trPr/>
        <w:tc>
          <w:tcPr>
            <w:tcW w:w="37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20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w:t>
            </w:r>
          </w:p>
        </w:tc>
        <w:tc>
          <w:tcPr>
            <w:tcW w:w="187"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w:t>
            </w:r>
          </w:p>
        </w:tc>
        <w:tc>
          <w:tcPr>
            <w:tcW w:w="391" w:type="dxa"/>
            <w:tcBorders/>
            <w:vAlign w:val="center"/>
          </w:tcPr>
          <w:p>
            <w:pPr>
              <w:pStyle w:val="TableContents"/>
              <w:bidi w:val="0"/>
              <w:spacing w:before="0" w:after="0"/>
              <w:ind w:left="0" w:right="0" w:hanging="0"/>
              <w:jc w:val="left"/>
              <w:rPr/>
            </w:pPr>
            <w:r>
              <w:rPr/>
              <w:t> </w:t>
            </w:r>
          </w:p>
        </w:tc>
      </w:tr>
      <w:tr>
        <w:trPr/>
        <w:tc>
          <w:tcPr>
            <w:tcW w:w="37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marketing, general and administrative</w:t>
            </w:r>
          </w:p>
        </w:tc>
        <w:tc>
          <w:tcPr>
            <w:tcW w:w="146" w:type="dxa"/>
            <w:tcBorders/>
            <w:vAlign w:val="center"/>
          </w:tcPr>
          <w:p>
            <w:pPr>
              <w:pStyle w:val="TableContents"/>
              <w:bidi w:val="0"/>
              <w:spacing w:before="0" w:after="0"/>
              <w:ind w:left="0" w:right="0" w:hanging="0"/>
              <w:jc w:val="left"/>
              <w:rPr/>
            </w:pPr>
            <w:r>
              <w:rPr/>
              <w:t> </w:t>
            </w:r>
          </w:p>
        </w:tc>
        <w:tc>
          <w:tcPr>
            <w:tcW w:w="2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976</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2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3,133</w:t>
            </w:r>
          </w:p>
        </w:tc>
        <w:tc>
          <w:tcPr>
            <w:tcW w:w="1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7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1,057</w:t>
            </w:r>
          </w:p>
        </w:tc>
        <w:tc>
          <w:tcPr>
            <w:tcW w:w="2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2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3,338</w:t>
            </w:r>
          </w:p>
        </w:tc>
        <w:tc>
          <w:tcPr>
            <w:tcW w:w="1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 </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2,714</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00" w:after="0"/>
        <w:jc w:val="both"/>
        <w:rPr>
          <w:rFonts w:ascii="Times New Roman" w:hAnsi="Times New Roman"/>
          <w:sz w:val="20"/>
        </w:rPr>
      </w:pPr>
      <w:r>
        <w:rPr>
          <w:rFonts w:ascii="Times New Roman;serif" w:hAnsi="Times New Roman;serif"/>
          <w:b w:val="false"/>
          <w:sz w:val="20"/>
        </w:rPr>
        <w:t>The unrecognized remaining share-based compensation expense for options and RSUs was approximately $7.7</w:t>
      </w:r>
      <w:r>
        <w:rPr>
          <w:rFonts w:ascii="Times New Roman" w:hAnsi="Times New Roman"/>
          <w:sz w:val="20"/>
        </w:rPr>
        <w:t xml:space="preserve"> </w:t>
      </w:r>
      <w:r>
        <w:rPr>
          <w:rFonts w:ascii="Times New Roman;serif" w:hAnsi="Times New Roman;serif"/>
          <w:b w:val="false"/>
          <w:sz w:val="20"/>
        </w:rPr>
        <w:t>million as of June 30, 2023</w:t>
      </w:r>
      <w:r>
        <w:rPr>
          <w:rFonts w:ascii="Times New Roman" w:hAnsi="Times New Roman"/>
          <w:sz w:val="20"/>
        </w:rPr>
        <w:t xml:space="preserve"> </w:t>
      </w:r>
      <w:r>
        <w:rPr>
          <w:rFonts w:ascii="Times New Roman;serif" w:hAnsi="Times New Roman;serif"/>
          <w:b w:val="false"/>
          <w:sz w:val="20"/>
        </w:rPr>
        <w:t>and is expected to be amortized to expense over the next 2.9</w:t>
      </w:r>
      <w:r>
        <w:rPr>
          <w:rFonts w:ascii="Times New Roman" w:hAnsi="Times New Roman"/>
          <w:sz w:val="20"/>
        </w:rPr>
        <w:t xml:space="preserve"> </w:t>
      </w:r>
      <w:r>
        <w:rPr>
          <w:rFonts w:ascii="Times New Roman;serif" w:hAnsi="Times New Roman;serif"/>
          <w:b w:val="false"/>
          <w:sz w:val="20"/>
        </w:rPr>
        <w:t>years.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Financial Statements</w:t>
      </w:r>
    </w:p>
    <w:p>
      <w:pPr>
        <w:pStyle w:val="TextBody"/>
        <w:bidi w:val="0"/>
        <w:spacing w:before="0" w:after="0"/>
        <w:jc w:val="center"/>
        <w:rPr/>
      </w:pPr>
      <w:r>
        <w:rPr/>
        <w:t> </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Stock Options</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Stock option activity during the six months ended June 30, 2023, excluding the Bonus Option Program described below, was (in thousands, except weighted average exercise price and weighted average contractual life):</w:t>
      </w:r>
    </w:p>
    <w:tbl>
      <w:tblPr>
        <w:tblW w:w="9355" w:type="dxa"/>
        <w:jc w:val="left"/>
        <w:tblInd w:w="0" w:type="dxa"/>
        <w:tblLayout w:type="fixed"/>
        <w:tblCellMar>
          <w:top w:w="28" w:type="dxa"/>
          <w:left w:w="28" w:type="dxa"/>
          <w:bottom w:w="28" w:type="dxa"/>
          <w:right w:w="28" w:type="dxa"/>
        </w:tblCellMar>
      </w:tblPr>
      <w:tblGrid>
        <w:gridCol w:w="2566"/>
        <w:gridCol w:w="146"/>
        <w:gridCol w:w="204"/>
        <w:gridCol w:w="801"/>
        <w:gridCol w:w="166"/>
        <w:gridCol w:w="146"/>
        <w:gridCol w:w="523"/>
        <w:gridCol w:w="1157"/>
        <w:gridCol w:w="146"/>
        <w:gridCol w:w="146"/>
        <w:gridCol w:w="483"/>
        <w:gridCol w:w="1197"/>
        <w:gridCol w:w="146"/>
        <w:gridCol w:w="146"/>
        <w:gridCol w:w="267"/>
        <w:gridCol w:w="724"/>
        <w:gridCol w:w="3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Number of</w:t>
              <w:br/>
              <w:t>Options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Weighted Average</w:t>
              <w:br/>
              <w:t>Exercise 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Weighted Average</w:t>
              <w:br/>
              <w:t>Contractual</w:t>
              <w:br/>
              <w:t>Life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Aggregate</w:t>
              <w:br/>
              <w:t>Intrinsic</w:t>
              <w:br/>
              <w:t>Value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 January 1, 2023</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left"/>
              <w:rPr/>
            </w:pPr>
            <w:r>
              <w:rPr/>
              <w:t> </w:t>
            </w:r>
          </w:p>
        </w:tc>
        <w:tc>
          <w:tcPr>
            <w:tcW w:w="11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1,489</w:t>
            </w:r>
          </w:p>
        </w:tc>
        <w:tc>
          <w:tcPr>
            <w:tcW w:w="391" w:type="dxa"/>
            <w:tcBorders/>
            <w:vAlign w:val="center"/>
          </w:tcPr>
          <w:p>
            <w:pPr>
              <w:pStyle w:val="TableContents"/>
              <w:bidi w:val="0"/>
              <w:spacing w:before="0" w:after="0"/>
              <w:ind w:left="0" w:right="0" w:firstLine="200"/>
              <w:jc w:val="left"/>
              <w:rPr/>
            </w:pPr>
            <w:r>
              <w:rPr/>
              <w:t> </w:t>
            </w:r>
          </w:p>
        </w:tc>
      </w:tr>
      <w:tr>
        <w:trPr/>
        <w:tc>
          <w:tcPr>
            <w:tcW w:w="25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left"/>
              <w:rPr/>
            </w:pPr>
            <w:r>
              <w:rPr/>
              <w:t> </w:t>
            </w:r>
          </w:p>
        </w:tc>
        <w:tc>
          <w:tcPr>
            <w:tcW w:w="11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left"/>
              <w:rPr/>
            </w:pPr>
            <w:r>
              <w:rPr/>
              <w:t> </w:t>
            </w:r>
          </w:p>
        </w:tc>
        <w:tc>
          <w:tcPr>
            <w:tcW w:w="119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724"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25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Forfeited/canceled</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left"/>
              <w:rPr/>
            </w:pPr>
            <w:r>
              <w:rPr/>
              <w:t> </w:t>
            </w:r>
          </w:p>
        </w:tc>
        <w:tc>
          <w:tcPr>
            <w:tcW w:w="11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left"/>
              <w:rPr/>
            </w:pPr>
            <w:r>
              <w:rPr/>
              <w:t> </w:t>
            </w:r>
          </w:p>
        </w:tc>
        <w:tc>
          <w:tcPr>
            <w:tcW w:w="119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724"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25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left"/>
              <w:rPr/>
            </w:pPr>
            <w:r>
              <w:rPr/>
              <w:t> </w:t>
            </w:r>
          </w:p>
        </w:tc>
        <w:tc>
          <w:tcPr>
            <w:tcW w:w="11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left"/>
              <w:rPr/>
            </w:pPr>
            <w:r>
              <w:rPr/>
              <w:t> </w:t>
            </w:r>
          </w:p>
        </w:tc>
        <w:tc>
          <w:tcPr>
            <w:tcW w:w="119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724"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2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Outstanding </w:t>
              <w:noBreakHyphen/>
              <w:t xml:space="preserve"> June 30, 2023</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386</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Exercisable </w:t>
              <w:noBreakHyphen/>
              <w:t xml:space="preserve"> June 30, 2023</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Restricted Stock Unit Activity</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Restricted stock unit activity during the six months ended June 30, 2023 was (in thousands, except weighted average grant date fair value per share):</w:t>
      </w:r>
    </w:p>
    <w:tbl>
      <w:tblPr>
        <w:tblW w:w="7930" w:type="dxa"/>
        <w:jc w:val="left"/>
        <w:tblInd w:w="0" w:type="dxa"/>
        <w:tblLayout w:type="fixed"/>
        <w:tblCellMar>
          <w:top w:w="28" w:type="dxa"/>
          <w:left w:w="28" w:type="dxa"/>
          <w:bottom w:w="28" w:type="dxa"/>
          <w:right w:w="28" w:type="dxa"/>
        </w:tblCellMar>
      </w:tblPr>
      <w:tblGrid>
        <w:gridCol w:w="2566"/>
        <w:gridCol w:w="146"/>
        <w:gridCol w:w="329"/>
        <w:gridCol w:w="1291"/>
        <w:gridCol w:w="166"/>
        <w:gridCol w:w="146"/>
        <w:gridCol w:w="901"/>
        <w:gridCol w:w="1994"/>
        <w:gridCol w:w="3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Number of 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Weighted Average</w:t>
              <w:br/>
              <w:t>Grant Date Fair Value Per Share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Outstanding </w:t>
              <w:noBreakHyphen/>
              <w:t xml:space="preserve"> January 1, 2023</w:t>
            </w:r>
          </w:p>
        </w:tc>
        <w:tc>
          <w:tcPr>
            <w:tcW w:w="14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w:t>
            </w:r>
          </w:p>
        </w:tc>
        <w:tc>
          <w:tcPr>
            <w:tcW w:w="391" w:type="dxa"/>
            <w:tcBorders/>
            <w:vAlign w:val="center"/>
          </w:tcPr>
          <w:p>
            <w:pPr>
              <w:pStyle w:val="TableContents"/>
              <w:bidi w:val="0"/>
              <w:spacing w:before="0" w:after="0"/>
              <w:ind w:left="0" w:right="0" w:firstLine="200"/>
              <w:jc w:val="left"/>
              <w:rPr/>
            </w:pPr>
            <w:r>
              <w:rPr/>
              <w:t> </w:t>
            </w:r>
          </w:p>
        </w:tc>
      </w:tr>
      <w:tr>
        <w:trPr/>
        <w:tc>
          <w:tcPr>
            <w:tcW w:w="25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left"/>
              <w:rPr/>
            </w:pPr>
            <w:r>
              <w:rPr/>
              <w:t> </w:t>
            </w:r>
          </w:p>
        </w:tc>
        <w:tc>
          <w:tcPr>
            <w:tcW w:w="19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w:t>
            </w:r>
          </w:p>
        </w:tc>
        <w:tc>
          <w:tcPr>
            <w:tcW w:w="391" w:type="dxa"/>
            <w:tcBorders/>
            <w:vAlign w:val="center"/>
          </w:tcPr>
          <w:p>
            <w:pPr>
              <w:pStyle w:val="TableContents"/>
              <w:bidi w:val="0"/>
              <w:spacing w:before="0" w:after="0"/>
              <w:ind w:left="0" w:right="0" w:firstLine="200"/>
              <w:jc w:val="left"/>
              <w:rPr/>
            </w:pPr>
            <w:r>
              <w:rPr/>
              <w:t> </w:t>
            </w:r>
          </w:p>
        </w:tc>
      </w:tr>
      <w:tr>
        <w:trPr/>
        <w:tc>
          <w:tcPr>
            <w:tcW w:w="25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Forfeited/canceled</w:t>
            </w:r>
          </w:p>
        </w:tc>
        <w:tc>
          <w:tcPr>
            <w:tcW w:w="14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left"/>
              <w:rPr/>
            </w:pPr>
            <w:r>
              <w:rPr/>
              <w:t> </w:t>
            </w:r>
          </w:p>
        </w:tc>
        <w:tc>
          <w:tcPr>
            <w:tcW w:w="19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w:t>
            </w:r>
          </w:p>
        </w:tc>
        <w:tc>
          <w:tcPr>
            <w:tcW w:w="391" w:type="dxa"/>
            <w:tcBorders/>
            <w:vAlign w:val="center"/>
          </w:tcPr>
          <w:p>
            <w:pPr>
              <w:pStyle w:val="TableContents"/>
              <w:bidi w:val="0"/>
              <w:spacing w:before="0" w:after="0"/>
              <w:ind w:left="0" w:right="0" w:firstLine="200"/>
              <w:jc w:val="left"/>
              <w:rPr/>
            </w:pPr>
            <w:r>
              <w:rPr/>
              <w:t> </w:t>
            </w:r>
          </w:p>
        </w:tc>
      </w:tr>
      <w:tr>
        <w:trPr/>
        <w:tc>
          <w:tcPr>
            <w:tcW w:w="25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Released</w:t>
            </w:r>
          </w:p>
        </w:tc>
        <w:tc>
          <w:tcPr>
            <w:tcW w:w="146" w:type="dxa"/>
            <w:tcBorders/>
            <w:vAlign w:val="center"/>
          </w:tcPr>
          <w:p>
            <w:pPr>
              <w:pStyle w:val="TableContents"/>
              <w:bidi w:val="0"/>
              <w:spacing w:before="0" w:after="0"/>
              <w:ind w:left="0" w:right="0" w:hanging="0"/>
              <w:jc w:val="left"/>
              <w:rPr/>
            </w:pPr>
            <w:r>
              <w:rPr/>
              <w:t> </w:t>
            </w:r>
          </w:p>
        </w:tc>
        <w:tc>
          <w:tcPr>
            <w:tcW w:w="3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left"/>
              <w:rPr/>
            </w:pPr>
            <w:r>
              <w:rPr/>
              <w:t> </w:t>
            </w:r>
          </w:p>
        </w:tc>
        <w:tc>
          <w:tcPr>
            <w:tcW w:w="19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w:t>
            </w:r>
          </w:p>
        </w:tc>
        <w:tc>
          <w:tcPr>
            <w:tcW w:w="391" w:type="dxa"/>
            <w:tcBorders/>
            <w:vAlign w:val="center"/>
          </w:tcPr>
          <w:p>
            <w:pPr>
              <w:pStyle w:val="TableContents"/>
              <w:bidi w:val="0"/>
              <w:spacing w:before="0" w:after="0"/>
              <w:ind w:left="0" w:right="0" w:hanging="0"/>
              <w:jc w:val="left"/>
              <w:rPr/>
            </w:pPr>
            <w:r>
              <w:rPr/>
              <w:t> </w:t>
            </w:r>
          </w:p>
        </w:tc>
      </w:tr>
      <w:tr>
        <w:trPr/>
        <w:tc>
          <w:tcPr>
            <w:tcW w:w="2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Outstanding </w:t>
              <w:noBreakHyphen/>
              <w:t xml:space="preserve"> June 30, 2023</w:t>
            </w:r>
          </w:p>
        </w:tc>
        <w:tc>
          <w:tcPr>
            <w:tcW w:w="146" w:type="dxa"/>
            <w:tcBorders/>
            <w:vAlign w:val="center"/>
          </w:tcPr>
          <w:p>
            <w:pPr>
              <w:pStyle w:val="TableContents"/>
              <w:bidi w:val="0"/>
              <w:spacing w:before="0" w:after="0"/>
              <w:ind w:left="0" w:right="0" w:hanging="0"/>
              <w:jc w:val="left"/>
              <w:rPr/>
            </w:pPr>
            <w:r>
              <w:rPr/>
              <w:t> </w:t>
            </w:r>
          </w:p>
        </w:tc>
        <w:tc>
          <w:tcPr>
            <w:tcW w:w="3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Bonus-to-Options Program</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As part of the Bonus-to-Options Program (Bonus Option Program), the Company recorded the following activity during the six months ended June 30, 2023 (in thousands, excepted weighted average exercise price and weighted average contractual life):</w:t>
      </w:r>
    </w:p>
    <w:tbl>
      <w:tblPr>
        <w:tblW w:w="9355" w:type="dxa"/>
        <w:jc w:val="left"/>
        <w:tblInd w:w="0" w:type="dxa"/>
        <w:tblLayout w:type="fixed"/>
        <w:tblCellMar>
          <w:top w:w="28" w:type="dxa"/>
          <w:left w:w="28" w:type="dxa"/>
          <w:bottom w:w="28" w:type="dxa"/>
          <w:right w:w="28" w:type="dxa"/>
        </w:tblCellMar>
      </w:tblPr>
      <w:tblGrid>
        <w:gridCol w:w="2566"/>
        <w:gridCol w:w="146"/>
        <w:gridCol w:w="204"/>
        <w:gridCol w:w="801"/>
        <w:gridCol w:w="166"/>
        <w:gridCol w:w="146"/>
        <w:gridCol w:w="453"/>
        <w:gridCol w:w="1227"/>
        <w:gridCol w:w="146"/>
        <w:gridCol w:w="146"/>
        <w:gridCol w:w="483"/>
        <w:gridCol w:w="1197"/>
        <w:gridCol w:w="146"/>
        <w:gridCol w:w="146"/>
        <w:gridCol w:w="375"/>
        <w:gridCol w:w="616"/>
        <w:gridCol w:w="3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Number of</w:t>
              <w:br/>
              <w:t>Options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Weighted Average</w:t>
              <w:br/>
              <w:t>Exercise 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Weighted Average</w:t>
              <w:br/>
              <w:t>Contractual</w:t>
              <w:br/>
              <w:t>Life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Aggregate</w:t>
              <w:br/>
              <w:t>Intrinsic</w:t>
              <w:br/>
              <w:t>Value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Outstanding </w:t>
              <w:noBreakHyphen/>
              <w:t xml:space="preserve"> January 1, 2023</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left"/>
              <w:rPr/>
            </w:pPr>
            <w:r>
              <w:rPr/>
              <w:t> </w:t>
            </w:r>
          </w:p>
        </w:tc>
        <w:tc>
          <w:tcPr>
            <w:tcW w:w="11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91" w:type="dxa"/>
            <w:tcBorders/>
            <w:vAlign w:val="center"/>
          </w:tcPr>
          <w:p>
            <w:pPr>
              <w:pStyle w:val="TableContents"/>
              <w:bidi w:val="0"/>
              <w:spacing w:before="0" w:after="0"/>
              <w:ind w:left="0" w:right="0" w:firstLine="200"/>
              <w:jc w:val="left"/>
              <w:rPr/>
            </w:pPr>
            <w:r>
              <w:rPr/>
              <w:t> </w:t>
            </w:r>
          </w:p>
        </w:tc>
      </w:tr>
      <w:tr>
        <w:trPr/>
        <w:tc>
          <w:tcPr>
            <w:tcW w:w="25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left"/>
              <w:rPr/>
            </w:pPr>
            <w:r>
              <w:rPr/>
              <w:t> </w:t>
            </w:r>
          </w:p>
        </w:tc>
        <w:tc>
          <w:tcPr>
            <w:tcW w:w="12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left"/>
              <w:rPr/>
            </w:pPr>
            <w:r>
              <w:rPr/>
              <w:t> </w:t>
            </w:r>
          </w:p>
        </w:tc>
        <w:tc>
          <w:tcPr>
            <w:tcW w:w="119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25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Forfeited/canceled</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left"/>
              <w:rPr/>
            </w:pPr>
            <w:r>
              <w:rPr/>
              <w:t> </w:t>
            </w:r>
          </w:p>
        </w:tc>
        <w:tc>
          <w:tcPr>
            <w:tcW w:w="12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left"/>
              <w:rPr/>
            </w:pPr>
            <w:r>
              <w:rPr/>
              <w:t> </w:t>
            </w:r>
          </w:p>
        </w:tc>
        <w:tc>
          <w:tcPr>
            <w:tcW w:w="119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25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3" w:type="dxa"/>
            <w:tcBorders/>
            <w:vAlign w:val="center"/>
          </w:tcPr>
          <w:p>
            <w:pPr>
              <w:pStyle w:val="TableContents"/>
              <w:bidi w:val="0"/>
              <w:spacing w:before="0" w:after="0"/>
              <w:ind w:left="0" w:right="0" w:hanging="0"/>
              <w:jc w:val="left"/>
              <w:rPr/>
            </w:pPr>
            <w:r>
              <w:rPr/>
              <w:t> </w:t>
            </w:r>
          </w:p>
        </w:tc>
        <w:tc>
          <w:tcPr>
            <w:tcW w:w="122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3" w:type="dxa"/>
            <w:tcBorders/>
            <w:vAlign w:val="center"/>
          </w:tcPr>
          <w:p>
            <w:pPr>
              <w:pStyle w:val="TableContents"/>
              <w:bidi w:val="0"/>
              <w:spacing w:before="0" w:after="0"/>
              <w:ind w:left="0" w:right="0" w:hanging="0"/>
              <w:jc w:val="left"/>
              <w:rPr/>
            </w:pPr>
            <w:r>
              <w:rPr/>
              <w:t> </w:t>
            </w:r>
          </w:p>
        </w:tc>
        <w:tc>
          <w:tcPr>
            <w:tcW w:w="119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2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Outstanding </w:t>
              <w:noBreakHyphen/>
              <w:t xml:space="preserve"> June 30, 2023</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Exercisable </w:t>
              <w:noBreakHyphen/>
              <w:t xml:space="preserve"> June 30, 2023</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 w:hAnsi="Times New Roman"/>
          <w:sz w:val="20"/>
        </w:rPr>
      </w:pPr>
      <w:r>
        <w:rPr>
          <w:rFonts w:ascii="Times New Roman;serif" w:hAnsi="Times New Roman;serif"/>
          <w:b w:val="false"/>
          <w:sz w:val="20"/>
        </w:rPr>
        <w:t>The Company recorded an insignificant amount</w:t>
      </w:r>
      <w:r>
        <w:rPr>
          <w:rFonts w:ascii="Times New Roman" w:hAnsi="Times New Roman"/>
          <w:sz w:val="20"/>
        </w:rPr>
        <w:t xml:space="preserve"> </w:t>
      </w:r>
      <w:r>
        <w:rPr>
          <w:rFonts w:ascii="Times New Roman;serif" w:hAnsi="Times New Roman;serif"/>
          <w:b w:val="false"/>
          <w:sz w:val="20"/>
        </w:rPr>
        <w:t>and $0.2</w:t>
      </w:r>
      <w:r>
        <w:rPr>
          <w:rFonts w:ascii="Times New Roman" w:hAnsi="Times New Roman"/>
          <w:sz w:val="20"/>
        </w:rPr>
        <w:t xml:space="preserve"> </w:t>
      </w:r>
      <w:r>
        <w:rPr>
          <w:rFonts w:ascii="Times New Roman;serif" w:hAnsi="Times New Roman;serif"/>
          <w:b w:val="false"/>
          <w:sz w:val="20"/>
        </w:rPr>
        <w:t>million for</w:t>
      </w:r>
      <w:r>
        <w:rPr>
          <w:rFonts w:ascii="Times New Roman" w:hAnsi="Times New Roman"/>
          <w:sz w:val="20"/>
        </w:rPr>
        <w:t xml:space="preserve"> </w:t>
      </w:r>
      <w:r>
        <w:rPr>
          <w:rFonts w:ascii="Times New Roman;serif" w:hAnsi="Times New Roman;serif"/>
          <w:b w:val="false"/>
          <w:sz w:val="20"/>
        </w:rPr>
        <w:t>the three and six months ended June 30, 2023, respectively, compared to $0.4</w:t>
      </w:r>
      <w:r>
        <w:rPr>
          <w:rFonts w:ascii="Times New Roman" w:hAnsi="Times New Roman"/>
          <w:sz w:val="20"/>
        </w:rPr>
        <w:t xml:space="preserve"> </w:t>
      </w:r>
      <w:r>
        <w:rPr>
          <w:rFonts w:ascii="Times New Roman;serif" w:hAnsi="Times New Roman;serif"/>
          <w:b w:val="false"/>
          <w:sz w:val="20"/>
        </w:rPr>
        <w:t>million and $0.7</w:t>
      </w:r>
      <w:r>
        <w:rPr>
          <w:rFonts w:ascii="Times New Roman" w:hAnsi="Times New Roman"/>
          <w:sz w:val="20"/>
        </w:rPr>
        <w:t xml:space="preserve"> </w:t>
      </w:r>
      <w:r>
        <w:rPr>
          <w:rFonts w:ascii="Times New Roman;serif" w:hAnsi="Times New Roman;serif"/>
          <w:b w:val="false"/>
          <w:sz w:val="20"/>
        </w:rPr>
        <w:t>million for the three and six months ended June 30, 2022, respectively, related to the estimate of the Bonus Option Program. Options granted, if any, pertaining to the performance of the Bonus Option Program are typically approved and granted in first quarter of the year following completion of the fiscal year.</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Employee Stock Purchase Plan</w:t>
      </w:r>
    </w:p>
    <w:p>
      <w:pPr>
        <w:pStyle w:val="TextBody"/>
        <w:bidi w:val="0"/>
        <w:spacing w:before="120" w:after="0"/>
        <w:jc w:val="both"/>
        <w:rPr>
          <w:rFonts w:ascii="Times New Roman" w:hAnsi="Times New Roman"/>
          <w:sz w:val="20"/>
        </w:rPr>
      </w:pPr>
      <w:r>
        <w:rPr>
          <w:rFonts w:ascii="Times New Roman;serif" w:hAnsi="Times New Roman;serif"/>
          <w:b w:val="false"/>
          <w:sz w:val="20"/>
        </w:rPr>
        <w:t>The ESPP provides for successive six-month offering periods beginning on September 1st and March 1st of each year.</w:t>
      </w:r>
      <w:r>
        <w:rPr>
          <w:rFonts w:ascii="Times New Roman" w:hAnsi="Times New Roman"/>
          <w:sz w:val="20"/>
        </w:rPr>
        <w:t xml:space="preserve"> </w:t>
      </w:r>
      <w:r>
        <w:rPr>
          <w:rFonts w:ascii="Times New Roman;serif" w:hAnsi="Times New Roman;serif"/>
          <w:b w:val="false"/>
          <w:sz w:val="20"/>
        </w:rPr>
        <w:t>During the six months ended June 30, 2023, 269,846</w:t>
      </w:r>
      <w:r>
        <w:rPr>
          <w:rFonts w:ascii="Times New Roman" w:hAnsi="Times New Roman"/>
          <w:sz w:val="20"/>
        </w:rPr>
        <w:t xml:space="preserve"> </w:t>
      </w:r>
      <w:r>
        <w:rPr>
          <w:rFonts w:ascii="Times New Roman;serif" w:hAnsi="Times New Roman;serif"/>
          <w:b w:val="false"/>
          <w:sz w:val="20"/>
        </w:rPr>
        <w:t>shares were issued under the ESPP leaving 476,301</w:t>
      </w:r>
      <w:r>
        <w:rPr>
          <w:rFonts w:ascii="Times New Roman" w:hAnsi="Times New Roman"/>
          <w:sz w:val="20"/>
        </w:rPr>
        <w:t xml:space="preserve"> </w:t>
      </w:r>
      <w:r>
        <w:rPr>
          <w:rFonts w:ascii="Times New Roman;serif" w:hAnsi="Times New Roman;serif"/>
          <w:b w:val="false"/>
          <w:sz w:val="20"/>
        </w:rPr>
        <w:t>shares reserved for</w:t>
      </w:r>
      <w:r>
        <w:rPr>
          <w:rFonts w:ascii="Times New Roman" w:hAnsi="Times New Roman"/>
          <w:sz w:val="20"/>
        </w:rPr>
        <w:t xml:space="preserve"> </w:t>
      </w:r>
      <w:r>
        <w:rPr>
          <w:rFonts w:ascii="Times New Roman;serif" w:hAnsi="Times New Roman;serif"/>
          <w:b w:val="false"/>
          <w:sz w:val="20"/>
        </w:rPr>
        <w:t>future issuance.</w:t>
      </w:r>
    </w:p>
    <w:p>
      <w:pPr>
        <w:pStyle w:val="TextBody"/>
        <w:bidi w:val="0"/>
        <w:spacing w:before="200" w:after="0"/>
        <w:jc w:val="both"/>
        <w:rPr>
          <w:rFonts w:ascii="Times New Roman;serif" w:hAnsi="Times New Roman;serif"/>
          <w:b/>
          <w:sz w:val="20"/>
        </w:rPr>
      </w:pPr>
      <w:r>
        <w:rPr>
          <w:rFonts w:ascii="Times New Roman;serif" w:hAnsi="Times New Roman;serif"/>
          <w:b/>
          <w:sz w:val="20"/>
        </w:rPr>
        <w:t>Note 11 – Net Loss per Common Share</w:t>
      </w:r>
    </w:p>
    <w:p>
      <w:pPr>
        <w:pStyle w:val="TextBody"/>
        <w:bidi w:val="0"/>
        <w:spacing w:before="120" w:after="0"/>
        <w:jc w:val="both"/>
        <w:rPr>
          <w:rFonts w:ascii="Times New Roman" w:hAnsi="Times New Roman"/>
          <w:sz w:val="20"/>
        </w:rPr>
      </w:pPr>
      <w:r>
        <w:rPr>
          <w:rFonts w:ascii="Times New Roman;serif" w:hAnsi="Times New Roman;serif"/>
          <w:b w:val="false"/>
          <w:sz w:val="20"/>
        </w:rPr>
        <w:t>Basic net loss per share excludes dilution and is computed by dividing net loss attributable to the common stockholders by the weighted-average shares outstanding during the period. Diluted net loss per common share reflects the potential dilution that could occur if securities or other contracts to issue common stock were exercised, resulting in the issuance of shares of common stock that would then share in the earnings or losses of the Company.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Financial Statements</w:t>
      </w:r>
    </w:p>
    <w:p>
      <w:pPr>
        <w:pStyle w:val="TextBody"/>
        <w:bidi w:val="0"/>
        <w:spacing w:before="0" w:after="0"/>
        <w:jc w:val="center"/>
        <w:rPr/>
      </w:pPr>
      <w:r>
        <w:rPr/>
        <w:t>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Basic and diluted loss per share for the three and six months ended June 30, 2023 and 2022 were (in thousands, except per share amounts):</w:t>
      </w:r>
    </w:p>
    <w:tbl>
      <w:tblPr>
        <w:tblW w:w="10118" w:type="dxa"/>
        <w:jc w:val="left"/>
        <w:tblInd w:w="0" w:type="dxa"/>
        <w:tblLayout w:type="fixed"/>
        <w:tblCellMar>
          <w:top w:w="28" w:type="dxa"/>
          <w:left w:w="28" w:type="dxa"/>
          <w:bottom w:w="28" w:type="dxa"/>
          <w:right w:w="28" w:type="dxa"/>
        </w:tblCellMar>
      </w:tblPr>
      <w:tblGrid>
        <w:gridCol w:w="4261"/>
        <w:gridCol w:w="146"/>
        <w:gridCol w:w="251"/>
        <w:gridCol w:w="876"/>
        <w:gridCol w:w="197"/>
        <w:gridCol w:w="173"/>
        <w:gridCol w:w="251"/>
        <w:gridCol w:w="876"/>
        <w:gridCol w:w="166"/>
        <w:gridCol w:w="146"/>
        <w:gridCol w:w="228"/>
        <w:gridCol w:w="796"/>
        <w:gridCol w:w="179"/>
        <w:gridCol w:w="157"/>
        <w:gridCol w:w="228"/>
        <w:gridCol w:w="796"/>
        <w:gridCol w:w="3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8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3" w:type="dxa"/>
            <w:tcBorders/>
            <w:vAlign w:val="center"/>
          </w:tcPr>
          <w:p>
            <w:pPr>
              <w:pStyle w:val="TableContents"/>
              <w:bidi w:val="0"/>
              <w:spacing w:before="0" w:after="0"/>
              <w:ind w:left="0" w:right="0" w:hanging="0"/>
              <w:jc w:val="center"/>
              <w:rPr/>
            </w:pPr>
            <w:r>
              <w:rPr/>
              <w:t> </w:t>
            </w:r>
          </w:p>
        </w:tc>
        <w:tc>
          <w:tcPr>
            <w:tcW w:w="11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7" w:type="dxa"/>
            <w:tcBorders/>
            <w:vAlign w:val="center"/>
          </w:tcPr>
          <w:p>
            <w:pPr>
              <w:pStyle w:val="TableContents"/>
              <w:bidi w:val="0"/>
              <w:spacing w:before="0" w:after="0"/>
              <w:ind w:left="0" w:right="0" w:hanging="0"/>
              <w:jc w:val="center"/>
              <w:rPr/>
            </w:pPr>
            <w:r>
              <w:rPr/>
              <w:t> </w:t>
            </w:r>
          </w:p>
        </w:tc>
        <w:tc>
          <w:tcPr>
            <w:tcW w:w="102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Numerator</w:t>
            </w:r>
          </w:p>
        </w:tc>
        <w:tc>
          <w:tcPr>
            <w:tcW w:w="146" w:type="dxa"/>
            <w:tcBorders/>
            <w:vAlign w:val="center"/>
          </w:tcPr>
          <w:p>
            <w:pPr>
              <w:pStyle w:val="TableContents"/>
              <w:bidi w:val="0"/>
              <w:spacing w:before="0" w:after="0"/>
              <w:ind w:left="0" w:right="0" w:hanging="0"/>
              <w:jc w:val="left"/>
              <w:rPr/>
            </w:pPr>
            <w:r>
              <w:rPr/>
              <w:t> </w:t>
            </w:r>
          </w:p>
        </w:tc>
        <w:tc>
          <w:tcPr>
            <w:tcW w:w="1127" w:type="dxa"/>
            <w:gridSpan w:val="2"/>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112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4" w:type="dxa"/>
            <w:gridSpan w:val="2"/>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1024"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42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 attributable to common stockholders</w:t>
            </w:r>
          </w:p>
        </w:tc>
        <w:tc>
          <w:tcPr>
            <w:tcW w:w="146" w:type="dxa"/>
            <w:tcBorders/>
            <w:vAlign w:val="center"/>
          </w:tcPr>
          <w:p>
            <w:pPr>
              <w:pStyle w:val="TableContents"/>
              <w:bidi w:val="0"/>
              <w:spacing w:before="0" w:after="0"/>
              <w:ind w:left="0" w:right="0" w:hanging="0"/>
              <w:jc w:val="right"/>
              <w:rPr/>
            </w:pPr>
            <w:r>
              <w:rPr/>
              <w:t> </w:t>
            </w:r>
          </w:p>
        </w:tc>
        <w:tc>
          <w:tcPr>
            <w:tcW w:w="2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(13,356</w:t>
            </w:r>
          </w:p>
        </w:tc>
        <w:tc>
          <w:tcPr>
            <w:tcW w:w="1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3" w:type="dxa"/>
            <w:tcBorders/>
            <w:vAlign w:val="center"/>
          </w:tcPr>
          <w:p>
            <w:pPr>
              <w:pStyle w:val="TableContents"/>
              <w:bidi w:val="0"/>
              <w:spacing w:before="0" w:after="0"/>
              <w:ind w:left="0" w:right="0" w:hanging="0"/>
              <w:jc w:val="right"/>
              <w:rPr/>
            </w:pPr>
            <w:r>
              <w:rPr/>
              <w:t> </w:t>
            </w:r>
          </w:p>
        </w:tc>
        <w:tc>
          <w:tcPr>
            <w:tcW w:w="2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(32,058</w:t>
            </w:r>
          </w:p>
        </w:tc>
        <w:tc>
          <w:tcPr>
            <w:tcW w:w="1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vAlign w:val="center"/>
          </w:tcPr>
          <w:p>
            <w:pPr>
              <w:pStyle w:val="TableContents"/>
              <w:bidi w:val="0"/>
              <w:spacing w:before="0" w:after="0"/>
              <w:ind w:left="0" w:right="0" w:hanging="0"/>
              <w:jc w:val="righ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(31,410</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127" w:type="dxa"/>
            <w:gridSpan w:val="2"/>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112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4" w:type="dxa"/>
            <w:gridSpan w:val="2"/>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1024"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Denominator</w:t>
            </w:r>
          </w:p>
        </w:tc>
        <w:tc>
          <w:tcPr>
            <w:tcW w:w="146" w:type="dxa"/>
            <w:tcBorders/>
            <w:vAlign w:val="center"/>
          </w:tcPr>
          <w:p>
            <w:pPr>
              <w:pStyle w:val="TableContents"/>
              <w:bidi w:val="0"/>
              <w:spacing w:before="0" w:after="0"/>
              <w:ind w:left="0" w:right="0" w:hanging="0"/>
              <w:jc w:val="left"/>
              <w:rPr/>
            </w:pPr>
            <w:r>
              <w:rPr/>
              <w:t> </w:t>
            </w:r>
          </w:p>
        </w:tc>
        <w:tc>
          <w:tcPr>
            <w:tcW w:w="1127" w:type="dxa"/>
            <w:gridSpan w:val="2"/>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112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4" w:type="dxa"/>
            <w:gridSpan w:val="2"/>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1024"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42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Weighted-average shares outstanding used</w:t>
              <w:br/>
              <w:t>   in computing net loss per share, basic and diluted</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78,506</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39,239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78,138</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35,177</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146" w:type="dxa"/>
            <w:tcBorders/>
            <w:vAlign w:val="center"/>
          </w:tcPr>
          <w:p>
            <w:pPr>
              <w:pStyle w:val="TableContents"/>
              <w:bidi w:val="0"/>
              <w:spacing w:before="0" w:after="0"/>
              <w:ind w:left="0" w:right="0" w:hanging="0"/>
              <w:jc w:val="right"/>
              <w:rPr/>
            </w:pPr>
            <w:r>
              <w:rPr/>
              <w:t> </w:t>
            </w:r>
          </w:p>
        </w:tc>
        <w:tc>
          <w:tcPr>
            <w:tcW w:w="2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(0.17</w:t>
            </w:r>
          </w:p>
        </w:tc>
        <w:tc>
          <w:tcPr>
            <w:tcW w:w="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3" w:type="dxa"/>
            <w:tcBorders/>
            <w:vAlign w:val="center"/>
          </w:tcPr>
          <w:p>
            <w:pPr>
              <w:pStyle w:val="TableContents"/>
              <w:bidi w:val="0"/>
              <w:spacing w:before="0" w:after="0"/>
              <w:ind w:left="0" w:right="0" w:hanging="0"/>
              <w:jc w:val="right"/>
              <w:rPr/>
            </w:pPr>
            <w:r>
              <w:rPr/>
              <w:t> </w:t>
            </w:r>
          </w:p>
        </w:tc>
        <w:tc>
          <w:tcPr>
            <w:tcW w:w="2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(0.41</w:t>
            </w:r>
          </w:p>
        </w:tc>
        <w:tc>
          <w:tcPr>
            <w:tcW w:w="1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vAlign w:val="center"/>
          </w:tcPr>
          <w:p>
            <w:pPr>
              <w:pStyle w:val="TableContents"/>
              <w:bidi w:val="0"/>
              <w:spacing w:before="0" w:after="0"/>
              <w:ind w:left="0" w:right="0" w:hanging="0"/>
              <w:jc w:val="righ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(0.89</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00" w:after="120"/>
        <w:jc w:val="both"/>
        <w:rPr>
          <w:rFonts w:ascii="Times New Roman;serif" w:hAnsi="Times New Roman;serif"/>
          <w:b w:val="false"/>
          <w:sz w:val="20"/>
        </w:rPr>
      </w:pPr>
      <w:r>
        <w:rPr>
          <w:rFonts w:ascii="Times New Roman;serif" w:hAnsi="Times New Roman;serif"/>
          <w:b w:val="false"/>
          <w:sz w:val="20"/>
        </w:rPr>
        <w:t>The following outstanding common stock equivalents were excluded from diluted net loss attributable to common stockholders for the periods presented because inclusion would be anti-dilutive (in thousands):</w:t>
      </w:r>
    </w:p>
    <w:tbl>
      <w:tblPr>
        <w:tblW w:w="8807" w:type="dxa"/>
        <w:jc w:val="left"/>
        <w:tblInd w:w="0" w:type="dxa"/>
        <w:tblLayout w:type="fixed"/>
        <w:tblCellMar>
          <w:top w:w="28" w:type="dxa"/>
          <w:left w:w="28" w:type="dxa"/>
          <w:bottom w:w="28" w:type="dxa"/>
          <w:right w:w="28" w:type="dxa"/>
        </w:tblCellMar>
      </w:tblPr>
      <w:tblGrid>
        <w:gridCol w:w="2971"/>
        <w:gridCol w:w="146"/>
        <w:gridCol w:w="209"/>
        <w:gridCol w:w="969"/>
        <w:gridCol w:w="209"/>
        <w:gridCol w:w="209"/>
        <w:gridCol w:w="209"/>
        <w:gridCol w:w="818"/>
        <w:gridCol w:w="146"/>
        <w:gridCol w:w="146"/>
        <w:gridCol w:w="190"/>
        <w:gridCol w:w="880"/>
        <w:gridCol w:w="190"/>
        <w:gridCol w:w="190"/>
        <w:gridCol w:w="190"/>
        <w:gridCol w:w="744"/>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8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17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9" w:type="dxa"/>
            <w:tcBorders/>
            <w:vAlign w:val="center"/>
          </w:tcPr>
          <w:p>
            <w:pPr>
              <w:pStyle w:val="TableContents"/>
              <w:bidi w:val="0"/>
              <w:spacing w:before="0" w:after="0"/>
              <w:ind w:left="0" w:right="0" w:hanging="0"/>
              <w:jc w:val="center"/>
              <w:rPr/>
            </w:pPr>
            <w:r>
              <w:rPr/>
              <w:t> </w:t>
            </w:r>
          </w:p>
        </w:tc>
        <w:tc>
          <w:tcPr>
            <w:tcW w:w="10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0" w:type="dxa"/>
            <w:tcBorders/>
            <w:vAlign w:val="center"/>
          </w:tcPr>
          <w:p>
            <w:pPr>
              <w:pStyle w:val="TableContents"/>
              <w:bidi w:val="0"/>
              <w:spacing w:before="0" w:after="0"/>
              <w:ind w:left="0" w:right="0" w:hanging="0"/>
              <w:jc w:val="center"/>
              <w:rPr/>
            </w:pPr>
            <w:r>
              <w:rPr/>
              <w:t> </w:t>
            </w:r>
          </w:p>
        </w:tc>
        <w:tc>
          <w:tcPr>
            <w:tcW w:w="93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to purchase common stock</w:t>
            </w:r>
          </w:p>
        </w:tc>
        <w:tc>
          <w:tcPr>
            <w:tcW w:w="146" w:type="dxa"/>
            <w:tcBorders/>
            <w:vAlign w:val="center"/>
          </w:tcPr>
          <w:p>
            <w:pPr>
              <w:pStyle w:val="TableContents"/>
              <w:bidi w:val="0"/>
              <w:spacing w:before="0" w:after="0"/>
              <w:ind w:left="0" w:right="0" w:hanging="0"/>
              <w:jc w:val="right"/>
              <w:rPr/>
            </w:pPr>
            <w:r>
              <w:rPr/>
              <w:t> </w:t>
            </w:r>
          </w:p>
        </w:tc>
        <w:tc>
          <w:tcPr>
            <w:tcW w:w="209"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3,912</w:t>
            </w:r>
          </w:p>
        </w:tc>
        <w:tc>
          <w:tcPr>
            <w:tcW w:w="209"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3,912</w:t>
            </w:r>
          </w:p>
        </w:tc>
        <w:tc>
          <w:tcPr>
            <w:tcW w:w="190" w:type="dxa"/>
            <w:tcBorders/>
            <w:vAlign w:val="center"/>
          </w:tcPr>
          <w:p>
            <w:pPr>
              <w:pStyle w:val="TableContents"/>
              <w:bidi w:val="0"/>
              <w:spacing w:before="0" w:after="0"/>
              <w:ind w:left="0" w:right="0" w:hanging="0"/>
              <w:jc w:val="left"/>
              <w:rPr/>
            </w:pPr>
            <w:r>
              <w:rPr/>
              <w:t> </w:t>
            </w:r>
          </w:p>
        </w:tc>
        <w:tc>
          <w:tcPr>
            <w:tcW w:w="190" w:type="dxa"/>
            <w:tcBorders/>
            <w:vAlign w:val="center"/>
          </w:tcPr>
          <w:p>
            <w:pPr>
              <w:pStyle w:val="TableContents"/>
              <w:bidi w:val="0"/>
              <w:spacing w:before="0" w:after="0"/>
              <w:ind w:left="0" w:right="0" w:hanging="0"/>
              <w:jc w:val="left"/>
              <w:rPr/>
            </w:pPr>
            <w:r>
              <w:rPr/>
              <w:t> </w:t>
            </w:r>
          </w:p>
        </w:tc>
        <w:tc>
          <w:tcPr>
            <w:tcW w:w="190"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3,474</w:t>
            </w:r>
          </w:p>
        </w:tc>
        <w:tc>
          <w:tcPr>
            <w:tcW w:w="391" w:type="dxa"/>
            <w:tcBorders/>
            <w:vAlign w:val="center"/>
          </w:tcPr>
          <w:p>
            <w:pPr>
              <w:pStyle w:val="TableContents"/>
              <w:bidi w:val="0"/>
              <w:spacing w:before="0" w:after="0"/>
              <w:ind w:left="0" w:right="0" w:hanging="0"/>
              <w:jc w:val="left"/>
              <w:rPr/>
            </w:pPr>
            <w:r>
              <w:rPr/>
              <w:t> </w:t>
            </w:r>
          </w:p>
        </w:tc>
      </w:tr>
      <w:tr>
        <w:trPr/>
        <w:tc>
          <w:tcPr>
            <w:tcW w:w="29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committed under ESPP</w:t>
            </w:r>
          </w:p>
        </w:tc>
        <w:tc>
          <w:tcPr>
            <w:tcW w:w="146" w:type="dxa"/>
            <w:tcBorders/>
            <w:vAlign w:val="center"/>
          </w:tcPr>
          <w:p>
            <w:pPr>
              <w:pStyle w:val="TableContents"/>
              <w:bidi w:val="0"/>
              <w:spacing w:before="0" w:after="0"/>
              <w:ind w:left="0" w:right="0" w:hanging="0"/>
              <w:jc w:val="right"/>
              <w:rPr/>
            </w:pPr>
            <w:r>
              <w:rPr/>
              <w:t> </w:t>
            </w:r>
          </w:p>
        </w:tc>
        <w:tc>
          <w:tcPr>
            <w:tcW w:w="209"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209"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190" w:type="dxa"/>
            <w:tcBorders/>
            <w:vAlign w:val="center"/>
          </w:tcPr>
          <w:p>
            <w:pPr>
              <w:pStyle w:val="TableContents"/>
              <w:bidi w:val="0"/>
              <w:spacing w:before="0" w:after="0"/>
              <w:ind w:left="0" w:right="0" w:hanging="0"/>
              <w:jc w:val="left"/>
              <w:rPr/>
            </w:pPr>
            <w:r>
              <w:rPr/>
              <w:t> </w:t>
            </w:r>
          </w:p>
        </w:tc>
        <w:tc>
          <w:tcPr>
            <w:tcW w:w="190" w:type="dxa"/>
            <w:tcBorders/>
            <w:vAlign w:val="center"/>
          </w:tcPr>
          <w:p>
            <w:pPr>
              <w:pStyle w:val="TableContents"/>
              <w:bidi w:val="0"/>
              <w:spacing w:before="0" w:after="0"/>
              <w:ind w:left="0" w:right="0" w:hanging="0"/>
              <w:jc w:val="left"/>
              <w:rPr/>
            </w:pPr>
            <w:r>
              <w:rPr/>
              <w:t> </w:t>
            </w:r>
          </w:p>
        </w:tc>
        <w:tc>
          <w:tcPr>
            <w:tcW w:w="190"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391" w:type="dxa"/>
            <w:tcBorders/>
            <w:vAlign w:val="center"/>
          </w:tcPr>
          <w:p>
            <w:pPr>
              <w:pStyle w:val="TableContents"/>
              <w:bidi w:val="0"/>
              <w:spacing w:before="0" w:after="0"/>
              <w:ind w:left="0" w:right="0" w:hanging="0"/>
              <w:jc w:val="left"/>
              <w:rPr/>
            </w:pPr>
            <w:r>
              <w:rPr/>
              <w:t> </w:t>
            </w:r>
          </w:p>
        </w:tc>
      </w:tr>
      <w:tr>
        <w:trPr/>
        <w:tc>
          <w:tcPr>
            <w:tcW w:w="29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Warrants</w:t>
            </w:r>
          </w:p>
        </w:tc>
        <w:tc>
          <w:tcPr>
            <w:tcW w:w="146" w:type="dxa"/>
            <w:tcBorders/>
            <w:vAlign w:val="center"/>
          </w:tcPr>
          <w:p>
            <w:pPr>
              <w:pStyle w:val="TableContents"/>
              <w:bidi w:val="0"/>
              <w:spacing w:before="0" w:after="0"/>
              <w:ind w:left="0" w:right="0" w:hanging="0"/>
              <w:jc w:val="right"/>
              <w:rPr/>
            </w:pPr>
            <w:r>
              <w:rPr/>
              <w:t> </w:t>
            </w:r>
          </w:p>
        </w:tc>
        <w:tc>
          <w:tcPr>
            <w:tcW w:w="209"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5,603</w:t>
            </w:r>
          </w:p>
        </w:tc>
        <w:tc>
          <w:tcPr>
            <w:tcW w:w="209"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vAlign w:val="center"/>
          </w:tcPr>
          <w:p>
            <w:pPr>
              <w:pStyle w:val="TableContents"/>
              <w:bidi w:val="0"/>
              <w:spacing w:before="0" w:after="0"/>
              <w:ind w:left="0" w:right="0" w:hanging="0"/>
              <w:jc w:val="left"/>
              <w:rPr/>
            </w:pPr>
            <w:r>
              <w:rPr/>
              <w:t> </w:t>
            </w:r>
          </w:p>
        </w:tc>
        <w:tc>
          <w:tcPr>
            <w:tcW w:w="8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5,603</w:t>
            </w:r>
          </w:p>
        </w:tc>
        <w:tc>
          <w:tcPr>
            <w:tcW w:w="190" w:type="dxa"/>
            <w:tcBorders/>
            <w:vAlign w:val="center"/>
          </w:tcPr>
          <w:p>
            <w:pPr>
              <w:pStyle w:val="TableContents"/>
              <w:bidi w:val="0"/>
              <w:spacing w:before="0" w:after="0"/>
              <w:ind w:left="0" w:right="0" w:hanging="0"/>
              <w:jc w:val="left"/>
              <w:rPr/>
            </w:pPr>
            <w:r>
              <w:rPr/>
              <w:t> </w:t>
            </w:r>
          </w:p>
        </w:tc>
        <w:tc>
          <w:tcPr>
            <w:tcW w:w="190" w:type="dxa"/>
            <w:tcBorders/>
            <w:vAlign w:val="center"/>
          </w:tcPr>
          <w:p>
            <w:pPr>
              <w:pStyle w:val="TableContents"/>
              <w:bidi w:val="0"/>
              <w:spacing w:before="0" w:after="0"/>
              <w:ind w:left="0" w:right="0" w:hanging="0"/>
              <w:jc w:val="left"/>
              <w:rPr/>
            </w:pPr>
            <w:r>
              <w:rPr/>
              <w:t> </w:t>
            </w:r>
          </w:p>
        </w:tc>
        <w:tc>
          <w:tcPr>
            <w:tcW w:w="190"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391" w:type="dxa"/>
            <w:tcBorders/>
            <w:vAlign w:val="center"/>
          </w:tcPr>
          <w:p>
            <w:pPr>
              <w:pStyle w:val="TableContents"/>
              <w:bidi w:val="0"/>
              <w:spacing w:before="0" w:after="0"/>
              <w:ind w:left="0" w:right="0" w:hanging="0"/>
              <w:jc w:val="left"/>
              <w:rPr/>
            </w:pPr>
            <w:r>
              <w:rPr/>
              <w:t> </w:t>
            </w:r>
          </w:p>
        </w:tc>
      </w:tr>
      <w:tr>
        <w:trPr/>
        <w:tc>
          <w:tcPr>
            <w:tcW w:w="29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units</w:t>
            </w:r>
          </w:p>
        </w:tc>
        <w:tc>
          <w:tcPr>
            <w:tcW w:w="146" w:type="dxa"/>
            <w:tcBorders/>
            <w:vAlign w:val="center"/>
          </w:tcPr>
          <w:p>
            <w:pPr>
              <w:pStyle w:val="TableContents"/>
              <w:bidi w:val="0"/>
              <w:spacing w:before="0" w:after="0"/>
              <w:ind w:left="0" w:right="0" w:hanging="0"/>
              <w:jc w:val="right"/>
              <w:rPr/>
            </w:pPr>
            <w:r>
              <w:rPr/>
              <w:t> </w:t>
            </w:r>
          </w:p>
        </w:tc>
        <w:tc>
          <w:tcPr>
            <w:tcW w:w="2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2,954</w:t>
            </w:r>
          </w:p>
        </w:tc>
        <w:tc>
          <w:tcPr>
            <w:tcW w:w="2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2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2,954</w:t>
            </w:r>
          </w:p>
        </w:tc>
        <w:tc>
          <w:tcPr>
            <w:tcW w:w="1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0" w:type="dxa"/>
            <w:tcBorders/>
            <w:vAlign w:val="center"/>
          </w:tcPr>
          <w:p>
            <w:pPr>
              <w:pStyle w:val="TableContents"/>
              <w:bidi w:val="0"/>
              <w:spacing w:before="0" w:after="0"/>
              <w:ind w:left="0" w:right="0" w:hanging="0"/>
              <w:jc w:val="left"/>
              <w:rPr/>
            </w:pPr>
            <w:r>
              <w:rPr/>
              <w:t> </w:t>
            </w:r>
          </w:p>
        </w:tc>
        <w:tc>
          <w:tcPr>
            <w:tcW w:w="1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1,475</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9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right"/>
              <w:rPr/>
            </w:pPr>
            <w:r>
              <w:rPr/>
              <w:t> </w:t>
            </w:r>
          </w:p>
        </w:tc>
        <w:tc>
          <w:tcPr>
            <w:tcW w:w="2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12,564</w:t>
            </w:r>
          </w:p>
        </w:tc>
        <w:tc>
          <w:tcPr>
            <w:tcW w:w="2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pPr>
            <w:r>
              <w:rPr/>
              <w:t> </w:t>
            </w:r>
          </w:p>
        </w:tc>
        <w:tc>
          <w:tcPr>
            <w:tcW w:w="2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5,096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12,564</w:t>
            </w:r>
          </w:p>
        </w:tc>
        <w:tc>
          <w:tcPr>
            <w:tcW w:w="1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0" w:type="dxa"/>
            <w:tcBorders/>
            <w:vAlign w:val="center"/>
          </w:tcPr>
          <w:p>
            <w:pPr>
              <w:pStyle w:val="TableContents"/>
              <w:bidi w:val="0"/>
              <w:spacing w:before="0" w:after="0"/>
              <w:ind w:left="0" w:right="0" w:hanging="0"/>
              <w:jc w:val="left"/>
              <w:rPr/>
            </w:pPr>
            <w:r>
              <w:rPr/>
              <w:t> </w:t>
            </w:r>
          </w:p>
        </w:tc>
        <w:tc>
          <w:tcPr>
            <w:tcW w:w="1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5,096</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serif" w:hAnsi="Times New Roman;serif"/>
          <w:b/>
          <w:sz w:val="20"/>
        </w:rPr>
      </w:pPr>
      <w:r>
        <w:rPr>
          <w:rFonts w:ascii="Times New Roman;serif" w:hAnsi="Times New Roman;serif"/>
          <w:b/>
          <w:sz w:val="20"/>
        </w:rPr>
        <w:t>Note 12 – Income Taxes</w:t>
      </w:r>
    </w:p>
    <w:p>
      <w:pPr>
        <w:pStyle w:val="TextBody"/>
        <w:bidi w:val="0"/>
        <w:spacing w:before="120" w:after="0"/>
        <w:jc w:val="both"/>
        <w:rPr>
          <w:rFonts w:ascii="Times New Roman" w:hAnsi="Times New Roman"/>
          <w:sz w:val="20"/>
        </w:rPr>
      </w:pPr>
      <w:r>
        <w:rPr>
          <w:rFonts w:ascii="Times New Roman;serif" w:hAnsi="Times New Roman;serif"/>
          <w:b w:val="false"/>
          <w:sz w:val="20"/>
        </w:rPr>
        <w:t>Since inception, the Company has incurred net taxable losses, and accordingly, no</w:t>
      </w:r>
      <w:r>
        <w:rPr>
          <w:rFonts w:ascii="Times New Roman" w:hAnsi="Times New Roman"/>
          <w:sz w:val="20"/>
        </w:rPr>
        <w:t xml:space="preserve"> </w:t>
      </w:r>
      <w:r>
        <w:rPr>
          <w:rFonts w:ascii="Times New Roman;serif" w:hAnsi="Times New Roman;serif"/>
          <w:b w:val="false"/>
          <w:sz w:val="20"/>
        </w:rPr>
        <w:t>provision for income taxes has been recorded. There was no</w:t>
      </w:r>
      <w:r>
        <w:rPr>
          <w:rFonts w:ascii="Times New Roman" w:hAnsi="Times New Roman"/>
          <w:sz w:val="20"/>
        </w:rPr>
        <w:t xml:space="preserve"> </w:t>
      </w:r>
      <w:r>
        <w:rPr>
          <w:rFonts w:ascii="Times New Roman;serif" w:hAnsi="Times New Roman;serif"/>
          <w:b w:val="false"/>
          <w:sz w:val="20"/>
        </w:rPr>
        <w:t>cash paid for income taxes during the three and six months ended June 30, 2023 and 2022.</w:t>
      </w:r>
      <w:r>
        <w:rPr>
          <w:rFonts w:ascii="Times New Roman" w:hAnsi="Times New Roman"/>
          <w:sz w:val="20"/>
        </w:rPr>
        <w:t xml:space="preserve"> </w:t>
      </w:r>
    </w:p>
    <w:p>
      <w:pPr>
        <w:pStyle w:val="TextBody"/>
        <w:bidi w:val="0"/>
        <w:spacing w:before="200" w:after="0"/>
        <w:jc w:val="left"/>
        <w:rPr>
          <w:rFonts w:ascii="Times New Roman;serif" w:hAnsi="Times New Roman;serif"/>
          <w:b/>
          <w:sz w:val="20"/>
        </w:rPr>
      </w:pPr>
      <w:r>
        <w:rPr>
          <w:rFonts w:ascii="Times New Roman;serif" w:hAnsi="Times New Roman;serif"/>
          <w:b/>
          <w:sz w:val="20"/>
        </w:rPr>
        <w:t>Note 13 – Commitments and Contingencies</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Co-Development Agreement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 April 2014 and amended in October 2016, the Company entered into a worldwide agreement with AVEO to develop and commercialize AVEO's hepatocyte growth factor inhibitory antibody ficlatuzumab with the Company's proprietary companion diagnostic test, BDX004, a version of the Company’s serum protein test that is commercially available to help physicians guide treatment decisions for patients with advanced non-small cell lung cancer (NSCLC). Under the terms of the agreement, AVEO will conduct a proof of concept (POC) clinical study of ficlatuzumab for NSCLC in which BDX004 will be used to select clinical trial subjects (the NSCLC POC Trial). Under the agreement, the Company and AVEO would share equally in the costs of the NSCLC POC Trial, and each would be responsible for 50% of development and regulatory costs associated with all future clinical trials agreed upon by the Company and AVEO. The Company and AVEO continue to conduct POC clinical trials of ficlatuzumab in combination with BDX004.</w:t>
      </w:r>
    </w:p>
    <w:p>
      <w:pPr>
        <w:pStyle w:val="TextBody"/>
        <w:bidi w:val="0"/>
        <w:spacing w:before="120" w:after="0"/>
        <w:jc w:val="both"/>
        <w:rPr>
          <w:rFonts w:ascii="Times New Roman" w:hAnsi="Times New Roman"/>
          <w:sz w:val="20"/>
        </w:rPr>
      </w:pPr>
      <w:r>
        <w:rPr>
          <w:rFonts w:ascii="Times New Roman;serif" w:hAnsi="Times New Roman;serif"/>
          <w:b w:val="false"/>
          <w:sz w:val="20"/>
        </w:rPr>
        <w:t>In September 2020, the Company exercised its opt-out right with AVEO for the payment of 50% of development and regulatory costs for ficlatuzumab effective December 2, 2020 (the AVEO Effective Date). In September 2021, AVEO announced that the FDA has granted Fast Track Designation (FTD) to ficlatuzumab for the treatment of patients with relapsed or recurrent head and neck squamous cell carcinoma. In November 2021 AVEO also announced plans to initiate a potential registrational Phase 3 clinical trial for ficlatuzumab in the first half of 2023. The Company had $0.1</w:t>
      </w:r>
      <w:r>
        <w:rPr>
          <w:rFonts w:ascii="Times New Roman" w:hAnsi="Times New Roman"/>
          <w:sz w:val="20"/>
        </w:rPr>
        <w:t xml:space="preserve"> </w:t>
      </w:r>
      <w:r>
        <w:rPr>
          <w:rFonts w:ascii="Times New Roman;serif" w:hAnsi="Times New Roman;serif"/>
          <w:b w:val="false"/>
          <w:sz w:val="20"/>
        </w:rPr>
        <w:t>million in remaining obligations related to the AVEO agreement as of June 30, 2023. Following the AVEO Effective Date, the Company is entitled to a 10% royalty of net sales of ficlatuzumab and 25% of license income generated from the licensing of ficlatuzumab from AVEO. There were no</w:t>
      </w:r>
      <w:r>
        <w:rPr>
          <w:rFonts w:ascii="Times New Roman" w:hAnsi="Times New Roman"/>
          <w:sz w:val="20"/>
        </w:rPr>
        <w:t xml:space="preserve"> </w:t>
      </w:r>
      <w:r>
        <w:rPr>
          <w:rFonts w:ascii="Times New Roman;serif" w:hAnsi="Times New Roman;serif"/>
          <w:b w:val="false"/>
          <w:sz w:val="20"/>
        </w:rPr>
        <w:t>royalties received or expenses related</w:t>
      </w:r>
      <w:r>
        <w:rPr>
          <w:rFonts w:ascii="Times New Roman" w:hAnsi="Times New Roman"/>
          <w:sz w:val="20"/>
        </w:rPr>
        <w:t xml:space="preserve"> </w:t>
      </w:r>
      <w:r>
        <w:rPr>
          <w:rFonts w:ascii="Times New Roman;serif" w:hAnsi="Times New Roman;serif"/>
          <w:b w:val="false"/>
          <w:sz w:val="20"/>
        </w:rPr>
        <w:t>to this agreement for the three and six months ended June 30, 2023 and 2022.</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License Agreement</w:t>
      </w:r>
    </w:p>
    <w:p>
      <w:pPr>
        <w:pStyle w:val="TextBody"/>
        <w:bidi w:val="0"/>
        <w:spacing w:before="120" w:after="0"/>
        <w:jc w:val="both"/>
        <w:rPr>
          <w:rFonts w:ascii="Times New Roman" w:hAnsi="Times New Roman"/>
          <w:sz w:val="20"/>
        </w:rPr>
      </w:pPr>
      <w:r>
        <w:rPr>
          <w:rFonts w:ascii="Times New Roman;serif" w:hAnsi="Times New Roman;serif"/>
          <w:b w:val="false"/>
          <w:sz w:val="20"/>
        </w:rPr>
        <w:t>In August 2019, we entered into a non-exclusive license agreement with Bio-Rad Laboratories, Inc. (Bio-Rad) (the Bio-Rad License). Under the terms of the Bio-Rad License, the Company received a non-exclusive license, without the right to grant sublicenses, to utilize certain of Bio-Rad’s intellectual property, machinery, materials, reagents, supplies and know-how necessary for the performance of Droplet Digital PCR (ddPCR) in cancer detection testing for third parties in the United States. The Company also agreed to purchase all of the necessary supplies and reagents for such testing exclusively from Bio-Rad, pursuant to a separately executed supply agreement (the Supply Agreement) with Bio-Rad. As further consideration for the non-exclusive license, the Company agreed to pay a royalty of 2.5% on the net revenue received for the performance of such ddPCR testing collected from third parties. On May 24, 2021, the Company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Financial Statements</w:t>
      </w:r>
    </w:p>
    <w:p>
      <w:pPr>
        <w:pStyle w:val="TextBody"/>
        <w:bidi w:val="0"/>
        <w:spacing w:before="0" w:after="0"/>
        <w:jc w:val="center"/>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20"/>
        </w:rPr>
        <w:t>entered into the First Amendment to the Non-Exclusive License Agreement with Bio-Rad which amended the Bio-Rad License such that, effective May 1, 2021, the Company no longer paid a royalty of 2.5% on the net revenue received for the performance of such ddPCR testing collected from third parties. The Bio-Rad License expires in August 2024. Either party may terminate for the other’s uncured material breach or bankruptcy events. Bio-Rad may terminate the Bio-Rad License if the Company does not purchase licensed products under the Supply Agreement for a consecutive twelve-month period or for any material breach by us of the Supply Agreement. There were</w:t>
      </w:r>
      <w:r>
        <w:rPr>
          <w:rFonts w:ascii="Times New Roman" w:hAnsi="Times New Roman"/>
          <w:sz w:val="20"/>
        </w:rPr>
        <w:t xml:space="preserve"> </w:t>
      </w:r>
      <w:r>
        <w:rPr>
          <w:rFonts w:ascii="Times New Roman;serif" w:hAnsi="Times New Roman;serif"/>
          <w:b w:val="false"/>
          <w:sz w:val="20"/>
        </w:rPr>
        <w:t>no</w:t>
      </w:r>
      <w:r>
        <w:rPr>
          <w:rFonts w:ascii="Times New Roman" w:hAnsi="Times New Roman"/>
          <w:sz w:val="20"/>
        </w:rPr>
        <w:t xml:space="preserve"> </w:t>
      </w:r>
      <w:r>
        <w:rPr>
          <w:rFonts w:ascii="Times New Roman;serif" w:hAnsi="Times New Roman;serif"/>
          <w:b w:val="false"/>
          <w:sz w:val="20"/>
        </w:rPr>
        <w:t>expenses related to this agreement for the three and six months ended June 30, 2023 and 2022.</w:t>
      </w:r>
    </w:p>
    <w:p>
      <w:pPr>
        <w:pStyle w:val="TextBody"/>
        <w:bidi w:val="0"/>
        <w:spacing w:before="120" w:after="0"/>
        <w:jc w:val="both"/>
        <w:rPr>
          <w:rFonts w:ascii="Times New Roman" w:hAnsi="Times New Roman"/>
          <w:sz w:val="20"/>
        </w:rPr>
      </w:pPr>
      <w:r>
        <w:rPr>
          <w:rFonts w:ascii="Times New Roman;serif" w:hAnsi="Times New Roman;serif"/>
          <w:b w:val="false"/>
          <w:sz w:val="20"/>
        </w:rPr>
        <w:t>On May 13, 2021 (the CellCarta Effective Date), we reached agreement with CellCarta Biosciences Inc. (formerly “Caprion Biosciences, Inc.”) (the CellCarta License) on a new royalty bearing license agreement for the Nodify XL2 test. The parties agreed to terminate all prior agreements and replace with this new arrangement, which has a 1% fee on net sales made from the first commercial sale of the Nodify XL2 test to the CellCarta Effective Date</w:t>
      </w:r>
      <w:r>
        <w:rPr>
          <w:rFonts w:ascii="Times New Roman" w:hAnsi="Times New Roman"/>
          <w:sz w:val="20"/>
        </w:rPr>
        <w:t xml:space="preserve"> </w:t>
      </w:r>
      <w:r>
        <w:rPr>
          <w:rFonts w:ascii="Times New Roman;serif" w:hAnsi="Times New Roman;serif"/>
          <w:b w:val="false"/>
          <w:sz w:val="20"/>
        </w:rPr>
        <w:t>as an upfront make-good payment covering past royalties due and a royalty rate of 0.675% on future Nodify XL2 test net sales worldwide for 15</w:t>
      </w:r>
      <w:r>
        <w:rPr>
          <w:rFonts w:ascii="Times New Roman" w:hAnsi="Times New Roman"/>
          <w:sz w:val="20"/>
        </w:rPr>
        <w:t xml:space="preserve"> </w:t>
      </w:r>
      <w:r>
        <w:rPr>
          <w:rFonts w:ascii="Times New Roman;serif" w:hAnsi="Times New Roman;serif"/>
          <w:b w:val="false"/>
          <w:sz w:val="20"/>
        </w:rPr>
        <w:t>years from the first commercial sale, ending in 2034. Royalty expense under the CellCarta License was</w:t>
      </w:r>
      <w:r>
        <w:rPr>
          <w:rFonts w:ascii="Times New Roman" w:hAnsi="Times New Roman"/>
          <w:sz w:val="20"/>
        </w:rPr>
        <w:t xml:space="preserve"> </w:t>
      </w:r>
      <w:r>
        <w:rPr>
          <w:rFonts w:ascii="Times New Roman;serif" w:hAnsi="Times New Roman;serif"/>
          <w:b w:val="false"/>
          <w:sz w:val="20"/>
        </w:rPr>
        <w:t>$0.1</w:t>
      </w:r>
      <w:r>
        <w:rPr>
          <w:rFonts w:ascii="Times New Roman" w:hAnsi="Times New Roman"/>
          <w:sz w:val="20"/>
        </w:rPr>
        <w:t xml:space="preserve"> </w:t>
      </w:r>
      <w:r>
        <w:rPr>
          <w:rFonts w:ascii="Times New Roman;serif" w:hAnsi="Times New Roman;serif"/>
          <w:b w:val="false"/>
          <w:sz w:val="20"/>
        </w:rPr>
        <w:t>million for the three and six months ended June 30, 2023, respectively, compared to zero</w:t>
      </w:r>
      <w:r>
        <w:rPr>
          <w:rFonts w:ascii="Times New Roman" w:hAnsi="Times New Roman"/>
          <w:sz w:val="20"/>
        </w:rPr>
        <w:t xml:space="preserve"> </w:t>
      </w:r>
      <w:r>
        <w:rPr>
          <w:rFonts w:ascii="Times New Roman;serif" w:hAnsi="Times New Roman;serif"/>
          <w:b w:val="false"/>
          <w:sz w:val="20"/>
        </w:rPr>
        <w:t>for the three and six months ended June 30, 2022.</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As part of the acquisition of the assets of Oncimmune USA, the Company entered into several agreements to govern the relationship between the parties. The Company agreed to a license agreement and royalty payment related to an acquired diagnostic test of 8% of recognized revenue for non-screening tests up to an annual minimum volume and 5% thereafter, with an escalating minimum through the first four years of sales. Royalty expenses were $0.2</w:t>
      </w:r>
      <w:r>
        <w:rPr>
          <w:rFonts w:ascii="Times New Roman" w:hAnsi="Times New Roman"/>
          <w:sz w:val="20"/>
        </w:rPr>
        <w:t xml:space="preserve"> </w:t>
      </w:r>
      <w:r>
        <w:rPr>
          <w:rFonts w:ascii="Times New Roman;serif" w:hAnsi="Times New Roman;serif"/>
          <w:b w:val="false"/>
          <w:sz w:val="20"/>
        </w:rPr>
        <w:t>million and $0.4</w:t>
      </w:r>
      <w:r>
        <w:rPr>
          <w:rFonts w:ascii="Times New Roman" w:hAnsi="Times New Roman"/>
          <w:sz w:val="20"/>
        </w:rPr>
        <w:t xml:space="preserve"> </w:t>
      </w:r>
      <w:r>
        <w:rPr>
          <w:rFonts w:ascii="Times New Roman;serif" w:hAnsi="Times New Roman;serif"/>
          <w:b w:val="false"/>
          <w:sz w:val="20"/>
        </w:rPr>
        <w:t>million for both the three and six months ended June 30, 2023 and 2022, respectively.</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Litigation, Claims and Assessments</w:t>
      </w:r>
    </w:p>
    <w:p>
      <w:pPr>
        <w:pStyle w:val="TextBody"/>
        <w:bidi w:val="0"/>
        <w:spacing w:before="120" w:after="0"/>
        <w:jc w:val="both"/>
        <w:rPr>
          <w:rFonts w:ascii="Times New Roman" w:hAnsi="Times New Roman"/>
          <w:sz w:val="20"/>
        </w:rPr>
      </w:pPr>
      <w:r>
        <w:rPr>
          <w:rFonts w:ascii="Times New Roman;serif" w:hAnsi="Times New Roman;serif"/>
          <w:b w:val="false"/>
          <w:sz w:val="20"/>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r>
        <w:rPr>
          <w:rFonts w:ascii="Times New Roman" w:hAnsi="Times New Roman"/>
          <w:sz w:val="20"/>
        </w:rPr>
        <w:t xml:space="preserve"> </w:t>
      </w:r>
    </w:p>
    <w:p>
      <w:pPr>
        <w:pStyle w:val="TextBody"/>
        <w:bidi w:val="0"/>
        <w:spacing w:before="200" w:after="0"/>
        <w:jc w:val="left"/>
        <w:rPr>
          <w:rFonts w:ascii="Times New Roman;serif" w:hAnsi="Times New Roman;serif"/>
          <w:b/>
          <w:sz w:val="20"/>
        </w:rPr>
      </w:pPr>
      <w:r>
        <w:rPr>
          <w:rFonts w:ascii="Times New Roman;serif" w:hAnsi="Times New Roman;serif"/>
          <w:b/>
          <w:sz w:val="20"/>
        </w:rPr>
        <w:t>Note 14 – Subsequent Events</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Subscription Agreements</w:t>
      </w:r>
    </w:p>
    <w:p>
      <w:pPr>
        <w:pStyle w:val="TextBody"/>
        <w:bidi w:val="0"/>
        <w:spacing w:before="120" w:after="0"/>
        <w:jc w:val="both"/>
        <w:rPr>
          <w:rFonts w:ascii="Times New Roman" w:hAnsi="Times New Roman"/>
          <w:sz w:val="20"/>
        </w:rPr>
      </w:pPr>
      <w:r>
        <w:rPr>
          <w:rFonts w:ascii="Times New Roman;serif" w:hAnsi="Times New Roman;serif"/>
          <w:b w:val="false"/>
          <w:sz w:val="20"/>
        </w:rPr>
        <w:t>On August 3, 2023, the Company entered into subscription agreements (the Subscription Agreements) with all the members of our Board of Directors, all Section 16 officers, and additional members of the Biodesix leadership team (together, the Investors) for the issuance and sale by the Company of an aggregate of 16,975,298 of the Company’s common stock (the Shares) in a private equity offering (the Private Placement). The Subscription Agreements did not include any registration rights.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Pursuant to the Subscription Agreements, the Investors purchased shares at a purchase price (determined in accordance with Nasdaq rules relating to the “Minimum Value” of the Company’s common stock) of $1.62 per share, which is equal to the closing price of the Company's common stock</w:t>
      </w:r>
      <w:r>
        <w:rPr>
          <w:rFonts w:ascii="Times New Roman" w:hAnsi="Times New Roman"/>
          <w:sz w:val="20"/>
        </w:rPr>
        <w:t xml:space="preserve"> </w:t>
      </w:r>
      <w:r>
        <w:rPr>
          <w:rFonts w:ascii="Times New Roman;serif" w:hAnsi="Times New Roman;serif"/>
          <w:b w:val="false"/>
          <w:sz w:val="20"/>
        </w:rPr>
        <w:t>on August 3, 2023, for an aggregate purchase price of approximately $27.5</w:t>
      </w:r>
      <w:r>
        <w:rPr>
          <w:rFonts w:ascii="Times New Roman" w:hAnsi="Times New Roman"/>
          <w:sz w:val="20"/>
        </w:rPr>
        <w:t xml:space="preserve"> </w:t>
      </w:r>
      <w:r>
        <w:rPr>
          <w:rFonts w:ascii="Times New Roman;serif" w:hAnsi="Times New Roman;serif"/>
          <w:b w:val="false"/>
          <w:sz w:val="20"/>
        </w:rPr>
        <w:t>million. Funding will occur in two separate tranches on August 31, 2023 and September 29, 2023. The Subscription Agreements include customary representations, warranties and covenants by the parties to the agreement. The Company intends to use the proceeds for the commercial expansion of sales, research and development, and for general corporate purposes.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foregoing description of the Subscription Agreements is not complete and is qualified in its entirety by reference to the full text of the Subscription Agreements, the form of which is filed herewith as Exhibit 10.1 and incorporated herein by reference in its entirety.</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Perceptive Term Loan Facility Amendment</w:t>
      </w:r>
    </w:p>
    <w:p>
      <w:pPr>
        <w:pStyle w:val="TextBody"/>
        <w:bidi w:val="0"/>
        <w:spacing w:before="120" w:after="0"/>
        <w:jc w:val="both"/>
        <w:rPr>
          <w:rFonts w:ascii="Times New Roman" w:hAnsi="Times New Roman"/>
          <w:sz w:val="20"/>
        </w:rPr>
      </w:pPr>
      <w:r>
        <w:rPr>
          <w:rFonts w:ascii="Times New Roman;serif" w:hAnsi="Times New Roman;serif"/>
          <w:b w:val="false"/>
          <w:sz w:val="20"/>
        </w:rPr>
        <w:t>On August 4, 2023 (the Second Amendment Effective Date), the Company entered into the Second Amendment to the Credit Agreement and Guaranty (the Second Amendment) with Perceptive as lender and administrative agent and the Company, as borrower, whereby subject to the terms and conditions of the Second Amendment, the Minimum Net Revenue Covenant (as defined in the Credit Agreement) was amended to reduce the relevant threshold as of the last day of each fiscal quarter commencing on the fiscal quarter ending June 30, 2024 through and including the fiscal quarter ending December 31, 2025.</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Pursuant to the original terms of the Credit Agreement and Guaranty entered into on November 21, 2022, the Perceptive Term Loan Facility includes an additional Tranche B Loan, in an aggregate amount of up to $10.0</w:t>
      </w:r>
      <w:r>
        <w:rPr>
          <w:rFonts w:ascii="Times New Roman" w:hAnsi="Times New Roman"/>
          <w:sz w:val="20"/>
        </w:rPr>
        <w:t xml:space="preserve"> </w:t>
      </w:r>
      <w:r>
        <w:rPr>
          <w:rFonts w:ascii="Times New Roman;serif" w:hAnsi="Times New Roman;serif"/>
          <w:b w:val="false"/>
          <w:sz w:val="20"/>
        </w:rPr>
        <w:t>million, which is accessible by the Company so long as the Company satisfies certain customary conditions precedent, including revenue milestones. Under the terms of the Second Amendment, the conditions precedent for drawing on the Tranche B Loan were amended to (i) reduce the trailing-twelve month revenue milestone and (ii) add the receipt of aggregate cash proceeds of at least $27.5 million from an equity offering of the Company's common stock. As consideration for the Credit Agreement, the Company issued the Perceptive Warrant of up to 5,000,000</w:t>
      </w:r>
      <w:r>
        <w:rPr>
          <w:rFonts w:ascii="Times New Roman" w:hAnsi="Times New Roman"/>
          <w:sz w:val="20"/>
        </w:rPr>
        <w:t xml:space="preserve"> </w:t>
      </w:r>
      <w:r>
        <w:rPr>
          <w:rFonts w:ascii="Times New Roman;serif" w:hAnsi="Times New Roman;serif"/>
          <w:b w:val="false"/>
          <w:sz w:val="20"/>
        </w:rPr>
        <w:t>shares of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BIODESIX, INC.</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Financial Statements</w:t>
      </w:r>
    </w:p>
    <w:p>
      <w:pPr>
        <w:pStyle w:val="TextBody"/>
        <w:bidi w:val="0"/>
        <w:spacing w:before="0" w:after="0"/>
        <w:jc w:val="center"/>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20"/>
        </w:rPr>
        <w:t>Company's common stock, which included the Tranche B Warrants that will become exercisable into 1,000,000</w:t>
      </w:r>
      <w:r>
        <w:rPr>
          <w:rFonts w:ascii="Times New Roman" w:hAnsi="Times New Roman"/>
          <w:sz w:val="20"/>
        </w:rPr>
        <w:t xml:space="preserve"> </w:t>
      </w:r>
      <w:r>
        <w:rPr>
          <w:rFonts w:ascii="Times New Roman;serif" w:hAnsi="Times New Roman;serif"/>
          <w:b w:val="false"/>
          <w:sz w:val="20"/>
        </w:rPr>
        <w:t xml:space="preserve">shares of common stock concurrently with the borrowing date of the Tranche B Loan. The Company accounts for the Tranche B Warrants as liabilities as the Tranche B Warrants do not meet the criteria for equity treatment (see Note 4 - </w:t>
      </w:r>
      <w:r>
        <w:rPr>
          <w:rFonts w:ascii="Times New Roman;serif" w:hAnsi="Times New Roman;serif"/>
          <w:b w:val="false"/>
          <w:i/>
          <w:sz w:val="20"/>
        </w:rPr>
        <w:t>Fair Value</w:t>
      </w:r>
      <w:r>
        <w:rPr>
          <w:rFonts w:ascii="Times New Roman;serif" w:hAnsi="Times New Roman;serif"/>
          <w:b w:val="false"/>
          <w:sz w:val="20"/>
        </w:rPr>
        <w:t>).</w:t>
      </w:r>
    </w:p>
    <w:p>
      <w:pPr>
        <w:pStyle w:val="TextBody"/>
        <w:bidi w:val="0"/>
        <w:spacing w:before="12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sz w:val="20"/>
        </w:rPr>
      </w:pPr>
      <w:bookmarkStart w:id="9" w:name="item_2_managements_discussion_analysis_f"/>
      <w:bookmarkEnd w:id="9"/>
      <w:r>
        <w:rPr>
          <w:rFonts w:ascii="Times New Roman;serif" w:hAnsi="Times New Roman;serif"/>
          <w:b/>
          <w:sz w:val="20"/>
        </w:rPr>
        <w:t>Item 2. Management’s Discussion and Analysis of Financial Condition and Results of Operations.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Biodesix, Inc. is referred to throughout this Quarterly Report on Form 10-Q for the period ended June 30, 2023 (Form 10-Q) as “we”, “us”, “our” or the “Company”.</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following Management’s Discussion and Analysis of Financial Condition and Results of Operations (MD&amp;A) should be read in conjunction with our Annual Report on Form 10-K for the year ended December 31, 2022 (Form 10-K) and the Condensed Financial Statements as of June 30, 2023 and for the three and six months ended June 30, 2023 and 2022,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including but not limited to those set forth under the caption “Special Note Regarding Forward-Looking Statements” and Item 1A “Risk Factors” of Part II in this Quarterly Report on Form 10-Q and those discussed in our other filings with the Securities and Exchange Commission (SEC), including the risks described in Item 1A “Risk Factors” of Part I of our Annual Report on Form 10-K for the year ended December 31, 2022, which was filed on March 6, 2023.</w:t>
      </w:r>
    </w:p>
    <w:p>
      <w:pPr>
        <w:pStyle w:val="TextBody"/>
        <w:bidi w:val="0"/>
        <w:spacing w:before="120" w:after="0"/>
        <w:jc w:val="both"/>
        <w:rPr>
          <w:rFonts w:ascii="Times New Roman" w:hAnsi="Times New Roman"/>
          <w:sz w:val="20"/>
        </w:rPr>
      </w:pPr>
      <w:r>
        <w:rPr>
          <w:rFonts w:ascii="Times New Roman;serif" w:hAnsi="Times New Roman;serif"/>
          <w:b w:val="false"/>
          <w:sz w:val="20"/>
        </w:rPr>
        <w:t>The following MD&amp;A discussion is provided to supplement the Condensed Financial Statements as of June 30, 2023 and 2022 and for the three and six months then ended included in Part I, Item 1 of this Quarterly Report on Form 10-Q. We intend for this discussion to provide you with information that will assist you in understanding our financial statements, the changes in key items in those financial statements from period to period, and the primary factors that accounted for those changes.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Data for the three and six months ended June 30, 2023 and 2022 has been derived from our unaudited condensed financial statements included in Part I, Item 1 of this Quarterly Report on Form 10-Q.</w:t>
      </w:r>
    </w:p>
    <w:p>
      <w:pPr>
        <w:pStyle w:val="TextBody"/>
        <w:bidi w:val="0"/>
        <w:spacing w:before="240" w:after="0"/>
        <w:jc w:val="both"/>
        <w:rPr>
          <w:rFonts w:ascii="Times New Roman;serif" w:hAnsi="Times New Roman;serif"/>
          <w:b/>
          <w:sz w:val="20"/>
        </w:rPr>
      </w:pPr>
      <w:r>
        <w:rPr>
          <w:rFonts w:ascii="Times New Roman;serif" w:hAnsi="Times New Roman;serif"/>
          <w:b/>
          <w:sz w:val="20"/>
        </w:rPr>
        <w:t>Overview</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are a leading data-driven diagnostic solutions company leveraging state of the art technologies with our proprietary AI platform to discover, develop, and commercialize solutions for clinical unmet needs, with a primary focus in lung disease. By combining a technology multi-omic approach with a holistic view of the patient’s disease state, we believe our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core belief is that no single technology will answer all clinical questions that we encounter. Therefore, we employ multiple technologies, including genomics, transcriptomics, proteomics, and radiomics, and leverage our proprietary AI-based Diagnostic Cortex® platform to discover innovative diagnostic tests for clinical use. The Diagnostic Cortex is an extensively validated deep learning platform optimized for the discovery of diagnostic tests, which we believe overcomes standard machine learning challenges faced in life sciences research. Our data-driven and multi-omic approach is designed to enable us to discover diagnostic tests that answer critical clinical questions faced by physicians, researchers, and biopharmaceutical companies.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continuously incorporate new market insights and patient data to enhance our platform through a data-driven learning loop. We regularly engage with our customers, key opinion leaders, and scientific experts to stay ahead of the rapidly evolving diagnostic treatment landscape to identify additional clinical unmet needs where a diagnostic test could help improve patient care. Additionally, we incorporate clinical and molecular profiling data from our commercial clinical testing, research studies, clinical trials, and biopharmaceutical customers or academic partnerships, to continue to advance our platform. We have a variety of samples with associated data in our biobank, including tumor profiles and immune profiles, which are used for both internal and external research and development initiatives.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have commercialized five diagnostic tests for our core lung diagnostic business, each of which have Medicare coverage, which are currently available for use by physicians. Our Nodify XL2 and Nodify CDT tests, marketed as part of the Nodify Lung Nodule Risk Assessment testing strategy, assess the risk of lung cancer to help identify the most appropriate treatment pathway. The Nodify Lung Risk Assessment testing strategy has resulted in a change in the calculated risk of malignancy in 80-85% of the cases. We believe we are the only company to offer two commercial blood-based tests to help physicians reclassify risk of malignancy in patients with suspicious lung nodules. Our GeneStrat ddPCR, GeneStrat NGS, and VeriStrat tests, marketed as the IQLung testing strategy, are used following diagnosis of lung cancer to measure the presence of mutations in the tumor and the state of the patient’s immune system to establish the patient’s prognosis and help guide treatment decisions. The GeneStrat targeted tumor profiling test and the VeriStrat immune profiling test now have a turnaround time of two business days, down from the previous three business day turnaround time, providing physicians with timely results to facilitate treatment decisions. The GeneStrat NGS test is our blood-based NGS test with results in three business days, was launched in November 2021 to a select group of physicians, with national launch in January 2022. The 52-gene panel includes guideline recommended mutations to help physicians treating advanced-stage lung cancer patients identify all four major mutation classes and genes, such as EGFR, ALK, KRAS, MET, NTRK, ERBB2, and others, and delivers them in an expedited timeframe so patient treatment can begin sooner.</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 addition to the five diagnostic tests currently on the market, we perform over 30 assays for research use as part of our laboratory services that have been used by over 65 biopharmaceutical companies and academic partners. All of our diagnostic and services testing is performed at one of our two accredited, high-complexity clinical laboratories in Boulder, Colorado and De Soto, Kansas.</w:t>
      </w:r>
    </w:p>
    <w:p>
      <w:pPr>
        <w:pStyle w:val="TextBody"/>
        <w:bidi w:val="0"/>
        <w:spacing w:before="120" w:after="0"/>
        <w:jc w:val="both"/>
        <w:rPr>
          <w:rFonts w:ascii="Times New Roman" w:hAnsi="Times New Roman"/>
          <w:sz w:val="20"/>
        </w:rPr>
      </w:pPr>
      <w:r>
        <w:rPr>
          <w:rFonts w:ascii="Times New Roman;serif" w:hAnsi="Times New Roman;serif"/>
          <w:b w:val="false"/>
          <w:sz w:val="20"/>
        </w:rPr>
        <w:t>Since our inception, we have performed over 600,000 clinical diagnostic tests, and continue to generate a large and growing body of clinical evidence consisting of over 300 clinical and scientific peer-reviewed publications, presentations, and abstracts. Through ongoing study of each of our tests, we continue to grow our depth of understanding of disease biology and the broad utility of each of our tests. We believe we are poised for rapid growth by leveraging our scientific development and laboratory operations expertise along with our commercial infrastructure which includes sales, marketing, reimbursement, and regulatory affairs.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 the United States, we market our tests to clinical customers through our targeted sales organization, which includes sales representatives that are engaged in sales efforts and promotional activities primarily to pulmonologists, oncologists, cancer centers and nodule clinics. We market our tests and services to biopharmaceutical companies globally through our targeted business development team, which promotes the broad utility of our tests and testing capabilities throughout drug development and commercialization which is of value to pharmaceutical companies and their drug-development process.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 response to the COVID-19 pandemic, through our partnership with Bio-Rad, we commercialized the Biodesix WorkSafe testing program, which included three commercialized tests. Our scientific diagnostic expertise, technologies, and existing commercial infrastructure enabled us to rapidly commercialize two FDA EUA authorized tests, a part of our customizable program. Both diagnostic tests are owned and were developed by Bio-Rad and Bio-Rad has granted us permission to utilize both tests for commercial diagnostic services. The Bio-Rad SARS-CoV-2 ddPCR test was FDA EUA authorized on May 1, 2020, authorizing performance of the test in laboratories certified under CLIA to perform high complexity tests. The second test is the Platelia SARS-CoV-2 Total Ab test, which is an antibody test intended for detecting a B-cell immune response to SARS-CoV-2, indicating recent or prior infection. The Platelia SARS-CoV-2 Total Ab test was FDA EUA authorized on April 29, 2020. Beginning in second quarter 2021, we began partnering with GenScript Biotech Corporation to commercialize the blood-based cPass SARS-CoV-2 Neutralizing Antibody testing as a service. The test was the first surrogate neutralizing antibody test with FDA EUA and uses ELISA technology to qualitatively detect circulating neutralizing antibodies to the RBD in the spike protein of SARS-CoV-2 that are produced in response to a previous SARS-CoV-2 infection.</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The EUA declaration under Section 564 of the FDCA is distinct from and independent of the declaration by the Secretary of HHS of a public health emergency under Section 319 of the Public Health Service Act (the PHS Act). On January 30, 2023, the White House issued a Statement of Administration Policy announcing the President’s intention to allow the Public Health Emergency declaration under Section 319 to expire on May 11, 2023. Because the EUA declaration from the FDA is distinct from the declaration under Section 319 of the PHS Act, the FDA EUA may remain in effect beyond the duration of the Section 319 declaration. We cannot predict how long the EUAs for the SARS-CoV-2 tests will remain in place. In connection with the expiration of the Public Health Emergency declaration under Section 319, the Company no longer provides commercial COVID-19 diagnostic testing services.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These tests under the Biodesix WorkSafe testing program were utilized by healthcare providers, including hospitals and nursing homes, and were also offered to businesses and educational systems. We announced multiple partnerships for COVID-19 testing and maintained an agreement with the State of Colorado to be one of the diagnostic companies to support widespread COVID-19 testing for the State, which expired on August 31, 2022.</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have funded our operations to date principally from net proceeds from the issuances of our common stock, the sale of convertible preferred stock, revenue from diagnostic testing and services, and the incurrence of indebtedness. We had cash and cash equivalents of $17.4 million and $43.1 million as of June 30, 2023 and December 31, 2022, respectively.</w:t>
      </w:r>
    </w:p>
    <w:p>
      <w:pPr>
        <w:pStyle w:val="TextBody"/>
        <w:bidi w:val="0"/>
        <w:spacing w:before="240" w:after="0"/>
        <w:jc w:val="both"/>
        <w:rPr>
          <w:rFonts w:ascii="Times New Roman;serif" w:hAnsi="Times New Roman;serif"/>
          <w:b/>
          <w:sz w:val="20"/>
        </w:rPr>
      </w:pPr>
      <w:r>
        <w:rPr>
          <w:rFonts w:ascii="Times New Roman;serif" w:hAnsi="Times New Roman;serif"/>
          <w:b/>
          <w:sz w:val="20"/>
        </w:rPr>
        <w:t>Factors Affecting Our Performance</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believe there are several important factors that have impacted our operating performance and results of operations, including:</w:t>
      </w:r>
    </w:p>
    <w:p>
      <w:pPr>
        <w:pStyle w:val="TextBody"/>
        <w:bidi w:val="0"/>
        <w:spacing w:before="120" w:after="0"/>
        <w:jc w:val="both"/>
        <w:rPr/>
      </w:pPr>
      <w:r>
        <w:rPr/>
        <w:t>•</w:t>
      </w:r>
    </w:p>
    <w:p>
      <w:pPr>
        <w:pStyle w:val="TextBody"/>
        <w:bidi w:val="0"/>
        <w:spacing w:before="120" w:after="283"/>
        <w:jc w:val="both"/>
        <w:rPr/>
      </w:pPr>
      <w:r>
        <w:rPr>
          <w:rFonts w:ascii="Times New Roman;serif" w:hAnsi="Times New Roman;serif"/>
          <w:b/>
          <w:sz w:val="20"/>
        </w:rPr>
        <w:t xml:space="preserve">Testing volume and customer mix. </w:t>
      </w:r>
      <w:r>
        <w:rPr>
          <w:rFonts w:ascii="Times New Roman;serif" w:hAnsi="Times New Roman;serif"/>
          <w:b w:val="false"/>
          <w:sz w:val="20"/>
        </w:rPr>
        <w:t xml:space="preserve">Our revenues and costs are affected by the volume of testing and mix of customers from period to period. We evaluate both the volume of our commercial tests, or the number of tests that we perform for patients on behalf of clinicians, as well as tests for biopharmaceutical companies. Our performance depends on our ability to retain and broaden adoption with existing customers, as well as attract new customers. We believe that the test volume we receive from clinicians and biopharmaceutical companies are indicators of growth in each of these customer verticals. Customer mix for our tests has the potential to significantly impact our results of operations, as the average selling price for biopharmaceutical sample testing is currently significantly greater than our average selling price for clinical tests since we are not a contracted provider for, or our tests are not covered by all clinical patients’ insurance. We evaluate our average selling price for tests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that are covered by Medicare, Medicare Advantage and commercial payers to understand the trends in reimbursement and apply those trends to our revenue recognition policies.</w:t>
      </w:r>
    </w:p>
    <w:p>
      <w:pPr>
        <w:pStyle w:val="TextBody"/>
        <w:bidi w:val="0"/>
        <w:spacing w:before="120" w:after="0"/>
        <w:jc w:val="both"/>
        <w:rPr/>
      </w:pPr>
      <w:r>
        <w:rPr/>
        <w:t>•</w:t>
      </w:r>
    </w:p>
    <w:p>
      <w:pPr>
        <w:pStyle w:val="TextBody"/>
        <w:bidi w:val="0"/>
        <w:spacing w:before="120" w:after="283"/>
        <w:jc w:val="both"/>
        <w:rPr/>
      </w:pPr>
      <w:r>
        <w:rPr>
          <w:rFonts w:ascii="Times New Roman;serif" w:hAnsi="Times New Roman;serif"/>
          <w:b/>
          <w:sz w:val="20"/>
        </w:rPr>
        <w:t xml:space="preserve">Reimbursement for clinical diagnostic testing. </w:t>
      </w:r>
      <w:r>
        <w:rPr>
          <w:rFonts w:ascii="Times New Roman;serif" w:hAnsi="Times New Roman;serif"/>
          <w:b w:val="false"/>
          <w:sz w:val="20"/>
        </w:rPr>
        <w:t>Our revenue depends on achieving broad coverage and reimbursement for our tests from third-party payers, including both commercial and government payers. On June 7, 2022, we announced that WPS Government Health Administrators, the Medicare administrative contractor with jurisdiction for Biodesix’s De Soto, Kansas laboratory, has provided coverage for the Nodify CDT lung nodule test. All five Biodesix blood-based lung diagnostic tests within the Nodify Lung Nodule Risk Assessment testing strategy and IQLung strategy for lung cancer patients are now covered by Medicare.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rate than participating providers.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Becoming a participating provider generally results in higher reimbursement for covered indications and lack of reimbursement for non-covered indications. As a result, the impact of becoming a participating provider with a specific payer will vary. If we are not able to obtain or maintain coverage and adequate reimbursement from third-party payers, we may not be able to effectively increase our testing volume and revenue as expected. Additionally, retrospective reimbursement adjustments can negatively impact our revenue and cause our financial results to fluctuate.</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On October, 17, 2022, the Company announced that the U.S. Department of Veterans Affairs (the VA), the largest integrated health care system in the United States, awarded a Federal Supply Schedule Contract for the Company’s entire portfolio of lung cancer diagnostic tests. The VA provides care at 1,298 health care facilities, including 171 VA Medical Centers and 1,113 outpatient sites of care of varying complexity to over 9 million veterans enrolled in the VA health care program. All of our existing lung diagnostic tests will be payable when performed and partnering with the VA represents a large opportunity for Biodesix to help improve care for our Veterans by integrating our five diagnostic products and testing strategies into our country’s largest health system.</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On December 19, 2022, the Company announced the signing of our first four private payer commercial policies covering our Nodify XL2 test. These contracts included three Blue Cross Blue Shield plans in North Carolina, South Carolina, and Kansas City, and a contract with Capital District Physician’s Health Plan in New York. In total, these new private pay contracts add approximately 4.5 million covered lives and are in geographic regions of the country where the incidence of lung cancer is high.</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On July 6, 2023, the Company announced that the Centers for Medicare &amp; Medicaid Services (CMS) has designated the Nodify CDT Test as an Advanced Diagnostic Laboratory Test (ADLT) effective June 30, 2023. Obtaining ADLT status is a recognition that the Nodify CDT test meets the stringent criteria established under the Protecting Access to Medicare Act of 2014. ADLT status is reserved for innovative tests with Medicare coverage that provide new clinical diagnostic information that cannot be obtained from any other test or combination of tests.</w:t>
      </w:r>
    </w:p>
    <w:p>
      <w:pPr>
        <w:pStyle w:val="TextBody"/>
        <w:bidi w:val="0"/>
        <w:spacing w:before="120" w:after="0"/>
        <w:jc w:val="both"/>
        <w:rPr/>
      </w:pPr>
      <w:r>
        <w:rPr/>
        <w:t>•</w:t>
      </w:r>
    </w:p>
    <w:p>
      <w:pPr>
        <w:pStyle w:val="TextBody"/>
        <w:bidi w:val="0"/>
        <w:spacing w:before="120" w:after="283"/>
        <w:jc w:val="both"/>
        <w:rPr/>
      </w:pPr>
      <w:r>
        <w:rPr>
          <w:rFonts w:ascii="Times New Roman;serif" w:hAnsi="Times New Roman;serif"/>
          <w:b/>
          <w:sz w:val="20"/>
        </w:rPr>
        <w:t xml:space="preserve">Investment in clinical studies and product innovation to support growth. </w:t>
      </w:r>
      <w:r>
        <w:rPr>
          <w:rFonts w:ascii="Times New Roman;serif" w:hAnsi="Times New Roman;serif"/>
          <w:b w:val="false"/>
          <w:sz w:val="20"/>
        </w:rPr>
        <w:t>A significant aspect of our business is our investment in research and development, including the development of new products and our investments in clinical utility studies. We have invested heavily in clinical studies for our on market and pipeline products. Our studies focus primarily on the clinical utility of our tests including the ongoing INSIGHT study to continue our clinical understanding of the predictive and prognostic value of the VeriStrat test. On June 27, 2023, we completed enrollment of 5,000 patients with non-small cell lung cancer. The ALTITUDE study, launched during the fourth quarter 2020, seeks to further demonstrate the efficacy of the Nodify XL2 and Nodify CDT tests. A secondary focus of our studies is understanding the economic impact of our tests in assisting with decisions related to patient management and the potential impact of our tests in reducing overall healthcare costs. On July 12, 2023, we announced the prospective, real-world ORACLE study (An Observational Registry Study to Evaluate the Performance of the Nodify XL2 Test) achieved the primary endpoint of a statistically significant change in the proportion of benign lung nodules managed by Nodify XL2 experiencing invasive procedures. The ORACLE study showed patients with benign nodules managed with the Nodify XL2 test were 74% less likely to undergo an unnecessary invasive procedure compared to the control group. Additionally, the proportion of patients sent to CT surveillance with malignant nodules did not differ between the Nodify XL2 group and the control group.</w:t>
      </w:r>
    </w:p>
    <w:p>
      <w:pPr>
        <w:pStyle w:val="TextBody"/>
        <w:bidi w:val="0"/>
        <w:spacing w:before="120" w:after="0"/>
        <w:jc w:val="both"/>
        <w:rPr>
          <w:rFonts w:ascii="Times New Roman" w:hAnsi="Times New Roman"/>
          <w:sz w:val="20"/>
        </w:rPr>
      </w:pPr>
      <w:r>
        <w:rPr>
          <w:rFonts w:ascii="Times New Roman;serif" w:hAnsi="Times New Roman;serif"/>
          <w:b w:val="false"/>
          <w:sz w:val="20"/>
        </w:rPr>
        <w:t>Our clinical research has resulted in approximately 90 peer-reviewed publications for our tests. In addition to clinical studies, we are collaborating with investigators from multiple academic cancer centers. On June 3, 2022, we announced the intent to develop a new novel molecular minimal residual disease (MRD) test as a part of a master sponsored research agreement (MSRA) with Memorial Sloan Kettering Cancer Center (MSK). In addition, the MSRA between MSK and the Company also</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includes the potential future development of other diagnostic tests aimed at improving the treatment of cancer. We believe these studies are critical to gaining physician adoption and driving favorable coverage decisions by payers and expect our investments in research and development to increase. Further we also expect to increase our research and development expenses to fund further innovation and develop new clinically relevant tests.</w:t>
      </w:r>
    </w:p>
    <w:p>
      <w:pPr>
        <w:pStyle w:val="TextBody"/>
        <w:bidi w:val="0"/>
        <w:spacing w:before="120" w:after="0"/>
        <w:jc w:val="both"/>
        <w:rPr/>
      </w:pPr>
      <w:r>
        <w:rPr/>
        <w:t>•</w:t>
      </w:r>
    </w:p>
    <w:p>
      <w:pPr>
        <w:pStyle w:val="TextBody"/>
        <w:bidi w:val="0"/>
        <w:spacing w:before="120" w:after="283"/>
        <w:jc w:val="both"/>
        <w:rPr/>
      </w:pPr>
      <w:r>
        <w:rPr>
          <w:rFonts w:ascii="Times New Roman;serif" w:hAnsi="Times New Roman;serif"/>
          <w:b/>
          <w:sz w:val="20"/>
        </w:rPr>
        <w:t>Ability to attract new biopharmaceutical customers and maintain and expand relationships with existing customers</w:t>
      </w:r>
      <w:r>
        <w:rPr>
          <w:rFonts w:ascii="Times New Roman;serif" w:hAnsi="Times New Roman;serif"/>
          <w:b w:val="false"/>
          <w:sz w:val="20"/>
        </w:rPr>
        <w:t>. Our business development team promotes the broad utility of our products for biopharmaceutical companies in the United States and internationally. Our revenue, business opportunities and growth depend in part on our ability to attract new biopharmaceutical customers and to maintain and expand relationships with existing biopharmaceutical customers. We expect to increase our sales and marketing expenses in furtherance of this as we continue to develop these relationships, and we expect to support a growing number of investigations and clinical trials. If our relationships expand, we believe we may have opportunities to offer our platform for companion diagnostic development, novel target discovery and validation efforts, and to grow into other commercial opportunities. For example, we believe our multi-omic data including genomic and proteomic data, in combination with clinical outcomes or claims data, has revenue-generating potential, including for novel target identification and companion diagnostic discovery and development.</w:t>
      </w:r>
      <w:r>
        <w:rPr>
          <w:u w:val="single"/>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On June 30, 2022, the Company announced an arrangement with Royal Philips, a global leader in health care technology, in which our Nodify Lung blood-based lung nodule risk assessment testing will be incorporated into Philips Lung Cancer Orchestrator lung cancer patient management system. The incorporation of proteomics data – along with the radiologic and patient history data currently used to determine treatment decisions – can help create diagnostic efficiency for cancer care centers in the management of a growing number of lung nodule cases, via the contextual launch of Biodesix Nodify Lung application within Lung Cancer Orchestrator. Philips Lung Cancer Orchestrator solution is designed to enable health systems to operationalize lung cancer screening and lung nodule management programs at scale.</w:t>
      </w:r>
    </w:p>
    <w:p>
      <w:pPr>
        <w:pStyle w:val="TextBody"/>
        <w:bidi w:val="0"/>
        <w:spacing w:before="120" w:after="0"/>
        <w:jc w:val="both"/>
        <w:rPr/>
      </w:pPr>
      <w:r>
        <w:rPr/>
        <w:t>•</w:t>
      </w:r>
    </w:p>
    <w:p>
      <w:pPr>
        <w:pStyle w:val="TextBody"/>
        <w:bidi w:val="0"/>
        <w:spacing w:before="120" w:after="283"/>
        <w:jc w:val="both"/>
        <w:rPr/>
      </w:pPr>
      <w:r>
        <w:rPr>
          <w:rFonts w:ascii="Times New Roman;serif" w:hAnsi="Times New Roman;serif"/>
          <w:b/>
          <w:sz w:val="20"/>
        </w:rPr>
        <w:t>Motivating and expanding our field sales force and customer support team</w:t>
      </w:r>
      <w:r>
        <w:rPr>
          <w:rFonts w:ascii="Times New Roman;serif" w:hAnsi="Times New Roman;serif"/>
          <w:b w:val="false"/>
          <w:sz w:val="20"/>
        </w:rPr>
        <w:t>. Our field sales force is the primary point of contact in the clinical setting. These representatives of the Company must cover expansive geographic regions which limits their time for interaction and education of our products in the clinical setting. We plan to continue investing in the field sales force through select expansion and provide them with tools that maximize their education and selling efforts in order to achieve greater returns. Additionally, we plan to invest in the marketing and customer support teams to continue to provide the field sales force with the resources to be successful.</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While each of these areas present significant opportunities for us, they also pose significant risks and challenges that we must address. See Part II, Item 1A “Risk Factors” within this Form 10-Q and Item 1A “Risk Factors” of Part I of our Annual Report on Form 10-K for the year ended December 31, 2022 for more information.</w:t>
      </w:r>
    </w:p>
    <w:p>
      <w:pPr>
        <w:pStyle w:val="TextBody"/>
        <w:bidi w:val="0"/>
        <w:spacing w:before="240" w:after="0"/>
        <w:jc w:val="both"/>
        <w:rPr>
          <w:rFonts w:ascii="Times New Roman;serif" w:hAnsi="Times New Roman;serif"/>
          <w:b/>
          <w:sz w:val="20"/>
        </w:rPr>
      </w:pPr>
      <w:r>
        <w:rPr>
          <w:rFonts w:ascii="Times New Roman;serif" w:hAnsi="Times New Roman;serif"/>
          <w:b/>
          <w:sz w:val="20"/>
        </w:rPr>
        <w:t>COVID-19 Pandemic</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COVID-19 pandemic disrupted, and may continue to disrupt, our lung diagnostic testing operations. To protect the health and well-being of our workforce, partners, vendors and customers, we provide voluntary COVID-19 testing for employees working on-site, implemented social distance and building entry policies at work, restricted travel and facility visits, and followed the States of Colorado and Kansas’ public health orders and the guidance from the Centers for Disease Control and Prevention (CDC). Employees who can perform their duties remotely have the option to work from home. Our sales, marketing and business development efforts may be constrained by our operational response to future COVID-19 variant outbreaks. We will continue to adjust our operational norms, as needed, including complying with government directives and guidelines as they are modified and supplemented.</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COVID-19 pandemic and the surge associated with multiple variants negatively affected our lung diagnostic testing-related revenue and our clinical studies. Beginning in the third quarter 2020, the Company’s COVID-19 testing services began to experience rapid growth with a peak in the first quarter 2021; however, subsequent to this peak, we experienced a rapid decline in COVID-19 testing revenue primarily as a result of a few significant contracts that expired as well as the ongoing increase in COVID-19 vaccination rates across the U.S. and the adoption and availability of at-home testing. On January 30, 2023, the White House issued a Statement of Administration Policy announcing the President’s intention to allow the Public Health Emergency declaration under Section 319 to expire on May 11, 2023. In connection with the expiration of the Public Health Emergency declaration under Section 319, the Company no longer provides commercial COVID-19 diagnostic testing services.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See Item 1A “Risk Factors” of Part II in this Quarterly Report on Form 10-Q and those discussed in our other filings with the SEC, including the risks described in Item 1A “Risk Factors” of Part I of our Annual Report on Form 10-K for the year ended December 31, 2022, which was filed on March 6, 2023, for a description of how the COVID-19 pandemic may adversely affect our business, financial condition and results of operations.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sz w:val="20"/>
        </w:rPr>
      </w:pPr>
      <w:r>
        <w:rPr>
          <w:rFonts w:ascii="Times New Roman;serif" w:hAnsi="Times New Roman;serif"/>
          <w:b/>
          <w:sz w:val="20"/>
        </w:rPr>
        <w:t>Second Quarter 2023 Financial and Operational Highlights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following were significant developments affecting our business, capital structure and liquidity during the three months ended June 30, 2023 as compared to the same period in 2022 unless otherwise noted:</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Total revenue of $11.9 million, an increase of 8%including COVID testing revenue in second quarter 2022, driven primarily by strong year-over-year growth in core lung diagnostics, and a 48% year-over-year increase excluding COVID testing revenues from the prior year comparison:</w:t>
      </w:r>
    </w:p>
    <w:p>
      <w:pPr>
        <w:pStyle w:val="TextBody"/>
        <w:bidi w:val="0"/>
        <w:spacing w:before="120" w:after="0"/>
        <w:jc w:val="both"/>
        <w:rPr>
          <w:rFonts w:ascii="Times New Roman" w:hAnsi="Times New Roman"/>
          <w:b w:val="false"/>
          <w:sz w:val="20"/>
        </w:rPr>
      </w:pPr>
      <w:r>
        <w:rPr>
          <w:rFonts w:ascii="Times New Roman" w:hAnsi="Times New Roman"/>
          <w:b w:val="false"/>
          <w:sz w:val="20"/>
        </w:rPr>
        <w:t>o</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Core lung diagnostic revenue of $11.4 million reflected a year-over-year increase of 58% driven primarily by the continued adoption of Nodify Lung nodule management tests;</w:t>
      </w:r>
    </w:p>
    <w:p>
      <w:pPr>
        <w:pStyle w:val="TextBody"/>
        <w:bidi w:val="0"/>
        <w:spacing w:before="120" w:after="0"/>
        <w:jc w:val="both"/>
        <w:rPr>
          <w:rFonts w:ascii="Times New Roman" w:hAnsi="Times New Roman"/>
          <w:b w:val="false"/>
          <w:sz w:val="20"/>
        </w:rPr>
      </w:pPr>
      <w:r>
        <w:rPr>
          <w:rFonts w:ascii="Times New Roman" w:hAnsi="Times New Roman"/>
          <w:b w:val="false"/>
          <w:sz w:val="20"/>
        </w:rPr>
        <w:t>o</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Services revenue of $0.4 million decreased 43% year-over-year. Timelines for existing and new agreements continue to be impacted by delayed enrollment in clinical trials;</w:t>
      </w:r>
    </w:p>
    <w:p>
      <w:pPr>
        <w:pStyle w:val="TextBody"/>
        <w:bidi w:val="0"/>
        <w:spacing w:before="120" w:after="0"/>
        <w:jc w:val="both"/>
        <w:rPr>
          <w:rFonts w:ascii="Times New Roman" w:hAnsi="Times New Roman"/>
          <w:b w:val="false"/>
          <w:sz w:val="20"/>
        </w:rPr>
      </w:pPr>
      <w:r>
        <w:rPr>
          <w:rFonts w:ascii="Times New Roman" w:hAnsi="Times New Roman"/>
          <w:b w:val="false"/>
          <w:sz w:val="20"/>
        </w:rPr>
        <w:t>o</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COVID-19 testing revenue decreased by 100% year-over-year. The Company no longer provides COVID-19 diagnostic testing services commercially;</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Second quarter 2023 gross profit of $8.6 million, or 73% gross margin as compared to 64% gross margin in the comparable prior year period primarily driven by growth in Lung Diagnostic Testing and optimization of testing workflows that resulted in improvements in costs per test, and the and commercial discontinuation of our lower-margin COVID-19 diagnostic testing;</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Operating expenses (excluding direct costs and expenses) of $19.6 million, an increase of approximately $1.0 million, or 5% as compared to the second quarter 2022 (includes non-cash stock compensation expense of $1.1 million as compared to $1.4 million). This increase is primarily attributable to increased sales and marketing costs to support core lung diagnostic sales growth including increased travel-related costs and marketing programs to enhance product awareness as we actively participate in an increasing number of peer-to-peer physician educational events;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Net loss of $13.4 million, a decrease of approximately $2.5 million, or 16%;</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Cash and cash equivalents of $17.4 million as of June 30, 2023, a decrease of $7.9 million from March 31, 2023. This represented an improvement of approximately 54% in cash utilization versus the cash utilized in the first quarter 2023;</w:t>
      </w:r>
    </w:p>
    <w:p>
      <w:pPr>
        <w:pStyle w:val="TextBody"/>
        <w:bidi w:val="0"/>
        <w:spacing w:before="120" w:after="0"/>
        <w:jc w:val="both"/>
        <w:rPr>
          <w:rFonts w:ascii="Times New Roman" w:hAnsi="Times New Roman"/>
          <w:b w:val="false"/>
          <w:sz w:val="20"/>
        </w:rPr>
      </w:pPr>
      <w:r>
        <w:rPr>
          <w:rFonts w:ascii="Times New Roman" w:hAnsi="Times New Roman"/>
          <w:b w:val="false"/>
          <w:sz w:val="20"/>
        </w:rPr>
        <w:t>o</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Scheduled milestone payment of $2.3 million paid in April 2023 to Indi;</w:t>
      </w:r>
    </w:p>
    <w:p>
      <w:pPr>
        <w:pStyle w:val="TextBody"/>
        <w:bidi w:val="0"/>
        <w:spacing w:before="120" w:after="0"/>
        <w:jc w:val="both"/>
        <w:rPr>
          <w:rFonts w:ascii="Times New Roman" w:hAnsi="Times New Roman"/>
          <w:b w:val="false"/>
          <w:sz w:val="20"/>
        </w:rPr>
      </w:pPr>
      <w:r>
        <w:rPr>
          <w:rFonts w:ascii="Times New Roman" w:hAnsi="Times New Roman"/>
          <w:b w:val="false"/>
          <w:sz w:val="20"/>
        </w:rPr>
        <w:t>o</w:t>
      </w:r>
    </w:p>
    <w:p>
      <w:pPr>
        <w:pStyle w:val="TextBody"/>
        <w:bidi w:val="0"/>
        <w:spacing w:before="120" w:after="283"/>
        <w:jc w:val="both"/>
        <w:rPr>
          <w:rFonts w:ascii="Times New Roman;serif" w:hAnsi="Times New Roman;serif"/>
          <w:b w:val="false"/>
          <w:i/>
          <w:sz w:val="20"/>
        </w:rPr>
      </w:pPr>
      <w:r>
        <w:rPr>
          <w:rFonts w:ascii="Times New Roman;serif" w:hAnsi="Times New Roman;serif"/>
          <w:b w:val="false"/>
          <w:i/>
          <w:sz w:val="20"/>
        </w:rPr>
        <w:t>Subsequent to quarter end, raised $27.5 million in gross equity proceeds from a private placement to be used for commercial expansion of sales, research and development, and for general corporate purposes.</w:t>
      </w:r>
    </w:p>
    <w:p>
      <w:pPr>
        <w:pStyle w:val="TextBody"/>
        <w:bidi w:val="0"/>
        <w:spacing w:before="240" w:after="0"/>
        <w:jc w:val="both"/>
        <w:rPr>
          <w:rFonts w:ascii="Times New Roman;serif" w:hAnsi="Times New Roman;serif"/>
          <w:b/>
          <w:sz w:val="20"/>
        </w:rPr>
      </w:pPr>
      <w:r>
        <w:rPr>
          <w:rFonts w:ascii="Times New Roman;serif" w:hAnsi="Times New Roman;serif"/>
          <w:b/>
          <w:sz w:val="20"/>
        </w:rPr>
        <w:t>Components of Operating Results</w:t>
      </w:r>
    </w:p>
    <w:p>
      <w:pPr>
        <w:pStyle w:val="TextBody"/>
        <w:bidi w:val="0"/>
        <w:spacing w:before="120" w:after="0"/>
        <w:jc w:val="both"/>
        <w:rPr>
          <w:rFonts w:ascii="Times New Roman;serif" w:hAnsi="Times New Roman;serif"/>
          <w:b/>
          <w:i/>
          <w:sz w:val="20"/>
        </w:rPr>
      </w:pPr>
      <w:r>
        <w:rPr>
          <w:rFonts w:ascii="Times New Roman;serif" w:hAnsi="Times New Roman;serif"/>
          <w:b/>
          <w:i/>
          <w:sz w:val="20"/>
        </w:rPr>
        <w:t>Revenues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derive our revenue from two primary sources: (i) providing diagnostic testing in the clinical setting (Diagnostic Tests); and (ii) providing biopharmaceutical companies with services that include diagnostic research, clinical research, clinical trial testing, development and testing services generally provided outside the clinical setting and governed by individual contracts with third parties as well as development and commercialization of companion diagnostics (Services).</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Diagnostic Tests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Diagnostic test revenue is generated from delivery of results from our diagnostic tests. In the United States, we performed tests as both an in-network and out-of-network service provider depending on the test performed and the contracted status of the insurer. We provide diagnostic tests in two primary categories: (i) core lung diagnostics testing and (ii) COVID-19 testing. On January 30, 2023, the White House issued a Statement of Administration Policy announcing the President’s intention to allow the Public Health Emergency declaration under Section 319 to expire on May 11, 2023. In connection with the expiration of the Public Health Emergency declaration under Section 319, the Company no longer provides commercial COVID-19 diagnostic testing services.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consider diagnostic testing to be completed upon the delivery of test results to our customer, either the prescribing physician or third-party to which we contracted for services to be performed, which is considered the performance obligation. The fees for such services are billed either to a third party such as Medicare, medical facilities, commercial insurance payers, or to the patient. We determine the transaction price related to our contracts by considering the nature of the payer, test type, the historical amount of time until payment by a payer and historical price concessions granted to groups of customers.</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Services</w:t>
      </w:r>
    </w:p>
    <w:p>
      <w:pPr>
        <w:pStyle w:val="TextBody"/>
        <w:bidi w:val="0"/>
        <w:spacing w:before="120" w:after="0"/>
        <w:jc w:val="both"/>
        <w:rPr>
          <w:rFonts w:ascii="Times New Roman" w:hAnsi="Times New Roman"/>
          <w:sz w:val="20"/>
        </w:rPr>
      </w:pPr>
      <w:r>
        <w:rPr>
          <w:rFonts w:ascii="Times New Roman;serif" w:hAnsi="Times New Roman;serif"/>
          <w:b w:val="false"/>
          <w:sz w:val="20"/>
        </w:rPr>
        <w:t>Services revenue is generated from the delivery of our on-market tests, pipeline tests, custom diagnostic testing, and other scientific services for a purpose as defined by any individual customer. At times we collaborate with large biopharmaceutical companies in an attempt to discover biomarkers that would be helpful in their drug development or marketing. The performance obligations and related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revenue for these sales is defined by a written agreement between us and our customer. These services are generally completed upon the delivery of testing results, or other contractually defined milestone(s), to the customer, which is considered the performance obligation. Customers for these services are typically large pharmaceutical companies where collectability is reasonably assured and therefore revenue is accrued upon completion of the performance obligations. Revenue derived from services is often unpredictable and can cause dramatic swings in our overall net revenue line from quarter to quarter.</w:t>
      </w:r>
    </w:p>
    <w:p>
      <w:pPr>
        <w:pStyle w:val="TextBody"/>
        <w:bidi w:val="0"/>
        <w:spacing w:before="120" w:after="0"/>
        <w:jc w:val="both"/>
        <w:rPr>
          <w:rFonts w:ascii="Times New Roman;serif" w:hAnsi="Times New Roman;serif"/>
          <w:b/>
          <w:i/>
          <w:sz w:val="20"/>
        </w:rPr>
      </w:pPr>
      <w:r>
        <w:rPr>
          <w:rFonts w:ascii="Times New Roman;serif" w:hAnsi="Times New Roman;serif"/>
          <w:b/>
          <w:i/>
          <w:sz w:val="20"/>
        </w:rPr>
        <w:t>Operating Expenses</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Direct costs and expenses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Cost of diagnostic testing generally consists of cost of materials, direct labor, including bonuses, employee benefits, share-based compensation, equipment and infrastructure expenses associated with acquiring and processing test samples, including sample accessioning, test performance, quality control analyses, charges to collect and transport samples; curation of test results for physicians; and in some cases, license or royalty fees due to third parties. Costs associated with performing our tests are recorded as the tests are processed regardless of whether revenue was recognized with respect to the tests. Infrastructure expenses include depreciation of laboratory equipment, rent costs, amortization of leasehold improvements and information technology costs. Royalties for licensed technology are calculated as a percentage of revenues generated using the associated technology and recorded as expense at the time the related revenue is recognized. One-time royalty payments related to signing of license agreements or other milestones, such as issuance of new patents, are amortized to expense over the expected useful life of the patents. While we do not believe the technologies underlying these licenses are necessary to permit us to provide our tests, we do believe these technologies are potentially valuable and of possible strategic importance to us or our competitors. Under these license agreements, we are obligated to pay aggregate royalties ranging from 1% to 8% of sales in which the patents or know-how are used in the product or service sold, sometimes subject to minimum annual royalties or fees in certain agreements.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expect the aggregate cost of diagnostic testing to increase in line with the increase in the number of tests we perform, but the cost per test to decrease modestly over time due to the efficiencies we may gain as test volume increases, and from automation and other cost reductions. Cost of services includes costs incurred for the performance of development services requested by our customers. Costs of development services will vary depending on the nature, timing and scope of customer projects.</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Research and development</w:t>
      </w:r>
    </w:p>
    <w:p>
      <w:pPr>
        <w:pStyle w:val="TextBody"/>
        <w:bidi w:val="0"/>
        <w:spacing w:before="120" w:after="0"/>
        <w:jc w:val="both"/>
        <w:rPr>
          <w:rFonts w:ascii="Times New Roman" w:hAnsi="Times New Roman"/>
          <w:sz w:val="20"/>
        </w:rPr>
      </w:pPr>
      <w:r>
        <w:rPr>
          <w:rFonts w:ascii="Times New Roman;serif" w:hAnsi="Times New Roman;serif"/>
          <w:b w:val="false"/>
          <w:sz w:val="20"/>
        </w:rPr>
        <w:t>Research and development expenses consist of costs incurred to develop technology and include salaries, share-based compensation and benefits, reagents and supplies used in research and development laboratory work, infrastructure expenses, including allocated facility occupancy and information technology costs, contract services, clinical studies, other outside costs and costs to develop our technology capabilities. Research and development expenses account for a significant portion of our operating expenses and consist primarily of external and internal costs incurred in connection with the discovery and development of our product candidates.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External expenses include: (i) payments to third parties in connection with the clinical development of our product candidates, including contract research organizations and consultants; (ii) the cost of manufacturing products for use in our preclinical studies and clinical trials, including payments to contract manufacturing organizations (CMOs) and consultants; (iii) scientific development services, consulting research fees and for sponsored research arrangements with third parties; (iv) laboratory supplies; and (v) allocated facilities, depreciation and other expenses, which include direct or allocated expenses for IT, rent and maintenance of facilities. External expenses are recognized based on an evaluation of the progress to completion of specific tasks using information provided to us by our service providers or our estimate of the level of service that has been performed at each reporting date. We track external costs by the stage of program, clinical or preclinical.</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Internal expenses include employee-related costs, including salaries, share-based compensation and related benefits for employees engaged in research and development functions. We do not track internal costs by product candidate because these costs are deployed across multiple programs and, as such, are not separately classified.</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Research and development costs are expensed as incurred. Payments made prior to the receipt of goods or services to be used in research and development are deferred and recognized as expense in the period in which the related goods are received or services are rendered. Costs to develop our technology capabilities are recorded as research and development.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expect our research and development expenses to increase as we continue to innovate and develop additional products and expand our data management resources. As our services revenue grows, an increasing portion of research and development dollars are expected to be allocated to cost of services for biopharmaceutical service contracts. This expense, though expected to increase in dollars, is expected to decrease as a percentage of revenue in the long term, though it may fluctuate as a percentage of our revenues from period to period due to the timing and extent of these expenses.</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Sales, marketing, general and administrative</w:t>
      </w:r>
    </w:p>
    <w:p>
      <w:pPr>
        <w:pStyle w:val="TextBody"/>
        <w:bidi w:val="0"/>
        <w:spacing w:before="120" w:after="0"/>
        <w:jc w:val="both"/>
        <w:rPr>
          <w:rFonts w:ascii="Times New Roman" w:hAnsi="Times New Roman"/>
          <w:sz w:val="20"/>
        </w:rPr>
      </w:pPr>
      <w:r>
        <w:rPr>
          <w:rFonts w:ascii="Times New Roman;serif" w:hAnsi="Times New Roman;serif"/>
          <w:b w:val="false"/>
          <w:sz w:val="20"/>
        </w:rPr>
        <w:t>Our sales and marketing expenses are expensed as incurred and include costs associated with our sales organization, including our direct sales force and sales management, client services, marketing and reimbursement, as well as business development personnel who are focused on our biopharmaceutical customers. These expenses consist primarily of salaries, commissions, bonuses, employee benefits,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share-based compensation, and travel, as well as marketing and educational activities and allocated overhead expenses. We expect our sales and marketing expenses to increase in dollars as we expand our sales force, increase our presence within the United States, and increase our marketing activities to drive further awareness and adoption of our tests and our future products. These expenses, though expected to increase in dollars, are expected to decrease as a percentage of revenue in the long term, though they may fluctuate as a percentage of our revenues from period to period due to the timing and extent of these expenses.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general and administrative expenses include costs for our executive, accounting, finance, legal and human resources functions. These expenses consist principally of salaries, bonuses, employee benefits, share-based compensation, and travel, as well as professional services fees such as consulting, audit, tax and legal fees, and general corporate costs and allocated overhead expenses. We expect that our general and administrative expenses will continue to increase in dollars,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dollars, are expected to decrease as a percentage of revenue in the long term, though they may fluctuate as a percentage from period to period due to the timing and extent of these expenses.</w:t>
      </w:r>
    </w:p>
    <w:p>
      <w:pPr>
        <w:pStyle w:val="TextBody"/>
        <w:bidi w:val="0"/>
        <w:spacing w:before="120" w:after="0"/>
        <w:jc w:val="both"/>
        <w:rPr>
          <w:rFonts w:ascii="Times New Roman;serif" w:hAnsi="Times New Roman;serif"/>
          <w:b/>
          <w:i/>
          <w:sz w:val="20"/>
        </w:rPr>
      </w:pPr>
      <w:r>
        <w:rPr>
          <w:rFonts w:ascii="Times New Roman;serif" w:hAnsi="Times New Roman;serif"/>
          <w:b/>
          <w:i/>
          <w:sz w:val="20"/>
        </w:rPr>
        <w:t>Non-Operating Expenses</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Interest Expense and Interest Income</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For the three and six months ended June 30, 2023, interest expense consists of cash and non-cash interest from the Perceptive Term Loan Facility and changes in the value of our contingent consideration associated with the passage of time subsequent to the achievement of the gross margin target in the second quarter 2021. For the three and six months ended June 30, 2022, interest expense primarily consists of cash and non-cash interest from Promissory Note One, the 2021 Term Loan and changes in the value of our contingent consideration associated with the passage of time subsequent to the achievement of the contingency in the second quarter 2021. Interest income, which is included in ‘Other income, net’ in the condensed statements of operations consists of income earned on our cash and cash equivalents.</w:t>
      </w:r>
    </w:p>
    <w:p>
      <w:pPr>
        <w:pStyle w:val="TextBody"/>
        <w:bidi w:val="0"/>
        <w:spacing w:before="240" w:after="0"/>
        <w:jc w:val="both"/>
        <w:rPr>
          <w:rFonts w:ascii="Times New Roman;serif" w:hAnsi="Times New Roman;serif"/>
          <w:b/>
          <w:sz w:val="20"/>
        </w:rPr>
      </w:pPr>
      <w:r>
        <w:rPr>
          <w:rFonts w:ascii="Times New Roman;serif" w:hAnsi="Times New Roman;serif"/>
          <w:b/>
          <w:sz w:val="20"/>
        </w:rPr>
        <w:t>Results of Operations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following table sets forth the significant components of our results of operations for the periods presented (in thousands, except percentages):</w:t>
      </w:r>
    </w:p>
    <w:tbl>
      <w:tblPr>
        <w:tblW w:w="10953" w:type="dxa"/>
        <w:jc w:val="left"/>
        <w:tblInd w:w="0" w:type="dxa"/>
        <w:tblLayout w:type="fixed"/>
        <w:tblCellMar>
          <w:top w:w="28" w:type="dxa"/>
          <w:left w:w="28" w:type="dxa"/>
          <w:bottom w:w="28" w:type="dxa"/>
          <w:right w:w="28" w:type="dxa"/>
        </w:tblCellMar>
      </w:tblPr>
      <w:tblGrid>
        <w:gridCol w:w="1396"/>
        <w:gridCol w:w="146"/>
        <w:gridCol w:w="211"/>
        <w:gridCol w:w="736"/>
        <w:gridCol w:w="166"/>
        <w:gridCol w:w="146"/>
        <w:gridCol w:w="211"/>
        <w:gridCol w:w="736"/>
        <w:gridCol w:w="166"/>
        <w:gridCol w:w="146"/>
        <w:gridCol w:w="211"/>
        <w:gridCol w:w="631"/>
        <w:gridCol w:w="166"/>
        <w:gridCol w:w="146"/>
        <w:gridCol w:w="146"/>
        <w:gridCol w:w="421"/>
        <w:gridCol w:w="271"/>
        <w:gridCol w:w="146"/>
        <w:gridCol w:w="211"/>
        <w:gridCol w:w="736"/>
        <w:gridCol w:w="166"/>
        <w:gridCol w:w="146"/>
        <w:gridCol w:w="211"/>
        <w:gridCol w:w="736"/>
        <w:gridCol w:w="166"/>
        <w:gridCol w:w="146"/>
        <w:gridCol w:w="211"/>
        <w:gridCol w:w="631"/>
        <w:gridCol w:w="166"/>
        <w:gridCol w:w="146"/>
        <w:gridCol w:w="146"/>
        <w:gridCol w:w="421"/>
        <w:gridCol w:w="51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3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2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2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516" w:type="dxa"/>
            <w:tcBorders/>
            <w:vAlign w:val="center"/>
          </w:tcPr>
          <w:p>
            <w:pPr>
              <w:pStyle w:val="TableContents"/>
              <w:bidi w:val="0"/>
              <w:spacing w:before="0" w:after="0"/>
              <w:ind w:left="0" w:right="0" w:firstLine="200"/>
              <w:jc w:val="right"/>
              <w:rPr/>
            </w:pPr>
            <w:r>
              <w:rPr/>
              <w:t> </w:t>
            </w:r>
          </w:p>
        </w:tc>
      </w:tr>
      <w:tr>
        <w:trPr/>
        <w:tc>
          <w:tcPr>
            <w:tcW w:w="13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Direct costs and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5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3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5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3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Sales, marketing, 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5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3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Impairment loss on intangible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22,799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48,228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43,585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(26,087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(expense) income</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516" w:type="dxa"/>
            <w:tcBorders/>
            <w:vAlign w:val="center"/>
          </w:tcPr>
          <w:p>
            <w:pPr>
              <w:pStyle w:val="TableContents"/>
              <w:bidi w:val="0"/>
              <w:spacing w:before="0" w:after="0"/>
              <w:ind w:left="0" w:right="0" w:firstLine="200"/>
              <w:jc w:val="right"/>
              <w:rPr/>
            </w:pPr>
            <w:r>
              <w:rPr/>
              <w:t> </w:t>
            </w:r>
          </w:p>
        </w:tc>
      </w:tr>
      <w:tr>
        <w:trPr/>
        <w:tc>
          <w:tcPr>
            <w:tcW w:w="13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(4,821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(2,483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w:t>
            </w:r>
          </w:p>
        </w:tc>
        <w:tc>
          <w:tcPr>
            <w:tcW w:w="5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3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Loss on extinguishment of liabilities,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5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3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fair value of warrant liability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5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3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(4,198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(4,758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(13,356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(15,824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(32,058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(31,410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5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516" w:type="dxa"/>
            <w:tcBorders/>
            <w:vAlign w:val="center"/>
          </w:tcPr>
          <w:p>
            <w:pPr>
              <w:pStyle w:val="TableContents"/>
              <w:bidi w:val="0"/>
              <w:spacing w:before="0" w:after="0"/>
              <w:ind w:left="0" w:right="0" w:hanging="0"/>
              <w:jc w:val="right"/>
              <w:rPr/>
            </w:pPr>
            <w:r>
              <w:rPr/>
              <w:t> </w:t>
            </w:r>
          </w:p>
        </w:tc>
      </w:tr>
      <w:tr>
        <w:trPr/>
        <w:tc>
          <w:tcPr>
            <w:tcW w:w="139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Share-based compensation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60" w:after="0"/>
        <w:jc w:val="both"/>
        <w:rPr>
          <w:rFonts w:ascii="Times New Roman" w:hAnsi="Times New Roman"/>
          <w:b w:val="false"/>
          <w:sz w:val="20"/>
        </w:rPr>
      </w:pPr>
      <w:r>
        <w:rPr>
          <w:rFonts w:ascii="Times New Roman" w:hAnsi="Times New Roman"/>
          <w:b w:val="false"/>
          <w:sz w:val="20"/>
        </w:rPr>
        <w:t>(1)</w:t>
      </w:r>
    </w:p>
    <w:p>
      <w:pPr>
        <w:pStyle w:val="TextBody"/>
        <w:bidi w:val="0"/>
        <w:spacing w:before="60" w:after="283"/>
        <w:jc w:val="both"/>
        <w:rPr>
          <w:rFonts w:ascii="Times New Roman;serif" w:hAnsi="Times New Roman;serif"/>
          <w:b w:val="false"/>
          <w:sz w:val="20"/>
        </w:rPr>
      </w:pPr>
      <w:r>
        <w:rPr>
          <w:rFonts w:ascii="Times New Roman;serif" w:hAnsi="Times New Roman;serif"/>
          <w:b w:val="false"/>
          <w:sz w:val="20"/>
        </w:rPr>
        <w:t>Amounts represent share-based compensation expense reported in the Company’s results of operations above.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i/>
          <w:sz w:val="20"/>
        </w:rPr>
      </w:pPr>
      <w:r>
        <w:rPr>
          <w:rFonts w:ascii="Times New Roman;serif" w:hAnsi="Times New Roman;serif"/>
          <w:b/>
          <w:i/>
          <w:sz w:val="20"/>
        </w:rPr>
        <w:t>Revenues</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We generate revenue by providing laboratory testing of our diagnostic tests and services. Our revenues for the periods indicated were as follows (in thousands, except percentages):</w:t>
      </w:r>
    </w:p>
    <w:tbl>
      <w:tblPr>
        <w:tblW w:w="10363" w:type="dxa"/>
        <w:jc w:val="left"/>
        <w:tblInd w:w="0" w:type="dxa"/>
        <w:tblLayout w:type="fixed"/>
        <w:tblCellMar>
          <w:top w:w="28" w:type="dxa"/>
          <w:left w:w="28" w:type="dxa"/>
          <w:bottom w:w="28" w:type="dxa"/>
          <w:right w:w="28" w:type="dxa"/>
        </w:tblCellMar>
      </w:tblPr>
      <w:tblGrid>
        <w:gridCol w:w="1006"/>
        <w:gridCol w:w="146"/>
        <w:gridCol w:w="211"/>
        <w:gridCol w:w="676"/>
        <w:gridCol w:w="146"/>
        <w:gridCol w:w="146"/>
        <w:gridCol w:w="211"/>
        <w:gridCol w:w="676"/>
        <w:gridCol w:w="146"/>
        <w:gridCol w:w="146"/>
        <w:gridCol w:w="211"/>
        <w:gridCol w:w="631"/>
        <w:gridCol w:w="166"/>
        <w:gridCol w:w="146"/>
        <w:gridCol w:w="146"/>
        <w:gridCol w:w="481"/>
        <w:gridCol w:w="271"/>
        <w:gridCol w:w="146"/>
        <w:gridCol w:w="211"/>
        <w:gridCol w:w="676"/>
        <w:gridCol w:w="146"/>
        <w:gridCol w:w="146"/>
        <w:gridCol w:w="211"/>
        <w:gridCol w:w="676"/>
        <w:gridCol w:w="146"/>
        <w:gridCol w:w="146"/>
        <w:gridCol w:w="211"/>
        <w:gridCol w:w="631"/>
        <w:gridCol w:w="166"/>
        <w:gridCol w:w="146"/>
        <w:gridCol w:w="146"/>
        <w:gridCol w:w="481"/>
        <w:gridCol w:w="516"/>
      </w:tblGrid>
      <w:tr>
        <w:trPr/>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0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8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8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27"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27" w:type="dxa"/>
            <w:gridSpan w:val="2"/>
            <w:tcBorders/>
            <w:vAlign w:val="center"/>
          </w:tcPr>
          <w:p>
            <w:pPr>
              <w:pStyle w:val="TableContents"/>
              <w:bidi w:val="0"/>
              <w:spacing w:before="0" w:after="0"/>
              <w:ind w:left="0" w:right="0" w:hanging="0"/>
              <w:jc w:val="right"/>
              <w:rPr/>
            </w:pPr>
            <w:r>
              <w:rPr/>
              <w:t> </w:t>
            </w:r>
          </w:p>
        </w:tc>
        <w:tc>
          <w:tcPr>
            <w:tcW w:w="516" w:type="dxa"/>
            <w:tcBorders/>
            <w:vAlign w:val="center"/>
          </w:tcPr>
          <w:p>
            <w:pPr>
              <w:pStyle w:val="TableContents"/>
              <w:bidi w:val="0"/>
              <w:spacing w:before="0" w:after="0"/>
              <w:ind w:left="0" w:right="0" w:firstLine="200"/>
              <w:jc w:val="right"/>
              <w:rPr/>
            </w:pPr>
            <w:r>
              <w:rPr/>
              <w:t> </w:t>
            </w:r>
          </w:p>
        </w:tc>
      </w:tr>
      <w:tr>
        <w:trPr/>
        <w:tc>
          <w:tcPr>
            <w:tcW w:w="10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Lung Diagnostic</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5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0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COVID-19</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3,938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100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Diagnostic testing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51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100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Services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0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11,872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20,928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17,498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5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Total revenue increased $0.9 or 8%, and increased $3.4 million or 20% for the three and six months ended June 30, 2023, respectively, compared to the same periods in 2022.</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Diagnostic test revenue increased $1.2 million or 12%, and increased $4.3 million or 27% for the three and six months ended June 30, 2023, respectively, compared to the same periods in 2022 due to an increase in our core lung diagnostic testing revenue of $4.2 million and $8.2 million, respectively, driven by an increase in our core lung diagnostic tests delivered. The Company’s core lung diagnostic sales efforts continued to gain momentum during the three and six months ended June 30, 2023 as the number of tests delivered reached the highest in Company history for two consecutive quarters. Partially offsetting this increase was a $3.0 million and $3.9 million reduction in COVID-19 testing revenue for the three and six months ended June 30, 2023, respectively, resulting from the expiration of significant COVID-19 testing contracts and the recession of the COVID-19 pandemic. Additionally, on January 30, 2023, the White House issued a Statement of Administration Policy announcing the President’s intention to allow the Public Health Emergency declaration under Section 319 to expire on May 11, 2023. In connection with the expiration of the Public Health Emergency declaration under Section 319, the Company no longer provides COVID-19 diagnostic testing services commercially.</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Services revenue decreased $0.3 million or 43%, and decreased $0.8 million or 50% for the three and six months ended June 30, 2023, respectively, compared to the same periods in 2022 due to lower testing volumes driven by delayed enrollment in clinical trials and the completion of a material contract in 2022. In addition, service revenue can fluctuate due to several factors including contract timing, which can be long under normal circumstances, and currently reflects the slower pace of overall prospective clinical trial enrollment recovering from disruptions put forth by COVID-19.</w:t>
      </w:r>
    </w:p>
    <w:p>
      <w:pPr>
        <w:pStyle w:val="TextBody"/>
        <w:bidi w:val="0"/>
        <w:spacing w:before="120" w:after="0"/>
        <w:jc w:val="both"/>
        <w:rPr>
          <w:rFonts w:ascii="Times New Roman;serif" w:hAnsi="Times New Roman;serif"/>
          <w:b/>
          <w:i/>
          <w:sz w:val="20"/>
        </w:rPr>
      </w:pPr>
      <w:r>
        <w:rPr>
          <w:rFonts w:ascii="Times New Roman;serif" w:hAnsi="Times New Roman;serif"/>
          <w:b/>
          <w:i/>
          <w:sz w:val="20"/>
        </w:rPr>
        <w:t>Operating Expenses</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Direct costs and expenses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Direct costs and expenses related to revenue decreased $0.7 million or 19%, and decreased $0.8 million or 11% for the three and six months ended June 30, 2023, respectively, compared to the same periods in 2022. The decrease in costs for the three and six months ended June 30, 2023 was driven primarily by the overall decline in COVID-19 and Services testing revenue, partially offset by an increase in direct costs and expenses associated with increased lung diagnostic revenue.</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Research and development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Research and development expenses decreased $0.5 million or 13%, and decreased $0.4 million or 6% for the three and six months ended June 30, 2023, respectively, compared to the same periods in 2022. The decrease in costs for both the three and six months ended June 30, 2023 was due primarily to a decrease in internal expenses associated with compensation and benefit costs and other external costs associated with laboratory costs.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following table summarizes our external and internal costs for the three and six months ended June 30, 2023 and 2022 (in thousands, except percentages):</w:t>
      </w:r>
    </w:p>
    <w:tbl>
      <w:tblPr>
        <w:tblW w:w="10205" w:type="dxa"/>
        <w:jc w:val="left"/>
        <w:tblInd w:w="0" w:type="dxa"/>
        <w:tblLayout w:type="fixed"/>
        <w:tblCellMar>
          <w:top w:w="28" w:type="dxa"/>
          <w:left w:w="28" w:type="dxa"/>
          <w:bottom w:w="28" w:type="dxa"/>
          <w:right w:w="28" w:type="dxa"/>
        </w:tblCellMar>
      </w:tblPr>
      <w:tblGrid>
        <w:gridCol w:w="1494"/>
        <w:gridCol w:w="146"/>
        <w:gridCol w:w="222"/>
        <w:gridCol w:w="602"/>
        <w:gridCol w:w="154"/>
        <w:gridCol w:w="154"/>
        <w:gridCol w:w="222"/>
        <w:gridCol w:w="602"/>
        <w:gridCol w:w="146"/>
        <w:gridCol w:w="146"/>
        <w:gridCol w:w="211"/>
        <w:gridCol w:w="481"/>
        <w:gridCol w:w="166"/>
        <w:gridCol w:w="146"/>
        <w:gridCol w:w="146"/>
        <w:gridCol w:w="376"/>
        <w:gridCol w:w="279"/>
        <w:gridCol w:w="146"/>
        <w:gridCol w:w="219"/>
        <w:gridCol w:w="592"/>
        <w:gridCol w:w="151"/>
        <w:gridCol w:w="151"/>
        <w:gridCol w:w="219"/>
        <w:gridCol w:w="592"/>
        <w:gridCol w:w="146"/>
        <w:gridCol w:w="146"/>
        <w:gridCol w:w="211"/>
        <w:gridCol w:w="481"/>
        <w:gridCol w:w="166"/>
        <w:gridCol w:w="146"/>
        <w:gridCol w:w="146"/>
        <w:gridCol w:w="271"/>
        <w:gridCol w:w="729"/>
      </w:tblGrid>
      <w:tr>
        <w:trPr/>
        <w:tc>
          <w:tcPr>
            <w:tcW w:w="1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149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2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2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2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2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7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9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 </w:t>
            </w:r>
          </w:p>
        </w:tc>
        <w:tc>
          <w:tcPr>
            <w:tcW w:w="82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2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pPr>
            <w:r>
              <w:rPr/>
              <w:t> </w:t>
            </w:r>
          </w:p>
        </w:tc>
        <w:tc>
          <w:tcPr>
            <w:tcW w:w="8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7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External expenses:</w:t>
            </w:r>
          </w:p>
        </w:tc>
        <w:tc>
          <w:tcPr>
            <w:tcW w:w="146" w:type="dxa"/>
            <w:tcBorders/>
            <w:vAlign w:val="center"/>
          </w:tcPr>
          <w:p>
            <w:pPr>
              <w:pStyle w:val="TableContents"/>
              <w:bidi w:val="0"/>
              <w:spacing w:before="0" w:after="0"/>
              <w:ind w:left="0" w:right="0" w:hanging="0"/>
              <w:jc w:val="left"/>
              <w:rPr/>
            </w:pPr>
            <w:r>
              <w:rPr/>
              <w:t> </w:t>
            </w:r>
          </w:p>
        </w:tc>
        <w:tc>
          <w:tcPr>
            <w:tcW w:w="824" w:type="dxa"/>
            <w:gridSpan w:val="2"/>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 </w:t>
            </w:r>
          </w:p>
        </w:tc>
        <w:tc>
          <w:tcPr>
            <w:tcW w:w="824"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right"/>
              <w:rPr/>
            </w:pPr>
            <w:r>
              <w:rPr/>
              <w:t> </w:t>
            </w:r>
          </w:p>
        </w:tc>
        <w:tc>
          <w:tcPr>
            <w:tcW w:w="27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left"/>
              <w:rPr/>
            </w:pPr>
            <w:r>
              <w:rPr/>
              <w:t> </w:t>
            </w:r>
          </w:p>
        </w:tc>
        <w:tc>
          <w:tcPr>
            <w:tcW w:w="81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17" w:type="dxa"/>
            <w:gridSpan w:val="2"/>
            <w:tcBorders/>
            <w:vAlign w:val="center"/>
          </w:tcPr>
          <w:p>
            <w:pPr>
              <w:pStyle w:val="TableContents"/>
              <w:bidi w:val="0"/>
              <w:spacing w:before="0" w:after="0"/>
              <w:ind w:left="0" w:right="0" w:hanging="0"/>
              <w:jc w:val="right"/>
              <w:rPr/>
            </w:pPr>
            <w:r>
              <w:rPr/>
              <w:t> </w:t>
            </w:r>
          </w:p>
        </w:tc>
        <w:tc>
          <w:tcPr>
            <w:tcW w:w="729" w:type="dxa"/>
            <w:tcBorders/>
            <w:vAlign w:val="center"/>
          </w:tcPr>
          <w:p>
            <w:pPr>
              <w:pStyle w:val="TableContents"/>
              <w:bidi w:val="0"/>
              <w:spacing w:before="0" w:after="0"/>
              <w:ind w:left="0" w:right="0" w:firstLine="200"/>
              <w:jc w:val="right"/>
              <w:rPr/>
            </w:pPr>
            <w:r>
              <w:rPr/>
              <w:t> </w:t>
            </w:r>
          </w:p>
        </w:tc>
      </w:tr>
      <w:tr>
        <w:trPr/>
        <w:tc>
          <w:tcPr>
            <w:tcW w:w="149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Clinical trials and associated costs</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679</w:t>
            </w:r>
          </w:p>
        </w:tc>
        <w:tc>
          <w:tcPr>
            <w:tcW w:w="154"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2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1,216</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729"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49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external costs</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677</w:t>
            </w:r>
          </w:p>
        </w:tc>
        <w:tc>
          <w:tcPr>
            <w:tcW w:w="1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2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1,668</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729"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149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external costs</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1,356</w:t>
            </w:r>
          </w:p>
        </w:tc>
        <w:tc>
          <w:tcPr>
            <w:tcW w:w="154"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6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2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5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2,884</w:t>
            </w:r>
          </w:p>
        </w:tc>
        <w:tc>
          <w:tcPr>
            <w:tcW w:w="151"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5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7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4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Internal expenses</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1,554</w:t>
            </w:r>
          </w:p>
        </w:tc>
        <w:tc>
          <w:tcPr>
            <w:tcW w:w="1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2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3,277</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7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4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research and development expenses</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2,910</w:t>
            </w:r>
          </w:p>
        </w:tc>
        <w:tc>
          <w:tcPr>
            <w:tcW w:w="1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3,361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2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6,161</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6,567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7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i/>
          <w:sz w:val="20"/>
        </w:rPr>
      </w:pPr>
      <w:r>
        <w:rPr>
          <w:rFonts w:ascii="Times New Roman;serif" w:hAnsi="Times New Roman;serif"/>
          <w:b w:val="false"/>
          <w:i/>
          <w:sz w:val="20"/>
        </w:rPr>
        <w:t>Sales, marketing, general and administrative</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Sales, marketing, general and administrative expenses increased $1.4 million or 9%, and increased $5.9 million or 20% for the three and six months ended June 30, 2023, respectively, compared to the same periods in 2022. The increase for the three and six months ended June 30, 2023 was driven primarily by increases in employee compensation and benefits associated with an increase in sales team headcount and variable compensation as well as increases in non-employee costs associated with increased spending on various sales meetings, training, and campaigns during 2023 as compared to 2022. During the three and six months ended June 30, 2022 the Company’s sales efforts continued to be impacted by the COVID-19 pandemic due to surges associated with multiple variants, restricting and delaying the Company's ability to execute our core lung diagnostic sales strategy, resulting in lower sales and marketing costs in the first half of 2022.</w:t>
      </w:r>
    </w:p>
    <w:p>
      <w:pPr>
        <w:pStyle w:val="TextBody"/>
        <w:bidi w:val="0"/>
        <w:spacing w:before="120" w:after="0"/>
        <w:jc w:val="both"/>
        <w:rPr>
          <w:rFonts w:ascii="Times New Roman;serif" w:hAnsi="Times New Roman;serif"/>
          <w:b/>
          <w:i/>
          <w:sz w:val="20"/>
        </w:rPr>
      </w:pPr>
      <w:r>
        <w:rPr>
          <w:rFonts w:ascii="Times New Roman;serif" w:hAnsi="Times New Roman;serif"/>
          <w:b/>
          <w:i/>
          <w:sz w:val="20"/>
        </w:rPr>
        <w:t>Non-operating Expenses</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Interest expense</w:t>
      </w:r>
    </w:p>
    <w:p>
      <w:pPr>
        <w:pStyle w:val="TextBody"/>
        <w:bidi w:val="0"/>
        <w:spacing w:before="120" w:after="0"/>
        <w:jc w:val="both"/>
        <w:rPr>
          <w:rFonts w:ascii="Times New Roman" w:hAnsi="Times New Roman"/>
          <w:sz w:val="20"/>
        </w:rPr>
      </w:pPr>
      <w:r>
        <w:rPr>
          <w:rFonts w:ascii="Times New Roman;serif" w:hAnsi="Times New Roman;serif"/>
          <w:b w:val="false"/>
          <w:sz w:val="20"/>
        </w:rPr>
        <w:t>Interest expense increased $1.1 million or 81%, and increased $2.3 million or 94% for the three and six months ended June 30, 2023, respectively, compared to the same periods in 2022. The increase for the three months ended June 30, 2023 is primarily related to the Perceptive Term Loan Facility of $1.4 million and an increase in interest associated with the contingent consideration of $0.9 million subsequent to Amendment No. 3 (see '</w:t>
      </w:r>
      <w:r>
        <w:rPr>
          <w:rFonts w:ascii="Times New Roman;serif" w:hAnsi="Times New Roman;serif"/>
          <w:b w:val="false"/>
          <w:i/>
          <w:sz w:val="20"/>
        </w:rPr>
        <w:t>Loss on extinguishment of liabilities</w:t>
      </w:r>
      <w:r>
        <w:rPr>
          <w:rFonts w:ascii="Times New Roman;serif" w:hAnsi="Times New Roman;serif"/>
          <w:b w:val="false"/>
          <w:sz w:val="20"/>
        </w:rPr>
        <w:t>' below). This increase is partially offset by interest associated with the 2021 Term Loan with Silicon Valley Bank of $0.7 million and securities purchase agreement with Streeterville Capital, LLC of $0.5 million in 2022, both of which were refinanced by the Perceptive Term Loan Facility. Additionally, the increase for the six months ended June 30, 2023 is primarily related to interest associated with the Perceptive Term Loan Facility of $2.7 million and an increase in interest associated with the contingent consideration of $1.1 million subsequent to Amendment No. 3 (see '</w:t>
      </w:r>
      <w:r>
        <w:rPr>
          <w:rFonts w:ascii="Times New Roman;serif" w:hAnsi="Times New Roman;serif"/>
          <w:b w:val="false"/>
          <w:i/>
          <w:sz w:val="20"/>
        </w:rPr>
        <w:t>Loss on extinguishment of liabilities</w:t>
      </w:r>
      <w:r>
        <w:rPr>
          <w:rFonts w:ascii="Times New Roman;serif" w:hAnsi="Times New Roman;serif"/>
          <w:b w:val="false"/>
          <w:sz w:val="20"/>
        </w:rPr>
        <w:t>' below). This increase is partially offset by interest associated with the 2021 Term Loan with Silicon Valley Bank of $0.9 million and securities purchase agreement with Streeterville Capital, LLC of $0.5 million in 2022.</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Loss on extinguishment of liabilities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On April 7, 2022, the Company entered into Amendment No. 3 to the Indi APA in which all parties agreed to restructure the milestone payments. During the three months ended June 30, 2022, the Company evaluated Amendment No. 3 to the Indi APA in accordance with applicable accounting standards under U.S. GAAP which resulted in the extinguishment of the original instrument due to the substantially different terms. As a result, during the three months ended June 30, 2022, we recorded a loss on the extinguishment of $3.0 million.</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Change in fair value of warrant liability</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On November 21, 2022, as consideration for the Perceptive Term Loan, the Company issued the Perceptive Warrant, with warrants exercisable into 3,000,000 shares of the Company’s common stock issued on the funding date of the Tranche A Loan which are equity classified (the Initial Warrants). In addition to the Initial Warrants and to the extent the Company has the ability to exercise its right to borrow the remaining availability under the Perceptive Term Loan, additional warrants will become exercisable into 1,000,000 shares of common stock concurrently with the borrowing of the Tranche B Loan, and additional warrants will become exercisable into 1,000,000 shares of common stock concurrently with the borrowing of the Tranche C Loan (together, the Additional Warrants). The Company accounts for the Additional Warrants as liabilities as the Additional Warrants do not meet the criteria for equity classification. During the three and six months ended June 30, 2023, the Company recorded zero and a $0.1 million gain, respectively, as a change in fair value through the condensed statement of operations due to changes in unobservable inputs. This is a result of changes in the probability of our ability to draw on Tranche B and C loans.</w:t>
      </w:r>
    </w:p>
    <w:p>
      <w:pPr>
        <w:pStyle w:val="TextBody"/>
        <w:bidi w:val="0"/>
        <w:spacing w:before="240" w:after="0"/>
        <w:jc w:val="both"/>
        <w:rPr>
          <w:rFonts w:ascii="Times New Roman;serif" w:hAnsi="Times New Roman;serif"/>
          <w:b/>
          <w:sz w:val="20"/>
        </w:rPr>
      </w:pPr>
      <w:r>
        <w:rPr>
          <w:rFonts w:ascii="Times New Roman;serif" w:hAnsi="Times New Roman;serif"/>
          <w:b/>
          <w:sz w:val="20"/>
        </w:rPr>
        <w:t>Liquidity and Capital Resources</w:t>
      </w:r>
    </w:p>
    <w:p>
      <w:pPr>
        <w:pStyle w:val="TextBody"/>
        <w:bidi w:val="0"/>
        <w:spacing w:before="120" w:after="0"/>
        <w:jc w:val="both"/>
        <w:rPr>
          <w:rFonts w:ascii="Times New Roman" w:hAnsi="Times New Roman"/>
          <w:sz w:val="20"/>
        </w:rPr>
      </w:pPr>
      <w:r>
        <w:rPr>
          <w:rFonts w:ascii="Times New Roman;serif" w:hAnsi="Times New Roman;serif"/>
          <w:b w:val="false"/>
          <w:sz w:val="20"/>
        </w:rPr>
        <w:t>We are an emerging growth company and, as such, have yet to generate positive cash flows from operations. We have funded our operations to date principally from net proceeds from the sale of our common stock, the sale of convertible preferred stock, revenue from diagnostic testing and services, and the incurrence of indebtedness.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As a result of the pandemic, the Company diversified its diagnostic testing beyond lung diagnostic testing to include the critical service of COVID-19 diagnostic testing. Beginning in the third quarter 2020, the Company’s COVID-19 testing services began to experience rapid growth with a peak in the first quarter 2021; however, subsequent to this peak, we experienced a rapid decline in COVID-19 testing revenue primarily as a result of a few significant contracts that expired as well as the ongoing increase in COVID-19 vaccination rates across the U.S. and the adoption and availability of at-home testing. On January 30, 2023, the White House issued a Statement of Administration Policy announcing the President’s intention to allow the Public Health Emergency declaration under Section 319 to expire on May 11, 2023. In connection with the expiration of the Public Health Emergency declaration under Section 319, the Company no longer provides commercial COVID-19 diagnostic testing services. In addition, the COVID-19 pandemic negatively affected our lung diagnostic testing-related revenue and our clinical studies. We began to see recovery during the fourth quarter 2020 in our core lung diagnostic testing as our delivered tests exceeded first quarter 2020 delivered tests and have continued to grow thereafter. The Company’s sales efforts were impacted by the COVID-19 pandemic due to surges associated with variants, which negatively affected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growth rate of our core lung diagnostic testing-related revenue and our clinical studies. While we have seen recovery in delivered tests in lung diagnostic testing as health care practitioners, including pulmonologists, increasingly returned to pre-pandemic related care, we experienced more variability as compared to pre-pandemic levels as physician practices are adjusting to post-pandemic levels of care. As a result, the items identified above have had an adverse effect on our revenue, results of operations and cash flows.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On March 7, 2022 (the LPC Effective Date), we entered into a purchase agreement with Lincoln Park (the LPC Facility), pursuant to which Lincoln Park has committed to purchase up to $50.0 million of our common stock (the Purchase Agreement). Under the terms and subject to the conditions of the Purchase Agreement, we have the right, but not the obligation, to sell to Lincoln Park, and Lincoln Park is obligated to purchase up to $50.0 million of our common stock. Such sales of common stock by us, if any, will be subject to certain limitations, and may occur from time to time, at our sole discretion, over the 36-month period commencing on the LPC Effective Date. As consideration for Lincoln Park's irrevocable commitment to purchase our common stock upon the terms of and subject to satisfaction of the conditions set forth in the purchase agreement, on the LPC Effective Date, we issued 184,275 shares of common stock to Lincoln Park as a commitment fee valued at $600,000 for which no consideration was received.</w:t>
      </w:r>
    </w:p>
    <w:p>
      <w:pPr>
        <w:pStyle w:val="TextBody"/>
        <w:bidi w:val="0"/>
        <w:spacing w:before="120" w:after="0"/>
        <w:jc w:val="both"/>
        <w:rPr>
          <w:rFonts w:ascii="Times New Roman" w:hAnsi="Times New Roman"/>
          <w:sz w:val="20"/>
        </w:rPr>
      </w:pPr>
      <w:r>
        <w:rPr>
          <w:rFonts w:ascii="Times New Roman;serif" w:hAnsi="Times New Roman;serif"/>
          <w:b w:val="false"/>
          <w:sz w:val="20"/>
        </w:rPr>
        <w:t>On April 7, 2022, we entered into subscription agreements with a consortium of investors</w:t>
      </w:r>
      <w:r>
        <w:rPr>
          <w:rFonts w:ascii="Times New Roman;serif" w:hAnsi="Times New Roman;serif"/>
          <w:b w:val="false"/>
          <w:sz w:val="20"/>
          <w:u w:val="single"/>
        </w:rPr>
        <w:t>,</w:t>
      </w:r>
      <w:r>
        <w:rPr>
          <w:rFonts w:ascii="Times New Roman" w:hAnsi="Times New Roman"/>
          <w:sz w:val="20"/>
        </w:rPr>
        <w:t xml:space="preserve"> </w:t>
      </w:r>
      <w:r>
        <w:rPr>
          <w:rFonts w:ascii="Times New Roman;serif" w:hAnsi="Times New Roman;serif"/>
          <w:b w:val="false"/>
          <w:sz w:val="20"/>
        </w:rPr>
        <w:t>including three members of our Board of Directors and other existing shareholders of the Company, for the issuance and sale by the Company of an aggregate of 6,508,376 shares of our common stock in an offering for an aggregate purchase price of approximately $11.7 million.</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 amended the Indi APA agreement in April 2022 in which all parties agreed to restructure the Milestone Payments whereby the Company will make five quarterly installments of $2.0 million each beginning in April 2022, three quarterly installments of $3.0 million beginning in July 2023, one installment of $5.0 million in April 2024, and one installment of approximately $8.4 million in July 2024. In addition, the Company agreed to an exit fee of approximately $6.1 million in October 2024. Interest shall accrue on the difference between the payment schedule as agreed in the August 2021 amendment and the April 2022 amended payment schedule, at an aggregate per annum rate equal to 10%, with such interest to be payable quarterly on the following installment payment date. Our ability to make these payments is subject to ongoing compliance under the Perceptive Term Loan and commencing January 1, 2024, consent from Perceptive.</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On May 9, 2022, the Company entered into a securities purchase agreement with Streeterville, pursuant to which, among other things, Streeterville: (i) purchased Promissory Note One in the aggregate principal amount totaling $16.0 million in exchange for $15.0 million less certain expenses. Promissory Notes One could, at the Company's option, be settled in cash or shares of common stock of the Company, upon the terms and subject to the limitations and conditions. On May 9, 2022, the Company closed on Promissory Note One for gross proceeds of $15.0 million (approximately $12.8 million, net, after deducting debt issuance costs and OID).</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On November 21, 2022, the Company funded and/or closed various financing transactions, including: (i) a term loan facility for up to $50.0 million, with funding of $30.0 million and the issuance of warrants exercisable into 3,000,000 shares of the Company’s common stock occurring on November 21, 2022, and two additional contingently issuable tranches of $10.0 million each subject to certain terms and conditions, including revenue milestones, (ii) a follow-on equity offering of common stock and (iii) a subscription agreement for the issuance of common stock to certain members of the Company’s management team. Collectively, the Company raised gross proceeds of approximately $70.7 million ($65.7 million after deducting commissions, fees and expenses payable). Approximately $23.9 million of the net proceeds were used to retire outstanding debt of the Company and the remaining proceeds of approximately $42.0 million will be used for commercial expansion of sales, supporting the Company’s product pipeline, research and development and for general corporate purposes.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On April 7, 2023, the Company entered into a limited waiver under which the Lender agreed to waive the minimum revenue requirement for the three months ended March 31, 2023 (Limited Waiver). In addition, on May 10, 2023, the Company entered into the First Amendment to the Credit Agreement (First Amendment) with Perceptive as lender and administrative agent and the Company, as borrower, whereby subject to the terms and conditions of the First Amendment, the Minimum Net Revenue Covenant, as defined in the Credit Agreement, was modified to reduce the threshold through the twelve month period ended March 31, 2024.</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As of June 30, 2023, the Company had remaining available capacity for share issuances of approximately $29.5 million under the ATM facility and up to $46.9 million under the LPC Facility, each subject to the restrictions and limitations of the underlying facilities, as well as volume limitations under applicable SEC rules and regulations that limit their availability as sources of funding.</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As of June 30, 2023, we maintained cash and cash equivalents of $17.4 million and we have $30.0 million in outstanding aggregate principal amount on our Perceptive Term Loan. We have incurred significant losses since inception and, as a result, we have funded our operations to date primarily through the sale of common stock, the sale of convertible preferred stock, the issuance of notes payable, and from our two primary revenue sources: (i) diagnostic testing, which includes lung diagnostic testing and, prior to May 11, 2023, COVID-19 testing, and (ii) providing biopharmaceutical companies with development and testing services. In accordance with Accounting Standards Update 2014-15 (ASC Topic 205-40), </w:t>
      </w:r>
      <w:r>
        <w:rPr>
          <w:rFonts w:ascii="Times New Roman;serif" w:hAnsi="Times New Roman;serif"/>
          <w:b w:val="false"/>
          <w:i/>
          <w:sz w:val="20"/>
        </w:rPr>
        <w:t>Presentation of Financial Statements - Going Concern: Disclosure of Uncertainties about an Entity’s Ability to Continue as a Going Concern</w:t>
      </w:r>
      <w:r>
        <w:rPr>
          <w:rFonts w:ascii="Times New Roman;serif" w:hAnsi="Times New Roman;serif"/>
          <w:b w:val="false"/>
          <w:sz w:val="20"/>
        </w:rPr>
        <w:t>, the Company is required to evaluate whether there is substantial doubt about its ability to continue as a going concern each reporting period, including interim periods. In evaluating the Company’s ability to continue as a going concern, management projected its cash flow sources and evaluated the conditions and events that could raise substantial doubt about the Company’s ability to continue as a going concern within one year after the date that these financial</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statements were issued. Management considered the Company’s current projections of future cash flows, current financial condition, sources of liquidity and debt obligations for at least one year from the date of issuance of this Form 10-Q in considering whether it has the ability to meet its obligations.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ability to meet our obligations as they come due may be impacted by our ability to remain compliant with financial covenants in our loan agreement or to obtain waivers or amendments that impact the related covenants. As of June 30, 2023, the Company was in compliance with all restrictive and financial covenants associated with its borrowings.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Based on our current operating plan, unless we continue to raise additional capital (debt or equity) or obtain waivers from complying with such financial covenants, we expect that we will be unable to maintain our financial covenants under our existing loan agreement during the next twelve months, which could result in an Event of Default, as defined, causing an acceleration of the outstanding balances. We have taken steps to improve our liquidity through raising debt and equity capital and amended the agreement with Indi Agreement during 2022 to delay near term cash requirements and extend the period of milestone payments. We have also undertaken several proactive measures including, among other things, the reduction of planned capital expenditures and certain operating expenses but we do not expect that these actions alone will be sufficient to maintain our financial covenants. Subsequent to June 30, 2023, the Company entered into a second amendment to the Perceptive Term Loan Facility and raised approximately $27.5 million in proceeds through a private placement equity offering (see Note 14 to our financial statements in Part 1 of this Quarterly Report on Form 10-Q).</w:t>
      </w:r>
    </w:p>
    <w:p>
      <w:pPr>
        <w:pStyle w:val="TextBody"/>
        <w:bidi w:val="0"/>
        <w:spacing w:before="120" w:after="0"/>
        <w:jc w:val="both"/>
        <w:rPr>
          <w:rFonts w:ascii="Times New Roman" w:hAnsi="Times New Roman"/>
          <w:sz w:val="20"/>
        </w:rPr>
      </w:pPr>
      <w:r>
        <w:rPr>
          <w:rFonts w:ascii="Times New Roman;serif" w:hAnsi="Times New Roman;serif"/>
          <w:b w:val="false"/>
          <w:sz w:val="20"/>
        </w:rPr>
        <w:t>To maintain an adequate amount of available liquidity and execute our current operating plan, we will need to continue to raise additional funds from external sources, such as through the issuance of equity or debt securities and any such financing activities are subject to market conditions.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There can be no assurance that additional capital will be available to us or, if available, will be available in sufficient amounts or on terms acceptable to us or on a timely basis. If adequate capital resources are not available on a timely basis, we intend to consider limiting our operations substantially. This limitation of operations could include a hiring freeze, reductions in our workforce, reduction in cash compensation, deferring capital expenditures, and reducing other operating costs.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expect to continue to incur operating losses in the near term while we make investments to support our anticipated growth. Our current operating plan, which is in part determined based on our most recent historical actual results and trends, along with the items noted above, raises substantial doubt about the Company’s ability to continue as a going concern for a period beyond one year from when the June 30, 2023 financial statements are issued. Our unaudited financial statements have been prepared assuming we will continue as a going concern and do not include any adjustments that might be necessary should we be unable to continue as a going concern.</w:t>
      </w:r>
    </w:p>
    <w:p>
      <w:pPr>
        <w:pStyle w:val="TextBody"/>
        <w:bidi w:val="0"/>
        <w:spacing w:before="120" w:after="0"/>
        <w:jc w:val="both"/>
        <w:rPr>
          <w:rFonts w:ascii="Times New Roman;serif" w:hAnsi="Times New Roman;serif"/>
          <w:b/>
          <w:i/>
          <w:sz w:val="20"/>
        </w:rPr>
      </w:pPr>
      <w:r>
        <w:rPr>
          <w:rFonts w:ascii="Times New Roman;serif" w:hAnsi="Times New Roman;serif"/>
          <w:b/>
          <w:i/>
          <w:sz w:val="20"/>
        </w:rPr>
        <w:t>Cash Flows</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following summarizes our cash flows for the periods indicated (in thousands):</w:t>
      </w:r>
    </w:p>
    <w:tbl>
      <w:tblPr>
        <w:tblW w:w="7982" w:type="dxa"/>
        <w:jc w:val="left"/>
        <w:tblInd w:w="0" w:type="dxa"/>
        <w:tblLayout w:type="fixed"/>
        <w:tblCellMar>
          <w:top w:w="28" w:type="dxa"/>
          <w:left w:w="28" w:type="dxa"/>
          <w:bottom w:w="28" w:type="dxa"/>
          <w:right w:w="28" w:type="dxa"/>
        </w:tblCellMar>
      </w:tblPr>
      <w:tblGrid>
        <w:gridCol w:w="5041"/>
        <w:gridCol w:w="146"/>
        <w:gridCol w:w="228"/>
        <w:gridCol w:w="796"/>
        <w:gridCol w:w="179"/>
        <w:gridCol w:w="157"/>
        <w:gridCol w:w="228"/>
        <w:gridCol w:w="796"/>
        <w:gridCol w:w="411"/>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0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38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 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0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7" w:type="dxa"/>
            <w:tcBorders/>
            <w:vAlign w:val="center"/>
          </w:tcPr>
          <w:p>
            <w:pPr>
              <w:pStyle w:val="TableContents"/>
              <w:bidi w:val="0"/>
              <w:spacing w:before="0" w:after="0"/>
              <w:ind w:left="0" w:right="0" w:hanging="0"/>
              <w:jc w:val="left"/>
              <w:rPr/>
            </w:pPr>
            <w:r>
              <w:rPr/>
              <w:t> </w:t>
            </w:r>
          </w:p>
        </w:tc>
        <w:tc>
          <w:tcPr>
            <w:tcW w:w="102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0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flows (used in) provided by:</w:t>
            </w:r>
          </w:p>
        </w:tc>
        <w:tc>
          <w:tcPr>
            <w:tcW w:w="146" w:type="dxa"/>
            <w:tcBorders/>
            <w:vAlign w:val="center"/>
          </w:tcPr>
          <w:p>
            <w:pPr>
              <w:pStyle w:val="TableContents"/>
              <w:bidi w:val="0"/>
              <w:spacing w:before="0" w:after="0"/>
              <w:ind w:left="0" w:right="0" w:hanging="0"/>
              <w:jc w:val="right"/>
              <w:rPr/>
            </w:pPr>
            <w:r>
              <w:rPr/>
              <w:t> </w:t>
            </w:r>
          </w:p>
        </w:tc>
        <w:tc>
          <w:tcPr>
            <w:tcW w:w="1024" w:type="dxa"/>
            <w:gridSpan w:val="2"/>
            <w:tcBorders/>
            <w:vAlign w:val="center"/>
          </w:tcPr>
          <w:p>
            <w:pPr>
              <w:pStyle w:val="TableContents"/>
              <w:bidi w:val="0"/>
              <w:spacing w:before="0" w:after="0"/>
              <w:ind w:left="0" w:right="0" w:hanging="0"/>
              <w:jc w:val="right"/>
              <w:rPr/>
            </w:pPr>
            <w:r>
              <w:rPr/>
              <w:t> </w:t>
            </w:r>
          </w:p>
        </w:tc>
        <w:tc>
          <w:tcPr>
            <w:tcW w:w="179"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right"/>
              <w:rPr/>
            </w:pPr>
            <w:r>
              <w:rPr/>
              <w:t> </w:t>
            </w:r>
          </w:p>
        </w:tc>
        <w:tc>
          <w:tcPr>
            <w:tcW w:w="1024"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50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activities</w:t>
            </w:r>
          </w:p>
        </w:tc>
        <w:tc>
          <w:tcPr>
            <w:tcW w:w="146" w:type="dxa"/>
            <w:tcBorders/>
            <w:vAlign w:val="center"/>
          </w:tcPr>
          <w:p>
            <w:pPr>
              <w:pStyle w:val="TableContents"/>
              <w:bidi w:val="0"/>
              <w:spacing w:before="0" w:after="0"/>
              <w:ind w:left="0" w:right="0" w:hanging="0"/>
              <w:jc w:val="righ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(6,749</w:t>
            </w:r>
          </w:p>
        </w:tc>
        <w:tc>
          <w:tcPr>
            <w:tcW w:w="1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vAlign w:val="center"/>
          </w:tcPr>
          <w:p>
            <w:pPr>
              <w:pStyle w:val="TableContents"/>
              <w:bidi w:val="0"/>
              <w:spacing w:before="0" w:after="0"/>
              <w:ind w:left="0" w:right="0" w:hanging="0"/>
              <w:jc w:val="righ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(22,693</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0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Investing activities</w:t>
            </w:r>
          </w:p>
        </w:tc>
        <w:tc>
          <w:tcPr>
            <w:tcW w:w="146" w:type="dxa"/>
            <w:tcBorders/>
            <w:vAlign w:val="center"/>
          </w:tcPr>
          <w:p>
            <w:pPr>
              <w:pStyle w:val="TableContents"/>
              <w:bidi w:val="0"/>
              <w:spacing w:before="0" w:after="0"/>
              <w:ind w:left="0" w:right="0" w:hanging="0"/>
              <w:jc w:val="right"/>
              <w:rPr/>
            </w:pPr>
            <w:r>
              <w:rPr/>
              <w:t> </w:t>
            </w:r>
          </w:p>
        </w:tc>
        <w:tc>
          <w:tcPr>
            <w:tcW w:w="228"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(14,178</w:t>
            </w:r>
          </w:p>
        </w:tc>
        <w:tc>
          <w:tcPr>
            <w:tcW w:w="1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vAlign w:val="center"/>
          </w:tcPr>
          <w:p>
            <w:pPr>
              <w:pStyle w:val="TableContents"/>
              <w:bidi w:val="0"/>
              <w:spacing w:before="0" w:after="0"/>
              <w:ind w:left="0" w:right="0" w:hanging="0"/>
              <w:jc w:val="right"/>
              <w:rPr/>
            </w:pPr>
            <w:r>
              <w:rPr/>
              <w:t> </w:t>
            </w:r>
          </w:p>
        </w:tc>
        <w:tc>
          <w:tcPr>
            <w:tcW w:w="228"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(732</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0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Financing activities</w:t>
            </w:r>
          </w:p>
        </w:tc>
        <w:tc>
          <w:tcPr>
            <w:tcW w:w="146" w:type="dxa"/>
            <w:tcBorders/>
            <w:vAlign w:val="center"/>
          </w:tcPr>
          <w:p>
            <w:pPr>
              <w:pStyle w:val="TableContents"/>
              <w:bidi w:val="0"/>
              <w:spacing w:before="0" w:after="0"/>
              <w:ind w:left="0" w:right="0" w:hanging="0"/>
              <w:jc w:val="righ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(4,751</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vAlign w:val="center"/>
          </w:tcPr>
          <w:p>
            <w:pPr>
              <w:pStyle w:val="TableContents"/>
              <w:bidi w:val="0"/>
              <w:spacing w:before="0" w:after="0"/>
              <w:ind w:left="0" w:right="0" w:hanging="0"/>
              <w:jc w:val="righ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19,299</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0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decrease in cash and cash equivalents and restricted cash</w:t>
            </w:r>
          </w:p>
        </w:tc>
        <w:tc>
          <w:tcPr>
            <w:tcW w:w="146" w:type="dxa"/>
            <w:tcBorders/>
            <w:vAlign w:val="center"/>
          </w:tcPr>
          <w:p>
            <w:pPr>
              <w:pStyle w:val="TableContents"/>
              <w:bidi w:val="0"/>
              <w:spacing w:before="0" w:after="0"/>
              <w:ind w:left="0" w:right="0" w:hanging="0"/>
              <w:jc w:val="righ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(25,678</w:t>
            </w:r>
          </w:p>
        </w:tc>
        <w:tc>
          <w:tcPr>
            <w:tcW w:w="1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vAlign w:val="center"/>
          </w:tcPr>
          <w:p>
            <w:pPr>
              <w:pStyle w:val="TableContents"/>
              <w:bidi w:val="0"/>
              <w:spacing w:before="0" w:after="0"/>
              <w:ind w:left="0" w:right="0" w:hanging="0"/>
              <w:jc w:val="righ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(4,126</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Our cash flows resulted in a net decrease in cash and cash equivalents and restricted cash of $25.7 million during the six months ended June 30, 2023 as compared to the net decrease in cash of $4.1 million for the six months ended June 30, 2022. For the six months ended June 30, 2023, net cash used in operating activities totaled $6.7 million, a decrease of approximately $15.9 million compared to the same period in 2022 primarily due to the $13.0 million in tenant improvement allowances received for capital expenditures and leasehold improvements related to the CVP Lease which have been reimbursed from the CVP landlord (see cash used in investing activities below). We expect the remaining tenant improvement allowances of $5.3 million to be utilized by the end of the third quarter 2023. Subsequent to the use of the tenant improvement allowance, the CVP Lease will result in a negative cash flow within operations. Additionally, the Company had favorable changes in working capital that contributed to the improvement in net cash used in operating activities.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Net cash used in investing activities during the six months ended June 30, 2023 totaled $14.2 million, an increase of $13.4 million compared to the same period in 2022. The increase in net cash used in investing activities was primarily due to increases in purchases of property and equipment and capital expenditures for leasehold improvements related to the CVP Lease. These leasehold improvements are tenant improvements and have been reimbursed from the Landlord, as described above in net cash used in operating activities.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Net cash used in financing activities during the six months ended June 30, 2023 totaled $4.8 million, an increase of $24.1 million compared to the same period in 2022. The net cash used in financing activities for the six months ended June 30, 2023 primarily resulted from milestone payments to Indi of $4.3 million and payments of debt issuance costs of $0.8 million, partially offset by $0.5 million in proceeds from the issuance of common stock under the ESPP and exercise of stock options. The net cash provided by financing activities for the six months ended June 30, 2022 primarily resulted from $16.1 million net proceeds from the issuance of common stock, $12.8 million net proceeds from the issuance of Promissory Note One, partially offset by the milestone payments to Indi of $6.6 million and partial repayment of the 2021 Term Loan of $3.0 million.</w:t>
      </w:r>
    </w:p>
    <w:p>
      <w:pPr>
        <w:pStyle w:val="TextBody"/>
        <w:bidi w:val="0"/>
        <w:spacing w:before="240" w:after="0"/>
        <w:jc w:val="both"/>
        <w:rPr>
          <w:rFonts w:ascii="Times New Roman;serif" w:hAnsi="Times New Roman;serif"/>
          <w:b/>
          <w:sz w:val="20"/>
        </w:rPr>
      </w:pPr>
      <w:r>
        <w:rPr>
          <w:rFonts w:ascii="Times New Roman;serif" w:hAnsi="Times New Roman;serif"/>
          <w:b/>
          <w:sz w:val="20"/>
        </w:rPr>
        <w:t>Contractual Obligations and Commitments</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following table summarizes our non-cancelable contractual obligations and commitments, including finance lease obligations entered into during the six months ended June 30, 2023 (in thousands):</w:t>
      </w:r>
    </w:p>
    <w:tbl>
      <w:tblPr>
        <w:tblW w:w="8827" w:type="dxa"/>
        <w:jc w:val="left"/>
        <w:tblInd w:w="0" w:type="dxa"/>
        <w:tblLayout w:type="fixed"/>
        <w:tblCellMar>
          <w:top w:w="28" w:type="dxa"/>
          <w:left w:w="28" w:type="dxa"/>
          <w:bottom w:w="28" w:type="dxa"/>
          <w:right w:w="28" w:type="dxa"/>
        </w:tblCellMar>
      </w:tblPr>
      <w:tblGrid>
        <w:gridCol w:w="2566"/>
        <w:gridCol w:w="146"/>
        <w:gridCol w:w="211"/>
        <w:gridCol w:w="781"/>
        <w:gridCol w:w="146"/>
        <w:gridCol w:w="146"/>
        <w:gridCol w:w="214"/>
        <w:gridCol w:w="686"/>
        <w:gridCol w:w="146"/>
        <w:gridCol w:w="146"/>
        <w:gridCol w:w="211"/>
        <w:gridCol w:w="676"/>
        <w:gridCol w:w="146"/>
        <w:gridCol w:w="146"/>
        <w:gridCol w:w="211"/>
        <w:gridCol w:w="676"/>
        <w:gridCol w:w="146"/>
        <w:gridCol w:w="146"/>
        <w:gridCol w:w="235"/>
        <w:gridCol w:w="755"/>
        <w:gridCol w:w="2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824"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 xml:space="preserve">Payments due by period </w:t>
            </w:r>
            <w:r>
              <w:rPr>
                <w:rFonts w:ascii="Times New Roman;serif" w:hAnsi="Times New Roman;serif"/>
                <w:b/>
                <w:sz w:val="13"/>
              </w:rPr>
              <w:t>(1)</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Less than</w:t>
              <w:br/>
              <w:t>1 year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1 to 3</w:t>
              <w:br/>
              <w:t>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4 to 5</w:t>
              <w:br/>
              <w:t>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More than</w:t>
              <w:br/>
              <w:t>5 years</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6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Borrowings and interest </w:t>
            </w:r>
            <w:r>
              <w:rPr>
                <w:rFonts w:ascii="Times New Roman;serif" w:hAnsi="Times New Roman;serif"/>
                <w:b w:val="false"/>
                <w:sz w:val="13"/>
              </w:rPr>
              <w:t>(2)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49,094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5"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pPr>
            <w:r>
              <w:rPr/>
              <w:t> </w:t>
            </w:r>
          </w:p>
        </w:tc>
      </w:tr>
      <w:tr>
        <w:trPr/>
        <w:tc>
          <w:tcPr>
            <w:tcW w:w="2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Contingent consideration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pPr>
            <w:r>
              <w:rPr/>
              <w:t> </w:t>
            </w:r>
          </w:p>
        </w:tc>
      </w:tr>
      <w:tr>
        <w:trPr/>
        <w:tc>
          <w:tcPr>
            <w:tcW w:w="256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Operating lease obligations </w:t>
            </w:r>
            <w:r>
              <w:rPr>
                <w:rFonts w:ascii="Times New Roman;serif" w:hAnsi="Times New Roman;serif"/>
                <w:b w:val="false"/>
                <w:sz w:val="13"/>
              </w:rPr>
              <w:t>(3)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48,597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30,198</w:t>
            </w:r>
          </w:p>
        </w:tc>
        <w:tc>
          <w:tcPr>
            <w:tcW w:w="291" w:type="dxa"/>
            <w:tcBorders/>
            <w:vAlign w:val="center"/>
          </w:tcPr>
          <w:p>
            <w:pPr>
              <w:pStyle w:val="TableContents"/>
              <w:bidi w:val="0"/>
              <w:spacing w:before="0" w:after="0"/>
              <w:ind w:left="0" w:right="0" w:hanging="0"/>
              <w:jc w:val="left"/>
              <w:rPr/>
            </w:pPr>
            <w:r>
              <w:rPr/>
              <w:t> </w:t>
            </w:r>
          </w:p>
        </w:tc>
      </w:tr>
      <w:tr>
        <w:trPr/>
        <w:tc>
          <w:tcPr>
            <w:tcW w:w="2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lease obligations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256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128,827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22,868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31,501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44,260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30,198</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40" w:after="0"/>
        <w:jc w:val="both"/>
        <w:rPr>
          <w:rFonts w:ascii="Times New Roman" w:hAnsi="Times New Roman"/>
          <w:b w:val="false"/>
          <w:sz w:val="20"/>
        </w:rPr>
      </w:pPr>
      <w:r>
        <w:rPr>
          <w:rFonts w:ascii="Times New Roman" w:hAnsi="Times New Roman"/>
          <w:b w:val="false"/>
          <w:sz w:val="20"/>
        </w:rPr>
        <w:t>(1)</w:t>
      </w:r>
    </w:p>
    <w:p>
      <w:pPr>
        <w:pStyle w:val="TextBody"/>
        <w:bidi w:val="0"/>
        <w:spacing w:before="40" w:after="0"/>
        <w:jc w:val="both"/>
        <w:rPr>
          <w:rFonts w:ascii="Times New Roman;serif" w:hAnsi="Times New Roman;serif"/>
          <w:b w:val="false"/>
          <w:sz w:val="18"/>
        </w:rPr>
      </w:pPr>
      <w:r>
        <w:rPr>
          <w:rFonts w:ascii="Times New Roman;serif" w:hAnsi="Times New Roman;serif"/>
          <w:b w:val="false"/>
          <w:sz w:val="18"/>
        </w:rPr>
        <w:t>Royalty payments that we may owe are not included as the amount and timing of such payments is uncertain.</w:t>
      </w:r>
    </w:p>
    <w:p>
      <w:pPr>
        <w:pStyle w:val="TextBody"/>
        <w:bidi w:val="0"/>
        <w:spacing w:before="40" w:after="0"/>
        <w:jc w:val="both"/>
        <w:rPr>
          <w:rFonts w:ascii="Times New Roman" w:hAnsi="Times New Roman"/>
          <w:b w:val="false"/>
          <w:sz w:val="20"/>
        </w:rPr>
      </w:pPr>
      <w:r>
        <w:rPr>
          <w:rFonts w:ascii="Times New Roman" w:hAnsi="Times New Roman"/>
          <w:b w:val="false"/>
          <w:sz w:val="20"/>
        </w:rPr>
        <w:t>(2)</w:t>
      </w:r>
    </w:p>
    <w:p>
      <w:pPr>
        <w:pStyle w:val="TextBody"/>
        <w:bidi w:val="0"/>
        <w:spacing w:before="40" w:after="0"/>
        <w:jc w:val="both"/>
        <w:rPr>
          <w:rFonts w:ascii="Times New Roman;serif" w:hAnsi="Times New Roman;serif"/>
          <w:b w:val="false"/>
          <w:sz w:val="18"/>
        </w:rPr>
      </w:pPr>
      <w:r>
        <w:rPr>
          <w:rFonts w:ascii="Times New Roman;serif" w:hAnsi="Times New Roman;serif"/>
          <w:b w:val="false"/>
          <w:sz w:val="18"/>
        </w:rPr>
        <w:t>Includes the Perceptive Term Loan payments of principal and interest. Interest amounts associated with the Perceptive Term Loan are variable and estimated based on the interest rate in effect on June 30, 2023.</w:t>
      </w:r>
    </w:p>
    <w:p>
      <w:pPr>
        <w:pStyle w:val="TextBody"/>
        <w:bidi w:val="0"/>
        <w:spacing w:before="40" w:after="0"/>
        <w:jc w:val="both"/>
        <w:rPr>
          <w:rFonts w:ascii="Times New Roman" w:hAnsi="Times New Roman"/>
          <w:b w:val="false"/>
          <w:sz w:val="20"/>
        </w:rPr>
      </w:pPr>
      <w:r>
        <w:rPr>
          <w:rFonts w:ascii="Times New Roman" w:hAnsi="Times New Roman"/>
          <w:b w:val="false"/>
          <w:sz w:val="20"/>
        </w:rPr>
        <w:t>(3)</w:t>
      </w:r>
    </w:p>
    <w:p>
      <w:pPr>
        <w:pStyle w:val="TextBody"/>
        <w:bidi w:val="0"/>
        <w:spacing w:before="40" w:after="283"/>
        <w:jc w:val="both"/>
        <w:rPr>
          <w:rFonts w:ascii="Times New Roman;serif" w:hAnsi="Times New Roman;serif"/>
          <w:b w:val="false"/>
          <w:sz w:val="18"/>
        </w:rPr>
      </w:pPr>
      <w:r>
        <w:rPr>
          <w:rFonts w:ascii="Times New Roman;serif" w:hAnsi="Times New Roman;serif"/>
          <w:b w:val="false"/>
          <w:sz w:val="18"/>
        </w:rPr>
        <w:t>Does not include the remaining contractually agreed upon tenant improvement allowances associated with the CVP Lease of $5.3 million that have not yet been drawn but which are expected to be received throughout the remainder of fiscal year 2023 (see Note 7 to our financial statements in Part 1 of this Quarterly Report on Form 10-Q).</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There have been no other significant changes to our future contractual obligations as disclosed in our Annual Report on Form 10-K for the year ended December 31, 2022.</w:t>
      </w:r>
    </w:p>
    <w:p>
      <w:pPr>
        <w:pStyle w:val="TextBody"/>
        <w:bidi w:val="0"/>
        <w:spacing w:before="120" w:after="0"/>
        <w:jc w:val="both"/>
        <w:rPr>
          <w:rFonts w:ascii="Times New Roman;serif" w:hAnsi="Times New Roman;serif"/>
          <w:b/>
          <w:i/>
          <w:sz w:val="20"/>
        </w:rPr>
      </w:pPr>
      <w:r>
        <w:rPr>
          <w:rFonts w:ascii="Times New Roman;serif" w:hAnsi="Times New Roman;serif"/>
          <w:b/>
          <w:i/>
          <w:sz w:val="20"/>
        </w:rPr>
        <w:t>Off-Balance Sheet Arrangements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As of June 30, 2023, we have not entered into any off-balance sheet arrangements.</w:t>
      </w:r>
    </w:p>
    <w:p>
      <w:pPr>
        <w:pStyle w:val="TextBody"/>
        <w:bidi w:val="0"/>
        <w:spacing w:before="240" w:after="0"/>
        <w:jc w:val="both"/>
        <w:rPr>
          <w:rFonts w:ascii="Times New Roman;serif" w:hAnsi="Times New Roman;serif"/>
          <w:b/>
          <w:sz w:val="20"/>
        </w:rPr>
      </w:pPr>
      <w:r>
        <w:rPr>
          <w:rFonts w:ascii="Times New Roman;serif" w:hAnsi="Times New Roman;serif"/>
          <w:b/>
          <w:sz w:val="20"/>
        </w:rPr>
        <w:t>Critical Accounting Policies and Significant Judgments and Estimates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 accordance with accounting principles generally accepted in the United States, we are required to make estimates and assumptions that affect the amounts reported in the condensed financial statements and accompanying notes. Certain of these estimates significantly influence the portrayal of our financial condition and results of operations and require us to make difficult, subjective or complex judgments. Our critical accounting policies are described in greater detail below and in Note 2 to our condensed financial statements in Part 1 of this Quarterly Report on Form 10-Q as well as Part II, Item 8 of our Annual Report on Form 10-K for the year ended December 31, 2022, which was filed on March 6, 2023.</w:t>
      </w:r>
    </w:p>
    <w:p>
      <w:pPr>
        <w:pStyle w:val="TextBody"/>
        <w:bidi w:val="0"/>
        <w:spacing w:before="120" w:after="0"/>
        <w:jc w:val="both"/>
        <w:rPr>
          <w:rFonts w:ascii="Times New Roman;serif" w:hAnsi="Times New Roman;serif"/>
          <w:b/>
          <w:i/>
          <w:sz w:val="20"/>
        </w:rPr>
      </w:pPr>
      <w:r>
        <w:rPr>
          <w:rFonts w:ascii="Times New Roman;serif" w:hAnsi="Times New Roman;serif"/>
          <w:b/>
          <w:i/>
          <w:sz w:val="20"/>
        </w:rPr>
        <w:t>Revenue Recognition</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recognize revenue when our customers obtain control of promised goods or services, in an amount that reflects the consideration which we expect to receive in exchange for our goods or services. To determine revenue recognition for our arrangements with our customers, we perform a five-step process, which includes: (i) identifying the contract(s) with a customer; (ii) identifying the performance obligations in the contract; (iii) determining the transaction price; (iv) allocating the transaction price to the performance obligations in the contract; and (v) recognizing revenue when (or as) we satisfy our performance obligations. The Company generates revenues from (i) diagnostic tests and (ii) assay development and testing services (services revenue).</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 recognizes revenues related to blood-based lung diagnostic billings based on estimates of the amounts ultimately expected to be collected from customers on a portfolio approach. In determining the amount to accrue for a delivered test, the Company considers factors such as test type, payment history, payer coverage, whether there is a reimbursement contract between the payer and the Company, payment as a percentage of agreed upon rate (if applicable), amount paid per test and any current developments or changes that could impact reimbursement. Variable consideration, if any, is estimated based on an analysis of historical experience and adjusted as better estimates become available. These estimates require significant judgment by management.</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also provides services to patients with whom the Company does not have contracts as defined in Financial Accounting Standards Board (FASB) Accounting Standards Codification 606 (ASC 606). The Company recognizes revenue for these patients when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contracts, as defined in ASC 606, are established at the amount of consideration to which it expects to be entitled, or when the Company receives substantially all of the consideration subsequent to satisfaction and delivery of the performance obligations.</w:t>
      </w:r>
    </w:p>
    <w:p>
      <w:pPr>
        <w:pStyle w:val="TextBody"/>
        <w:bidi w:val="0"/>
        <w:spacing w:before="120" w:after="0"/>
        <w:jc w:val="both"/>
        <w:rPr>
          <w:rFonts w:ascii="Times New Roman;serif" w:hAnsi="Times New Roman;serif"/>
          <w:b/>
          <w:i/>
          <w:sz w:val="20"/>
        </w:rPr>
      </w:pPr>
      <w:r>
        <w:rPr>
          <w:rFonts w:ascii="Times New Roman;serif" w:hAnsi="Times New Roman;serif"/>
          <w:b/>
          <w:i/>
          <w:sz w:val="20"/>
        </w:rPr>
        <w:t>Share-based Compensation and Grant Date Fair Value</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Share-based compensation related to stock options granted to our employees, directors and non-employees is measured at the grant date based on the fair value of the award. For our service-based awards, the fair value of each award is recognized as expense on a straight-line basis over the requisite service period, which is generally the vesting period of the respective awards. Compensation expense for share-based awards with performance conditions is recognized based upon the probability the performance conditions will be met as defined in the grant. Restricted stock units are measured at their grant date fair value using the closing price of our common stock on the date of grant and recognized to expense on a straight-line basis over the vesting period of each award. We estimate forfeitures and adjust these estimates to actual forfeitures as they occur.</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use the Black-Scholes option-pricing model to estimate the fair value of our share-based option awards, which requires assumptions to be made related to expected term of an award, expected volatility, the risk-free rate and expected dividend yield. The fair value of our common stock is based on our closing price as reported on the date of grant on the primary stock exchange on which our common stock is traded. Changes in these subjective assumptions can materially affect the estimated value of equity grants and the share-based compensation that we record in our financial statements.</w:t>
      </w:r>
    </w:p>
    <w:p>
      <w:pPr>
        <w:pStyle w:val="TextBody"/>
        <w:bidi w:val="0"/>
        <w:spacing w:before="120" w:after="0"/>
        <w:jc w:val="both"/>
        <w:rPr>
          <w:rFonts w:ascii="Times New Roman;serif" w:hAnsi="Times New Roman;serif"/>
          <w:b/>
          <w:i/>
          <w:sz w:val="20"/>
        </w:rPr>
      </w:pPr>
      <w:r>
        <w:rPr>
          <w:rFonts w:ascii="Times New Roman;serif" w:hAnsi="Times New Roman;serif"/>
          <w:b/>
          <w:i/>
          <w:sz w:val="20"/>
        </w:rPr>
        <w:t>Recently Issued Accounting Pronouncements</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In June 2016, the FASB issued ASU No. 2016-13, </w:t>
      </w:r>
      <w:r>
        <w:rPr>
          <w:rFonts w:ascii="Times New Roman;serif" w:hAnsi="Times New Roman;serif"/>
          <w:b w:val="false"/>
          <w:i/>
          <w:sz w:val="20"/>
        </w:rPr>
        <w:t>Financial Instruments-Credit Losses: Measurement of Credit Losses on Financial Instruments</w:t>
      </w:r>
      <w:r>
        <w:rPr>
          <w:rFonts w:ascii="Times New Roman" w:hAnsi="Times New Roman"/>
          <w:sz w:val="20"/>
        </w:rPr>
        <w:t xml:space="preserve"> </w:t>
      </w:r>
      <w:r>
        <w:rPr>
          <w:rFonts w:ascii="Times New Roman;serif" w:hAnsi="Times New Roman;serif"/>
          <w:b w:val="false"/>
          <w:sz w:val="20"/>
        </w:rPr>
        <w:t>(ASC Topic 326). This ASU requires measurement and recognition of expected credit losses for financial assets. This ASU requires measurement and recognition of expected credit losses for financial assets. This guidance became effective for the Company beginning January 1, 2023. The Company evaluated the guidance and determined the overall impact of the adoption had an immaterial impact on our financial statements.</w:t>
      </w:r>
    </w:p>
    <w:p>
      <w:pPr>
        <w:pStyle w:val="TextBody"/>
        <w:bidi w:val="0"/>
        <w:spacing w:before="240" w:after="0"/>
        <w:jc w:val="both"/>
        <w:rPr>
          <w:rFonts w:ascii="Times New Roman;serif" w:hAnsi="Times New Roman;serif"/>
          <w:b/>
          <w:sz w:val="20"/>
        </w:rPr>
      </w:pPr>
      <w:r>
        <w:rPr>
          <w:rFonts w:ascii="Times New Roman;serif" w:hAnsi="Times New Roman;serif"/>
          <w:b/>
          <w:sz w:val="20"/>
        </w:rPr>
        <w:t>Implications of Being an Emerging Growth Company and Smaller Reporting Company</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are an “emerging growth company” within the meaning of the Jumpstart Our Business Startups Act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(the “Sarbanes-Oxley Act”), certain requirements related to the disclosure of executive compensation in our periodic reports and proxy statements, the requirement that we hold a nonbinding advisory vote on executive compensation and any golden parachute payments. We may take advantage of these exemptions until we are no longer an emerging growth company.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will remain an emerging growth company until the earliest to occur of (i) the last day of the fiscal year in which we have more than $1.24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year ended December 31st following the fifth anniversary of our initial public offering).</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exceeds $250 million as of the end of that year’s second fiscal quarter, or (ii) our annual revenues exceeded $100 million during such completed fiscal year and the market value of our common shares held by non-affiliates exceeds $700 million as of the end of that year’s second fiscal quarter.</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sz w:val="20"/>
        </w:rPr>
      </w:pPr>
      <w:bookmarkStart w:id="10" w:name="item_3_quantitative_qualitative_disclosu"/>
      <w:bookmarkEnd w:id="10"/>
      <w:r>
        <w:rPr>
          <w:rFonts w:ascii="Times New Roman;serif" w:hAnsi="Times New Roman;serif"/>
          <w:b/>
          <w:sz w:val="20"/>
        </w:rPr>
        <w:t>Item 3. Quantitative and Qualitative Disclosures About Market Risk.</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are exposed to market risk in the ordinary course of our business. Market risk represents the risk of loss that may impact our financial position due to adverse changes in financial market prices and rates.</w:t>
      </w:r>
    </w:p>
    <w:p>
      <w:pPr>
        <w:pStyle w:val="TextBody"/>
        <w:bidi w:val="0"/>
        <w:spacing w:before="120" w:after="0"/>
        <w:jc w:val="both"/>
        <w:rPr>
          <w:rFonts w:ascii="Times New Roman;serif" w:hAnsi="Times New Roman;serif"/>
          <w:b/>
          <w:i/>
          <w:sz w:val="20"/>
        </w:rPr>
      </w:pPr>
      <w:r>
        <w:rPr>
          <w:rFonts w:ascii="Times New Roman;serif" w:hAnsi="Times New Roman;serif"/>
          <w:b/>
          <w:i/>
          <w:sz w:val="20"/>
        </w:rPr>
        <w:t>Interest Rate Risk</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are exposed to market risk for changes in interest rates related primarily to our cash and cash equivalents, marketable securities and our indebtedness, including our outstanding Perceptive Term Loan. As of June 30, 2023, we had $30.0 million outstanding on the Perceptive Term Loan Facility which has an annual rate equal to the greater of (a) forward-looking one-month term SOFR as posted by CME Group Inc. and (b) 3.0% per annum, plus an applicable margin of 9.0%. Historically, we have not entered into derivative agreements such as interest rate caps and swaps to manage our floating interest rate exposure.</w:t>
      </w:r>
    </w:p>
    <w:p>
      <w:pPr>
        <w:pStyle w:val="TextBody"/>
        <w:bidi w:val="0"/>
        <w:spacing w:before="120" w:after="0"/>
        <w:jc w:val="both"/>
        <w:rPr>
          <w:rFonts w:ascii="Times New Roman" w:hAnsi="Times New Roman"/>
          <w:sz w:val="20"/>
        </w:rPr>
      </w:pPr>
      <w:r>
        <w:rPr>
          <w:rFonts w:ascii="Times New Roman;serif" w:hAnsi="Times New Roman;serif"/>
          <w:b w:val="false"/>
          <w:sz w:val="20"/>
        </w:rPr>
        <w:t>Periodically throughout the year, we have maintained balances in various operating accounts in excess of federally insured limits. Our cash and cash equivalents are funds held in checking and bank savings accounts, primarily at one U.S. financial institution. We consider all highly liquid instruments purchased with an original maturity of three months or less to be cash equivalents. We continually monitor our positions with, and the credit quality of, the financial institutions with which we invest.</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As of June 30, 2023, a hypothetical 100 basis point increase in interest rates would have an estimated $0.3 million impact per year on our financial position and results of operations, based on the current Perceptive Term Loan principal remaining outstanding through maturity.</w:t>
      </w:r>
    </w:p>
    <w:p>
      <w:pPr>
        <w:pStyle w:val="TextBody"/>
        <w:bidi w:val="0"/>
        <w:spacing w:before="120" w:after="0"/>
        <w:jc w:val="both"/>
        <w:rPr>
          <w:rFonts w:ascii="Times New Roman" w:hAnsi="Times New Roman"/>
          <w:sz w:val="20"/>
        </w:rPr>
      </w:pPr>
      <w:bookmarkStart w:id="11" w:name="item_4_controls_procedures"/>
      <w:bookmarkEnd w:id="11"/>
      <w:r>
        <w:rPr>
          <w:rFonts w:ascii="Times New Roman;serif" w:hAnsi="Times New Roman;serif"/>
          <w:b/>
          <w:sz w:val="20"/>
        </w:rPr>
        <w:t>Item 4. Controls</w:t>
      </w:r>
      <w:r>
        <w:rPr>
          <w:rFonts w:ascii="Times New Roman" w:hAnsi="Times New Roman"/>
          <w:sz w:val="20"/>
        </w:rPr>
        <w:t xml:space="preserve"> </w:t>
      </w:r>
      <w:r>
        <w:rPr>
          <w:rFonts w:ascii="Times New Roman;serif" w:hAnsi="Times New Roman;serif"/>
          <w:b/>
          <w:sz w:val="20"/>
        </w:rPr>
        <w:t>and Procedures.</w:t>
      </w:r>
    </w:p>
    <w:p>
      <w:pPr>
        <w:pStyle w:val="TextBody"/>
        <w:bidi w:val="0"/>
        <w:spacing w:before="120" w:after="0"/>
        <w:jc w:val="both"/>
        <w:rPr>
          <w:rFonts w:ascii="Times New Roman;serif" w:hAnsi="Times New Roman;serif"/>
          <w:b/>
          <w:sz w:val="20"/>
        </w:rPr>
      </w:pPr>
      <w:r>
        <w:rPr>
          <w:rFonts w:ascii="Times New Roman;serif" w:hAnsi="Times New Roman;serif"/>
          <w:b/>
          <w:sz w:val="20"/>
        </w:rPr>
        <w:t>Evaluation of Disclosure Controls and Procedures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There were no changes to our internal control over financial reporting during the three months ended June 30, 2023 that have materially affected, or are reasonable likely to materially effect, our internal controls over financial reporting.</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bookmarkStart w:id="12" w:name="part_iior_information"/>
      <w:bookmarkEnd w:id="12"/>
      <w:r>
        <w:rPr>
          <w:rFonts w:ascii="Times New Roman;serif" w:hAnsi="Times New Roman;serif"/>
          <w:b/>
          <w:sz w:val="20"/>
        </w:rPr>
        <w:t>PART II—OTHER</w:t>
      </w:r>
      <w:r>
        <w:rPr>
          <w:rFonts w:ascii="Times New Roman" w:hAnsi="Times New Roman"/>
          <w:sz w:val="20"/>
        </w:rPr>
        <w:t xml:space="preserve"> </w:t>
      </w:r>
      <w:r>
        <w:rPr>
          <w:rFonts w:ascii="Times New Roman;serif" w:hAnsi="Times New Roman;serif"/>
          <w:b/>
          <w:sz w:val="20"/>
        </w:rPr>
        <w:t>INFORMATION</w:t>
      </w:r>
    </w:p>
    <w:p>
      <w:pPr>
        <w:pStyle w:val="TextBody"/>
        <w:bidi w:val="0"/>
        <w:spacing w:before="240" w:after="0"/>
        <w:jc w:val="both"/>
        <w:rPr>
          <w:rFonts w:ascii="Times New Roman;serif" w:hAnsi="Times New Roman;serif"/>
          <w:b/>
          <w:sz w:val="20"/>
        </w:rPr>
      </w:pPr>
      <w:bookmarkStart w:id="13" w:name="item_1_legal_proceedings"/>
      <w:bookmarkEnd w:id="13"/>
      <w:r>
        <w:rPr>
          <w:rFonts w:ascii="Times New Roman;serif" w:hAnsi="Times New Roman;serif"/>
          <w:b/>
          <w:sz w:val="20"/>
        </w:rPr>
        <w:t>Item 1. Legal Proceedings.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pStyle w:val="TextBody"/>
        <w:bidi w:val="0"/>
        <w:spacing w:before="120" w:after="0"/>
        <w:jc w:val="both"/>
        <w:rPr>
          <w:rFonts w:ascii="Times New Roman;serif" w:hAnsi="Times New Roman;serif"/>
          <w:b/>
          <w:sz w:val="20"/>
        </w:rPr>
      </w:pPr>
      <w:bookmarkStart w:id="14" w:name="item_1a_risk_factors"/>
      <w:bookmarkEnd w:id="14"/>
      <w:r>
        <w:rPr>
          <w:rFonts w:ascii="Times New Roman;serif" w:hAnsi="Times New Roman;serif"/>
          <w:b/>
          <w:sz w:val="20"/>
        </w:rPr>
        <w:t>Item 1A. Risk Factors.</w:t>
      </w:r>
    </w:p>
    <w:p>
      <w:pPr>
        <w:pStyle w:val="TextBody"/>
        <w:bidi w:val="0"/>
        <w:spacing w:before="120" w:after="0"/>
        <w:jc w:val="both"/>
        <w:rPr/>
      </w:pPr>
      <w:r>
        <w:rPr/>
        <w:t>“</w:t>
      </w:r>
      <w:r>
        <w:rPr>
          <w:rFonts w:ascii="Times New Roman;serif" w:hAnsi="Times New Roman;serif"/>
          <w:b w:val="false"/>
          <w:sz w:val="20"/>
        </w:rPr>
        <w:t>Item 1A. Risk Factors” of our Annual Report on Form 10-K as of and for the year ended December 31, 2022, filed March 6, 2023, and subsequent quarterly reports on Form 10-Q, if applicable, include a discussion of our risk factors. These risks could materially and adversely affect our business, financial condition and results of operations.</w:t>
      </w:r>
    </w:p>
    <w:p>
      <w:pPr>
        <w:pStyle w:val="TextBody"/>
        <w:bidi w:val="0"/>
        <w:spacing w:before="120" w:after="0"/>
        <w:jc w:val="both"/>
        <w:rPr>
          <w:rFonts w:ascii="Times New Roman;serif" w:hAnsi="Times New Roman;serif"/>
          <w:b/>
          <w:sz w:val="20"/>
        </w:rPr>
      </w:pPr>
      <w:bookmarkStart w:id="15" w:name="item_2_unregistered_sales_equity_securit"/>
      <w:bookmarkEnd w:id="15"/>
      <w:r>
        <w:rPr>
          <w:rFonts w:ascii="Times New Roman;serif" w:hAnsi="Times New Roman;serif"/>
          <w:b/>
          <w:sz w:val="20"/>
        </w:rPr>
        <w:t>Item 2. Unregistered Sales of Equity Securities and Use of Proceeds.</w:t>
      </w:r>
    </w:p>
    <w:p>
      <w:pPr>
        <w:pStyle w:val="TextBody"/>
        <w:bidi w:val="0"/>
        <w:spacing w:before="120" w:after="0"/>
        <w:jc w:val="both"/>
        <w:rPr>
          <w:rFonts w:ascii="Times New Roman" w:hAnsi="Times New Roman"/>
          <w:sz w:val="20"/>
        </w:rPr>
      </w:pPr>
      <w:r>
        <w:rPr>
          <w:rFonts w:ascii="Times New Roman;serif" w:hAnsi="Times New Roman;serif"/>
          <w:b w:val="false"/>
          <w:sz w:val="20"/>
        </w:rPr>
        <w:t>On August 3, 2023, the Company entered into subscription agreements (the Subscription Agreements) with all the members of our Board of Directors, all Section 16 officers, and additional members of the Biodesix leadership team (together, the Investors) for the issuance and sale by the Company of an aggregate of 16,975,298 of the Company’s common stock (the Shares) in a private equity offering (the Private Placement). The Subscription Agreements did not include any registration rights.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Pursuant to the Subscription Agreements, the Investors purchased shares at a purchase price (determined in accordance with Nasdaq rules relating to the “Minimum Value” of the Company’s common stock) of $1.62 per share, which is equal to the closing price of the Company's common stock on August 3, 2023, for an aggregate purchase price of approximately $27.5 million. Funding will occur in two separate tranches on August 31, 2023 and September 29, 2023. The Subscription Agreements include customary representations, warranties and covenants by the parties to the agreement. The Company intends to use the proceeds for the commercial expansion of sales, research and development, and for general corporate purposes.</w:t>
      </w:r>
    </w:p>
    <w:p>
      <w:pPr>
        <w:pStyle w:val="TextBody"/>
        <w:bidi w:val="0"/>
        <w:spacing w:before="120" w:after="0"/>
        <w:jc w:val="both"/>
        <w:rPr>
          <w:rFonts w:ascii="Times New Roman" w:hAnsi="Times New Roman"/>
          <w:sz w:val="20"/>
        </w:rPr>
      </w:pPr>
      <w:bookmarkStart w:id="16" w:name="item_3_defaults_upon_senior_securities"/>
      <w:bookmarkEnd w:id="16"/>
      <w:r>
        <w:rPr>
          <w:rFonts w:ascii="Times New Roman;serif" w:hAnsi="Times New Roman;serif"/>
          <w:b/>
          <w:sz w:val="20"/>
        </w:rPr>
        <w:t>Item 3. Defaults Upon</w:t>
      </w:r>
      <w:r>
        <w:rPr>
          <w:rFonts w:ascii="Times New Roman" w:hAnsi="Times New Roman"/>
          <w:sz w:val="20"/>
        </w:rPr>
        <w:t xml:space="preserve"> </w:t>
      </w:r>
      <w:r>
        <w:rPr>
          <w:rFonts w:ascii="Times New Roman;serif" w:hAnsi="Times New Roman;serif"/>
          <w:b/>
          <w:sz w:val="20"/>
        </w:rPr>
        <w:t>Senior Securities.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None.</w:t>
      </w:r>
    </w:p>
    <w:p>
      <w:pPr>
        <w:pStyle w:val="TextBody"/>
        <w:bidi w:val="0"/>
        <w:spacing w:before="120" w:after="0"/>
        <w:jc w:val="both"/>
        <w:rPr>
          <w:rFonts w:ascii="Times New Roman;serif" w:hAnsi="Times New Roman;serif"/>
          <w:b/>
          <w:sz w:val="20"/>
        </w:rPr>
      </w:pPr>
      <w:bookmarkStart w:id="17" w:name="item_4_mine_safety_disclosures"/>
      <w:bookmarkEnd w:id="17"/>
      <w:r>
        <w:rPr>
          <w:rFonts w:ascii="Times New Roman;serif" w:hAnsi="Times New Roman;serif"/>
          <w:b/>
          <w:sz w:val="20"/>
        </w:rPr>
        <w:t>Item 4. Mine Safety Disclosures.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120" w:after="0"/>
        <w:jc w:val="both"/>
        <w:rPr>
          <w:rFonts w:ascii="Times New Roman" w:hAnsi="Times New Roman"/>
          <w:sz w:val="20"/>
        </w:rPr>
      </w:pPr>
      <w:bookmarkStart w:id="18" w:name="item_5_or_information"/>
      <w:bookmarkEnd w:id="18"/>
      <w:r>
        <w:rPr>
          <w:rFonts w:ascii="Times New Roman;serif" w:hAnsi="Times New Roman;serif"/>
          <w:b/>
          <w:sz w:val="20"/>
        </w:rPr>
        <w:t>Item 5. Other</w:t>
      </w:r>
      <w:r>
        <w:rPr>
          <w:rFonts w:ascii="Times New Roman" w:hAnsi="Times New Roman"/>
          <w:sz w:val="20"/>
        </w:rPr>
        <w:t xml:space="preserve"> </w:t>
      </w:r>
      <w:r>
        <w:rPr>
          <w:rFonts w:ascii="Times New Roman;serif" w:hAnsi="Times New Roman;serif"/>
          <w:b/>
          <w:sz w:val="20"/>
        </w:rPr>
        <w:t>Information.</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None.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sz w:val="20"/>
        </w:rPr>
      </w:pPr>
      <w:bookmarkStart w:id="19" w:name="item_6_exhibits"/>
      <w:bookmarkEnd w:id="19"/>
      <w:r>
        <w:rPr>
          <w:rFonts w:ascii="Times New Roman;serif" w:hAnsi="Times New Roman;serif"/>
          <w:b/>
          <w:sz w:val="20"/>
        </w:rPr>
        <w:t>Item 6. Exhibits.</w:t>
      </w:r>
    </w:p>
    <w:p>
      <w:pPr>
        <w:pStyle w:val="TextBody"/>
        <w:bidi w:val="0"/>
        <w:spacing w:before="40" w:after="0"/>
        <w:jc w:val="both"/>
        <w:rPr/>
      </w:pPr>
      <w:r>
        <w:rPr/>
        <w:t> </w:t>
      </w:r>
    </w:p>
    <w:tbl>
      <w:tblPr>
        <w:tblW w:w="10205" w:type="dxa"/>
        <w:jc w:val="left"/>
        <w:tblInd w:w="0" w:type="dxa"/>
        <w:tblLayout w:type="fixed"/>
        <w:tblCellMar>
          <w:top w:w="28" w:type="dxa"/>
          <w:left w:w="28" w:type="dxa"/>
          <w:bottom w:w="28" w:type="dxa"/>
          <w:right w:w="28" w:type="dxa"/>
        </w:tblCellMar>
      </w:tblPr>
      <w:tblGrid>
        <w:gridCol w:w="790"/>
        <w:gridCol w:w="146"/>
        <w:gridCol w:w="9077"/>
        <w:gridCol w:w="192"/>
      </w:tblGrid>
      <w:tr>
        <w:trPr/>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7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6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Description</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both"/>
              <w:rPr/>
            </w:pPr>
            <w:r>
              <w:rPr/>
              <w:t> </w:t>
            </w:r>
          </w:p>
        </w:tc>
        <w:tc>
          <w:tcPr>
            <w:tcW w:w="192" w:type="dxa"/>
            <w:tcBorders/>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both"/>
              <w:rPr/>
            </w:pPr>
            <w:hyperlink w:anchor="bdsx-ex10_1.htm">
              <w:r>
                <w:rPr>
                  <w:rStyle w:val="InternetLink"/>
                  <w:rFonts w:ascii="Times New Roman;serif" w:hAnsi="Times New Roman;serif"/>
                  <w:b w:val="false"/>
                  <w:sz w:val="20"/>
                  <w:u w:val="single"/>
                </w:rPr>
                <w:t>Form of Subscription Agreement, dated August 3, 2023.</w:t>
              </w:r>
            </w:hyperlink>
          </w:p>
        </w:tc>
        <w:tc>
          <w:tcPr>
            <w:tcW w:w="192" w:type="dxa"/>
            <w:tcBorders/>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both"/>
              <w:rPr/>
            </w:pPr>
            <w:r>
              <w:rPr/>
              <w:t> </w:t>
            </w:r>
          </w:p>
        </w:tc>
        <w:tc>
          <w:tcPr>
            <w:tcW w:w="192" w:type="dxa"/>
            <w:tcBorders/>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both"/>
              <w:rPr/>
            </w:pPr>
            <w:hyperlink w:anchor="bdsx-ex10_2.htm">
              <w:r>
                <w:rPr>
                  <w:rStyle w:val="InternetLink"/>
                  <w:rFonts w:ascii="Times New Roman;serif" w:hAnsi="Times New Roman;serif"/>
                  <w:b w:val="false"/>
                  <w:sz w:val="20"/>
                  <w:u w:val="single"/>
                </w:rPr>
                <w:t>Second Amendment to Credit Agreement an Guaranty, dated August 4, 2023, by and among the Company and Perceptive Credit Holdings IV, LP.</w:t>
              </w:r>
            </w:hyperlink>
          </w:p>
        </w:tc>
        <w:tc>
          <w:tcPr>
            <w:tcW w:w="192" w:type="dxa"/>
            <w:tcBorders/>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both"/>
              <w:rPr/>
            </w:pPr>
            <w:r>
              <w:rPr/>
              <w:t> </w:t>
            </w:r>
          </w:p>
        </w:tc>
        <w:tc>
          <w:tcPr>
            <w:tcW w:w="192" w:type="dxa"/>
            <w:tcBorders/>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both"/>
              <w:rPr/>
            </w:pPr>
            <w:hyperlink w:anchor="bdsx-ex31_1.htm">
              <w:r>
                <w:rPr>
                  <w:rStyle w:val="InternetLink"/>
                  <w:rFonts w:ascii="Times New Roman;serif" w:hAnsi="Times New Roman;serif"/>
                  <w:b w:val="false"/>
                  <w:sz w:val="20"/>
                  <w:u w:val="single"/>
                </w:rPr>
                <w:t>Certification of Principal Executive Officer Pursuant to Rules 13a-14(a) and 15d-14(a) under the Securities Exchange Act of 1934, as Adopted Pursuant to Section 302 of the Sarbanes-Oxley Act of 2002.</w:t>
              </w:r>
            </w:hyperlink>
          </w:p>
        </w:tc>
        <w:tc>
          <w:tcPr>
            <w:tcW w:w="192" w:type="dxa"/>
            <w:vMerge w:val="restart"/>
            <w:tcBorders/>
            <w:vAlign w:val="center"/>
          </w:tcPr>
          <w:p>
            <w:pPr>
              <w:pStyle w:val="TableContents"/>
              <w:bidi w:val="0"/>
              <w:spacing w:before="0" w:after="0"/>
              <w:ind w:left="0" w:right="0" w:hanging="0"/>
              <w:jc w:val="left"/>
              <w:rPr/>
            </w:pPr>
            <w:r>
              <w:rPr/>
              <w:t> </w:t>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2" w:type="dxa"/>
            <w:vMerge w:val="continue"/>
            <w:tcBorders/>
            <w:vAlign w:val="center"/>
          </w:tcPr>
          <w:p>
            <w:pPr>
              <w:pStyle w:val="Normal"/>
              <w:bidi w:val="0"/>
              <w:jc w:val="left"/>
              <w:rPr/>
            </w:pPr>
            <w:r>
              <w:rPr/>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both"/>
              <w:rPr/>
            </w:pPr>
            <w:hyperlink w:anchor="bdsx-ex31_2.htm">
              <w:r>
                <w:rPr>
                  <w:rStyle w:val="InternetLink"/>
                  <w:rFonts w:ascii="Times New Roman;serif" w:hAnsi="Times New Roman;serif"/>
                  <w:b w:val="false"/>
                  <w:sz w:val="20"/>
                  <w:u w:val="single"/>
                </w:rPr>
                <w:t>Certification of Principal Financial Officer Pursuant to Rules 13a-14(a) and 15d-14(a) under the Securities Exchange Act of 1934, as Adopted Pursuant to Section 302 of the Sarbanes-Oxley Act of 2002.</w:t>
              </w:r>
            </w:hyperlink>
          </w:p>
        </w:tc>
        <w:tc>
          <w:tcPr>
            <w:tcW w:w="192" w:type="dxa"/>
            <w:vMerge w:val="continue"/>
            <w:tcBorders/>
            <w:vAlign w:val="center"/>
          </w:tcPr>
          <w:p>
            <w:pPr>
              <w:pStyle w:val="Normal"/>
              <w:bidi w:val="0"/>
              <w:jc w:val="left"/>
              <w:rPr/>
            </w:pPr>
            <w:r>
              <w:rPr/>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2" w:type="dxa"/>
            <w:vMerge w:val="continue"/>
            <w:tcBorders/>
            <w:vAlign w:val="center"/>
          </w:tcPr>
          <w:p>
            <w:pPr>
              <w:pStyle w:val="Normal"/>
              <w:bidi w:val="0"/>
              <w:jc w:val="left"/>
              <w:rPr/>
            </w:pPr>
            <w:r>
              <w:rPr/>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both"/>
              <w:rPr/>
            </w:pPr>
            <w:hyperlink w:anchor="bdsx-ex32_1.htm">
              <w:r>
                <w:rPr>
                  <w:rStyle w:val="InternetLink"/>
                  <w:rFonts w:ascii="Times New Roman;serif" w:hAnsi="Times New Roman;serif"/>
                  <w:b w:val="false"/>
                  <w:sz w:val="20"/>
                  <w:u w:val="single"/>
                </w:rPr>
                <w:t>Certification of Principal Executive Officer Pursuant to 18 U.S.C. Section 1350, as Adopted Pursuant to Section 906 of the Sarbanes-Oxley Act of 2002.</w:t>
              </w:r>
            </w:hyperlink>
          </w:p>
        </w:tc>
        <w:tc>
          <w:tcPr>
            <w:tcW w:w="192" w:type="dxa"/>
            <w:vMerge w:val="continue"/>
            <w:tcBorders/>
            <w:vAlign w:val="center"/>
          </w:tcPr>
          <w:p>
            <w:pPr>
              <w:pStyle w:val="Normal"/>
              <w:bidi w:val="0"/>
              <w:jc w:val="left"/>
              <w:rPr/>
            </w:pPr>
            <w:r>
              <w:rPr/>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2" w:type="dxa"/>
            <w:vMerge w:val="continue"/>
            <w:tcBorders/>
            <w:vAlign w:val="center"/>
          </w:tcPr>
          <w:p>
            <w:pPr>
              <w:pStyle w:val="Normal"/>
              <w:bidi w:val="0"/>
              <w:jc w:val="left"/>
              <w:rPr/>
            </w:pPr>
            <w:r>
              <w:rPr/>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both"/>
              <w:rPr/>
            </w:pPr>
            <w:hyperlink w:anchor="bdsx-ex32_2.htm">
              <w:r>
                <w:rPr>
                  <w:rStyle w:val="InternetLink"/>
                  <w:rFonts w:ascii="Times New Roman;serif" w:hAnsi="Times New Roman;serif"/>
                  <w:b w:val="false"/>
                  <w:sz w:val="20"/>
                  <w:u w:val="single"/>
                </w:rPr>
                <w:t>Certification of Principal Financial Officer Pursuant to 18 U.S.C. Section 1350, as Adopted Pursuant to Section 906 of the Sarbanes-Oxley Act of 2002.</w:t>
              </w:r>
            </w:hyperlink>
          </w:p>
        </w:tc>
        <w:tc>
          <w:tcPr>
            <w:tcW w:w="192" w:type="dxa"/>
            <w:vMerge w:val="continue"/>
            <w:tcBorders/>
            <w:vAlign w:val="center"/>
          </w:tcPr>
          <w:p>
            <w:pPr>
              <w:pStyle w:val="Normal"/>
              <w:bidi w:val="0"/>
              <w:jc w:val="left"/>
              <w:rPr/>
            </w:pPr>
            <w:r>
              <w:rPr/>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2" w:type="dxa"/>
            <w:vMerge w:val="continue"/>
            <w:tcBorders/>
            <w:vAlign w:val="center"/>
          </w:tcPr>
          <w:p>
            <w:pPr>
              <w:pStyle w:val="Normal"/>
              <w:bidi w:val="0"/>
              <w:jc w:val="left"/>
              <w:rPr/>
            </w:pPr>
            <w:r>
              <w:rPr/>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XBRL tags are embedded within the Inline XBRL document.</w:t>
            </w:r>
          </w:p>
        </w:tc>
        <w:tc>
          <w:tcPr>
            <w:tcW w:w="192" w:type="dxa"/>
            <w:vMerge w:val="continue"/>
            <w:tcBorders/>
            <w:vAlign w:val="center"/>
          </w:tcPr>
          <w:p>
            <w:pPr>
              <w:pStyle w:val="Normal"/>
              <w:bidi w:val="0"/>
              <w:jc w:val="left"/>
              <w:rPr/>
            </w:pPr>
            <w:r>
              <w:rPr/>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2" w:type="dxa"/>
            <w:vMerge w:val="continue"/>
            <w:tcBorders/>
            <w:vAlign w:val="center"/>
          </w:tcPr>
          <w:p>
            <w:pPr>
              <w:pStyle w:val="Normal"/>
              <w:bidi w:val="0"/>
              <w:jc w:val="left"/>
              <w:rPr/>
            </w:pPr>
            <w:r>
              <w:rPr/>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c>
          <w:tcPr>
            <w:tcW w:w="192" w:type="dxa"/>
            <w:vMerge w:val="continue"/>
            <w:tcBorders/>
            <w:vAlign w:val="center"/>
          </w:tcPr>
          <w:p>
            <w:pPr>
              <w:pStyle w:val="Normal"/>
              <w:bidi w:val="0"/>
              <w:jc w:val="left"/>
              <w:rPr/>
            </w:pPr>
            <w:r>
              <w:rPr/>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2" w:type="dxa"/>
            <w:vMerge w:val="continue"/>
            <w:tcBorders/>
            <w:vAlign w:val="center"/>
          </w:tcPr>
          <w:p>
            <w:pPr>
              <w:pStyle w:val="Normal"/>
              <w:bidi w:val="0"/>
              <w:jc w:val="left"/>
              <w:rPr/>
            </w:pPr>
            <w:r>
              <w:rPr/>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c>
          <w:tcPr>
            <w:tcW w:w="192" w:type="dxa"/>
            <w:vMerge w:val="continue"/>
            <w:tcBorders/>
            <w:vAlign w:val="center"/>
          </w:tcPr>
          <w:p>
            <w:pPr>
              <w:pStyle w:val="Normal"/>
              <w:bidi w:val="0"/>
              <w:jc w:val="left"/>
              <w:rPr/>
            </w:pPr>
            <w:r>
              <w:rPr/>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2" w:type="dxa"/>
            <w:vMerge w:val="continue"/>
            <w:tcBorders/>
            <w:vAlign w:val="center"/>
          </w:tcPr>
          <w:p>
            <w:pPr>
              <w:pStyle w:val="Normal"/>
              <w:bidi w:val="0"/>
              <w:jc w:val="left"/>
              <w:rPr/>
            </w:pPr>
            <w:r>
              <w:rPr/>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c>
          <w:tcPr>
            <w:tcW w:w="192" w:type="dxa"/>
            <w:vMerge w:val="continue"/>
            <w:tcBorders/>
            <w:vAlign w:val="center"/>
          </w:tcPr>
          <w:p>
            <w:pPr>
              <w:pStyle w:val="Normal"/>
              <w:bidi w:val="0"/>
              <w:jc w:val="left"/>
              <w:rPr/>
            </w:pPr>
            <w:r>
              <w:rPr/>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2" w:type="dxa"/>
            <w:vMerge w:val="continue"/>
            <w:tcBorders/>
            <w:vAlign w:val="center"/>
          </w:tcPr>
          <w:p>
            <w:pPr>
              <w:pStyle w:val="Normal"/>
              <w:bidi w:val="0"/>
              <w:jc w:val="left"/>
              <w:rPr/>
            </w:pPr>
            <w:r>
              <w:rPr/>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c>
          <w:tcPr>
            <w:tcW w:w="192" w:type="dxa"/>
            <w:vMerge w:val="continue"/>
            <w:tcBorders/>
            <w:vAlign w:val="center"/>
          </w:tcPr>
          <w:p>
            <w:pPr>
              <w:pStyle w:val="Normal"/>
              <w:bidi w:val="0"/>
              <w:jc w:val="left"/>
              <w:rPr/>
            </w:pPr>
            <w:r>
              <w:rPr/>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2" w:type="dxa"/>
            <w:vMerge w:val="continue"/>
            <w:tcBorders/>
            <w:vAlign w:val="center"/>
          </w:tcPr>
          <w:p>
            <w:pPr>
              <w:pStyle w:val="Normal"/>
              <w:bidi w:val="0"/>
              <w:jc w:val="left"/>
              <w:rPr/>
            </w:pPr>
            <w:r>
              <w:rPr/>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c>
          <w:tcPr>
            <w:tcW w:w="192" w:type="dxa"/>
            <w:vMerge w:val="continue"/>
            <w:tcBorders/>
            <w:vAlign w:val="center"/>
          </w:tcPr>
          <w:p>
            <w:pPr>
              <w:pStyle w:val="Normal"/>
              <w:bidi w:val="0"/>
              <w:jc w:val="left"/>
              <w:rPr/>
            </w:pPr>
            <w:r>
              <w:rPr/>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2" w:type="dxa"/>
            <w:vMerge w:val="continue"/>
            <w:tcBorders/>
            <w:vAlign w:val="center"/>
          </w:tcPr>
          <w:p>
            <w:pPr>
              <w:pStyle w:val="Normal"/>
              <w:bidi w:val="0"/>
              <w:jc w:val="left"/>
              <w:rPr/>
            </w:pPr>
            <w:r>
              <w:rPr/>
            </w:r>
          </w:p>
        </w:tc>
      </w:tr>
      <w:tr>
        <w:trPr/>
        <w:tc>
          <w:tcPr>
            <w:tcW w:w="7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07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c>
          <w:tcPr>
            <w:tcW w:w="192" w:type="dxa"/>
            <w:vMerge w:val="continue"/>
            <w:tcBorders/>
            <w:vAlign w:val="center"/>
          </w:tcPr>
          <w:p>
            <w:pPr>
              <w:pStyle w:val="Normal"/>
              <w:bidi w:val="0"/>
              <w:jc w:val="left"/>
              <w:rPr/>
            </w:pPr>
            <w:r>
              <w:rPr/>
            </w:r>
          </w:p>
        </w:tc>
      </w:tr>
    </w:tbl>
    <w:p>
      <w:pPr>
        <w:pStyle w:val="TextBody"/>
        <w:pBdr>
          <w:bottom w:val="single" w:sz="4" w:space="1" w:color="000000"/>
        </w:pBdr>
        <w:bidi w:val="0"/>
        <w:spacing w:before="0" w:after="0"/>
        <w:jc w:val="both"/>
        <w:rPr/>
      </w:pPr>
      <w:r>
        <w:rPr/>
        <w:t> </w:t>
      </w:r>
    </w:p>
    <w:p>
      <w:pPr>
        <w:pStyle w:val="TextBody"/>
        <w:bidi w:val="0"/>
        <w:spacing w:before="40" w:after="0"/>
        <w:jc w:val="both"/>
        <w:rPr>
          <w:rFonts w:ascii="Times New Roman;serif" w:hAnsi="Times New Roman;serif"/>
          <w:b w:val="false"/>
          <w:sz w:val="20"/>
        </w:rPr>
      </w:pPr>
      <w:r>
        <w:rPr>
          <w:rFonts w:ascii="Times New Roman;serif" w:hAnsi="Times New Roman;serif"/>
          <w:b w:val="false"/>
          <w:sz w:val="20"/>
        </w:rPr>
        <w:t>* Filed herewith.</w:t>
      </w:r>
    </w:p>
    <w:p>
      <w:pPr>
        <w:pStyle w:val="TextBody"/>
        <w:bidi w:val="0"/>
        <w:spacing w:before="40" w:after="0"/>
        <w:jc w:val="both"/>
        <w:rPr>
          <w:rFonts w:ascii="Times New Roman;serif" w:hAnsi="Times New Roman;serif"/>
          <w:b w:val="false"/>
          <w:sz w:val="20"/>
        </w:rPr>
      </w:pPr>
      <w:r>
        <w:rPr>
          <w:rFonts w:ascii="Times New Roman;serif" w:hAnsi="Times New Roman;serif"/>
          <w:b w:val="false"/>
          <w:sz w:val="20"/>
        </w:rPr>
        <w:t> Previously filed.</w:t>
      </w:r>
    </w:p>
    <w:p>
      <w:pPr>
        <w:pStyle w:val="TextBody"/>
        <w:bidi w:val="0"/>
        <w:spacing w:before="40" w:after="0"/>
        <w:jc w:val="both"/>
        <w:rPr>
          <w:rFonts w:ascii="Times New Roman;serif" w:hAnsi="Times New Roman;serif"/>
          <w:b w:val="false"/>
          <w:sz w:val="20"/>
        </w:rPr>
      </w:pPr>
      <w:r>
        <w:rPr>
          <w:rFonts w:ascii="Times New Roman;serif" w:hAnsi="Times New Roman;serif"/>
          <w:b w:val="false"/>
          <w:sz w:val="20"/>
        </w:rPr>
        <w:t>+ Management contract or compensatory plan.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0" w:name="signatures"/>
      <w:bookmarkEnd w:id="20"/>
      <w:r>
        <w:rPr>
          <w:rFonts w:ascii="Times New Roman;serif" w:hAnsi="Times New Roman;serif"/>
          <w:b/>
          <w:sz w:val="20"/>
        </w:rPr>
        <w:t>SIGNATURE</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t> </w:t>
      </w:r>
    </w:p>
    <w:tbl>
      <w:tblPr>
        <w:tblW w:w="5324" w:type="dxa"/>
        <w:jc w:val="left"/>
        <w:tblInd w:w="0" w:type="dxa"/>
        <w:tblLayout w:type="fixed"/>
        <w:tblCellMar>
          <w:top w:w="28" w:type="dxa"/>
          <w:left w:w="28" w:type="dxa"/>
          <w:bottom w:w="28" w:type="dxa"/>
          <w:right w:w="28" w:type="dxa"/>
        </w:tblCellMar>
      </w:tblPr>
      <w:tblGrid>
        <w:gridCol w:w="1891"/>
        <w:gridCol w:w="146"/>
        <w:gridCol w:w="406"/>
        <w:gridCol w:w="288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287"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Biodesix, Inc.</w:t>
            </w:r>
          </w:p>
        </w:tc>
      </w:tr>
      <w:tr>
        <w:trPr/>
        <w:tc>
          <w:tcPr>
            <w:tcW w:w="18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88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Date: August 7, 2023</w:t>
            </w:r>
            <w:r>
              <w:rPr>
                <w:rFonts w:ascii="Times New Roman" w:hAnsi="Times New Roman"/>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88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CHRISTOPHER C. VAZQUEZ</w:t>
            </w:r>
          </w:p>
        </w:tc>
      </w:tr>
      <w:tr>
        <w:trPr/>
        <w:tc>
          <w:tcPr>
            <w:tcW w:w="18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88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Christopher C. Vazquez</w:t>
            </w:r>
          </w:p>
        </w:tc>
      </w:tr>
      <w:tr>
        <w:trPr/>
        <w:tc>
          <w:tcPr>
            <w:tcW w:w="18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88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Chief Accounting Officer</w:t>
            </w:r>
          </w:p>
        </w:tc>
      </w:tr>
      <w:tr>
        <w:trPr/>
        <w:tc>
          <w:tcPr>
            <w:tcW w:w="189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88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189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88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120" w:after="0"/>
        <w:jc w:val="right"/>
        <w:rPr>
          <w:rFonts w:ascii="Times New Roman;serif" w:hAnsi="Times New Roman;serif"/>
          <w:b/>
          <w:sz w:val="20"/>
        </w:rPr>
      </w:pPr>
      <w:bookmarkStart w:id="21" w:name="bdsx-ex10_1.htm"/>
      <w:bookmarkStart w:id="22" w:name="ksbdsxex10_1"/>
      <w:bookmarkEnd w:id="21"/>
      <w:bookmarkEnd w:id="22"/>
      <w:r>
        <w:rPr>
          <w:rFonts w:ascii="Times New Roman;serif" w:hAnsi="Times New Roman;serif"/>
          <w:b/>
          <w:sz w:val="20"/>
        </w:rPr>
        <w:t>Exhibit 10.1</w:t>
      </w:r>
      <w:r>
        <w:br w:type="page"/>
      </w:r>
    </w:p>
    <w:p>
      <w:pPr>
        <w:pStyle w:val="TextBody"/>
        <w:bidi w:val="0"/>
        <w:spacing w:before="0" w:after="240"/>
        <w:jc w:val="center"/>
        <w:rPr>
          <w:rFonts w:ascii="Times New Roman;serif" w:hAnsi="Times New Roman;serif"/>
          <w:b/>
          <w:sz w:val="24"/>
        </w:rPr>
      </w:pPr>
      <w:r>
        <w:rPr>
          <w:rFonts w:ascii="Times New Roman;serif" w:hAnsi="Times New Roman;serif"/>
          <w:b/>
          <w:sz w:val="24"/>
        </w:rPr>
        <w:t>SUBSCRIPTION AGREEMENT</w:t>
      </w:r>
    </w:p>
    <w:p>
      <w:pPr>
        <w:pStyle w:val="TextBody"/>
        <w:bidi w:val="0"/>
        <w:spacing w:before="0" w:after="240"/>
        <w:jc w:val="left"/>
        <w:rPr>
          <w:rFonts w:ascii="Times New Roman" w:hAnsi="Times New Roman"/>
          <w:sz w:val="20"/>
        </w:rPr>
      </w:pPr>
      <w:r>
        <w:rPr>
          <w:rFonts w:ascii="Times New Roman;serif" w:hAnsi="Times New Roman;serif"/>
          <w:b w:val="false"/>
          <w:sz w:val="24"/>
        </w:rPr>
        <w:t>This SUBSCRIPTION AGREEMENT (this “</w:t>
      </w:r>
      <w:r>
        <w:rPr>
          <w:rFonts w:ascii="Times New Roman;serif" w:hAnsi="Times New Roman;serif"/>
          <w:b/>
          <w:sz w:val="24"/>
        </w:rPr>
        <w:t>Subscription Agreement</w:t>
      </w:r>
      <w:r>
        <w:rPr>
          <w:rFonts w:ascii="Times New Roman" w:hAnsi="Times New Roman"/>
          <w:sz w:val="20"/>
        </w:rPr>
        <w:t>”</w:t>
      </w:r>
      <w:r>
        <w:rPr>
          <w:rFonts w:ascii="Times New Roman;serif" w:hAnsi="Times New Roman;serif"/>
          <w:b w:val="false"/>
          <w:sz w:val="24"/>
        </w:rPr>
        <w:t>) is entered into this 3rd day of August 2023, by and between Biodesix, Inc., a Delaware corporation (the “</w:t>
      </w:r>
      <w:r>
        <w:rPr>
          <w:rFonts w:ascii="Times New Roman;serif" w:hAnsi="Times New Roman;serif"/>
          <w:b/>
          <w:sz w:val="24"/>
        </w:rPr>
        <w:t>Issuer</w:t>
      </w:r>
      <w:r>
        <w:rPr>
          <w:rFonts w:ascii="Times New Roman" w:hAnsi="Times New Roman"/>
          <w:sz w:val="20"/>
        </w:rPr>
        <w:t>”</w:t>
      </w:r>
      <w:r>
        <w:rPr>
          <w:rFonts w:ascii="Times New Roman;serif" w:hAnsi="Times New Roman;serif"/>
          <w:b w:val="false"/>
          <w:sz w:val="24"/>
        </w:rPr>
        <w:t>), and the undersigned (“</w:t>
      </w:r>
      <w:r>
        <w:rPr>
          <w:rFonts w:ascii="Times New Roman;serif" w:hAnsi="Times New Roman;serif"/>
          <w:b/>
          <w:sz w:val="24"/>
        </w:rPr>
        <w:t>Subscriber</w:t>
      </w:r>
      <w:r>
        <w:rPr>
          <w:rFonts w:ascii="Times New Roman" w:hAnsi="Times New Roman"/>
          <w:sz w:val="20"/>
        </w:rPr>
        <w:t xml:space="preserve">” </w:t>
      </w:r>
      <w:r>
        <w:rPr>
          <w:rFonts w:ascii="Times New Roman;serif" w:hAnsi="Times New Roman;serif"/>
          <w:b w:val="false"/>
          <w:sz w:val="24"/>
        </w:rPr>
        <w:t>or “</w:t>
      </w:r>
      <w:r>
        <w:rPr>
          <w:rFonts w:ascii="Times New Roman;serif" w:hAnsi="Times New Roman;serif"/>
          <w:b/>
          <w:sz w:val="24"/>
        </w:rPr>
        <w:t>you</w:t>
      </w:r>
      <w:r>
        <w:rPr>
          <w:rFonts w:ascii="Times New Roman" w:hAnsi="Times New Roman"/>
          <w:sz w:val="20"/>
        </w:rPr>
        <w:t>”</w:t>
      </w:r>
      <w:r>
        <w:rPr>
          <w:rFonts w:ascii="Times New Roman;serif" w:hAnsi="Times New Roman;serif"/>
          <w:b w:val="false"/>
          <w:sz w:val="24"/>
        </w:rPr>
        <w:t>).</w:t>
      </w:r>
      <w:r>
        <w:rPr>
          <w:rFonts w:ascii="Times New Roman" w:hAnsi="Times New Roman"/>
          <w:sz w:val="20"/>
        </w:rPr>
        <w:t xml:space="preserve"> </w:t>
      </w:r>
    </w:p>
    <w:p>
      <w:pPr>
        <w:pStyle w:val="TextBody"/>
        <w:bidi w:val="0"/>
        <w:spacing w:before="0" w:after="240"/>
        <w:jc w:val="left"/>
        <w:rPr>
          <w:rFonts w:ascii="Times New Roman" w:hAnsi="Times New Roman"/>
          <w:sz w:val="20"/>
        </w:rPr>
      </w:pPr>
      <w:r>
        <w:rPr>
          <w:rFonts w:ascii="Times New Roman;serif" w:hAnsi="Times New Roman;serif"/>
          <w:b w:val="false"/>
          <w:sz w:val="24"/>
        </w:rPr>
        <w:t>WHEREAS, Subscriber desires to subscribe for and purchase from the Issuer that number of shares of the Issuer’s common stock, $0.001 par value per share (the “</w:t>
      </w:r>
      <w:r>
        <w:rPr>
          <w:rFonts w:ascii="Times New Roman;serif" w:hAnsi="Times New Roman;serif"/>
          <w:b/>
          <w:sz w:val="24"/>
        </w:rPr>
        <w:t>Common Stock</w:t>
      </w:r>
      <w:r>
        <w:rPr>
          <w:rFonts w:ascii="Times New Roman" w:hAnsi="Times New Roman"/>
          <w:sz w:val="20"/>
        </w:rPr>
        <w:t>”</w:t>
      </w:r>
      <w:r>
        <w:rPr>
          <w:rFonts w:ascii="Times New Roman;serif" w:hAnsi="Times New Roman;serif"/>
          <w:b w:val="false"/>
          <w:sz w:val="24"/>
        </w:rPr>
        <w:t>) set forth on the signature page hereto (the “</w:t>
      </w:r>
      <w:r>
        <w:rPr>
          <w:rFonts w:ascii="Times New Roman;serif" w:hAnsi="Times New Roman;serif"/>
          <w:b/>
          <w:sz w:val="24"/>
        </w:rPr>
        <w:t>Subscribed Shares</w:t>
      </w:r>
      <w:r>
        <w:rPr>
          <w:rFonts w:ascii="Times New Roman" w:hAnsi="Times New Roman"/>
          <w:sz w:val="20"/>
        </w:rPr>
        <w:t>”</w:t>
      </w:r>
      <w:r>
        <w:rPr>
          <w:rFonts w:ascii="Times New Roman;serif" w:hAnsi="Times New Roman;serif"/>
          <w:b w:val="false"/>
          <w:sz w:val="24"/>
        </w:rPr>
        <w:t>) for a purchase price of $1.62 per share, and for the aggregate purchase price set forth on the signature page hereto (the “</w:t>
      </w:r>
      <w:r>
        <w:rPr>
          <w:rFonts w:ascii="Times New Roman;serif" w:hAnsi="Times New Roman;serif"/>
          <w:b/>
          <w:sz w:val="24"/>
        </w:rPr>
        <w:t>Purchase Price</w:t>
      </w:r>
      <w:r>
        <w:rPr>
          <w:rFonts w:ascii="Times New Roman" w:hAnsi="Times New Roman"/>
          <w:sz w:val="20"/>
        </w:rPr>
        <w:t>”</w:t>
      </w:r>
      <w:r>
        <w:rPr>
          <w:rFonts w:ascii="Times New Roman;serif" w:hAnsi="Times New Roman;serif"/>
          <w:b w:val="false"/>
          <w:sz w:val="24"/>
        </w:rPr>
        <w:t>), and the Issuer desires to issue and sell to Subscriber the Subscribed Shares in consideration of the payment of the Purchase Price therefor by or on behalf of Subscriber to the Issuer, all on the terms and subject to the conditions set forth herein; and</w:t>
      </w:r>
    </w:p>
    <w:p>
      <w:pPr>
        <w:pStyle w:val="TextBody"/>
        <w:bidi w:val="0"/>
        <w:spacing w:before="0" w:after="240"/>
        <w:jc w:val="left"/>
        <w:rPr>
          <w:rFonts w:ascii="Times New Roman" w:hAnsi="Times New Roman"/>
          <w:sz w:val="20"/>
        </w:rPr>
      </w:pPr>
      <w:r>
        <w:rPr>
          <w:rFonts w:ascii="Times New Roman;serif" w:hAnsi="Times New Roman;serif"/>
          <w:b w:val="false"/>
          <w:sz w:val="24"/>
        </w:rPr>
        <w:t>WHEREAS, certain other “qualified institutional buyers” (as defined in Rule 144A under the Securities Act of 1933, as amended (the “</w:t>
      </w:r>
      <w:r>
        <w:rPr>
          <w:rFonts w:ascii="Times New Roman;serif" w:hAnsi="Times New Roman;serif"/>
          <w:b/>
          <w:sz w:val="24"/>
        </w:rPr>
        <w:t>Securities Act</w:t>
      </w:r>
      <w:r>
        <w:rPr>
          <w:rFonts w:ascii="Times New Roman" w:hAnsi="Times New Roman"/>
          <w:sz w:val="20"/>
        </w:rPr>
        <w:t>”</w:t>
      </w:r>
      <w:r>
        <w:rPr>
          <w:rFonts w:ascii="Times New Roman;serif" w:hAnsi="Times New Roman;serif"/>
          <w:b w:val="false"/>
          <w:sz w:val="24"/>
        </w:rPr>
        <w:t>)) or “accredited investors” (within the meaning of Rule 501(a) under the Securities Act) (each, an “</w:t>
      </w:r>
      <w:r>
        <w:rPr>
          <w:rFonts w:ascii="Times New Roman;serif" w:hAnsi="Times New Roman;serif"/>
          <w:b/>
          <w:sz w:val="24"/>
        </w:rPr>
        <w:t>Other Subscriber</w:t>
      </w:r>
      <w:r>
        <w:rPr>
          <w:rFonts w:ascii="Times New Roman" w:hAnsi="Times New Roman"/>
          <w:sz w:val="20"/>
        </w:rPr>
        <w:t>”</w:t>
      </w:r>
      <w:r>
        <w:rPr>
          <w:rFonts w:ascii="Times New Roman;serif" w:hAnsi="Times New Roman;serif"/>
          <w:b w:val="false"/>
          <w:sz w:val="24"/>
        </w:rPr>
        <w:t>) have, severally and not jointly, entered into separate subscription agreements with the Issuer (the “</w:t>
      </w:r>
      <w:r>
        <w:rPr>
          <w:rFonts w:ascii="Times New Roman;serif" w:hAnsi="Times New Roman;serif"/>
          <w:b/>
          <w:sz w:val="24"/>
        </w:rPr>
        <w:t>Other Subscription Agreements</w:t>
      </w:r>
      <w:r>
        <w:rPr>
          <w:rFonts w:ascii="Times New Roman" w:hAnsi="Times New Roman"/>
          <w:sz w:val="20"/>
        </w:rPr>
        <w:t>”</w:t>
      </w:r>
      <w:r>
        <w:rPr>
          <w:rFonts w:ascii="Times New Roman;serif" w:hAnsi="Times New Roman;serif"/>
          <w:b w:val="false"/>
          <w:sz w:val="24"/>
        </w:rPr>
        <w:t>), pursuant to which such Other Subscribers have agreed to purchase Common Stock on the date hereof at the same per share purchase price as Subscriber, and the aggregate amount of securities to be sold by the Issuer pursuant to this Subscription Agreement and the Other Subscription Agreements equals, as of the date hereof, 16,975,298 shares of Common Stock.</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NOW, THEREFORE, in consideration of the foregoing and the mutual representations, warranties and covenants, and subject to the conditions, herein contained, and intending to be legally bound hereby, the parties hereto hereby agree as follows:</w:t>
      </w:r>
    </w:p>
    <w:p>
      <w:pPr>
        <w:pStyle w:val="TextBody"/>
        <w:bidi w:val="0"/>
        <w:spacing w:before="0" w:after="240"/>
        <w:jc w:val="left"/>
        <w:rPr>
          <w:rFonts w:ascii="Times New Roman" w:hAnsi="Times New Roman"/>
          <w:sz w:val="20"/>
        </w:rPr>
      </w:pPr>
      <w:r>
        <w:rPr>
          <w:rFonts w:ascii="Times New Roman;serif" w:hAnsi="Times New Roman;serif"/>
          <w:b w:val="false"/>
          <w:sz w:val="24"/>
        </w:rPr>
        <w:t>For ease of administration, this single Subscription Agreement is being executed so as to enable each Subscriber identified on the signature page to enter into a Subscription Agreement, severally, but not jointly. The parties agree that (i) this Subscription Agreement shall be treated as if it were a separate agreement with respect to each Subscriber listed on the signature page, as if each Subscriber entity had executed a separate Subscription Agreement naming only itself as Subscriber, and (ii) no Subscriber listed on the signature page shall have any liability under the Subscription Agreement for the obligations of any Other Subscriber so listed. The decision of Subscriber to purchase the Subscribed Shares pursuant to this Subscription Agreement has been made by Subscriber independently of any Other Subscriber or any other investor and independently of any information, materials, statements or opinions as to the business, affairs, operations, assets, properties, liabilities, results of operations, condition (financial or otherwise) or prospects of the Issuer which may have been made or given by any Other Subscriber or investor or by any agent or employee of any Other Subscriber or investor, and neither Subscriber nor any of its agents or employees shall have any liability to any Other Subscriber or investor (or any other person) relating to or arising from any such information, materials, statements or opinions. Nothing contained herein or in any Other Subscription Agreement, and no action taken by Subscriber or investor pursuant hereto or thereto, shall be deemed to constitute Subscriber and Other Subscribers or other investors as a partnership, an association, a joint venture or any other kind of entity, or create a presumption that Subscriber and Other Subscribers or other investors</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val="false"/>
          <w:sz w:val="24"/>
        </w:rPr>
        <w:t>are in any way acting in concert or as a group with respect to such obligations or the transactions contemplated by this Subscription Agreement and the Other Subscription Agreements. Subscriber acknowledges that no Other Subscriber has acted as agent for Subscriber in connection with making its investment hereunder and no Other Subscriber will be acting as agent of Subscriber in connection with monitoring its investment in the Subscribed Shares or enforcing its rights under this Subscription Agreement.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r>
        <w:rPr>
          <w:rFonts w:ascii="Times New Roman" w:hAnsi="Times New Roman"/>
          <w:sz w:val="20"/>
        </w:rPr>
        <w:t xml:space="preserve"> </w:t>
      </w:r>
    </w:p>
    <w:p>
      <w:pPr>
        <w:pStyle w:val="TextBody"/>
        <w:bidi w:val="0"/>
        <w:spacing w:before="0" w:after="240"/>
        <w:jc w:val="left"/>
        <w:rPr>
          <w:rFonts w:ascii="Times New Roman" w:hAnsi="Times New Roman"/>
          <w:b w:val="false"/>
          <w:sz w:val="24"/>
        </w:rPr>
      </w:pPr>
      <w:r>
        <w:rPr>
          <w:rFonts w:ascii="Times New Roman" w:hAnsi="Times New Roman"/>
          <w:b w:val="false"/>
          <w:sz w:val="24"/>
        </w:rPr>
        <w:t>1.</w:t>
      </w:r>
    </w:p>
    <w:p>
      <w:pPr>
        <w:pStyle w:val="TextBody"/>
        <w:bidi w:val="0"/>
        <w:spacing w:before="0" w:after="240"/>
        <w:jc w:val="left"/>
        <w:rPr/>
      </w:pPr>
      <w:r>
        <w:rPr>
          <w:rFonts w:ascii="Times New Roman;serif" w:hAnsi="Times New Roman;serif"/>
          <w:b w:val="false"/>
          <w:sz w:val="24"/>
          <w:u w:val="single"/>
        </w:rPr>
        <w:t>Subscription</w:t>
      </w:r>
      <w:r>
        <w:rPr>
          <w:rFonts w:ascii="Times New Roman;serif" w:hAnsi="Times New Roman;serif"/>
          <w:b w:val="false"/>
          <w:sz w:val="24"/>
        </w:rPr>
        <w:t>. Subject to the terms and conditions hereof, at the Closing (as defined below), Subscriber hereby agrees, to subscribe for and purchase, and the Issuer hereby agrees to issue and sell to Subscriber, upon the payment of the Purchase Price, the Subscribed Shares (such subscription and issuance, the “</w:t>
      </w:r>
      <w:r>
        <w:rPr>
          <w:rFonts w:ascii="Times New Roman;serif" w:hAnsi="Times New Roman;serif"/>
          <w:b/>
          <w:sz w:val="24"/>
        </w:rPr>
        <w:t>Subscription</w:t>
      </w:r>
      <w:r>
        <w:rPr/>
        <w:t>”</w:t>
      </w:r>
      <w:r>
        <w:rPr>
          <w:rFonts w:ascii="Times New Roman;serif" w:hAnsi="Times New Roman;serif"/>
          <w:b w:val="false"/>
          <w:sz w:val="24"/>
        </w:rPr>
        <w:t>).</w:t>
      </w:r>
    </w:p>
    <w:p>
      <w:pPr>
        <w:pStyle w:val="TextBody"/>
        <w:bidi w:val="0"/>
        <w:spacing w:before="0" w:after="240"/>
        <w:jc w:val="left"/>
        <w:rPr>
          <w:rFonts w:ascii="Times New Roman" w:hAnsi="Times New Roman"/>
          <w:b w:val="false"/>
          <w:sz w:val="24"/>
        </w:rPr>
      </w:pPr>
      <w:r>
        <w:rPr>
          <w:rFonts w:ascii="Times New Roman" w:hAnsi="Times New Roman"/>
          <w:b w:val="false"/>
          <w:sz w:val="24"/>
        </w:rPr>
        <w:t>2.</w:t>
      </w:r>
    </w:p>
    <w:p>
      <w:pPr>
        <w:pStyle w:val="TextBody"/>
        <w:bidi w:val="0"/>
        <w:spacing w:before="0" w:after="240"/>
        <w:jc w:val="left"/>
        <w:rPr/>
      </w:pPr>
      <w:r>
        <w:rPr>
          <w:rFonts w:ascii="Times New Roman;serif" w:hAnsi="Times New Roman;serif"/>
          <w:b w:val="false"/>
          <w:sz w:val="24"/>
          <w:u w:val="single"/>
        </w:rPr>
        <w:t>Representations, Warranties and Agreements</w:t>
      </w:r>
      <w:r>
        <w:rPr>
          <w:rFonts w:ascii="Times New Roman;serif" w:hAnsi="Times New Roman;serif"/>
          <w:b w:val="false"/>
          <w:sz w:val="24"/>
        </w:rPr>
        <w:t>.</w:t>
      </w:r>
    </w:p>
    <w:p>
      <w:pPr>
        <w:pStyle w:val="TextBody"/>
        <w:bidi w:val="0"/>
        <w:spacing w:before="0" w:after="240"/>
        <w:jc w:val="left"/>
        <w:rPr>
          <w:rFonts w:ascii="Times New Roman" w:hAnsi="Times New Roman"/>
          <w:b w:val="false"/>
          <w:sz w:val="24"/>
        </w:rPr>
      </w:pPr>
      <w:r>
        <w:rPr>
          <w:rFonts w:ascii="Times New Roman" w:hAnsi="Times New Roman"/>
          <w:b w:val="false"/>
          <w:sz w:val="24"/>
        </w:rPr>
        <w:t>2.1.</w:t>
      </w:r>
    </w:p>
    <w:p>
      <w:pPr>
        <w:pStyle w:val="TextBody"/>
        <w:bidi w:val="0"/>
        <w:spacing w:before="0" w:after="240"/>
        <w:jc w:val="left"/>
        <w:rPr/>
      </w:pPr>
      <w:r>
        <w:rPr>
          <w:rFonts w:ascii="Times New Roman;serif" w:hAnsi="Times New Roman;serif"/>
          <w:b w:val="false"/>
          <w:sz w:val="24"/>
          <w:u w:val="single"/>
        </w:rPr>
        <w:t>Subscriber’s Representations, Warranties and Agreements</w:t>
      </w:r>
      <w:r>
        <w:rPr>
          <w:rFonts w:ascii="Times New Roman;serif" w:hAnsi="Times New Roman;serif"/>
          <w:b w:val="false"/>
          <w:sz w:val="24"/>
        </w:rPr>
        <w:t>. To induce the Issuer to issue the Subscribed Shares, Subscriber hereby represents and warrants to the Issuer and acknowledges and agrees with the Issuer, as of the date hereof and as of each Closing Date, as follows:</w:t>
      </w:r>
    </w:p>
    <w:p>
      <w:pPr>
        <w:pStyle w:val="TextBody"/>
        <w:bidi w:val="0"/>
        <w:spacing w:before="0" w:after="240"/>
        <w:jc w:val="left"/>
        <w:rPr>
          <w:rFonts w:ascii="Times New Roman" w:hAnsi="Times New Roman"/>
          <w:b w:val="false"/>
          <w:sz w:val="24"/>
        </w:rPr>
      </w:pPr>
      <w:r>
        <w:rPr>
          <w:rFonts w:ascii="Times New Roman" w:hAnsi="Times New Roman"/>
          <w:b w:val="false"/>
          <w:sz w:val="24"/>
        </w:rPr>
        <w:t>2.1.1.</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If Subscriber is not an individual, Subscriber has been duly formed or incorporated and is validly existing in good standing under the laws of its jurisdiction of incorporation or formation, with power and authority to enter into, deliver and perform its obligations under this Subscription Agreement. If Subscriber is an individual, Subscriber has the capacity to enter into, deliver and perform its obligations under this Subscription Agreement.</w:t>
      </w:r>
    </w:p>
    <w:p>
      <w:pPr>
        <w:pStyle w:val="TextBody"/>
        <w:bidi w:val="0"/>
        <w:spacing w:before="0" w:after="240"/>
        <w:jc w:val="left"/>
        <w:rPr>
          <w:rFonts w:ascii="Times New Roman" w:hAnsi="Times New Roman"/>
          <w:b w:val="false"/>
          <w:sz w:val="24"/>
        </w:rPr>
      </w:pPr>
      <w:r>
        <w:rPr>
          <w:rFonts w:ascii="Times New Roman" w:hAnsi="Times New Roman"/>
          <w:b w:val="false"/>
          <w:sz w:val="24"/>
        </w:rPr>
        <w:t>2.1.2.</w:t>
      </w:r>
    </w:p>
    <w:p>
      <w:pPr>
        <w:pStyle w:val="TextBody"/>
        <w:bidi w:val="0"/>
        <w:spacing w:before="0" w:after="240"/>
        <w:jc w:val="left"/>
        <w:rPr/>
      </w:pPr>
      <w:r>
        <w:rPr>
          <w:rFonts w:ascii="Times New Roman;serif" w:hAnsi="Times New Roman;serif"/>
          <w:b w:val="false"/>
          <w:sz w:val="24"/>
        </w:rPr>
        <w:t>If Subscriber is not an individual, this Subscription Agreement has been duly authorized, validly executed and delivered by Subscriber. If Subscriber is an individual, the signature on this Subscription Agreement is genuine, and Subscriber has legal competence and capacity to execute the same. Assuming that this Subscription Agreement constitutes the valid and binding agreement of the Issuer, this Subscription Agreement is the valid and binding obligation of Subscriber, and is enforceable against Subscriber in accordance with its terms, except as may be limited or otherwise affected by (i)</w:t>
      </w:r>
      <w:r>
        <w:rPr/>
        <w:t xml:space="preserve"> </w:t>
      </w:r>
      <w:r>
        <w:rPr>
          <w:rFonts w:ascii="Times New Roman;serif" w:hAnsi="Times New Roman;serif"/>
          <w:b w:val="false"/>
          <w:sz w:val="24"/>
        </w:rPr>
        <w:t>bankruptcy, insolvency, fraudulent conveyance, reorganization, moratorium or other laws relating to or affecting the rights of creditors generally, and (ii)</w:t>
      </w:r>
      <w:r>
        <w:rPr/>
        <w:t xml:space="preserve"> </w:t>
      </w:r>
      <w:r>
        <w:rPr>
          <w:rFonts w:ascii="Times New Roman;serif" w:hAnsi="Times New Roman;serif"/>
          <w:b w:val="false"/>
          <w:sz w:val="24"/>
        </w:rPr>
        <w:t>principles of equity, whether considered at law or equity.</w:t>
      </w:r>
    </w:p>
    <w:p>
      <w:pPr>
        <w:pStyle w:val="TextBody"/>
        <w:bidi w:val="0"/>
        <w:spacing w:before="0" w:after="240"/>
        <w:jc w:val="left"/>
        <w:rPr>
          <w:rFonts w:ascii="Times New Roman" w:hAnsi="Times New Roman"/>
          <w:b w:val="false"/>
          <w:sz w:val="24"/>
        </w:rPr>
      </w:pPr>
      <w:r>
        <w:rPr>
          <w:rFonts w:ascii="Times New Roman" w:hAnsi="Times New Roman"/>
          <w:b w:val="false"/>
          <w:sz w:val="24"/>
        </w:rPr>
        <w:t>2.1.3.</w:t>
      </w:r>
    </w:p>
    <w:p>
      <w:pPr>
        <w:pStyle w:val="TextBody"/>
        <w:bidi w:val="0"/>
        <w:spacing w:before="0" w:after="240"/>
        <w:jc w:val="left"/>
        <w:rPr/>
      </w:pPr>
      <w:r>
        <w:rPr>
          <w:rFonts w:ascii="Times New Roman;serif" w:hAnsi="Times New Roman;serif"/>
          <w:b w:val="false"/>
          <w:sz w:val="24"/>
        </w:rPr>
        <w:t>The execution, delivery and performance by Subscriber of this Subscription Agreement and the consummation of the transactions contemplated herein do not and will not (i)</w:t>
      </w:r>
      <w:r>
        <w:rPr/>
        <w:t xml:space="preserve"> </w:t>
      </w:r>
      <w:r>
        <w:rPr>
          <w:rFonts w:ascii="Times New Roman;serif" w:hAnsi="Times New Roman;serif"/>
          <w:b w:val="false"/>
          <w:sz w:val="24"/>
        </w:rPr>
        <w:t>if Subscriber is not an individual, result in any violation of the provisions of the organizational documents of Subscriber or any of its subsidiaries or (ii)</w:t>
      </w:r>
      <w:r>
        <w:rPr/>
        <w:t xml:space="preserve"> </w:t>
      </w:r>
      <w:r>
        <w:rPr>
          <w:rFonts w:ascii="Times New Roman;serif" w:hAnsi="Times New Roman;serif"/>
          <w:b w:val="false"/>
          <w:sz w:val="24"/>
        </w:rPr>
        <w:t xml:space="preserve">result in any violation of any statute or any judgment, order, rule or regulation of any court or governmental agency or body, domestic or foreign, having jurisdiction over Subscriber that would reasonably be expected to have a material adverse effect on the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rFonts w:ascii="Times New Roman;serif" w:hAnsi="Times New Roman;serif"/>
          <w:b w:val="false"/>
          <w:sz w:val="24"/>
        </w:rPr>
        <w:t>legal authority and ability of Subscriber to enter into and timely perform its obligations under this Subscription Agreement (a “</w:t>
      </w:r>
      <w:r>
        <w:rPr>
          <w:rFonts w:ascii="Times New Roman;serif" w:hAnsi="Times New Roman;serif"/>
          <w:b/>
          <w:sz w:val="24"/>
        </w:rPr>
        <w:t>Subscriber Material Adverse Effect</w:t>
      </w:r>
      <w:r>
        <w:rPr/>
        <w:t>”</w:t>
      </w:r>
      <w:r>
        <w:rPr>
          <w:rFonts w:ascii="Times New Roman;serif" w:hAnsi="Times New Roman;serif"/>
          <w:b w:val="false"/>
          <w:sz w:val="24"/>
        </w:rPr>
        <w:t>).</w:t>
      </w:r>
    </w:p>
    <w:p>
      <w:pPr>
        <w:pStyle w:val="TextBody"/>
        <w:bidi w:val="0"/>
        <w:spacing w:before="0" w:after="240"/>
        <w:jc w:val="left"/>
        <w:rPr>
          <w:rFonts w:ascii="Times New Roman" w:hAnsi="Times New Roman"/>
          <w:b w:val="false"/>
          <w:sz w:val="24"/>
        </w:rPr>
      </w:pPr>
      <w:r>
        <w:rPr>
          <w:rFonts w:ascii="Times New Roman" w:hAnsi="Times New Roman"/>
          <w:b w:val="false"/>
          <w:sz w:val="24"/>
        </w:rPr>
        <w:t>2.1.4.</w:t>
      </w:r>
    </w:p>
    <w:p>
      <w:pPr>
        <w:pStyle w:val="TextBody"/>
        <w:bidi w:val="0"/>
        <w:spacing w:before="0" w:after="240"/>
        <w:jc w:val="left"/>
        <w:rPr/>
      </w:pPr>
      <w:r>
        <w:rPr>
          <w:rFonts w:ascii="Times New Roman;serif" w:hAnsi="Times New Roman;serif"/>
          <w:b w:val="false"/>
          <w:sz w:val="24"/>
        </w:rPr>
        <w:t>Subscriber is (i)</w:t>
      </w:r>
      <w:r>
        <w:rPr/>
        <w:t xml:space="preserve"> </w:t>
      </w:r>
      <w:r>
        <w:rPr>
          <w:rFonts w:ascii="Times New Roman;serif" w:hAnsi="Times New Roman;serif"/>
          <w:b w:val="false"/>
          <w:sz w:val="24"/>
        </w:rPr>
        <w:t>(a)</w:t>
      </w:r>
      <w:r>
        <w:rPr/>
        <w:t xml:space="preserve"> </w:t>
      </w:r>
      <w:r>
        <w:rPr>
          <w:rFonts w:ascii="Times New Roman;serif" w:hAnsi="Times New Roman;serif"/>
          <w:b w:val="false"/>
          <w:sz w:val="24"/>
        </w:rPr>
        <w:t>a “qualified institutional buyer” (as defined in Rule 144A under the Securities Act) or an “accredited investor” within the meaning of Rule 501(a) under the Securities Act, (b)</w:t>
      </w:r>
      <w:r>
        <w:rPr/>
        <w:t xml:space="preserve"> </w:t>
      </w:r>
      <w:r>
        <w:rPr>
          <w:rFonts w:ascii="Times New Roman;serif" w:hAnsi="Times New Roman;serif"/>
          <w:b w:val="false"/>
          <w:sz w:val="24"/>
        </w:rPr>
        <w:t>an Institutional Account as defined in FINRA Rule 4512(c) or (c)</w:t>
      </w:r>
      <w:r>
        <w:rPr/>
        <w:t xml:space="preserve"> </w:t>
      </w:r>
      <w:r>
        <w:rPr>
          <w:rFonts w:ascii="Times New Roman;serif" w:hAnsi="Times New Roman;serif"/>
          <w:b w:val="false"/>
          <w:sz w:val="24"/>
        </w:rPr>
        <w:t xml:space="preserve">a sophisticated institutional investor, experienced in investing in transactions of the type contemplated by this Subscription Agreement and capable of evaluating investment risks independently, both in general and with regard to all transactions and investment strategies involving a security or securities, including Subscriber’s participation in the purchase of the Subscribed Shares, in each case, satisfying the applicable requirements set forth on </w:t>
      </w:r>
      <w:r>
        <w:rPr>
          <w:rFonts w:ascii="Times New Roman;serif" w:hAnsi="Times New Roman;serif"/>
          <w:b w:val="false"/>
          <w:sz w:val="24"/>
          <w:u w:val="single"/>
        </w:rPr>
        <w:t>Schedule I</w:t>
      </w:r>
      <w:r>
        <w:rPr>
          <w:rFonts w:ascii="Times New Roman;serif" w:hAnsi="Times New Roman;serif"/>
          <w:b w:val="false"/>
          <w:sz w:val="24"/>
        </w:rPr>
        <w:t>, (ii)</w:t>
      </w:r>
      <w:r>
        <w:rPr/>
        <w:t xml:space="preserve"> </w:t>
      </w:r>
      <w:r>
        <w:rPr>
          <w:rFonts w:ascii="Times New Roman;serif" w:hAnsi="Times New Roman;serif"/>
          <w:b w:val="false"/>
          <w:sz w:val="24"/>
        </w:rPr>
        <w:t>acquiring the Subscribed Shares only for its own account and not for the account of others, or if Subscriber is subscribing for the Subscribed Shares as a fiduciary or agent for one or more investor accounts, each owner of such account is a qualified institutional buyer, and Subscriber has full investment discretion with respect to each such account, and the full power and authority to make the acknowledgements, representations, warranties and agreements herein on behalf of each owner of each such account, for investment purposes only and not with a view to any distribution of the Subscribed Shares in any manner that would violate the securities laws of the United States or any other applicable jurisdiction and (iii)</w:t>
      </w:r>
      <w:r>
        <w:rPr/>
        <w:t xml:space="preserve"> </w:t>
      </w:r>
      <w:r>
        <w:rPr>
          <w:rFonts w:ascii="Times New Roman;serif" w:hAnsi="Times New Roman;serif"/>
          <w:b w:val="false"/>
          <w:sz w:val="24"/>
        </w:rPr>
        <w:t xml:space="preserve">not acquiring the Subscribed Shares with a view to, or for offer or sale in connection with, any distribution thereof in violation of the Securities Act (and shall provide the requested information on </w:t>
      </w:r>
      <w:r>
        <w:rPr>
          <w:rFonts w:ascii="Times New Roman;serif" w:hAnsi="Times New Roman;serif"/>
          <w:b w:val="false"/>
          <w:sz w:val="24"/>
          <w:u w:val="single"/>
        </w:rPr>
        <w:t>Schedule I</w:t>
      </w:r>
      <w:r>
        <w:rPr/>
        <w:t xml:space="preserve"> </w:t>
      </w:r>
      <w:r>
        <w:rPr>
          <w:rFonts w:ascii="Times New Roman;serif" w:hAnsi="Times New Roman;serif"/>
          <w:b w:val="false"/>
          <w:sz w:val="24"/>
        </w:rPr>
        <w:t>following the signature page hereto). Subscriber is not an entity formed for the specific purpose of acquiring the Subscribed Shares.</w:t>
      </w:r>
    </w:p>
    <w:p>
      <w:pPr>
        <w:pStyle w:val="TextBody"/>
        <w:bidi w:val="0"/>
        <w:spacing w:before="0" w:after="240"/>
        <w:jc w:val="left"/>
        <w:rPr>
          <w:rFonts w:ascii="Times New Roman" w:hAnsi="Times New Roman"/>
          <w:b w:val="false"/>
          <w:sz w:val="24"/>
        </w:rPr>
      </w:pPr>
      <w:r>
        <w:rPr>
          <w:rFonts w:ascii="Times New Roman" w:hAnsi="Times New Roman"/>
          <w:b w:val="false"/>
          <w:sz w:val="24"/>
        </w:rPr>
        <w:t>2.1.5.</w:t>
      </w:r>
    </w:p>
    <w:p>
      <w:pPr>
        <w:pStyle w:val="TextBody"/>
        <w:bidi w:val="0"/>
        <w:spacing w:before="0" w:after="240"/>
        <w:jc w:val="left"/>
        <w:rPr/>
      </w:pPr>
      <w:r>
        <w:rPr>
          <w:rFonts w:ascii="Times New Roman;serif" w:hAnsi="Times New Roman;serif"/>
          <w:b w:val="false"/>
          <w:sz w:val="24"/>
        </w:rPr>
        <w:t>Subscriber understands that the Subscribed Shares are being offered in a transaction not involving any public offering within the meaning of the Securities Act and that the Subscribed Shares have not been registered under the Securities Act. Subscriber understands that the Subscribed Shares may not be resold, transferred, pledged or otherwise disposed of by Subscriber absent an effective registration statement under the Securities Act, except (i)</w:t>
      </w:r>
      <w:r>
        <w:rPr/>
        <w:t xml:space="preserve"> </w:t>
      </w:r>
      <w:r>
        <w:rPr>
          <w:rFonts w:ascii="Times New Roman;serif" w:hAnsi="Times New Roman;serif"/>
          <w:b w:val="false"/>
          <w:sz w:val="24"/>
        </w:rPr>
        <w:t>to the Issuer or a subsidiary thereof, (ii)</w:t>
      </w:r>
      <w:r>
        <w:rPr/>
        <w:t xml:space="preserve"> </w:t>
      </w:r>
      <w:r>
        <w:rPr>
          <w:rFonts w:ascii="Times New Roman;serif" w:hAnsi="Times New Roman;serif"/>
          <w:b w:val="false"/>
          <w:sz w:val="24"/>
        </w:rPr>
        <w:t>to non-U.S. persons pursuant to offers and sales that occur solely outside the United States within the meaning of Regulation S under the Securities Act or (iii)</w:t>
      </w:r>
      <w:r>
        <w:rPr/>
        <w:t xml:space="preserve"> </w:t>
      </w:r>
      <w:r>
        <w:rPr>
          <w:rFonts w:ascii="Times New Roman;serif" w:hAnsi="Times New Roman;serif"/>
          <w:b w:val="false"/>
          <w:sz w:val="24"/>
        </w:rPr>
        <w:t xml:space="preserve">pursuant to another applicable exemption from the registration requirements of the Securities Act, and in each of cases ‎(i) and ‎(iii), in accordance with any applicable securities laws of the states and other jurisdictions of the United States, and that the Subscribed Shares shall be subject to a legend to such effect (provided that such legends will be eligible for removal upon delivery of an opinion of counsel by Subscriber, in form reasonably satisfactory to the transfer agent of the Issuer, to the effect that such legends are not required in order to establish compliance with any provisions of the Securities Act). Subscriber acknowledges that the Subscribed Shares will not be eligible for resale pursuant to Rule 144A promulgated under the Securities Act. Subscriber understands and agrees that the Subscribed Shares will be subject to the foregoing restrictions and, as a result, Subscriber may not be able to readily resell the Subscribed Shares and may be required to bear the financial risk of an investment in the Subscribed Shares for an indefinite period of time. Subscriber understands that it has been advised to consult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rFonts w:ascii="Times New Roman;serif" w:hAnsi="Times New Roman;serif"/>
          <w:b w:val="false"/>
          <w:sz w:val="24"/>
        </w:rPr>
        <w:t>independent legal counsel prior to making any offer, resale, pledge or transfer of any of the Subscribed Shares. Subscriber has determined based on its own independent review and such professional advice as it deems appropriate that the Subscribed Shares are a suitable investment for Subscriber, notwithstanding the substantial risks inherent in investing in or holding the Subscribed Shares, and that Subscriber is able at this time and in the foreseeable future to bear the economic risk of a total loss of Subscriber’s investment in the Issuer. Subscriber acknowledges specifically that a possibility of total loss exists.</w:t>
      </w:r>
      <w:r>
        <w:rPr/>
        <w:t xml:space="preserve"> </w:t>
      </w:r>
    </w:p>
    <w:p>
      <w:pPr>
        <w:pStyle w:val="TextBody"/>
        <w:bidi w:val="0"/>
        <w:spacing w:before="0" w:after="240"/>
        <w:jc w:val="left"/>
        <w:rPr>
          <w:rFonts w:ascii="Times New Roman" w:hAnsi="Times New Roman"/>
          <w:b w:val="false"/>
          <w:sz w:val="24"/>
        </w:rPr>
      </w:pPr>
      <w:r>
        <w:rPr>
          <w:rFonts w:ascii="Times New Roman" w:hAnsi="Times New Roman"/>
          <w:b w:val="false"/>
          <w:sz w:val="24"/>
        </w:rPr>
        <w:t>2.1.6.</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Subscriber understands and agrees that Subscriber is purchasing the Subscribed Shares directly from the Issuer. Subscriber further acknowledges that there have been no representations, warranties, covenants or agreements made to Subscriber by the Issuer or any of its officers or directors, expressly or by implication, other than those representations, warranties, covenants and agreements expressly set forth in this Subscription Agreement.</w:t>
      </w:r>
    </w:p>
    <w:p>
      <w:pPr>
        <w:pStyle w:val="TextBody"/>
        <w:bidi w:val="0"/>
        <w:spacing w:before="0" w:after="240"/>
        <w:jc w:val="left"/>
        <w:rPr>
          <w:rFonts w:ascii="Times New Roman" w:hAnsi="Times New Roman"/>
          <w:b w:val="false"/>
          <w:sz w:val="24"/>
        </w:rPr>
      </w:pPr>
      <w:r>
        <w:rPr>
          <w:rFonts w:ascii="Times New Roman" w:hAnsi="Times New Roman"/>
          <w:b w:val="false"/>
          <w:sz w:val="24"/>
        </w:rPr>
        <w:t>2.1.7.</w:t>
      </w:r>
    </w:p>
    <w:p>
      <w:pPr>
        <w:pStyle w:val="TextBody"/>
        <w:bidi w:val="0"/>
        <w:spacing w:before="0" w:after="240"/>
        <w:jc w:val="left"/>
        <w:rPr/>
      </w:pPr>
      <w:r>
        <w:rPr>
          <w:rFonts w:ascii="Times New Roman;serif" w:hAnsi="Times New Roman;serif"/>
          <w:b w:val="false"/>
          <w:sz w:val="24"/>
        </w:rPr>
        <w:t>If Subscriber is an employee benefit plan that is subject to Title I of the Employee Retirement Income Security Act of 1974, as amended (“</w:t>
      </w:r>
      <w:r>
        <w:rPr>
          <w:rFonts w:ascii="Times New Roman;serif" w:hAnsi="Times New Roman;serif"/>
          <w:b/>
          <w:sz w:val="24"/>
        </w:rPr>
        <w:t>ERISA</w:t>
      </w:r>
      <w:r>
        <w:rPr/>
        <w:t>”</w:t>
      </w:r>
      <w:r>
        <w:rPr>
          <w:rFonts w:ascii="Times New Roman;serif" w:hAnsi="Times New Roman;serif"/>
          <w:b w:val="false"/>
          <w:sz w:val="24"/>
        </w:rPr>
        <w:t>), Subscriber represents and warrants that its acquisition and holding of the Subscribed Shares will not constitute or result in a non-exempt prohibited transaction under Section 406 of ERISA, Section 4975 of the Internal Revenue Code of 1986, as amended (the “</w:t>
      </w:r>
      <w:r>
        <w:rPr>
          <w:rFonts w:ascii="Times New Roman;serif" w:hAnsi="Times New Roman;serif"/>
          <w:b/>
          <w:sz w:val="24"/>
        </w:rPr>
        <w:t>Code</w:t>
      </w:r>
      <w:r>
        <w:rPr/>
        <w:t>”</w:t>
      </w:r>
      <w:r>
        <w:rPr>
          <w:rFonts w:ascii="Times New Roman;serif" w:hAnsi="Times New Roman;serif"/>
          <w:b w:val="false"/>
          <w:sz w:val="24"/>
        </w:rPr>
        <w:t>), or any applicable other federal, state, local, non-U.S. or other laws or regulations that are similar to such provisions of ERISA or the Code (collectively, “</w:t>
      </w:r>
      <w:r>
        <w:rPr>
          <w:rFonts w:ascii="Times New Roman;serif" w:hAnsi="Times New Roman;serif"/>
          <w:b/>
          <w:sz w:val="24"/>
        </w:rPr>
        <w:t>Similar Laws</w:t>
      </w:r>
      <w:r>
        <w:rPr/>
        <w:t>”</w:t>
      </w:r>
      <w:r>
        <w:rPr>
          <w:rFonts w:ascii="Times New Roman;serif" w:hAnsi="Times New Roman;serif"/>
          <w:b w:val="false"/>
          <w:sz w:val="24"/>
        </w:rPr>
        <w:t>).</w:t>
      </w:r>
    </w:p>
    <w:p>
      <w:pPr>
        <w:pStyle w:val="TextBody"/>
        <w:bidi w:val="0"/>
        <w:spacing w:before="0" w:after="240"/>
        <w:jc w:val="left"/>
        <w:rPr>
          <w:rFonts w:ascii="Times New Roman" w:hAnsi="Times New Roman"/>
          <w:b w:val="false"/>
          <w:sz w:val="24"/>
        </w:rPr>
      </w:pPr>
      <w:r>
        <w:rPr>
          <w:rFonts w:ascii="Times New Roman" w:hAnsi="Times New Roman"/>
          <w:b w:val="false"/>
          <w:sz w:val="24"/>
        </w:rPr>
        <w:t>2.1.8.</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In making its decision to purchase the Subscribed Shares, Subscriber represents that it has relied solely upon independent investigation made by Subscriber and the representations, warranties and covenants of the Issuer contained in this Subscription Agreement. Without limiting the generality of the foregoing, Subscriber has not relied on any statements or other information provided by anyone other than the Issuer and its representatives concerning the Issuer or the Subscribed Shares or the offer and sale of the Subscribed Shares. Subscriber acknowledges and agrees that Subscriber has received access to and has had an adequate opportunity to review such information as Subscriber deems necessary in order to make an investment decision with respect to the Subscribed Shares, including with respect to the Issuer. Subscriber represents and agrees that Subscriber and Subscriber’s professional advisor(s), if any, have had the full opportunity to ask such questions, receive such answers and obtain such information as Subscriber and such Subscriber’s professional advisor(s), if any, have deemed necessary to make an investment decision with respect to the Subscribed Shares. Subscriber represents and warrants it is relying exclusively on its own sources of information, investment analysis and due diligence (including professional advice you deem appropriate) with respect to the Subscribed Shares and the business, condition (financial and otherwise), management, operations, properties and prospects of the Issuer, including but not limited to all business, legal, regulatory, accounting, credit and tax matters.</w:t>
      </w:r>
    </w:p>
    <w:p>
      <w:pPr>
        <w:pStyle w:val="TextBody"/>
        <w:bidi w:val="0"/>
        <w:spacing w:before="0" w:after="240"/>
        <w:jc w:val="left"/>
        <w:rPr>
          <w:rFonts w:ascii="Times New Roman" w:hAnsi="Times New Roman"/>
          <w:b w:val="false"/>
          <w:sz w:val="24"/>
        </w:rPr>
      </w:pPr>
      <w:r>
        <w:rPr>
          <w:rFonts w:ascii="Times New Roman" w:hAnsi="Times New Roman"/>
          <w:b w:val="false"/>
          <w:sz w:val="24"/>
        </w:rPr>
        <w:t>2.1.9.</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 xml:space="preserve">Subscriber became aware of this offering of the Subscribed Shares solely by means of direct contact between Subscriber and the Issuer or one of their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respective representatives. Subscriber did not become aware of this offering of the Subscribed Shares, nor were the Subscribed Shares offered to Subscriber, by any general solicitation. Subscriber acknowledges that the Issuer represents and warrants that the Subscribed Shares were not offered by any form of general solicitation or general advertising, including methods described in section 502(c) of Regulation D under the Securities Act.</w:t>
      </w:r>
    </w:p>
    <w:p>
      <w:pPr>
        <w:pStyle w:val="TextBody"/>
        <w:bidi w:val="0"/>
        <w:spacing w:before="0" w:after="240"/>
        <w:jc w:val="left"/>
        <w:rPr>
          <w:rFonts w:ascii="Times New Roman" w:hAnsi="Times New Roman"/>
          <w:b w:val="false"/>
          <w:sz w:val="24"/>
        </w:rPr>
      </w:pPr>
      <w:r>
        <w:rPr>
          <w:rFonts w:ascii="Times New Roman" w:hAnsi="Times New Roman"/>
          <w:b w:val="false"/>
          <w:sz w:val="24"/>
        </w:rPr>
        <w:t>2.1.10.</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Subscriber understands and agrees that no federal or state agency has passed upon or endorsed the merits of the offering of the Subscribed Shares or made any findings or determination as to the fairness of an investment in the Subscribed Shares.</w:t>
      </w:r>
    </w:p>
    <w:p>
      <w:pPr>
        <w:pStyle w:val="TextBody"/>
        <w:bidi w:val="0"/>
        <w:spacing w:before="0" w:after="240"/>
        <w:jc w:val="left"/>
        <w:rPr>
          <w:rFonts w:ascii="Times New Roman" w:hAnsi="Times New Roman"/>
          <w:b w:val="false"/>
          <w:sz w:val="24"/>
        </w:rPr>
      </w:pPr>
      <w:r>
        <w:rPr>
          <w:rFonts w:ascii="Times New Roman" w:hAnsi="Times New Roman"/>
          <w:b w:val="false"/>
          <w:sz w:val="24"/>
        </w:rPr>
        <w:t>2.1.11.</w:t>
      </w:r>
    </w:p>
    <w:p>
      <w:pPr>
        <w:pStyle w:val="TextBody"/>
        <w:bidi w:val="0"/>
        <w:spacing w:before="0" w:after="240"/>
        <w:jc w:val="left"/>
        <w:rPr/>
      </w:pPr>
      <w:r>
        <w:rPr>
          <w:rFonts w:ascii="Times New Roman;serif" w:hAnsi="Times New Roman;serif"/>
          <w:b w:val="false"/>
          <w:sz w:val="24"/>
        </w:rPr>
        <w:t>Subscriber represents and warrants that Subscriber is not (i)</w:t>
      </w:r>
      <w:r>
        <w:rPr/>
        <w:t xml:space="preserve"> </w:t>
      </w:r>
      <w:r>
        <w:rPr>
          <w:rFonts w:ascii="Times New Roman;serif" w:hAnsi="Times New Roman;serif"/>
          <w:b w:val="false"/>
          <w:sz w:val="24"/>
        </w:rPr>
        <w:t>a person or entity named on the List of Specially Designated Nationals and Blocked Persons administered by the U.S. Treasury Department’s Office of Foreign Assets Control (“</w:t>
      </w:r>
      <w:r>
        <w:rPr>
          <w:rFonts w:ascii="Times New Roman;serif" w:hAnsi="Times New Roman;serif"/>
          <w:b/>
          <w:sz w:val="24"/>
        </w:rPr>
        <w:t>OFAC</w:t>
      </w:r>
      <w:r>
        <w:rPr/>
        <w:t>”</w:t>
      </w:r>
      <w:r>
        <w:rPr>
          <w:rFonts w:ascii="Times New Roman;serif" w:hAnsi="Times New Roman;serif"/>
          <w:b w:val="false"/>
          <w:sz w:val="24"/>
        </w:rPr>
        <w:t>) or in any Executive Order issued by the President of the United States and administered by OFAC (“</w:t>
      </w:r>
      <w:r>
        <w:rPr>
          <w:rFonts w:ascii="Times New Roman;serif" w:hAnsi="Times New Roman;serif"/>
          <w:b/>
          <w:sz w:val="24"/>
        </w:rPr>
        <w:t>OFAC List</w:t>
      </w:r>
      <w:r>
        <w:rPr/>
        <w:t>”</w:t>
      </w:r>
      <w:r>
        <w:rPr>
          <w:rFonts w:ascii="Times New Roman;serif" w:hAnsi="Times New Roman;serif"/>
          <w:b w:val="false"/>
          <w:sz w:val="24"/>
        </w:rPr>
        <w:t>), or a person or entity prohibited by any OFAC sanctions program, (ii)</w:t>
      </w:r>
      <w:r>
        <w:rPr/>
        <w:t xml:space="preserve"> </w:t>
      </w:r>
      <w:r>
        <w:rPr>
          <w:rFonts w:ascii="Times New Roman;serif" w:hAnsi="Times New Roman;serif"/>
          <w:b w:val="false"/>
          <w:sz w:val="24"/>
        </w:rPr>
        <w:t>a Designated National as defined in the Cuban Assets Control Regulations, 31 C.F.R. Part 515 or (iii)</w:t>
      </w:r>
      <w:r>
        <w:rPr/>
        <w:t xml:space="preserve"> </w:t>
      </w:r>
      <w:r>
        <w:rPr>
          <w:rFonts w:ascii="Times New Roman;serif" w:hAnsi="Times New Roman;serif"/>
          <w:b w:val="false"/>
          <w:sz w:val="24"/>
        </w:rPr>
        <w:t>a non-U.S. shell bank or providing banking services indirectly to a non-U.S. shell bank. Subscriber agrees to provide law enforcement agencies, if requested thereby, such records as required by applicable law, provided that Subscriber is permitted to do so under applicable law. If Subscriber is a financial institution subject to the Bank Secrecy Act (31 U.S.C. Section 5311 et seq.), as amended by the USA PATRIOT Act of 2001, and its implementing regulations (collectively, the “</w:t>
      </w:r>
      <w:r>
        <w:rPr>
          <w:rFonts w:ascii="Times New Roman;serif" w:hAnsi="Times New Roman;serif"/>
          <w:b/>
          <w:sz w:val="24"/>
        </w:rPr>
        <w:t>BSA/PATRIOT Act</w:t>
      </w:r>
      <w:r>
        <w:rPr/>
        <w:t>”</w:t>
      </w:r>
      <w:r>
        <w:rPr>
          <w:rFonts w:ascii="Times New Roman;serif" w:hAnsi="Times New Roman;serif"/>
          <w:b w:val="false"/>
          <w:sz w:val="24"/>
        </w:rPr>
        <w:t>), Subscriber represents that it maintains policies and procedures reasonably designed to comply with applicable obligations under the BSA/PATRIOT Act. Subscriber also represents that, to the extent required, it maintains policies and procedures reasonably designed for the screening of its investors against the OFAC sanctions programs, including the OFAC List. Subscriber further represents and warrants that, to the extent required, it maintains policies and procedures reasonably designed to ensure that the funds held by Subscriber and used to purchase the Subscribed Shares were legally derived.</w:t>
      </w:r>
    </w:p>
    <w:p>
      <w:pPr>
        <w:pStyle w:val="TextBody"/>
        <w:bidi w:val="0"/>
        <w:spacing w:before="0" w:after="240"/>
        <w:jc w:val="left"/>
        <w:rPr>
          <w:rFonts w:ascii="Times New Roman" w:hAnsi="Times New Roman"/>
          <w:b w:val="false"/>
          <w:sz w:val="24"/>
        </w:rPr>
      </w:pPr>
      <w:r>
        <w:rPr>
          <w:rFonts w:ascii="Times New Roman" w:hAnsi="Times New Roman"/>
          <w:b w:val="false"/>
          <w:sz w:val="24"/>
        </w:rPr>
        <w:t>2.1.12.</w:t>
      </w:r>
    </w:p>
    <w:p>
      <w:pPr>
        <w:pStyle w:val="TextBody"/>
        <w:bidi w:val="0"/>
        <w:spacing w:before="0" w:after="240"/>
        <w:jc w:val="left"/>
        <w:rPr/>
      </w:pPr>
      <w:r>
        <w:rPr>
          <w:rFonts w:ascii="Times New Roman;serif" w:hAnsi="Times New Roman;serif"/>
          <w:b w:val="false"/>
          <w:sz w:val="24"/>
        </w:rPr>
        <w:t>If Subscriber is an employee benefit plan that is subject to Title I of ERISA, a plan, an individual retirement account or other arrangement that is subject to section 4975 of the Code or an employee benefit plan that is a governmental plan (as defined in section 3(32) of ERISA), a church plan (as defined in section 3(33) of ERISA), a non-U.S. plan (as described in section 4(b)(4) of ERISA) or other plan that is not subject to the foregoing but may be subject to provisions under any other Similar Laws or an entity whose underlying assets are considered to include “plan assets” of any such plan, account or arrangement (each, a “</w:t>
      </w:r>
      <w:r>
        <w:rPr>
          <w:rFonts w:ascii="Times New Roman;serif" w:hAnsi="Times New Roman;serif"/>
          <w:b/>
          <w:sz w:val="24"/>
        </w:rPr>
        <w:t>Plan</w:t>
      </w:r>
      <w:r>
        <w:rPr/>
        <w:t>”</w:t>
      </w:r>
      <w:r>
        <w:rPr>
          <w:rFonts w:ascii="Times New Roman;serif" w:hAnsi="Times New Roman;serif"/>
          <w:b w:val="false"/>
          <w:sz w:val="24"/>
        </w:rPr>
        <w:t>), Subscriber represents and warrants that neither the Issuer nor any of its affiliates (the “</w:t>
      </w:r>
      <w:r>
        <w:rPr>
          <w:rFonts w:ascii="Times New Roman;serif" w:hAnsi="Times New Roman;serif"/>
          <w:b/>
          <w:sz w:val="24"/>
        </w:rPr>
        <w:t>Transaction Parties</w:t>
      </w:r>
      <w:r>
        <w:rPr/>
        <w:t>”</w:t>
      </w:r>
      <w:r>
        <w:rPr>
          <w:rFonts w:ascii="Times New Roman;serif" w:hAnsi="Times New Roman;serif"/>
          <w:b w:val="false"/>
          <w:sz w:val="24"/>
        </w:rPr>
        <w:t>) has acted as the Plan’s fiduciary, or has been relied on for advice, with respect to its decision to acquire and hold the Subscribed Shares, and none of the Transaction Parties shall at any time be relied upon as the Plan’s fiduciary with respect to any decision to acquire, continue to hold or transfer the Subscribed Shares.</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b w:val="false"/>
          <w:sz w:val="24"/>
        </w:rPr>
      </w:pPr>
      <w:r>
        <w:rPr>
          <w:rFonts w:ascii="Times New Roman" w:hAnsi="Times New Roman"/>
          <w:b w:val="false"/>
          <w:sz w:val="24"/>
        </w:rPr>
        <w:t>2.1.13.</w:t>
      </w:r>
    </w:p>
    <w:p>
      <w:pPr>
        <w:pStyle w:val="TextBody"/>
        <w:bidi w:val="0"/>
        <w:spacing w:before="0" w:after="240"/>
        <w:jc w:val="left"/>
        <w:rPr/>
      </w:pPr>
      <w:r>
        <w:rPr>
          <w:rFonts w:ascii="Times New Roman;serif" w:hAnsi="Times New Roman;serif"/>
          <w:b w:val="false"/>
          <w:sz w:val="24"/>
        </w:rPr>
        <w:t>Except as expressly disclosed in a Schedule 13D or Schedule 13G (or amendments thereto) filed by such Subscriber with the United States Securities and Exchange Commission (the “</w:t>
      </w:r>
      <w:r>
        <w:rPr>
          <w:rFonts w:ascii="Times New Roman;serif" w:hAnsi="Times New Roman;serif"/>
          <w:b/>
          <w:sz w:val="24"/>
        </w:rPr>
        <w:t>Commission</w:t>
      </w:r>
      <w:r>
        <w:rPr/>
        <w:t>”</w:t>
      </w:r>
      <w:r>
        <w:rPr>
          <w:rFonts w:ascii="Times New Roman;serif" w:hAnsi="Times New Roman;serif"/>
          <w:b w:val="false"/>
          <w:sz w:val="24"/>
        </w:rPr>
        <w:t>) with respect to the beneficial ownership of the Issuer’s securities, Subscriber is not currently (and at all times through Closing will refrain from being or becoming) a member of a “group” (within the meaning of Section 13(d)(3) or Section 14(d)(2) of the Securities Exchange Act of 1934, as amended (the “</w:t>
      </w:r>
      <w:r>
        <w:rPr>
          <w:rFonts w:ascii="Times New Roman;serif" w:hAnsi="Times New Roman;serif"/>
          <w:b/>
          <w:sz w:val="24"/>
        </w:rPr>
        <w:t>Exchange Act</w:t>
      </w:r>
      <w:r>
        <w:rPr/>
        <w:t>”</w:t>
      </w:r>
      <w:r>
        <w:rPr>
          <w:rFonts w:ascii="Times New Roman;serif" w:hAnsi="Times New Roman;serif"/>
          <w:b w:val="false"/>
          <w:sz w:val="24"/>
        </w:rPr>
        <w:t>), or any successor provision) acting for the purpose of acquiring, holding or disposing of equity securities of the Issuer (within the meaning of Rule 13d-5(b)(1) under the Exchange Act).</w:t>
      </w:r>
    </w:p>
    <w:p>
      <w:pPr>
        <w:pStyle w:val="TextBody"/>
        <w:bidi w:val="0"/>
        <w:spacing w:before="0" w:after="240"/>
        <w:jc w:val="left"/>
        <w:rPr>
          <w:rFonts w:ascii="Times New Roman" w:hAnsi="Times New Roman"/>
          <w:b w:val="false"/>
          <w:sz w:val="24"/>
        </w:rPr>
      </w:pPr>
      <w:r>
        <w:rPr>
          <w:rFonts w:ascii="Times New Roman" w:hAnsi="Times New Roman"/>
          <w:b w:val="false"/>
          <w:sz w:val="24"/>
        </w:rPr>
        <w:t>2.1.14.</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Subscriber is not a foreign person (as defined in 31 C.F.R. Part 800.224) in which the national or subnational governments of a single foreign state have a substantial interest (as defined in 31 C.F.R. Part 800.244) and that will acquire a substantial interest in the Issuer as a result of the purchase and sale of Subscribed Shares hereunder such that a declaration to the Committee on Foreign Investment in the United States would be mandatory under 31 C.F.R. Part 800.401, and no foreign person will have control (as defined in 31 C.F.R. Part 800.208) over the Issuer from and after the Closing as a result of the purchase and sale of the Subscribed Shares hereunder.</w:t>
      </w:r>
    </w:p>
    <w:p>
      <w:pPr>
        <w:pStyle w:val="TextBody"/>
        <w:bidi w:val="0"/>
        <w:spacing w:before="0" w:after="240"/>
        <w:jc w:val="left"/>
        <w:rPr>
          <w:rFonts w:ascii="Times New Roman" w:hAnsi="Times New Roman"/>
          <w:b w:val="false"/>
          <w:sz w:val="24"/>
        </w:rPr>
      </w:pPr>
      <w:r>
        <w:rPr>
          <w:rFonts w:ascii="Times New Roman" w:hAnsi="Times New Roman"/>
          <w:b w:val="false"/>
          <w:sz w:val="24"/>
        </w:rPr>
        <w:t>2.1.15.</w:t>
      </w:r>
    </w:p>
    <w:p>
      <w:pPr>
        <w:pStyle w:val="TextBody"/>
        <w:bidi w:val="0"/>
        <w:spacing w:before="0" w:after="240"/>
        <w:jc w:val="left"/>
        <w:rPr/>
      </w:pPr>
      <w:r>
        <w:rPr>
          <w:rFonts w:ascii="Times New Roman;serif" w:hAnsi="Times New Roman;serif"/>
          <w:b w:val="false"/>
          <w:sz w:val="24"/>
        </w:rPr>
        <w:t xml:space="preserve">On each date the Purchase Price would be required to be funded to the Issuer pursuant to </w:t>
      </w:r>
      <w:r>
        <w:rPr>
          <w:rFonts w:ascii="Times New Roman;serif" w:hAnsi="Times New Roman;serif"/>
          <w:b w:val="false"/>
          <w:sz w:val="24"/>
          <w:u w:val="single"/>
        </w:rPr>
        <w:t>Section ‎3.1,</w:t>
      </w:r>
      <w:r>
        <w:rPr/>
        <w:t xml:space="preserve"> </w:t>
      </w:r>
      <w:r>
        <w:rPr>
          <w:rFonts w:ascii="Times New Roman;serif" w:hAnsi="Times New Roman;serif"/>
          <w:b w:val="false"/>
          <w:sz w:val="24"/>
        </w:rPr>
        <w:t xml:space="preserve">Subscriber will have sufficient immediately available funds to pay the Purchase Price pursuant to </w:t>
      </w:r>
      <w:r>
        <w:rPr>
          <w:rFonts w:ascii="Times New Roman;serif" w:hAnsi="Times New Roman;serif"/>
          <w:b w:val="false"/>
          <w:sz w:val="24"/>
          <w:u w:val="single"/>
        </w:rPr>
        <w:t>Section ‎3.1</w:t>
      </w:r>
      <w:r>
        <w:rPr>
          <w:rFonts w:ascii="Times New Roman;serif" w:hAnsi="Times New Roman;serif"/>
          <w:b w:val="false"/>
          <w:sz w:val="24"/>
        </w:rPr>
        <w:t xml:space="preserve">. </w:t>
      </w:r>
    </w:p>
    <w:p>
      <w:pPr>
        <w:pStyle w:val="TextBody"/>
        <w:bidi w:val="0"/>
        <w:spacing w:before="0" w:after="240"/>
        <w:jc w:val="left"/>
        <w:rPr>
          <w:rFonts w:ascii="Times New Roman" w:hAnsi="Times New Roman"/>
          <w:b w:val="false"/>
          <w:sz w:val="24"/>
        </w:rPr>
      </w:pPr>
      <w:r>
        <w:rPr>
          <w:rFonts w:ascii="Times New Roman" w:hAnsi="Times New Roman"/>
          <w:b w:val="false"/>
          <w:sz w:val="24"/>
        </w:rPr>
        <w:t>2.1.16.</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No broker, finder or other financial consultant has acted on behalf of Subscriber in connection with this Subscription Agreement or the transactions contemplated hereby in such a way as to create any liability on the Issuer.</w:t>
      </w:r>
    </w:p>
    <w:p>
      <w:pPr>
        <w:pStyle w:val="TextBody"/>
        <w:bidi w:val="0"/>
        <w:spacing w:before="0" w:after="240"/>
        <w:jc w:val="left"/>
        <w:rPr>
          <w:rFonts w:ascii="Times New Roman" w:hAnsi="Times New Roman"/>
          <w:b w:val="false"/>
          <w:sz w:val="24"/>
        </w:rPr>
      </w:pPr>
      <w:r>
        <w:rPr>
          <w:rFonts w:ascii="Times New Roman" w:hAnsi="Times New Roman"/>
          <w:b w:val="false"/>
          <w:sz w:val="24"/>
        </w:rPr>
        <w:t>2.1.17.</w:t>
      </w:r>
    </w:p>
    <w:p>
      <w:pPr>
        <w:pStyle w:val="TextBody"/>
        <w:bidi w:val="0"/>
        <w:spacing w:before="0" w:after="240"/>
        <w:jc w:val="left"/>
        <w:rPr/>
      </w:pPr>
      <w:r>
        <w:rPr>
          <w:rFonts w:ascii="Times New Roman;serif" w:hAnsi="Times New Roman;serif"/>
          <w:b w:val="false"/>
          <w:sz w:val="24"/>
        </w:rPr>
        <w:t>Subscriber agrees that, from the date of this Subscription Agreement until the Closing or the earlier termination of this Subscription Agreement, none of Subscriber, its controlled affiliates, or any person or entity acting on behalf of Subscriber or any of its controlled affiliates or pursuant to any understanding with Subscriber or any of its controlled affiliates will engage in any Short Sales with respect to securities of the Issuer. For the purposes hereof, “</w:t>
      </w:r>
      <w:r>
        <w:rPr>
          <w:rFonts w:ascii="Times New Roman;serif" w:hAnsi="Times New Roman;serif"/>
          <w:b/>
          <w:sz w:val="24"/>
        </w:rPr>
        <w:t>Short Sales</w:t>
      </w:r>
      <w:r>
        <w:rPr/>
        <w:t xml:space="preserve">” </w:t>
      </w:r>
      <w:r>
        <w:rPr>
          <w:rFonts w:ascii="Times New Roman;serif" w:hAnsi="Times New Roman;serif"/>
          <w:b w:val="false"/>
          <w:sz w:val="24"/>
        </w:rPr>
        <w:t>shall include, without limitation, all “short sales” as defined in Rule 200 promulgated under Regulation SHO under the Exchange Act, and all types of direct and indirect stock pledges (other than pledges in the ordinary course of business as part of prime brokerage arrangements), forward sale contracts, options, puts, calls, swaps and similar arrangements (including on a total return basis), including through non-U.S. broker dealers or foreign regulated brokers.</w:t>
      </w:r>
    </w:p>
    <w:p>
      <w:pPr>
        <w:pStyle w:val="TextBody"/>
        <w:bidi w:val="0"/>
        <w:spacing w:before="0" w:after="240"/>
        <w:jc w:val="left"/>
        <w:rPr>
          <w:rFonts w:ascii="Times New Roman" w:hAnsi="Times New Roman"/>
          <w:b w:val="false"/>
          <w:sz w:val="24"/>
        </w:rPr>
      </w:pPr>
      <w:r>
        <w:rPr>
          <w:rFonts w:ascii="Times New Roman" w:hAnsi="Times New Roman"/>
          <w:b w:val="false"/>
          <w:sz w:val="24"/>
        </w:rPr>
        <w:t>2.2.</w:t>
      </w:r>
    </w:p>
    <w:p>
      <w:pPr>
        <w:pStyle w:val="TextBody"/>
        <w:bidi w:val="0"/>
        <w:spacing w:before="0" w:after="240"/>
        <w:jc w:val="left"/>
        <w:rPr/>
      </w:pPr>
      <w:r>
        <w:rPr>
          <w:rFonts w:ascii="Times New Roman;serif" w:hAnsi="Times New Roman;serif"/>
          <w:b w:val="false"/>
          <w:sz w:val="24"/>
          <w:u w:val="single"/>
        </w:rPr>
        <w:t>Issuer’s Representations, Warranties and Agreements</w:t>
      </w:r>
      <w:r>
        <w:rPr>
          <w:rFonts w:ascii="Times New Roman;serif" w:hAnsi="Times New Roman;serif"/>
          <w:b w:val="false"/>
          <w:sz w:val="24"/>
        </w:rPr>
        <w:t>. To induce Subscriber to purchase the Subscribed Shares, the Issuer hereby represents and warrants to Subscriber and agrees with Subscriber, as of the date hereof and as of each Closing Date, as follows:</w:t>
      </w:r>
    </w:p>
    <w:p>
      <w:pPr>
        <w:pStyle w:val="TextBody"/>
        <w:bidi w:val="0"/>
        <w:spacing w:before="0" w:after="240"/>
        <w:jc w:val="left"/>
        <w:rPr>
          <w:rFonts w:ascii="Times New Roman" w:hAnsi="Times New Roman"/>
          <w:b w:val="false"/>
          <w:sz w:val="24"/>
        </w:rPr>
      </w:pPr>
      <w:r>
        <w:rPr>
          <w:rFonts w:ascii="Times New Roman" w:hAnsi="Times New Roman"/>
          <w:b w:val="false"/>
          <w:sz w:val="24"/>
        </w:rPr>
        <w:t>2.2.1.</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 xml:space="preserve">The Issuer has been duly incorporated, is validly existing as a corporation in good standing under the laws of the jurisdiction of its incorporation, has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rFonts w:ascii="Times New Roman;serif" w:hAnsi="Times New Roman;serif"/>
          <w:b w:val="false"/>
          <w:sz w:val="24"/>
        </w:rPr>
        <w:t>the corporate power and authority to own or lease its property and to conduct its business under this Subscription Agreement.</w:t>
      </w:r>
      <w:r>
        <w:rPr/>
        <w:t xml:space="preserve"> </w:t>
      </w:r>
    </w:p>
    <w:p>
      <w:pPr>
        <w:pStyle w:val="TextBody"/>
        <w:bidi w:val="0"/>
        <w:spacing w:before="0" w:after="240"/>
        <w:jc w:val="left"/>
        <w:rPr>
          <w:rFonts w:ascii="Times New Roman" w:hAnsi="Times New Roman"/>
          <w:b w:val="false"/>
          <w:sz w:val="24"/>
        </w:rPr>
      </w:pPr>
      <w:r>
        <w:rPr>
          <w:rFonts w:ascii="Times New Roman" w:hAnsi="Times New Roman"/>
          <w:b w:val="false"/>
          <w:sz w:val="24"/>
        </w:rPr>
        <w:t>2.2.2.</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The Subscribed Shares will be duly authorized and, when issued and delivered to Subscriber against full payment for the Subscribed Shares, will be free and clear of any liens or other restrictions (other than arising under applicable securities laws) in accordance with the terms of this Subscription Agreement and registered with the Issuer’s transfer agent, the Subscribed Shares will be validly issued, fully paid and non-assessable and will not have been issued in violation of or subject to any preemptive or similar rights under the Issuer’s constitutive agreements or applicable law.</w:t>
      </w:r>
    </w:p>
    <w:p>
      <w:pPr>
        <w:pStyle w:val="TextBody"/>
        <w:bidi w:val="0"/>
        <w:spacing w:before="0" w:after="240"/>
        <w:jc w:val="left"/>
        <w:rPr>
          <w:rFonts w:ascii="Times New Roman" w:hAnsi="Times New Roman"/>
          <w:b w:val="false"/>
          <w:sz w:val="24"/>
        </w:rPr>
      </w:pPr>
      <w:r>
        <w:rPr>
          <w:rFonts w:ascii="Times New Roman" w:hAnsi="Times New Roman"/>
          <w:b w:val="false"/>
          <w:sz w:val="24"/>
        </w:rPr>
        <w:t>2.2.3.</w:t>
      </w:r>
    </w:p>
    <w:p>
      <w:pPr>
        <w:pStyle w:val="TextBody"/>
        <w:bidi w:val="0"/>
        <w:spacing w:before="0" w:after="240"/>
        <w:jc w:val="left"/>
        <w:rPr/>
      </w:pPr>
      <w:r>
        <w:rPr>
          <w:rFonts w:ascii="Times New Roman;serif" w:hAnsi="Times New Roman;serif"/>
          <w:b w:val="false"/>
          <w:sz w:val="24"/>
        </w:rPr>
        <w:t>This Subscription Agreement has been duly authorized, validly executed and delivered by the Issuer and, assuming that this Subscription Agreement constitutes the valid and binding obligation of Subscriber, is the valid and binding obligation of the Issuer, and is enforceable against Issuer in accordance with its terms, except as may be limited or otherwise affected by (i)</w:t>
      </w:r>
      <w:r>
        <w:rPr/>
        <w:t xml:space="preserve"> </w:t>
      </w:r>
      <w:r>
        <w:rPr>
          <w:rFonts w:ascii="Times New Roman;serif" w:hAnsi="Times New Roman;serif"/>
          <w:b w:val="false"/>
          <w:sz w:val="24"/>
        </w:rPr>
        <w:t>bankruptcy, insolvency, fraudulent conveyance, reorganization, moratorium or other laws relating to or affecting the rights of creditors generally and (ii)</w:t>
      </w:r>
      <w:r>
        <w:rPr/>
        <w:t xml:space="preserve"> </w:t>
      </w:r>
      <w:r>
        <w:rPr>
          <w:rFonts w:ascii="Times New Roman;serif" w:hAnsi="Times New Roman;serif"/>
          <w:b w:val="false"/>
          <w:sz w:val="24"/>
        </w:rPr>
        <w:t>principles of equity, whether considered at law or equity.</w:t>
      </w:r>
    </w:p>
    <w:p>
      <w:pPr>
        <w:pStyle w:val="TextBody"/>
        <w:bidi w:val="0"/>
        <w:spacing w:before="0" w:after="240"/>
        <w:jc w:val="left"/>
        <w:rPr>
          <w:rFonts w:ascii="Times New Roman" w:hAnsi="Times New Roman"/>
          <w:b w:val="false"/>
          <w:sz w:val="24"/>
        </w:rPr>
      </w:pPr>
      <w:r>
        <w:rPr>
          <w:rFonts w:ascii="Times New Roman" w:hAnsi="Times New Roman"/>
          <w:b w:val="false"/>
          <w:sz w:val="24"/>
        </w:rPr>
        <w:t>2.2.4.</w:t>
      </w:r>
    </w:p>
    <w:p>
      <w:pPr>
        <w:pStyle w:val="TextBody"/>
        <w:bidi w:val="0"/>
        <w:spacing w:before="0" w:after="240"/>
        <w:jc w:val="left"/>
        <w:rPr/>
      </w:pPr>
      <w:r>
        <w:rPr>
          <w:rFonts w:ascii="Times New Roman;serif" w:hAnsi="Times New Roman;serif"/>
          <w:b w:val="false"/>
          <w:sz w:val="24"/>
        </w:rPr>
        <w:t>The execution, delivery and performance of this Subscription Agreement (including compliance by the Issuer with all of the provisions hereof), the issuance and sale of the Subscribed Shares and the consummation of the other transactions contemplated herein, will not (i)</w:t>
      </w:r>
      <w:r>
        <w:rPr/>
        <w:t xml:space="preserve"> </w:t>
      </w:r>
      <w:r>
        <w:rPr>
          <w:rFonts w:ascii="Times New Roman;serif" w:hAnsi="Times New Roman;serif"/>
          <w:b w:val="false"/>
          <w:sz w:val="24"/>
        </w:rPr>
        <w:t>conflict with or result in a breach or violation of any of the terms or provisions of, or constitute a default under, or result in the creation or imposition of any lien, charge or encumbrance upon any of the property or assets of the Issuer or any of its subsidiaries pursuant to the terms of any indenture, mortgage, charge, deed of trust, loan agreement, lease, license or other agreement or instrument to which the Issuer or any of its subsidiaries is a party or by which the Issuer or any of its subsidiaries is bound or to which any of the property or assets of the Issuer or any of its subsidiaries is subject, which would reasonably be expected to have a material adverse effect on the business, properties, financial condition, stockholders’ equity or results of operations of the Issuer, taken as a whole or materially and adversely affects the ability of the Issuer to timely perform its obligations under this Subscription Agreement (an “</w:t>
      </w:r>
      <w:r>
        <w:rPr>
          <w:rFonts w:ascii="Times New Roman;serif" w:hAnsi="Times New Roman;serif"/>
          <w:b/>
          <w:sz w:val="24"/>
        </w:rPr>
        <w:t>Issuer Material Adverse Effect</w:t>
      </w:r>
      <w:r>
        <w:rPr/>
        <w:t>”</w:t>
      </w:r>
      <w:r>
        <w:rPr>
          <w:rFonts w:ascii="Times New Roman;serif" w:hAnsi="Times New Roman;serif"/>
          <w:b w:val="false"/>
          <w:sz w:val="24"/>
        </w:rPr>
        <w:t>), (ii)</w:t>
      </w:r>
      <w:r>
        <w:rPr/>
        <w:t xml:space="preserve"> </w:t>
      </w:r>
      <w:r>
        <w:rPr>
          <w:rFonts w:ascii="Times New Roman;serif" w:hAnsi="Times New Roman;serif"/>
          <w:b w:val="false"/>
          <w:sz w:val="24"/>
        </w:rPr>
        <w:t>result in any material violation of the provisions of the organizational documents of the Issuer or any of its subsidiaries or (iii)</w:t>
      </w:r>
      <w:r>
        <w:rPr/>
        <w:t xml:space="preserve"> </w:t>
      </w:r>
      <w:r>
        <w:rPr>
          <w:rFonts w:ascii="Times New Roman;serif" w:hAnsi="Times New Roman;serif"/>
          <w:b w:val="false"/>
          <w:sz w:val="24"/>
        </w:rPr>
        <w:t>result in any violation of any statute or any judgment, order, rule or regulation of any court or governmental agency or body, domestic or foreign, having jurisdiction over the Issuer or any of its subsidiaries or any of its properties that would reasonably be expected to have an Issuer Material Adverse Effect.</w:t>
      </w:r>
    </w:p>
    <w:p>
      <w:pPr>
        <w:pStyle w:val="TextBody"/>
        <w:bidi w:val="0"/>
        <w:spacing w:before="0" w:after="240"/>
        <w:jc w:val="left"/>
        <w:rPr>
          <w:rFonts w:ascii="Times New Roman" w:hAnsi="Times New Roman"/>
          <w:b w:val="false"/>
          <w:sz w:val="24"/>
        </w:rPr>
      </w:pPr>
      <w:r>
        <w:rPr>
          <w:rFonts w:ascii="Times New Roman" w:hAnsi="Times New Roman"/>
          <w:b w:val="false"/>
          <w:sz w:val="24"/>
        </w:rPr>
        <w:t>2.2.5.</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Neither the Issuer, nor any person acting on its behalf has, directly or indirectly, made any offers or sales of any security of the Issuer nor solicited any offers to buy any security under circumstances that would adversely affect reliance by the Issuer on Section 4(a)(2) of the Securities Act for the exemption from registration for the transactions contemplated hereby or would require registration of the issuance of the Subscribed Shares under the Securities Act.</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b w:val="false"/>
          <w:sz w:val="24"/>
        </w:rPr>
      </w:pPr>
      <w:r>
        <w:rPr>
          <w:rFonts w:ascii="Times New Roman" w:hAnsi="Times New Roman"/>
          <w:b w:val="false"/>
          <w:sz w:val="24"/>
        </w:rPr>
        <w:t>2.2.6.</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Neither the Issuer, nor any person acting on its behalf has conducted any general solicitation or general advertising, including methods described in section 502(c) of Regulation D under the Securities Act, in connection with the offer or sale of any of the Subscribed Shares and neither the Issuer, nor any person acting on its behalf has offered any of the Subscribed Shares in a manner involving a public offering under, or in a distribution in violation of, the Securities Act or any state securities laws.</w:t>
      </w:r>
    </w:p>
    <w:p>
      <w:pPr>
        <w:pStyle w:val="TextBody"/>
        <w:bidi w:val="0"/>
        <w:spacing w:before="0" w:after="240"/>
        <w:jc w:val="left"/>
        <w:rPr>
          <w:rFonts w:ascii="Times New Roman" w:hAnsi="Times New Roman"/>
          <w:b w:val="false"/>
          <w:sz w:val="24"/>
        </w:rPr>
      </w:pPr>
      <w:r>
        <w:rPr>
          <w:rFonts w:ascii="Times New Roman" w:hAnsi="Times New Roman"/>
          <w:b w:val="false"/>
          <w:sz w:val="24"/>
        </w:rPr>
        <w:t>2.2.7.</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 xml:space="preserve">Concurrently with the execution and delivery of this Subscription Agreement, the Issuer is entering into the Other Subscription Agreements providing for the sale of an aggregate of 16,975,298 shares of Common Stock for an aggregate purchase price of $27,500,000 (including the Subscribed Shares purchased and sold under this Subscription Agreement). </w:t>
      </w:r>
    </w:p>
    <w:p>
      <w:pPr>
        <w:pStyle w:val="TextBody"/>
        <w:bidi w:val="0"/>
        <w:spacing w:before="0" w:after="240"/>
        <w:jc w:val="left"/>
        <w:rPr>
          <w:rFonts w:ascii="Times New Roman" w:hAnsi="Times New Roman"/>
          <w:b w:val="false"/>
          <w:sz w:val="24"/>
        </w:rPr>
      </w:pPr>
      <w:r>
        <w:rPr>
          <w:rFonts w:ascii="Times New Roman" w:hAnsi="Times New Roman"/>
          <w:b w:val="false"/>
          <w:sz w:val="24"/>
        </w:rPr>
        <w:t>2.2.8.</w:t>
      </w:r>
    </w:p>
    <w:p>
      <w:pPr>
        <w:pStyle w:val="TextBody"/>
        <w:bidi w:val="0"/>
        <w:spacing w:before="0" w:after="240"/>
        <w:jc w:val="left"/>
        <w:rPr/>
      </w:pPr>
      <w:r>
        <w:rPr>
          <w:rFonts w:ascii="Times New Roman;serif" w:hAnsi="Times New Roman;serif"/>
          <w:b w:val="false"/>
          <w:sz w:val="24"/>
        </w:rPr>
        <w:t>As of the date of this Subscription Agreement, the authorized share capital of the Issuer consists of 200,000,000 shares of Common Stock and 5,000,000 shares of preferred stock, $0.001 par value per share (the “</w:t>
      </w:r>
      <w:r>
        <w:rPr>
          <w:rFonts w:ascii="Times New Roman;serif" w:hAnsi="Times New Roman;serif"/>
          <w:b/>
          <w:sz w:val="24"/>
        </w:rPr>
        <w:t>Preferred Stock</w:t>
      </w:r>
      <w:r>
        <w:rPr/>
        <w:t>”</w:t>
      </w:r>
      <w:r>
        <w:rPr>
          <w:rFonts w:ascii="Times New Roman;serif" w:hAnsi="Times New Roman;serif"/>
          <w:b w:val="false"/>
          <w:sz w:val="24"/>
        </w:rPr>
        <w:t>). The shares of Common Stock outstanding have been duly authorized and are validly issued, fully paid and non</w:t>
        <w:noBreakHyphen/>
        <w:t xml:space="preserve">assessable. There are no shareholder agreements, voting trusts or other agreements or understandings to which the Issuer is a party or by which it is bound relating to the voting of any securities of the Issuer. There are no securities or instruments issued by or to which the Issuer is a party containing anti-dilution or similar provisions that will be triggered by the issuance of (i) the Subscribed Shares or (ii) the shares to be issued pursuant to any Other Subscription Agreement that have not been or will not be validly waived on or prior to each Closing. </w:t>
      </w:r>
    </w:p>
    <w:p>
      <w:pPr>
        <w:pStyle w:val="TextBody"/>
        <w:bidi w:val="0"/>
        <w:spacing w:before="0" w:after="240"/>
        <w:jc w:val="left"/>
        <w:rPr>
          <w:rFonts w:ascii="Times New Roman" w:hAnsi="Times New Roman"/>
          <w:b w:val="false"/>
          <w:sz w:val="24"/>
        </w:rPr>
      </w:pPr>
      <w:r>
        <w:rPr>
          <w:rFonts w:ascii="Times New Roman" w:hAnsi="Times New Roman"/>
          <w:b w:val="false"/>
          <w:sz w:val="24"/>
        </w:rPr>
        <w:t>2.2.9.</w:t>
      </w:r>
    </w:p>
    <w:p>
      <w:pPr>
        <w:pStyle w:val="TextBody"/>
        <w:bidi w:val="0"/>
        <w:spacing w:before="0" w:after="240"/>
        <w:jc w:val="left"/>
        <w:rPr/>
      </w:pPr>
      <w:r>
        <w:rPr>
          <w:rFonts w:ascii="Times New Roman;serif" w:hAnsi="Times New Roman;serif"/>
          <w:b w:val="false"/>
          <w:sz w:val="24"/>
        </w:rPr>
        <w:t xml:space="preserve">Assuming the accuracy of Subscriber’s representations and warranties set forth in </w:t>
      </w:r>
      <w:r>
        <w:rPr>
          <w:rFonts w:ascii="Times New Roman;serif" w:hAnsi="Times New Roman;serif"/>
          <w:b w:val="false"/>
          <w:sz w:val="24"/>
          <w:u w:val="single"/>
        </w:rPr>
        <w:t>Section ‎2.1</w:t>
      </w:r>
      <w:r>
        <w:rPr/>
        <w:t xml:space="preserve"> </w:t>
      </w:r>
      <w:r>
        <w:rPr>
          <w:rFonts w:ascii="Times New Roman;serif" w:hAnsi="Times New Roman;serif"/>
          <w:b w:val="false"/>
          <w:sz w:val="24"/>
        </w:rPr>
        <w:t>of this Subscription Agreement, (i)</w:t>
      </w:r>
      <w:r>
        <w:rPr/>
        <w:t xml:space="preserve"> </w:t>
      </w:r>
      <w:r>
        <w:rPr>
          <w:rFonts w:ascii="Times New Roman;serif" w:hAnsi="Times New Roman;serif"/>
          <w:b w:val="false"/>
          <w:sz w:val="24"/>
        </w:rPr>
        <w:t>no registration under the Securities Act is required for the offer and sale of the Subscribed Shares by the Issuer to Subscriber and (ii)</w:t>
      </w:r>
      <w:r>
        <w:rPr/>
        <w:t xml:space="preserve"> </w:t>
      </w:r>
      <w:r>
        <w:rPr>
          <w:rFonts w:ascii="Times New Roman;serif" w:hAnsi="Times New Roman;serif"/>
          <w:b w:val="false"/>
          <w:sz w:val="24"/>
        </w:rPr>
        <w:t>no consent, approval, order or authorization of, or registration, qualification, designation, declaration or filing with, any federal, state or local governmental authority is required on the part of the Issuer in connection with the consummation of the transactions contemplated by this Subscription Agreement, except for filings pursuant to Regulation D of the Securities Act and applicable state securities laws.</w:t>
      </w:r>
    </w:p>
    <w:p>
      <w:pPr>
        <w:pStyle w:val="TextBody"/>
        <w:bidi w:val="0"/>
        <w:spacing w:before="0" w:after="240"/>
        <w:jc w:val="left"/>
        <w:rPr>
          <w:rFonts w:ascii="Times New Roman" w:hAnsi="Times New Roman"/>
          <w:b w:val="false"/>
          <w:sz w:val="24"/>
        </w:rPr>
      </w:pPr>
      <w:r>
        <w:rPr>
          <w:rFonts w:ascii="Times New Roman" w:hAnsi="Times New Roman"/>
          <w:b w:val="false"/>
          <w:sz w:val="24"/>
        </w:rPr>
        <w:t>2.2.10.</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As of the date hereof, there are no pending or, to the knowledge of the Issuer, threatened, suits, claims, actions, or proceedings, which, if determined adversely, would, individually or in the aggregate, reasonably be expected to have an Issuer Material Adverse Effect. As of the date hereof, there is no unsatisfied judgment or any open injunction binding upon the Issuer, which would, individually or in the aggregate, reasonably be expected to have an Issuer Material Adverse Effect.</w:t>
      </w:r>
    </w:p>
    <w:p>
      <w:pPr>
        <w:pStyle w:val="TextBody"/>
        <w:bidi w:val="0"/>
        <w:spacing w:before="0" w:after="240"/>
        <w:jc w:val="left"/>
        <w:rPr>
          <w:rFonts w:ascii="Times New Roman" w:hAnsi="Times New Roman"/>
          <w:b w:val="false"/>
          <w:sz w:val="24"/>
        </w:rPr>
      </w:pPr>
      <w:r>
        <w:rPr>
          <w:rFonts w:ascii="Times New Roman" w:hAnsi="Times New Roman"/>
          <w:b w:val="false"/>
          <w:sz w:val="24"/>
        </w:rPr>
        <w:t>2.2.11.</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 xml:space="preserve">The Issuer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the Issuer of this Subscription Agreement (including, without limitation, the issuance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rFonts w:ascii="Times New Roman;serif" w:hAnsi="Times New Roman;serif"/>
          <w:b w:val="false"/>
          <w:sz w:val="24"/>
        </w:rPr>
        <w:t>of the Subscribed Shares), other than (i) filings with the Commission, (ii) filings required by applicable state securities laws, (iii) those required by The Nasdaq Stock Market LLC (“</w:t>
      </w:r>
      <w:r>
        <w:rPr>
          <w:rFonts w:ascii="Times New Roman;serif" w:hAnsi="Times New Roman;serif"/>
          <w:b/>
          <w:sz w:val="24"/>
        </w:rPr>
        <w:t>Nasdaq</w:t>
      </w:r>
      <w:r>
        <w:rPr/>
        <w:t>”</w:t>
      </w:r>
      <w:r>
        <w:rPr>
          <w:rFonts w:ascii="Times New Roman;serif" w:hAnsi="Times New Roman;serif"/>
          <w:b w:val="false"/>
          <w:sz w:val="24"/>
        </w:rPr>
        <w:t>) or another applicable stock exchange, and (iv) filings, the failure of which to obtain would not be reasonably be expected to have, individually or in the aggregate, an Issuer Material Adverse Effect.</w:t>
      </w:r>
    </w:p>
    <w:p>
      <w:pPr>
        <w:pStyle w:val="TextBody"/>
        <w:bidi w:val="0"/>
        <w:spacing w:before="0" w:after="240"/>
        <w:jc w:val="left"/>
        <w:rPr>
          <w:rFonts w:ascii="Times New Roman" w:hAnsi="Times New Roman"/>
          <w:b w:val="false"/>
          <w:sz w:val="24"/>
        </w:rPr>
      </w:pPr>
      <w:r>
        <w:rPr>
          <w:rFonts w:ascii="Times New Roman" w:hAnsi="Times New Roman"/>
          <w:b w:val="false"/>
          <w:sz w:val="24"/>
        </w:rPr>
        <w:t>2.2.12.</w:t>
      </w:r>
    </w:p>
    <w:p>
      <w:pPr>
        <w:pStyle w:val="TextBody"/>
        <w:bidi w:val="0"/>
        <w:spacing w:before="0" w:after="240"/>
        <w:jc w:val="left"/>
        <w:rPr/>
      </w:pPr>
      <w:r>
        <w:rPr>
          <w:rFonts w:ascii="Times New Roman;serif" w:hAnsi="Times New Roman;serif"/>
          <w:b w:val="false"/>
          <w:sz w:val="24"/>
        </w:rPr>
        <w:t>The Issuer made available to Subscriber (including via the Commission’s EDGAR system) a true, correct and complete copy of each form, report, statement, schedule, prospectus, proxy, registration statement and other documents filed by the Issuer with the Commission prior to the date of this Subscription Agreement (the “</w:t>
      </w:r>
      <w:r>
        <w:rPr>
          <w:rFonts w:ascii="Times New Roman;serif" w:hAnsi="Times New Roman;serif"/>
          <w:b/>
          <w:sz w:val="24"/>
        </w:rPr>
        <w:t>SEC Documents</w:t>
      </w:r>
      <w:r>
        <w:rPr/>
        <w:t>”</w:t>
      </w:r>
      <w:r>
        <w:rPr>
          <w:rFonts w:ascii="Times New Roman;serif" w:hAnsi="Times New Roman;serif"/>
          <w:b w:val="false"/>
          <w:sz w:val="24"/>
        </w:rPr>
        <w:t>), which SEC Documents, as of their respective filing dates, complied in all material respects with the requirements of the Exchange Act applicable to the SEC Documents and the rules and regulations of the Commission promulgated thereunder and applicable to the SEC Documents. As of their respective dates, all SEC Documents required to be filed by the Issuer with the Commission prior to the date hereof complied in all material respects with the applicable requirements of the Securities Act and the Exchange Act and the rules and regulations of the Commission promulgated thereunder. None of the SEC Documents filed under the Exchange Act, contained, when filed or, if amended prior to the date of this Subscription Agreement, as of the date of such amendment with respect to those disclosures that are amended, any untrue statement of a material fact or omitted to state a material fact required to be stated therein or necessary to make the statements therein, in light of the circumstances under which they were made, not misleading. The Issuer has timely filed each report, statement, schedule, prospectus, and registration statement that the Issuer was required to file with the Commission since its inception and through the date hereof. As of the date hereof, there are no material outstanding or unresolved comments in comment letters from the Commission staff with respect to any of the SEC Documents.</w:t>
      </w:r>
    </w:p>
    <w:p>
      <w:pPr>
        <w:pStyle w:val="TextBody"/>
        <w:bidi w:val="0"/>
        <w:spacing w:before="0" w:after="240"/>
        <w:jc w:val="left"/>
        <w:rPr>
          <w:rFonts w:ascii="Times New Roman" w:hAnsi="Times New Roman"/>
          <w:b w:val="false"/>
          <w:sz w:val="24"/>
        </w:rPr>
      </w:pPr>
      <w:r>
        <w:rPr>
          <w:rFonts w:ascii="Times New Roman" w:hAnsi="Times New Roman"/>
          <w:b w:val="false"/>
          <w:sz w:val="24"/>
        </w:rPr>
        <w:t>2.2.13.</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No broker, finder or other financial consultant has acted on behalf of the Issuer in connection with this Subscription Agreement or the transactions contemplated hereby in such a way as to create any liability on Subscriber.</w:t>
      </w:r>
    </w:p>
    <w:p>
      <w:pPr>
        <w:pStyle w:val="TextBody"/>
        <w:bidi w:val="0"/>
        <w:spacing w:before="0" w:after="240"/>
        <w:jc w:val="left"/>
        <w:rPr>
          <w:rFonts w:ascii="Times New Roman" w:hAnsi="Times New Roman"/>
          <w:b w:val="false"/>
          <w:sz w:val="24"/>
        </w:rPr>
      </w:pPr>
      <w:r>
        <w:rPr>
          <w:rFonts w:ascii="Times New Roman" w:hAnsi="Times New Roman"/>
          <w:b w:val="false"/>
          <w:sz w:val="24"/>
        </w:rPr>
        <w:t>2.2.14.</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The Issuer is not, and immediately after receipt of payment for the Subscribed Shares will not be, required to register as an “investment company” as such term is defined in the Investment Company Act of 1940, as amended.</w:t>
      </w:r>
    </w:p>
    <w:p>
      <w:pPr>
        <w:pStyle w:val="TextBody"/>
        <w:bidi w:val="0"/>
        <w:spacing w:before="0" w:after="240"/>
        <w:jc w:val="left"/>
        <w:rPr>
          <w:rFonts w:ascii="Times New Roman" w:hAnsi="Times New Roman"/>
          <w:b w:val="false"/>
          <w:sz w:val="24"/>
        </w:rPr>
      </w:pPr>
      <w:r>
        <w:rPr>
          <w:rFonts w:ascii="Times New Roman" w:hAnsi="Times New Roman"/>
          <w:b w:val="false"/>
          <w:sz w:val="24"/>
        </w:rPr>
        <w:t>3.</w:t>
      </w:r>
    </w:p>
    <w:p>
      <w:pPr>
        <w:pStyle w:val="TextBody"/>
        <w:bidi w:val="0"/>
        <w:spacing w:before="0" w:after="240"/>
        <w:jc w:val="left"/>
        <w:rPr/>
      </w:pPr>
      <w:r>
        <w:rPr>
          <w:rFonts w:ascii="Times New Roman;serif" w:hAnsi="Times New Roman;serif"/>
          <w:b w:val="false"/>
          <w:sz w:val="24"/>
          <w:u w:val="single"/>
        </w:rPr>
        <w:t>Settlement Date and Delivery</w:t>
      </w:r>
      <w:r>
        <w:rPr>
          <w:rFonts w:ascii="Times New Roman;serif" w:hAnsi="Times New Roman;serif"/>
          <w:b w:val="false"/>
          <w:sz w:val="24"/>
        </w:rPr>
        <w:t>.</w:t>
      </w:r>
    </w:p>
    <w:p>
      <w:pPr>
        <w:pStyle w:val="TextBody"/>
        <w:bidi w:val="0"/>
        <w:spacing w:before="0" w:after="0"/>
        <w:jc w:val="left"/>
        <w:rPr>
          <w:rFonts w:ascii="Times New Roman" w:hAnsi="Times New Roman"/>
          <w:sz w:val="20"/>
        </w:rPr>
      </w:pPr>
      <w:r>
        <w:rPr>
          <w:rFonts w:ascii="Times New Roman;serif" w:hAnsi="Times New Roman;serif"/>
          <w:b w:val="false"/>
          <w:sz w:val="24"/>
          <w:u w:val="single"/>
        </w:rPr>
        <w:t>Closing</w:t>
      </w:r>
      <w:r>
        <w:rPr>
          <w:rFonts w:ascii="Times New Roman;serif" w:hAnsi="Times New Roman;serif"/>
          <w:b w:val="false"/>
          <w:sz w:val="24"/>
        </w:rPr>
        <w:t>. The closing of the Subscription contemplated hereby (the “</w:t>
      </w:r>
      <w:r>
        <w:rPr>
          <w:rFonts w:ascii="Times New Roman;serif" w:hAnsi="Times New Roman;serif"/>
          <w:b/>
          <w:sz w:val="24"/>
        </w:rPr>
        <w:t>Closing</w:t>
      </w:r>
      <w:r>
        <w:rPr>
          <w:rFonts w:ascii="Times New Roman" w:hAnsi="Times New Roman"/>
          <w:sz w:val="20"/>
        </w:rPr>
        <w:t>”</w:t>
      </w:r>
      <w:r>
        <w:rPr>
          <w:rFonts w:ascii="Times New Roman;serif" w:hAnsi="Times New Roman;serif"/>
          <w:b w:val="false"/>
          <w:sz w:val="24"/>
        </w:rPr>
        <w:t>) shall occur in two closings (each, a “</w:t>
      </w:r>
      <w:r>
        <w:rPr>
          <w:rFonts w:ascii="Times New Roman;serif" w:hAnsi="Times New Roman;serif"/>
          <w:b/>
          <w:sz w:val="24"/>
        </w:rPr>
        <w:t>Closing Date</w:t>
      </w:r>
      <w:r>
        <w:rPr>
          <w:rFonts w:ascii="Times New Roman" w:hAnsi="Times New Roman"/>
          <w:sz w:val="20"/>
        </w:rPr>
        <w:t>”</w:t>
      </w:r>
      <w:r>
        <w:rPr>
          <w:rFonts w:ascii="Times New Roman;serif" w:hAnsi="Times New Roman;serif"/>
          <w:b w:val="false"/>
          <w:sz w:val="24"/>
        </w:rPr>
        <w:t>, and the closing as of the date hereof, the “</w:t>
      </w:r>
      <w:r>
        <w:rPr>
          <w:rFonts w:ascii="Times New Roman;serif" w:hAnsi="Times New Roman;serif"/>
          <w:b/>
          <w:sz w:val="24"/>
        </w:rPr>
        <w:t>Initial Closing Date</w:t>
      </w:r>
      <w:r>
        <w:rPr>
          <w:rFonts w:ascii="Times New Roman" w:hAnsi="Times New Roman"/>
          <w:sz w:val="20"/>
        </w:rPr>
        <w:t>”</w:t>
      </w:r>
      <w:r>
        <w:rPr>
          <w:rFonts w:ascii="Times New Roman;serif" w:hAnsi="Times New Roman;serif"/>
          <w:b w:val="false"/>
          <w:sz w:val="24"/>
        </w:rPr>
        <w:t>) as agreed upon by the Company and the Subscriber and as set forth in Schedule II hereto, with the initial installment of funds occurring on the Initial Closing Date. On each Closing Date, the Subscriber shall pay the agreed upon installment of the Purchase Price by wire transfer of immediately available funds to the Issuer to such bank account or accounts as shall be designated by the Issuer. Three (3) business days following the final Closing Date, the Issuer shall cause the Subscribed Shares to be delivered to the Subscriber, with the delivery of the Subscribed Shares to be made either through the facilities of The Depository Trust Company’s DWAC system in</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accordance with instructions provided by the Subscriber or through book entry confirmation from the Issuer’s transfer agent.</w:t>
      </w:r>
    </w:p>
    <w:p>
      <w:pPr>
        <w:pStyle w:val="TextBody"/>
        <w:bidi w:val="0"/>
        <w:spacing w:before="0" w:after="0"/>
        <w:jc w:val="left"/>
        <w:rPr/>
      </w:pPr>
      <w:r>
        <w:rPr/>
        <w:t> </w:t>
      </w:r>
    </w:p>
    <w:p>
      <w:pPr>
        <w:pStyle w:val="TextBody"/>
        <w:bidi w:val="0"/>
        <w:spacing w:before="0" w:after="240"/>
        <w:jc w:val="left"/>
        <w:rPr>
          <w:rFonts w:ascii="Times New Roman" w:hAnsi="Times New Roman"/>
          <w:b w:val="false"/>
          <w:sz w:val="24"/>
        </w:rPr>
      </w:pPr>
      <w:r>
        <w:rPr>
          <w:rFonts w:ascii="Times New Roman" w:hAnsi="Times New Roman"/>
          <w:b w:val="false"/>
          <w:sz w:val="24"/>
        </w:rPr>
        <w:t>3.1.</w:t>
      </w:r>
    </w:p>
    <w:p>
      <w:pPr>
        <w:pStyle w:val="TextBody"/>
        <w:bidi w:val="0"/>
        <w:spacing w:before="0" w:after="240"/>
        <w:jc w:val="left"/>
        <w:rPr/>
      </w:pPr>
      <w:r>
        <w:rPr>
          <w:rFonts w:ascii="Times New Roman;serif" w:hAnsi="Times New Roman;serif"/>
          <w:b w:val="false"/>
          <w:sz w:val="24"/>
          <w:u w:val="single"/>
        </w:rPr>
        <w:t>Conditions to Closing of the Issuer</w:t>
      </w:r>
      <w:r>
        <w:rPr>
          <w:rFonts w:ascii="Times New Roman;serif" w:hAnsi="Times New Roman;serif"/>
          <w:b w:val="false"/>
          <w:sz w:val="24"/>
        </w:rPr>
        <w:t>.</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The Issuer’s obligations to sell and issue the Subscribed Shares at the Closing are subject to the fulfillment or (to the extent permitted by applicable law) written waiver by the Issuer, on or prior to the Initial Closing Date, of each of the following conditions:</w:t>
      </w:r>
    </w:p>
    <w:p>
      <w:pPr>
        <w:pStyle w:val="TextBody"/>
        <w:bidi w:val="0"/>
        <w:spacing w:before="0" w:after="240"/>
        <w:jc w:val="left"/>
        <w:rPr>
          <w:rFonts w:ascii="Times New Roman" w:hAnsi="Times New Roman"/>
          <w:b w:val="false"/>
          <w:sz w:val="24"/>
        </w:rPr>
      </w:pPr>
      <w:r>
        <w:rPr>
          <w:rFonts w:ascii="Times New Roman" w:hAnsi="Times New Roman"/>
          <w:b w:val="false"/>
          <w:sz w:val="24"/>
        </w:rPr>
        <w:t>3.1.1.</w:t>
      </w:r>
    </w:p>
    <w:p>
      <w:pPr>
        <w:pStyle w:val="TextBody"/>
        <w:bidi w:val="0"/>
        <w:spacing w:before="0" w:after="240"/>
        <w:jc w:val="left"/>
        <w:rPr/>
      </w:pPr>
      <w:r>
        <w:rPr>
          <w:rFonts w:ascii="Times New Roman;serif" w:hAnsi="Times New Roman;serif"/>
          <w:b w:val="false"/>
          <w:sz w:val="24"/>
          <w:u w:val="single"/>
        </w:rPr>
        <w:t>Representations and Warranties Correct</w:t>
      </w:r>
      <w:r>
        <w:rPr>
          <w:rFonts w:ascii="Times New Roman;serif" w:hAnsi="Times New Roman;serif"/>
          <w:b w:val="false"/>
          <w:sz w:val="24"/>
        </w:rPr>
        <w:t xml:space="preserve">. The representations and warranties made by Subscriber in </w:t>
      </w:r>
      <w:r>
        <w:rPr>
          <w:rFonts w:ascii="Times New Roman;serif" w:hAnsi="Times New Roman;serif"/>
          <w:b w:val="false"/>
          <w:sz w:val="24"/>
          <w:u w:val="single"/>
        </w:rPr>
        <w:t>Section ‎2.1</w:t>
      </w:r>
      <w:r>
        <w:rPr/>
        <w:t xml:space="preserve"> </w:t>
      </w:r>
      <w:r>
        <w:rPr>
          <w:rFonts w:ascii="Times New Roman;serif" w:hAnsi="Times New Roman;serif"/>
          <w:b w:val="false"/>
          <w:sz w:val="24"/>
        </w:rPr>
        <w:t>hereof shall be true and correct in all material respects when made (unless they specifically speak as of another date in which case they shall be true and correct in all material respects as of such date) (other than representations and warranties that are qualified as to materiality or Subscriber Material Adverse Effect, which representations and warranties shall be true and correct in all respects), and shall be true and correct in all material respects on and as of the Initial Closing Date (unless they specifically speak as of another date in which case they shall be true and correct in all material respects as of such date) (other than representations and warranties that are qualified as to materiality or Subscriber Material Adverse Effect, which representations and warranties shall be true in all respects) with the same force and effect as if they had been made on and as of said date.</w:t>
      </w:r>
    </w:p>
    <w:p>
      <w:pPr>
        <w:pStyle w:val="TextBody"/>
        <w:bidi w:val="0"/>
        <w:spacing w:before="0" w:after="240"/>
        <w:jc w:val="left"/>
        <w:rPr>
          <w:rFonts w:ascii="Times New Roman" w:hAnsi="Times New Roman"/>
          <w:b w:val="false"/>
          <w:sz w:val="24"/>
        </w:rPr>
      </w:pPr>
      <w:r>
        <w:rPr>
          <w:rFonts w:ascii="Times New Roman" w:hAnsi="Times New Roman"/>
          <w:b w:val="false"/>
          <w:sz w:val="24"/>
        </w:rPr>
        <w:t>3.1.2.</w:t>
      </w:r>
    </w:p>
    <w:p>
      <w:pPr>
        <w:pStyle w:val="TextBody"/>
        <w:bidi w:val="0"/>
        <w:spacing w:before="0" w:after="240"/>
        <w:jc w:val="left"/>
        <w:rPr/>
      </w:pPr>
      <w:r>
        <w:rPr>
          <w:rFonts w:ascii="Times New Roman;serif" w:hAnsi="Times New Roman;serif"/>
          <w:b w:val="false"/>
          <w:sz w:val="24"/>
          <w:u w:val="single"/>
        </w:rPr>
        <w:t>Compliance with Covenants</w:t>
      </w:r>
      <w:r>
        <w:rPr>
          <w:rFonts w:ascii="Times New Roman;serif" w:hAnsi="Times New Roman;serif"/>
          <w:b w:val="false"/>
          <w:sz w:val="24"/>
        </w:rPr>
        <w:t>. Subscriber shall have performed, satisfied and complied in all material respects with the covenants, agreements and conditions required by this Subscription Agreement to be performed, satisfied or complied with by Subscriber at or prior to the Closing.</w:t>
      </w:r>
    </w:p>
    <w:p>
      <w:pPr>
        <w:pStyle w:val="TextBody"/>
        <w:bidi w:val="0"/>
        <w:spacing w:before="0" w:after="240"/>
        <w:jc w:val="left"/>
        <w:rPr>
          <w:rFonts w:ascii="Times New Roman" w:hAnsi="Times New Roman"/>
          <w:b w:val="false"/>
          <w:sz w:val="24"/>
        </w:rPr>
      </w:pPr>
      <w:r>
        <w:rPr>
          <w:rFonts w:ascii="Times New Roman" w:hAnsi="Times New Roman"/>
          <w:b w:val="false"/>
          <w:sz w:val="24"/>
        </w:rPr>
        <w:t>3.1.3.</w:t>
      </w:r>
    </w:p>
    <w:p>
      <w:pPr>
        <w:pStyle w:val="TextBody"/>
        <w:bidi w:val="0"/>
        <w:spacing w:before="0" w:after="240"/>
        <w:jc w:val="left"/>
        <w:rPr/>
      </w:pPr>
      <w:r>
        <w:rPr>
          <w:rFonts w:ascii="Times New Roman;serif" w:hAnsi="Times New Roman;serif"/>
          <w:b w:val="false"/>
          <w:sz w:val="24"/>
          <w:u w:val="single"/>
        </w:rPr>
        <w:t>Legality</w:t>
      </w:r>
      <w:r>
        <w:rPr>
          <w:rFonts w:ascii="Times New Roman;serif" w:hAnsi="Times New Roman;serif"/>
          <w:b w:val="false"/>
          <w:sz w:val="24"/>
        </w:rPr>
        <w:t>. There shall not be in force any order, judgment, injunction, decree, writ, stipulation, determination or award, in each case, entered by or with any governmental authority, statute, rule or regulation enjoining or prohibiting the consummation of the Subscription.</w:t>
      </w:r>
    </w:p>
    <w:p>
      <w:pPr>
        <w:pStyle w:val="TextBody"/>
        <w:bidi w:val="0"/>
        <w:spacing w:before="0" w:after="240"/>
        <w:jc w:val="left"/>
        <w:rPr>
          <w:rFonts w:ascii="Times New Roman" w:hAnsi="Times New Roman"/>
          <w:b w:val="false"/>
          <w:sz w:val="24"/>
        </w:rPr>
      </w:pPr>
      <w:r>
        <w:rPr>
          <w:rFonts w:ascii="Times New Roman" w:hAnsi="Times New Roman"/>
          <w:b w:val="false"/>
          <w:sz w:val="24"/>
        </w:rPr>
        <w:t>3.2.</w:t>
      </w:r>
    </w:p>
    <w:p>
      <w:pPr>
        <w:pStyle w:val="TextBody"/>
        <w:bidi w:val="0"/>
        <w:spacing w:before="0" w:after="240"/>
        <w:jc w:val="left"/>
        <w:rPr/>
      </w:pPr>
      <w:r>
        <w:rPr>
          <w:rFonts w:ascii="Times New Roman;serif" w:hAnsi="Times New Roman;serif"/>
          <w:b w:val="false"/>
          <w:sz w:val="24"/>
          <w:u w:val="single"/>
        </w:rPr>
        <w:t>Conditions to Closing of Subscriber</w:t>
      </w:r>
      <w:r>
        <w:rPr>
          <w:rFonts w:ascii="Times New Roman;serif" w:hAnsi="Times New Roman;serif"/>
          <w:b w:val="false"/>
          <w:sz w:val="24"/>
        </w:rPr>
        <w:t>.</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Subscriber’s obligation to purchase the Subscribed Shares at the Closing is subject to the fulfillment or (to the extent permitted by applicable law) written waiver by Subscriber, on or prior to the Initial Closing Date, of each of the following conditions:</w:t>
      </w:r>
    </w:p>
    <w:p>
      <w:pPr>
        <w:pStyle w:val="TextBody"/>
        <w:bidi w:val="0"/>
        <w:spacing w:before="0" w:after="240"/>
        <w:jc w:val="left"/>
        <w:rPr>
          <w:rFonts w:ascii="Times New Roman" w:hAnsi="Times New Roman"/>
          <w:b w:val="false"/>
          <w:sz w:val="24"/>
        </w:rPr>
      </w:pPr>
      <w:r>
        <w:rPr>
          <w:rFonts w:ascii="Times New Roman" w:hAnsi="Times New Roman"/>
          <w:b w:val="false"/>
          <w:sz w:val="24"/>
        </w:rPr>
        <w:t>3.2.1.</w:t>
      </w:r>
    </w:p>
    <w:p>
      <w:pPr>
        <w:pStyle w:val="TextBody"/>
        <w:bidi w:val="0"/>
        <w:spacing w:before="0" w:after="240"/>
        <w:jc w:val="left"/>
        <w:rPr/>
      </w:pPr>
      <w:r>
        <w:rPr>
          <w:rFonts w:ascii="Times New Roman;serif" w:hAnsi="Times New Roman;serif"/>
          <w:b w:val="false"/>
          <w:sz w:val="24"/>
          <w:u w:val="single"/>
        </w:rPr>
        <w:t>Representations and Warranties Correct</w:t>
      </w:r>
      <w:r>
        <w:rPr>
          <w:rFonts w:ascii="Times New Roman;serif" w:hAnsi="Times New Roman;serif"/>
          <w:b w:val="false"/>
          <w:sz w:val="24"/>
        </w:rPr>
        <w:t xml:space="preserve">. The representations and warranties made by the Issuer in </w:t>
      </w:r>
      <w:r>
        <w:rPr>
          <w:rFonts w:ascii="Times New Roman;serif" w:hAnsi="Times New Roman;serif"/>
          <w:b w:val="false"/>
          <w:sz w:val="24"/>
          <w:u w:val="single"/>
        </w:rPr>
        <w:t>Section ‎2.2</w:t>
      </w:r>
      <w:r>
        <w:rPr/>
        <w:t xml:space="preserve"> </w:t>
      </w:r>
      <w:r>
        <w:rPr>
          <w:rFonts w:ascii="Times New Roman;serif" w:hAnsi="Times New Roman;serif"/>
          <w:b w:val="false"/>
          <w:sz w:val="24"/>
        </w:rPr>
        <w:t xml:space="preserve">hereof shall be true and correct in all material respects when made (unless they specifically speak as of another date in which case they shall be true and correct in all material respects as of such date) (other than representations and warranties that are qualified as to materiality or Issuer Material Adverse Effect, which representations and warranties shall be true and correct in all respects), and shall be true and correct in all material respects on and as of the Initial Closing Date (unless they specifically speak as of another date in which case they shall be true and correct in all material respects as of such date) (other than representations and warranties that are qualified as to materiality or Issuer Material Adverse Effect, which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representations and warranties shall be true and correct in all respects) with the same force and effect as if they had been made on and as of said date.</w:t>
      </w:r>
    </w:p>
    <w:p>
      <w:pPr>
        <w:pStyle w:val="TextBody"/>
        <w:bidi w:val="0"/>
        <w:spacing w:before="0" w:after="240"/>
        <w:jc w:val="left"/>
        <w:rPr>
          <w:rFonts w:ascii="Times New Roman" w:hAnsi="Times New Roman"/>
          <w:b w:val="false"/>
          <w:sz w:val="24"/>
        </w:rPr>
      </w:pPr>
      <w:r>
        <w:rPr>
          <w:rFonts w:ascii="Times New Roman" w:hAnsi="Times New Roman"/>
          <w:b w:val="false"/>
          <w:sz w:val="24"/>
        </w:rPr>
        <w:t>3.2.2.</w:t>
      </w:r>
    </w:p>
    <w:p>
      <w:pPr>
        <w:pStyle w:val="TextBody"/>
        <w:bidi w:val="0"/>
        <w:spacing w:before="0" w:after="240"/>
        <w:jc w:val="left"/>
        <w:rPr/>
      </w:pPr>
      <w:r>
        <w:rPr>
          <w:rFonts w:ascii="Times New Roman;serif" w:hAnsi="Times New Roman;serif"/>
          <w:b w:val="false"/>
          <w:sz w:val="24"/>
          <w:u w:val="single"/>
        </w:rPr>
        <w:t>Compliance with Covenants</w:t>
      </w:r>
      <w:r>
        <w:rPr>
          <w:rFonts w:ascii="Times New Roman;serif" w:hAnsi="Times New Roman;serif"/>
          <w:b w:val="false"/>
          <w:sz w:val="24"/>
        </w:rPr>
        <w:t>. The Issuer shall have performed, satisfied and complied in all material respects with the covenants, agreements and conditions required by this Subscription Agreement to be performed, satisfied or complied with by the Issuer at or prior to the Closing, except where the failure of such performance or compliance would not or would not reasonably be expected to prevent, materially delay, or materially impair the ability of the Issuer to consummate the Closing.</w:t>
      </w:r>
    </w:p>
    <w:p>
      <w:pPr>
        <w:pStyle w:val="TextBody"/>
        <w:bidi w:val="0"/>
        <w:spacing w:before="0" w:after="240"/>
        <w:jc w:val="left"/>
        <w:rPr>
          <w:rFonts w:ascii="Times New Roman" w:hAnsi="Times New Roman"/>
          <w:b w:val="false"/>
          <w:sz w:val="24"/>
        </w:rPr>
      </w:pPr>
      <w:r>
        <w:rPr>
          <w:rFonts w:ascii="Times New Roman" w:hAnsi="Times New Roman"/>
          <w:b w:val="false"/>
          <w:sz w:val="24"/>
        </w:rPr>
        <w:t>3.2.3.</w:t>
      </w:r>
    </w:p>
    <w:p>
      <w:pPr>
        <w:pStyle w:val="TextBody"/>
        <w:bidi w:val="0"/>
        <w:spacing w:before="0" w:after="240"/>
        <w:jc w:val="left"/>
        <w:rPr/>
      </w:pPr>
      <w:r>
        <w:rPr>
          <w:rFonts w:ascii="Times New Roman;serif" w:hAnsi="Times New Roman;serif"/>
          <w:b w:val="false"/>
          <w:sz w:val="24"/>
          <w:u w:val="single"/>
        </w:rPr>
        <w:t>Legality</w:t>
      </w:r>
      <w:r>
        <w:rPr>
          <w:rFonts w:ascii="Times New Roman;serif" w:hAnsi="Times New Roman;serif"/>
          <w:b w:val="false"/>
          <w:sz w:val="24"/>
        </w:rPr>
        <w:t>. There shall not be in force any order, judgment, injunction, decree, writ, stipulation, determination or award, in each case, entered by or with any governmental authority, statute, rule or regulation enjoining or prohibiting consummation of the transactions contemplated by this Subscription Agreement and no such governmental authority shall have instituted or threatened in writing a proceeding seeking to impose any such restraint or prohibition (except in the case of a governmental authority located outside the United States where such restraint or prohibition would not be reasonably expected to result in in Issuer Material Adverse Effect).</w:t>
      </w:r>
    </w:p>
    <w:p>
      <w:pPr>
        <w:pStyle w:val="TextBody"/>
        <w:bidi w:val="0"/>
        <w:spacing w:before="0" w:after="240"/>
        <w:jc w:val="left"/>
        <w:rPr>
          <w:rFonts w:ascii="Times New Roman" w:hAnsi="Times New Roman"/>
          <w:b w:val="false"/>
          <w:sz w:val="24"/>
        </w:rPr>
      </w:pPr>
      <w:r>
        <w:rPr>
          <w:rFonts w:ascii="Times New Roman" w:hAnsi="Times New Roman"/>
          <w:b w:val="false"/>
          <w:sz w:val="24"/>
        </w:rPr>
        <w:t>3.2.4.</w:t>
      </w:r>
    </w:p>
    <w:p>
      <w:pPr>
        <w:pStyle w:val="TextBody"/>
        <w:bidi w:val="0"/>
        <w:spacing w:before="0" w:after="240"/>
        <w:jc w:val="left"/>
        <w:rPr/>
      </w:pPr>
      <w:r>
        <w:rPr>
          <w:rFonts w:ascii="Times New Roman;serif" w:hAnsi="Times New Roman;serif"/>
          <w:b w:val="false"/>
          <w:sz w:val="24"/>
          <w:u w:val="single"/>
        </w:rPr>
        <w:t>Listing</w:t>
      </w:r>
      <w:r>
        <w:rPr>
          <w:rFonts w:ascii="Times New Roman;serif" w:hAnsi="Times New Roman;serif"/>
          <w:b w:val="false"/>
          <w:sz w:val="24"/>
        </w:rPr>
        <w:t>. No suspension of the qualification of the Common Stock for offering or sale or trading</w:t>
      </w:r>
      <w:r>
        <w:rPr/>
        <w:t xml:space="preserve"> </w:t>
      </w:r>
      <w:r>
        <w:rPr>
          <w:rFonts w:ascii="Times New Roman;serif" w:hAnsi="Times New Roman;serif"/>
          <w:b w:val="false"/>
          <w:sz w:val="24"/>
        </w:rPr>
        <w:t>in any jurisdiction, and no suspension or removal from listing of the Common Stock on Nasdaq or another applicable stock exchange, and no initiation or threatening of any proceedings for any of such purposes or</w:t>
      </w:r>
      <w:r>
        <w:rPr/>
        <w:t xml:space="preserve"> </w:t>
      </w:r>
      <w:r>
        <w:rPr>
          <w:rFonts w:ascii="Times New Roman;serif" w:hAnsi="Times New Roman;serif"/>
          <w:b w:val="false"/>
          <w:sz w:val="24"/>
        </w:rPr>
        <w:t>delisting, shall have occurred.</w:t>
      </w:r>
    </w:p>
    <w:p>
      <w:pPr>
        <w:pStyle w:val="TextBody"/>
        <w:bidi w:val="0"/>
        <w:spacing w:before="0" w:after="240"/>
        <w:jc w:val="left"/>
        <w:rPr>
          <w:rFonts w:ascii="Times New Roman" w:hAnsi="Times New Roman"/>
          <w:b w:val="false"/>
          <w:sz w:val="24"/>
        </w:rPr>
      </w:pPr>
      <w:r>
        <w:rPr>
          <w:rFonts w:ascii="Times New Roman" w:hAnsi="Times New Roman"/>
          <w:b w:val="false"/>
          <w:sz w:val="24"/>
        </w:rPr>
        <w:t>4.</w:t>
      </w:r>
    </w:p>
    <w:p>
      <w:pPr>
        <w:pStyle w:val="TextBody"/>
        <w:bidi w:val="0"/>
        <w:spacing w:before="0" w:after="240"/>
        <w:jc w:val="left"/>
        <w:rPr/>
      </w:pPr>
      <w:r>
        <w:rPr>
          <w:rFonts w:ascii="Times New Roman;serif" w:hAnsi="Times New Roman;serif"/>
          <w:b w:val="false"/>
          <w:sz w:val="24"/>
          <w:u w:val="single"/>
        </w:rPr>
        <w:t>Termination</w:t>
      </w:r>
      <w:r>
        <w:rPr>
          <w:rFonts w:ascii="Times New Roman;serif" w:hAnsi="Times New Roman;serif"/>
          <w:b w:val="false"/>
          <w:sz w:val="24"/>
        </w:rPr>
        <w:t>. This Subscription Agreement shall terminate and be void and of no further force and effect, and all rights and obligations of the parties hereunder shall terminate without any further liability on the part of any party in respect thereof, upon the earliest to occur of (i)</w:t>
      </w:r>
      <w:r>
        <w:rPr/>
        <w:t xml:space="preserve"> </w:t>
      </w:r>
      <w:r>
        <w:rPr>
          <w:rFonts w:ascii="Times New Roman;serif" w:hAnsi="Times New Roman;serif"/>
          <w:b w:val="false"/>
          <w:sz w:val="24"/>
        </w:rPr>
        <w:t>upon the mutual written agreement of each of the parties hereto to terminate this Subscription Agreement and (ii)</w:t>
      </w:r>
      <w:r>
        <w:rPr/>
        <w:t xml:space="preserve"> </w:t>
      </w:r>
      <w:r>
        <w:rPr>
          <w:rFonts w:ascii="Times New Roman;serif" w:hAnsi="Times New Roman;serif"/>
          <w:b w:val="false"/>
          <w:sz w:val="24"/>
        </w:rPr>
        <w:t xml:space="preserve">at the election of Subscriber after February 3, 2024 if the Closing shall not have occurred; </w:t>
      </w:r>
      <w:r>
        <w:rPr>
          <w:rFonts w:ascii="Times New Roman;serif" w:hAnsi="Times New Roman;serif"/>
          <w:b w:val="false"/>
          <w:sz w:val="24"/>
          <w:u w:val="single"/>
        </w:rPr>
        <w:t>provided</w:t>
      </w:r>
      <w:r>
        <w:rPr/>
        <w:t xml:space="preserve"> </w:t>
      </w:r>
      <w:r>
        <w:rPr>
          <w:rFonts w:ascii="Times New Roman;serif" w:hAnsi="Times New Roman;serif"/>
          <w:b w:val="false"/>
          <w:sz w:val="24"/>
        </w:rPr>
        <w:t xml:space="preserve">that nothing herein will relieve any party from liability for any willful breach hereof prior to the time of termination, and each party will be entitled to any remedies at law or in equity to recover losses, liabilities or damages arising from such breach. </w:t>
      </w:r>
    </w:p>
    <w:p>
      <w:pPr>
        <w:pStyle w:val="TextBody"/>
        <w:bidi w:val="0"/>
        <w:spacing w:before="0" w:after="240"/>
        <w:jc w:val="left"/>
        <w:rPr>
          <w:rFonts w:ascii="Times New Roman" w:hAnsi="Times New Roman"/>
          <w:b w:val="false"/>
          <w:sz w:val="24"/>
        </w:rPr>
      </w:pPr>
      <w:r>
        <w:rPr>
          <w:rFonts w:ascii="Times New Roman" w:hAnsi="Times New Roman"/>
          <w:b w:val="false"/>
          <w:sz w:val="24"/>
        </w:rPr>
        <w:t>5.</w:t>
      </w:r>
    </w:p>
    <w:p>
      <w:pPr>
        <w:pStyle w:val="TextBody"/>
        <w:bidi w:val="0"/>
        <w:spacing w:before="0" w:after="240"/>
        <w:jc w:val="left"/>
        <w:rPr/>
      </w:pPr>
      <w:r>
        <w:rPr>
          <w:rFonts w:ascii="Times New Roman;serif" w:hAnsi="Times New Roman;serif"/>
          <w:b w:val="false"/>
          <w:sz w:val="24"/>
          <w:u w:val="single"/>
        </w:rPr>
        <w:t>Miscellaneous</w:t>
      </w:r>
      <w:r>
        <w:rPr>
          <w:rFonts w:ascii="Times New Roman;serif" w:hAnsi="Times New Roman;serif"/>
          <w:b w:val="false"/>
          <w:sz w:val="24"/>
        </w:rPr>
        <w:t>.</w:t>
      </w:r>
    </w:p>
    <w:p>
      <w:pPr>
        <w:pStyle w:val="TextBody"/>
        <w:bidi w:val="0"/>
        <w:spacing w:before="0" w:after="240"/>
        <w:jc w:val="left"/>
        <w:rPr>
          <w:rFonts w:ascii="Times New Roman" w:hAnsi="Times New Roman"/>
          <w:b w:val="false"/>
          <w:sz w:val="24"/>
        </w:rPr>
      </w:pPr>
      <w:r>
        <w:rPr>
          <w:rFonts w:ascii="Times New Roman" w:hAnsi="Times New Roman"/>
          <w:b w:val="false"/>
          <w:sz w:val="24"/>
        </w:rPr>
        <w:t>5.1.</w:t>
      </w:r>
    </w:p>
    <w:p>
      <w:pPr>
        <w:pStyle w:val="TextBody"/>
        <w:bidi w:val="0"/>
        <w:spacing w:before="0" w:after="240"/>
        <w:jc w:val="left"/>
        <w:rPr/>
      </w:pPr>
      <w:r>
        <w:rPr>
          <w:rFonts w:ascii="Times New Roman;serif" w:hAnsi="Times New Roman;serif"/>
          <w:b w:val="false"/>
          <w:sz w:val="24"/>
          <w:u w:val="single"/>
        </w:rPr>
        <w:t>Further Assurances</w:t>
      </w:r>
      <w:r>
        <w:rPr>
          <w:rFonts w:ascii="Times New Roman;serif" w:hAnsi="Times New Roman;serif"/>
          <w:b w:val="false"/>
          <w:sz w:val="24"/>
        </w:rPr>
        <w:t>. At the Closing, the parties hereto shall execute and deliver such additional documents and take such additional actions as the parties reasonably may deem to be practical and necessary in order to consummate the Subscription as contemplated by this Subscription Agreement.</w:t>
      </w:r>
    </w:p>
    <w:p>
      <w:pPr>
        <w:pStyle w:val="TextBody"/>
        <w:bidi w:val="0"/>
        <w:spacing w:before="0" w:after="240"/>
        <w:jc w:val="left"/>
        <w:rPr>
          <w:rFonts w:ascii="Times New Roman" w:hAnsi="Times New Roman"/>
          <w:b w:val="false"/>
          <w:sz w:val="24"/>
        </w:rPr>
      </w:pPr>
      <w:r>
        <w:rPr>
          <w:rFonts w:ascii="Times New Roman" w:hAnsi="Times New Roman"/>
          <w:b w:val="false"/>
          <w:sz w:val="24"/>
        </w:rPr>
        <w:t>5.1.1.</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 xml:space="preserve">Subscriber acknowledges that the Issuer will rely on the acknowledgments, understandings, agreements, representations and warranties made by Subscriber contained in this Subscription Agreement. Prior to the Closing, Subscriber agrees to promptly notify the Issuer if any of the acknowledgments, understandings, agreements, representations and warranties made by Subscriber set forth herein are no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longer accurate in all material respects. The Issuer acknowledges that Subscriber will rely on the acknowledgments, understandings, agreements, representations and warranties made by the Issuer contained in this Subscription Agreement.</w:t>
      </w:r>
    </w:p>
    <w:p>
      <w:pPr>
        <w:pStyle w:val="TextBody"/>
        <w:bidi w:val="0"/>
        <w:spacing w:before="0" w:after="240"/>
        <w:jc w:val="left"/>
        <w:rPr>
          <w:rFonts w:ascii="Times New Roman" w:hAnsi="Times New Roman"/>
          <w:b w:val="false"/>
          <w:sz w:val="24"/>
        </w:rPr>
      </w:pPr>
      <w:r>
        <w:rPr>
          <w:rFonts w:ascii="Times New Roman" w:hAnsi="Times New Roman"/>
          <w:b w:val="false"/>
          <w:sz w:val="24"/>
        </w:rPr>
        <w:t>5.1.2.</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Each of the Issuer and the Subscriber is entitled to rely upon this Subscription Agreement and is irrevocably authorized to produce this Subscription Agreement or a copy hereof to any interested party in any administrative or legal proceeding or official inquiry with respect to the matters covered hereby.</w:t>
      </w:r>
    </w:p>
    <w:p>
      <w:pPr>
        <w:pStyle w:val="TextBody"/>
        <w:bidi w:val="0"/>
        <w:spacing w:before="0" w:after="240"/>
        <w:jc w:val="left"/>
        <w:rPr>
          <w:rFonts w:ascii="Times New Roman" w:hAnsi="Times New Roman"/>
          <w:b w:val="false"/>
          <w:sz w:val="24"/>
        </w:rPr>
      </w:pPr>
      <w:r>
        <w:rPr>
          <w:rFonts w:ascii="Times New Roman" w:hAnsi="Times New Roman"/>
          <w:b w:val="false"/>
          <w:sz w:val="24"/>
        </w:rPr>
        <w:t>5.1.3.</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The Issuer may request from Subscriber such additional information as the Issuer may reasonably deem necessary to evaluate the eligibility of Subscriber to acquire the Subscribed Shares, and Subscriber shall provide such information as may be reasonably requested, to the extent within Subscriber’s possession and control or otherwise readily available to Subscriber, provided that the Issuer agrees to keep confidential any such information provided by Subscriber.</w:t>
      </w:r>
    </w:p>
    <w:p>
      <w:pPr>
        <w:pStyle w:val="TextBody"/>
        <w:bidi w:val="0"/>
        <w:spacing w:before="0" w:after="240"/>
        <w:jc w:val="left"/>
        <w:rPr>
          <w:rFonts w:ascii="Times New Roman" w:hAnsi="Times New Roman"/>
          <w:b w:val="false"/>
          <w:sz w:val="24"/>
        </w:rPr>
      </w:pPr>
      <w:r>
        <w:rPr>
          <w:rFonts w:ascii="Times New Roman" w:hAnsi="Times New Roman"/>
          <w:b w:val="false"/>
          <w:sz w:val="24"/>
        </w:rPr>
        <w:t>5.1.4.</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Each of Subscriber and the Issuer shall pay all of its own respective expenses in connection with this Subscription Agreement and the transactions contemplated herein.</w:t>
      </w:r>
    </w:p>
    <w:p>
      <w:pPr>
        <w:pStyle w:val="TextBody"/>
        <w:bidi w:val="0"/>
        <w:spacing w:before="0" w:after="240"/>
        <w:jc w:val="left"/>
        <w:rPr>
          <w:rFonts w:ascii="Times New Roman" w:hAnsi="Times New Roman"/>
          <w:b w:val="false"/>
          <w:sz w:val="24"/>
        </w:rPr>
      </w:pPr>
      <w:r>
        <w:rPr>
          <w:rFonts w:ascii="Times New Roman" w:hAnsi="Times New Roman"/>
          <w:b w:val="false"/>
          <w:sz w:val="24"/>
        </w:rPr>
        <w:t>5.1.5.</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Each of Subscriber and the Issuer shall take, or cause to be taken, all actions and do, or cause to be done, all things necessary, proper or advisable to consummate the transactions contemplated by this Subscription Agreement on the terms and conditions described herein.</w:t>
      </w:r>
    </w:p>
    <w:p>
      <w:pPr>
        <w:pStyle w:val="TextBody"/>
        <w:bidi w:val="0"/>
        <w:spacing w:before="0" w:after="240"/>
        <w:jc w:val="left"/>
        <w:rPr>
          <w:rFonts w:ascii="Times New Roman" w:hAnsi="Times New Roman"/>
          <w:b w:val="false"/>
          <w:sz w:val="24"/>
        </w:rPr>
      </w:pPr>
      <w:r>
        <w:rPr>
          <w:rFonts w:ascii="Times New Roman" w:hAnsi="Times New Roman"/>
          <w:b w:val="false"/>
          <w:sz w:val="24"/>
        </w:rPr>
        <w:t>5.2.</w:t>
      </w:r>
    </w:p>
    <w:p>
      <w:pPr>
        <w:pStyle w:val="TextBody"/>
        <w:bidi w:val="0"/>
        <w:spacing w:before="0" w:after="240"/>
        <w:jc w:val="left"/>
        <w:rPr/>
      </w:pPr>
      <w:r>
        <w:rPr>
          <w:rFonts w:ascii="Times New Roman;serif" w:hAnsi="Times New Roman;serif"/>
          <w:b w:val="false"/>
          <w:sz w:val="24"/>
        </w:rPr>
        <w:t xml:space="preserve">Subscriber hereby acknowledges and agrees that it will not, nor will any person acting at Subscriber’s direction or pursuant to any understanding with Subscriber (including Subscriber’s controlled affiliates), directly or indirectly, offer, sell, pledge, contract to sell, sell any option in, or engage in hedging activities or execute any “short sales” (as defined in Rule 200 of Regulation SHO under the Exchange Act) with respect to, any Subscribed Shares or any securities of the Issuer or any instrument exchangeable for or convertible into any Subscribed Shares or any securities of the Issuer until the termination of this Subscription Agreement in accordance with its terms. Notwithstanding the foregoing, (i) nothing herein shall prohibit any entities under common management with Subscriber that have no knowledge of this Subscription Agreement or of Subscriber’s participation in the transactions contemplated hereby (including Subscriber’s controlled affiliates and/or affiliates) from entering into any short sales; (ii) in the case of a Subscriber that is a multimanaged investment vehicle whereby separate portfolio managers manage separate portions of such Subscriber’s assets and the portfolio managers have no knowledge of the investment decisions made by the portfolio managers managing other portions of such Subscriber’s assets, this </w:t>
      </w:r>
      <w:r>
        <w:rPr>
          <w:rFonts w:ascii="Times New Roman;serif" w:hAnsi="Times New Roman;serif"/>
          <w:b w:val="false"/>
          <w:sz w:val="24"/>
          <w:u w:val="single"/>
        </w:rPr>
        <w:t>Section 5.2</w:t>
      </w:r>
      <w:r>
        <w:rPr/>
        <w:t xml:space="preserve"> </w:t>
      </w:r>
      <w:r>
        <w:rPr>
          <w:rFonts w:ascii="Times New Roman;serif" w:hAnsi="Times New Roman;serif"/>
          <w:b w:val="false"/>
          <w:sz w:val="24"/>
        </w:rPr>
        <w:t>shall only apply with respect to the portion of assets managed by the portfolio manager that made the investment decision to purchase the Subscribed Shares covered by this Subscription Agreement.</w:t>
      </w:r>
    </w:p>
    <w:p>
      <w:pPr>
        <w:pStyle w:val="TextBody"/>
        <w:bidi w:val="0"/>
        <w:spacing w:before="0" w:after="240"/>
        <w:jc w:val="left"/>
        <w:rPr>
          <w:rFonts w:ascii="Times New Roman" w:hAnsi="Times New Roman"/>
          <w:b w:val="false"/>
          <w:sz w:val="24"/>
        </w:rPr>
      </w:pPr>
      <w:r>
        <w:rPr>
          <w:rFonts w:ascii="Times New Roman" w:hAnsi="Times New Roman"/>
          <w:b w:val="false"/>
          <w:sz w:val="24"/>
        </w:rPr>
        <w:t>5.3.</w:t>
      </w:r>
    </w:p>
    <w:p>
      <w:pPr>
        <w:pStyle w:val="TextBody"/>
        <w:bidi w:val="0"/>
        <w:spacing w:before="0" w:after="240"/>
        <w:jc w:val="left"/>
        <w:rPr/>
      </w:pPr>
      <w:r>
        <w:rPr>
          <w:rFonts w:ascii="Times New Roman;serif" w:hAnsi="Times New Roman;serif"/>
          <w:b w:val="false"/>
          <w:sz w:val="24"/>
          <w:u w:val="single"/>
        </w:rPr>
        <w:t>Notices</w:t>
      </w:r>
      <w:r>
        <w:rPr>
          <w:rFonts w:ascii="Times New Roman;serif" w:hAnsi="Times New Roman;serif"/>
          <w:b w:val="false"/>
          <w:sz w:val="24"/>
        </w:rPr>
        <w:t>. Any notice or communication required or permitted hereunder shall be in writing and either delivered personally, emailed or sent by overnight mail via a reputable overnight carrier, or sent by certified or registered mail, postage prepaid, and shall be deemed to be given and received (i)</w:t>
      </w:r>
      <w:r>
        <w:rPr/>
        <w:t xml:space="preserve"> </w:t>
      </w:r>
      <w:r>
        <w:rPr>
          <w:rFonts w:ascii="Times New Roman;serif" w:hAnsi="Times New Roman;serif"/>
          <w:b w:val="false"/>
          <w:sz w:val="24"/>
        </w:rPr>
        <w:t>when so delivered personally, (ii)</w:t>
      </w:r>
      <w:r>
        <w:rPr/>
        <w:t xml:space="preserve"> </w:t>
      </w:r>
      <w:r>
        <w:rPr>
          <w:rFonts w:ascii="Times New Roman;serif" w:hAnsi="Times New Roman;serif"/>
          <w:b w:val="false"/>
          <w:sz w:val="24"/>
        </w:rPr>
        <w:t xml:space="preserve">when sent, with no mail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rFonts w:ascii="Times New Roman;serif" w:hAnsi="Times New Roman;serif"/>
          <w:b w:val="false"/>
          <w:sz w:val="24"/>
        </w:rPr>
        <w:t>undeliverable or other rejection notice, if sent by email during business hours or the next Business Day if sent outside of business hours, or (iii)</w:t>
      </w:r>
      <w:r>
        <w:rPr/>
        <w:t xml:space="preserve"> </w:t>
      </w:r>
      <w:r>
        <w:rPr>
          <w:rFonts w:ascii="Times New Roman;serif" w:hAnsi="Times New Roman;serif"/>
          <w:b w:val="false"/>
          <w:sz w:val="24"/>
        </w:rPr>
        <w:t>three (3) Business Days after the date of mailing to the address below or to such other address or addresses as such person may hereafter designate by notice given hereunder:</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 if to Subscriber, to such address or addresses set forth on the signature page hereto;</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(ii) if to the Issuer, to:</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Biodesix, Inc.</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2970 Wilderness Place, Suite 100</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Boulder, CO 80301</w:t>
      </w:r>
    </w:p>
    <w:p>
      <w:pPr>
        <w:pStyle w:val="TextBody"/>
        <w:bidi w:val="0"/>
        <w:spacing w:before="0" w:after="0"/>
        <w:jc w:val="left"/>
        <w:rPr>
          <w:rFonts w:ascii="Times New Roman" w:hAnsi="Times New Roman"/>
          <w:sz w:val="20"/>
        </w:rPr>
      </w:pPr>
      <w:r>
        <w:rPr>
          <w:rFonts w:ascii="Times New Roman;serif" w:hAnsi="Times New Roman;serif"/>
          <w:b w:val="false"/>
          <w:sz w:val="24"/>
        </w:rPr>
        <w:t>Attention: Scott Hutton/Robin Harper Cowie</w:t>
      </w:r>
      <w:r>
        <w:rPr>
          <w:rFonts w:ascii="Times New Roman" w:hAnsi="Times New Roman"/>
          <w:sz w:val="20"/>
        </w:rPr>
        <w:t xml:space="preserve">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E-mail: scott.hutton@biodesix.com/robin.cowie@biodesix.com</w:t>
      </w:r>
    </w:p>
    <w:p>
      <w:pPr>
        <w:pStyle w:val="TextBody"/>
        <w:bidi w:val="0"/>
        <w:spacing w:before="0" w:after="24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with a required copy (which copy shall not constitute notice) to:</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Sidley Austin LLP</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555 California Street, Suite 2000</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San Francisco, CA 94104</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Attention: Frank Rahmani/Samir Gandhi</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Email: frahmani@sidley.com/sgandhi@sidley.com</w:t>
      </w:r>
    </w:p>
    <w:p>
      <w:pPr>
        <w:pStyle w:val="TextBody"/>
        <w:bidi w:val="0"/>
        <w:spacing w:before="0" w:after="0"/>
        <w:jc w:val="left"/>
        <w:rPr/>
      </w:pPr>
      <w:r>
        <w:rPr/>
        <w:t> </w:t>
      </w:r>
    </w:p>
    <w:p>
      <w:pPr>
        <w:pStyle w:val="TextBody"/>
        <w:bidi w:val="0"/>
        <w:spacing w:before="0" w:after="240"/>
        <w:jc w:val="left"/>
        <w:rPr>
          <w:rFonts w:ascii="Times New Roman" w:hAnsi="Times New Roman"/>
          <w:b w:val="false"/>
          <w:sz w:val="24"/>
        </w:rPr>
      </w:pPr>
      <w:r>
        <w:rPr>
          <w:rFonts w:ascii="Times New Roman" w:hAnsi="Times New Roman"/>
          <w:b w:val="false"/>
          <w:sz w:val="24"/>
        </w:rPr>
        <w:t>5.4.</w:t>
      </w:r>
    </w:p>
    <w:p>
      <w:pPr>
        <w:pStyle w:val="TextBody"/>
        <w:bidi w:val="0"/>
        <w:spacing w:before="0" w:after="240"/>
        <w:jc w:val="left"/>
        <w:rPr/>
      </w:pPr>
      <w:r>
        <w:rPr>
          <w:rFonts w:ascii="Times New Roman;serif" w:hAnsi="Times New Roman;serif"/>
          <w:b w:val="false"/>
          <w:sz w:val="24"/>
          <w:u w:val="single"/>
        </w:rPr>
        <w:t>Entire Agreement</w:t>
      </w:r>
      <w:r>
        <w:rPr>
          <w:rFonts w:ascii="Times New Roman;serif" w:hAnsi="Times New Roman;serif"/>
          <w:b w:val="false"/>
          <w:sz w:val="24"/>
        </w:rPr>
        <w:t>. This Subscription Agreement constitutes the entire agreement, and supersedes all other prior agreements, understandings, representations and warranties, both written and oral, among the parties, with respect to the subject matter hereof, including any commitment letter entered into relating to the subject matter hereof.</w:t>
      </w:r>
    </w:p>
    <w:p>
      <w:pPr>
        <w:pStyle w:val="TextBody"/>
        <w:bidi w:val="0"/>
        <w:spacing w:before="0" w:after="240"/>
        <w:jc w:val="left"/>
        <w:rPr>
          <w:rFonts w:ascii="Times New Roman" w:hAnsi="Times New Roman"/>
          <w:b w:val="false"/>
          <w:sz w:val="24"/>
        </w:rPr>
      </w:pPr>
      <w:r>
        <w:rPr>
          <w:rFonts w:ascii="Times New Roman" w:hAnsi="Times New Roman"/>
          <w:b w:val="false"/>
          <w:sz w:val="24"/>
        </w:rPr>
        <w:t>5.5.</w:t>
      </w:r>
    </w:p>
    <w:p>
      <w:pPr>
        <w:pStyle w:val="TextBody"/>
        <w:bidi w:val="0"/>
        <w:spacing w:before="0" w:after="240"/>
        <w:jc w:val="left"/>
        <w:rPr/>
      </w:pPr>
      <w:r>
        <w:rPr>
          <w:rFonts w:ascii="Times New Roman;serif" w:hAnsi="Times New Roman;serif"/>
          <w:b w:val="false"/>
          <w:sz w:val="24"/>
          <w:u w:val="single"/>
        </w:rPr>
        <w:t>Modifications and Amendments</w:t>
      </w:r>
      <w:r>
        <w:rPr>
          <w:rFonts w:ascii="Times New Roman;serif" w:hAnsi="Times New Roman;serif"/>
          <w:b w:val="false"/>
          <w:sz w:val="24"/>
        </w:rPr>
        <w:t>. This Subscription Agreement may not be amended, modified, supplemented or waived except by an instrument in writing, signed by the party against whom enforcement of such amendment, modification, supplement or waiver is sought.</w:t>
      </w:r>
    </w:p>
    <w:p>
      <w:pPr>
        <w:pStyle w:val="TextBody"/>
        <w:bidi w:val="0"/>
        <w:spacing w:before="0" w:after="240"/>
        <w:jc w:val="left"/>
        <w:rPr>
          <w:rFonts w:ascii="Times New Roman" w:hAnsi="Times New Roman"/>
          <w:b w:val="false"/>
          <w:sz w:val="24"/>
        </w:rPr>
      </w:pPr>
      <w:r>
        <w:rPr>
          <w:rFonts w:ascii="Times New Roman" w:hAnsi="Times New Roman"/>
          <w:b w:val="false"/>
          <w:sz w:val="24"/>
        </w:rPr>
        <w:t>5.6.</w:t>
      </w:r>
    </w:p>
    <w:p>
      <w:pPr>
        <w:pStyle w:val="TextBody"/>
        <w:bidi w:val="0"/>
        <w:spacing w:before="0" w:after="240"/>
        <w:jc w:val="left"/>
        <w:rPr/>
      </w:pPr>
      <w:r>
        <w:rPr>
          <w:rFonts w:ascii="Times New Roman;serif" w:hAnsi="Times New Roman;serif"/>
          <w:b w:val="false"/>
          <w:sz w:val="24"/>
          <w:u w:val="single"/>
        </w:rPr>
        <w:t>Assignment</w:t>
      </w:r>
      <w:r>
        <w:rPr>
          <w:rFonts w:ascii="Times New Roman;serif" w:hAnsi="Times New Roman;serif"/>
          <w:b w:val="false"/>
          <w:sz w:val="24"/>
        </w:rPr>
        <w:t xml:space="preserve">. Neither this Subscription Agreement nor any rights, interests or obligations that may accrue to the parties hereunder (including Subscriber’s rights to purchase the Subscribed Shares) may be transferred or assigned without the prior written consent of the Issuer; provided that Subscriber’s rights and obligations hereunder may be assigned to any fund or account managed by the same investment manager as Subscriber, without the prior consent of the Issuer, provided that such assignee(s) agrees in writing to be bound by the terms hereof, and upon such assignment by a Subscriber, the assignee(s) shall become Subscriber hereunder and have the rights and obligations and be deemed to make the representations and warranties of Subscriber provided for herein to the extent of such assignment; </w:t>
      </w:r>
      <w:r>
        <w:rPr>
          <w:rFonts w:ascii="Times New Roman;serif" w:hAnsi="Times New Roman;serif"/>
          <w:b w:val="false"/>
          <w:sz w:val="24"/>
          <w:u w:val="single"/>
        </w:rPr>
        <w:t>provided</w:t>
      </w:r>
      <w:r>
        <w:rPr/>
        <w:t xml:space="preserve"> </w:t>
      </w:r>
      <w:r>
        <w:rPr>
          <w:rFonts w:ascii="Times New Roman;serif" w:hAnsi="Times New Roman;serif"/>
          <w:b w:val="false"/>
          <w:sz w:val="24"/>
          <w:u w:val="single"/>
        </w:rPr>
        <w:t>further</w:t>
      </w:r>
      <w:r>
        <w:rPr/>
        <w:t xml:space="preserve"> </w:t>
      </w:r>
      <w:r>
        <w:rPr>
          <w:rFonts w:ascii="Times New Roman;serif" w:hAnsi="Times New Roman;serif"/>
          <w:b w:val="false"/>
          <w:sz w:val="24"/>
        </w:rPr>
        <w:t>that, no assignment shall relieve the assigning party of any of its obligations hereunder, including any assignment to any fund or account managed by the same investment manager as Subscriber.</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b w:val="false"/>
          <w:sz w:val="24"/>
        </w:rPr>
      </w:pPr>
      <w:r>
        <w:rPr>
          <w:rFonts w:ascii="Times New Roman" w:hAnsi="Times New Roman"/>
          <w:b w:val="false"/>
          <w:sz w:val="24"/>
        </w:rPr>
        <w:t>5.7.</w:t>
      </w:r>
    </w:p>
    <w:p>
      <w:pPr>
        <w:pStyle w:val="TextBody"/>
        <w:bidi w:val="0"/>
        <w:spacing w:before="0" w:after="240"/>
        <w:jc w:val="left"/>
        <w:rPr/>
      </w:pPr>
      <w:r>
        <w:rPr>
          <w:rFonts w:ascii="Times New Roman;serif" w:hAnsi="Times New Roman;serif"/>
          <w:b w:val="false"/>
          <w:sz w:val="24"/>
          <w:u w:val="single"/>
        </w:rPr>
        <w:t>Benefit</w:t>
      </w:r>
      <w:r>
        <w:rPr>
          <w:rFonts w:ascii="Times New Roman;serif" w:hAnsi="Times New Roman;serif"/>
          <w:b w:val="false"/>
          <w:sz w:val="24"/>
        </w:rPr>
        <w:t>. 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 This Subscription Agreement shall not confer rights or remedies upon any person other than the parties hereto and their respective successors and assigns.</w:t>
      </w:r>
    </w:p>
    <w:p>
      <w:pPr>
        <w:pStyle w:val="TextBody"/>
        <w:bidi w:val="0"/>
        <w:spacing w:before="0" w:after="240"/>
        <w:jc w:val="left"/>
        <w:rPr>
          <w:rFonts w:ascii="Times New Roman" w:hAnsi="Times New Roman"/>
          <w:b w:val="false"/>
          <w:sz w:val="24"/>
        </w:rPr>
      </w:pPr>
      <w:r>
        <w:rPr>
          <w:rFonts w:ascii="Times New Roman" w:hAnsi="Times New Roman"/>
          <w:b w:val="false"/>
          <w:sz w:val="24"/>
        </w:rPr>
        <w:t>5.8.</w:t>
      </w:r>
    </w:p>
    <w:p>
      <w:pPr>
        <w:pStyle w:val="TextBody"/>
        <w:bidi w:val="0"/>
        <w:spacing w:before="0" w:after="240"/>
        <w:jc w:val="left"/>
        <w:rPr/>
      </w:pPr>
      <w:r>
        <w:rPr>
          <w:rFonts w:ascii="Times New Roman;serif" w:hAnsi="Times New Roman;serif"/>
          <w:b w:val="false"/>
          <w:sz w:val="24"/>
          <w:u w:val="single"/>
        </w:rPr>
        <w:t>Governing Law</w:t>
      </w:r>
      <w:r>
        <w:rPr>
          <w:rFonts w:ascii="Times New Roman;serif" w:hAnsi="Times New Roman;serif"/>
          <w:b w:val="false"/>
          <w:sz w:val="24"/>
        </w:rPr>
        <w:t>. This Subscription Agreement, and any claim or cause of action hereunder based upon, arising out of or related to this Subscription Agreement (whether based on law, in equity, in contract, in tort or any other theory) or the negotiation, execution, performance or enforcement of this Subscription Agreement, shall be governed by and construed in accordance with the laws of the State of Delaware, without giving effect to the principles of conflicts of law thereof.</w:t>
      </w:r>
    </w:p>
    <w:p>
      <w:pPr>
        <w:pStyle w:val="TextBody"/>
        <w:bidi w:val="0"/>
        <w:spacing w:before="0" w:after="240"/>
        <w:jc w:val="left"/>
        <w:rPr>
          <w:rFonts w:ascii="Times New Roman" w:hAnsi="Times New Roman"/>
          <w:b w:val="false"/>
          <w:sz w:val="24"/>
        </w:rPr>
      </w:pPr>
      <w:r>
        <w:rPr>
          <w:rFonts w:ascii="Times New Roman" w:hAnsi="Times New Roman"/>
          <w:b w:val="false"/>
          <w:sz w:val="24"/>
        </w:rPr>
        <w:t>5.9.</w:t>
      </w:r>
    </w:p>
    <w:p>
      <w:pPr>
        <w:pStyle w:val="TextBody"/>
        <w:bidi w:val="0"/>
        <w:spacing w:before="0" w:after="240"/>
        <w:jc w:val="left"/>
        <w:rPr/>
      </w:pPr>
      <w:r>
        <w:rPr>
          <w:rFonts w:ascii="Times New Roman;serif" w:hAnsi="Times New Roman;serif"/>
          <w:b w:val="false"/>
          <w:sz w:val="24"/>
          <w:u w:val="single"/>
        </w:rPr>
        <w:t>Consent to Jurisdiction; Waiver of Jury Trial</w:t>
      </w:r>
      <w:r>
        <w:rPr>
          <w:rFonts w:ascii="Times New Roman;serif" w:hAnsi="Times New Roman;serif"/>
          <w:b w:val="false"/>
          <w:sz w:val="24"/>
        </w:rPr>
        <w:t>. Each of the parties irrevocably consents to the exclusive jurisdiction and venue of the Court of Chancery of the State of Delaware, provided that if subject matter jurisdiction over the matter that is the subject of the legal proceeding is vested exclusively in the U.S. federal courts, such legal proceeding shall be heard in the U.S. District Court for the District of Delaware (together with the Court of Chancery of the State of Delaware, “</w:t>
      </w:r>
      <w:r>
        <w:rPr>
          <w:rFonts w:ascii="Times New Roman;serif" w:hAnsi="Times New Roman;serif"/>
          <w:b/>
          <w:sz w:val="24"/>
        </w:rPr>
        <w:t>Chosen Courts</w:t>
      </w:r>
      <w:r>
        <w:rPr/>
        <w:t>”</w:t>
      </w:r>
      <w:r>
        <w:rPr>
          <w:rFonts w:ascii="Times New Roman;serif" w:hAnsi="Times New Roman;serif"/>
          <w:b w:val="false"/>
          <w:sz w:val="24"/>
        </w:rPr>
        <w:t>), in connection with any matter based upon or arising out of this Subscription Agreement. Each party hereby waives, and shall not assert as a defense in any legal dispute, that (i)</w:t>
      </w:r>
      <w:r>
        <w:rPr/>
        <w:t xml:space="preserve"> </w:t>
      </w:r>
      <w:r>
        <w:rPr>
          <w:rFonts w:ascii="Times New Roman;serif" w:hAnsi="Times New Roman;serif"/>
          <w:b w:val="false"/>
          <w:sz w:val="24"/>
        </w:rPr>
        <w:t>such person is not personally subject to the jurisdiction of the Chosen Courts for any reason, (ii)</w:t>
      </w:r>
      <w:r>
        <w:rPr/>
        <w:t xml:space="preserve"> </w:t>
      </w:r>
      <w:r>
        <w:rPr>
          <w:rFonts w:ascii="Times New Roman;serif" w:hAnsi="Times New Roman;serif"/>
          <w:b w:val="false"/>
          <w:sz w:val="24"/>
        </w:rPr>
        <w:t>such legal proceeding may not be brought or is not maintainable in the Chosen Courts, (iii)</w:t>
      </w:r>
      <w:r>
        <w:rPr/>
        <w:t xml:space="preserve"> </w:t>
      </w:r>
      <w:r>
        <w:rPr>
          <w:rFonts w:ascii="Times New Roman;serif" w:hAnsi="Times New Roman;serif"/>
          <w:b w:val="false"/>
          <w:sz w:val="24"/>
        </w:rPr>
        <w:t>such person’s property is exempt or immune from execution, (iv)</w:t>
      </w:r>
      <w:r>
        <w:rPr/>
        <w:t xml:space="preserve"> </w:t>
      </w:r>
      <w:r>
        <w:rPr>
          <w:rFonts w:ascii="Times New Roman;serif" w:hAnsi="Times New Roman;serif"/>
          <w:b w:val="false"/>
          <w:sz w:val="24"/>
        </w:rPr>
        <w:t xml:space="preserve">such legal proceeding is brought in an inconvenient forum or (v) the venue of such legal proceeding is improper. Each party hereby consents to service of process in any such proceeding in any manner permitted by Delaware law, further consents to service of process by nationally recognized overnight courier service guaranteeing overnight delivery, or by registered or certified mail, return receipt requested, at its address specified pursuant to </w:t>
      </w:r>
      <w:r>
        <w:rPr>
          <w:rFonts w:ascii="Times New Roman;serif" w:hAnsi="Times New Roman;serif"/>
          <w:b w:val="false"/>
          <w:sz w:val="24"/>
          <w:u w:val="single"/>
        </w:rPr>
        <w:t>Section ‎5.3</w:t>
      </w:r>
      <w:r>
        <w:rPr/>
        <w:t xml:space="preserve"> </w:t>
      </w:r>
      <w:r>
        <w:rPr>
          <w:rFonts w:ascii="Times New Roman;serif" w:hAnsi="Times New Roman;serif"/>
          <w:b w:val="false"/>
          <w:sz w:val="24"/>
        </w:rPr>
        <w:t xml:space="preserve">and waives and covenants not to assert or plead any objection which they might otherwise have to such manner of service of process. Notwithstanding the foregoing in this </w:t>
      </w:r>
      <w:r>
        <w:rPr>
          <w:rFonts w:ascii="Times New Roman;serif" w:hAnsi="Times New Roman;serif"/>
          <w:b w:val="false"/>
          <w:sz w:val="24"/>
          <w:u w:val="single"/>
        </w:rPr>
        <w:t>Section ‎5.9</w:t>
      </w:r>
      <w:r>
        <w:rPr>
          <w:rFonts w:ascii="Times New Roman;serif" w:hAnsi="Times New Roman;serif"/>
          <w:b w:val="false"/>
          <w:sz w:val="24"/>
        </w:rPr>
        <w:t>, a party may commence any action, claim, cause of action or suit in a court other than the Chosen Courts solely for the purpose of enforcing an order or judgment issued by the Chosen Courts. TO THE EXTENT NOT PROHIBITED BY APPLICABLE LAW WHICH CANNOT BE WAIVED, EACH OF THE PARTIES WAIVES ANY RIGHT TO TRIAL BY JURY ON ANY CLAIMS OR COUNTERCLAIMS ASSERTED IN ANY LEGAL DISPUTE RELATING TO THIS SUBSCRIPTION AGREEMENT WHETHER NOW EXISTING OR HEREAFTER ARISING. IF THE SUBJECT MATTER OF ANY SUCH LEGAL DISPUTE IS ONE IN WHICH THE WAIVER OF JURY TRIAL IS PROHIBITED, NO PARTY SHALL ASSERT IN SUCH LEGAL DISPUTE A NONCOMPULSORY COUNTERCLAIM ARISING OUT OF OR RELATING TO THIS SUBSCRIPTION AGREEMENT. FURTHERMORE, NO PARTY SHALL SEEK TO CONSOLIDATE ANY SUCH LEGAL DISPUTE WITH A SEPARATE ACTION OR OTHER LEGAL PROCEEDING IN WHICH A JURY TRIAL CANNOT BE WAIVED.</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b w:val="false"/>
          <w:sz w:val="24"/>
        </w:rPr>
      </w:pPr>
      <w:r>
        <w:rPr>
          <w:rFonts w:ascii="Times New Roman" w:hAnsi="Times New Roman"/>
          <w:b w:val="false"/>
          <w:sz w:val="24"/>
        </w:rPr>
        <w:t>5.10.</w:t>
      </w:r>
    </w:p>
    <w:p>
      <w:pPr>
        <w:pStyle w:val="TextBody"/>
        <w:bidi w:val="0"/>
        <w:spacing w:before="0" w:after="240"/>
        <w:jc w:val="left"/>
        <w:rPr/>
      </w:pPr>
      <w:r>
        <w:rPr>
          <w:rFonts w:ascii="Times New Roman;serif" w:hAnsi="Times New Roman;serif"/>
          <w:b w:val="false"/>
          <w:sz w:val="24"/>
          <w:u w:val="single"/>
        </w:rPr>
        <w:t>Severability</w:t>
      </w:r>
      <w:r>
        <w:rPr>
          <w:rFonts w:ascii="Times New Roman;serif" w:hAnsi="Times New Roman;serif"/>
          <w:b w:val="false"/>
          <w:sz w:val="24"/>
        </w:rPr>
        <w:t>. 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pStyle w:val="TextBody"/>
        <w:bidi w:val="0"/>
        <w:spacing w:before="0" w:after="240"/>
        <w:jc w:val="left"/>
        <w:rPr>
          <w:rFonts w:ascii="Times New Roman" w:hAnsi="Times New Roman"/>
          <w:b w:val="false"/>
          <w:sz w:val="24"/>
        </w:rPr>
      </w:pPr>
      <w:r>
        <w:rPr>
          <w:rFonts w:ascii="Times New Roman" w:hAnsi="Times New Roman"/>
          <w:b w:val="false"/>
          <w:sz w:val="24"/>
        </w:rPr>
        <w:t>5.11.</w:t>
      </w:r>
    </w:p>
    <w:p>
      <w:pPr>
        <w:pStyle w:val="TextBody"/>
        <w:bidi w:val="0"/>
        <w:spacing w:before="0" w:after="240"/>
        <w:jc w:val="left"/>
        <w:rPr/>
      </w:pPr>
      <w:r>
        <w:rPr>
          <w:rFonts w:ascii="Times New Roman;serif" w:hAnsi="Times New Roman;serif"/>
          <w:b w:val="false"/>
          <w:sz w:val="24"/>
          <w:u w:val="single"/>
        </w:rPr>
        <w:t>No Waiver of Rights, Powers and Remedies</w:t>
      </w:r>
      <w:r>
        <w:rPr>
          <w:rFonts w:ascii="Times New Roman;serif" w:hAnsi="Times New Roman;serif"/>
          <w:b w:val="false"/>
          <w:sz w:val="24"/>
        </w:rPr>
        <w:t>. No failure or delay by a party hereto in exercising any right, power or remedy under this Subscription Agreement, and no course of dealing between the parties hereto, shall operate as a waiver of any such right, power or remedy of such party. No single or partial exercise of any right, power or remedy under this Subscription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Subscription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pStyle w:val="TextBody"/>
        <w:bidi w:val="0"/>
        <w:spacing w:before="0" w:after="240"/>
        <w:jc w:val="left"/>
        <w:rPr>
          <w:rFonts w:ascii="Times New Roman" w:hAnsi="Times New Roman"/>
          <w:b w:val="false"/>
          <w:sz w:val="24"/>
        </w:rPr>
      </w:pPr>
      <w:r>
        <w:rPr>
          <w:rFonts w:ascii="Times New Roman" w:hAnsi="Times New Roman"/>
          <w:b w:val="false"/>
          <w:sz w:val="24"/>
        </w:rPr>
        <w:t>5.12.</w:t>
      </w:r>
    </w:p>
    <w:p>
      <w:pPr>
        <w:pStyle w:val="TextBody"/>
        <w:bidi w:val="0"/>
        <w:spacing w:before="0" w:after="240"/>
        <w:jc w:val="left"/>
        <w:rPr/>
      </w:pPr>
      <w:r>
        <w:rPr>
          <w:rFonts w:ascii="Times New Roman;serif" w:hAnsi="Times New Roman;serif"/>
          <w:b w:val="false"/>
          <w:sz w:val="24"/>
          <w:u w:val="single"/>
        </w:rPr>
        <w:t>Remedies</w:t>
      </w:r>
      <w:r>
        <w:rPr>
          <w:rFonts w:ascii="Times New Roman;serif" w:hAnsi="Times New Roman;serif"/>
          <w:b w:val="false"/>
          <w:sz w:val="24"/>
        </w:rPr>
        <w:t>.</w:t>
      </w:r>
    </w:p>
    <w:p>
      <w:pPr>
        <w:pStyle w:val="TextBody"/>
        <w:bidi w:val="0"/>
        <w:spacing w:before="0" w:after="240"/>
        <w:jc w:val="left"/>
        <w:rPr>
          <w:rFonts w:ascii="Times New Roman" w:hAnsi="Times New Roman"/>
          <w:b w:val="false"/>
          <w:sz w:val="24"/>
        </w:rPr>
      </w:pPr>
      <w:r>
        <w:rPr>
          <w:rFonts w:ascii="Times New Roman" w:hAnsi="Times New Roman"/>
          <w:b w:val="false"/>
          <w:sz w:val="24"/>
        </w:rPr>
        <w:t>5.12.1.</w:t>
      </w:r>
    </w:p>
    <w:p>
      <w:pPr>
        <w:pStyle w:val="TextBody"/>
        <w:bidi w:val="0"/>
        <w:spacing w:before="0" w:after="240"/>
        <w:jc w:val="left"/>
        <w:rPr/>
      </w:pPr>
      <w:r>
        <w:rPr>
          <w:rFonts w:ascii="Times New Roman;serif" w:hAnsi="Times New Roman;serif"/>
          <w:b w:val="false"/>
          <w:sz w:val="24"/>
        </w:rPr>
        <w:t xml:space="preserve">The parties agree that irreparable damage would occur if this Subscription Agreement is not performed or the Closing is not consummated in accordance with its specific terms or is otherwise breached and that money damages or other legal remedies would not be an adequate remedy for any such damage. It is accordingly agreed that the parties hereto shall be entitled to equitable relief, including in the form of an injunction or injunctions, to prevent breaches or threatened breaches of this Subscription Agreement and to enforce specifically the terms and provisions of this Subscription Agreement in an appropriate court of competent jurisdiction as set forth in </w:t>
      </w:r>
      <w:r>
        <w:rPr>
          <w:rFonts w:ascii="Times New Roman;serif" w:hAnsi="Times New Roman;serif"/>
          <w:b w:val="false"/>
          <w:sz w:val="24"/>
          <w:u w:val="single"/>
        </w:rPr>
        <w:t>Section ‎5.9</w:t>
      </w:r>
      <w:r>
        <w:rPr>
          <w:rFonts w:ascii="Times New Roman;serif" w:hAnsi="Times New Roman;serif"/>
          <w:b w:val="false"/>
          <w:sz w:val="24"/>
        </w:rPr>
        <w:t xml:space="preserve">, this being in addition to any other remedy to which any party is entitled at law or in equity, including money damages. The right to specific enforcement shall include the right of the parties hereto to cause the other parties hereto to cause the transactions contemplated hereby to be consummated on the terms and subject to the conditions and limitations set forth in this Subscription Agreement. The parties hereto further agree (i) to waive any requirement for the security or posting of any bond in connection with any such equitable remedy, (ii) not to assert that a remedy of specific enforcement pursuant to this </w:t>
      </w:r>
      <w:r>
        <w:rPr>
          <w:rFonts w:ascii="Times New Roman;serif" w:hAnsi="Times New Roman;serif"/>
          <w:b w:val="false"/>
          <w:sz w:val="24"/>
          <w:u w:val="single"/>
        </w:rPr>
        <w:t>Section ‎5.12</w:t>
      </w:r>
      <w:r>
        <w:rPr/>
        <w:t xml:space="preserve"> </w:t>
      </w:r>
      <w:r>
        <w:rPr>
          <w:rFonts w:ascii="Times New Roman;serif" w:hAnsi="Times New Roman;serif"/>
          <w:b w:val="false"/>
          <w:sz w:val="24"/>
        </w:rPr>
        <w:t>is unenforceable, invalid, contrary to applicable law or inequitable for any reason and (iii) to waive any defenses in any action for specific performance, including the defense that a remedy at law would be adequate.</w:t>
      </w:r>
    </w:p>
    <w:p>
      <w:pPr>
        <w:pStyle w:val="TextBody"/>
        <w:bidi w:val="0"/>
        <w:spacing w:before="0" w:after="240"/>
        <w:jc w:val="left"/>
        <w:rPr>
          <w:rFonts w:ascii="Times New Roman" w:hAnsi="Times New Roman"/>
          <w:b w:val="false"/>
          <w:sz w:val="24"/>
        </w:rPr>
      </w:pPr>
      <w:r>
        <w:rPr>
          <w:rFonts w:ascii="Times New Roman" w:hAnsi="Times New Roman"/>
          <w:b w:val="false"/>
          <w:sz w:val="24"/>
        </w:rPr>
        <w:t>5.12.2.</w:t>
      </w:r>
    </w:p>
    <w:p>
      <w:pPr>
        <w:pStyle w:val="TextBody"/>
        <w:bidi w:val="0"/>
        <w:spacing w:before="0" w:after="240"/>
        <w:jc w:val="left"/>
        <w:rPr/>
      </w:pPr>
      <w:r>
        <w:rPr>
          <w:rFonts w:ascii="Times New Roman;serif" w:hAnsi="Times New Roman;serif"/>
          <w:b w:val="false"/>
          <w:sz w:val="24"/>
        </w:rPr>
        <w:t xml:space="preserve">The parties acknowledge and agree that this </w:t>
      </w:r>
      <w:r>
        <w:rPr>
          <w:rFonts w:ascii="Times New Roman;serif" w:hAnsi="Times New Roman;serif"/>
          <w:b w:val="false"/>
          <w:sz w:val="24"/>
          <w:u w:val="single"/>
        </w:rPr>
        <w:t>Section ‎5.12</w:t>
      </w:r>
      <w:r>
        <w:rPr/>
        <w:t xml:space="preserve"> </w:t>
      </w:r>
      <w:r>
        <w:rPr>
          <w:rFonts w:ascii="Times New Roman;serif" w:hAnsi="Times New Roman;serif"/>
          <w:b w:val="false"/>
          <w:sz w:val="24"/>
        </w:rPr>
        <w:t>is an integral part of the transactions contemplated hereby and without that right, the parties hereto would not have entered into this Subscription Agreement.</w:t>
      </w:r>
    </w:p>
    <w:p>
      <w:pPr>
        <w:pStyle w:val="TextBody"/>
        <w:bidi w:val="0"/>
        <w:spacing w:before="0" w:after="240"/>
        <w:jc w:val="left"/>
        <w:rPr>
          <w:rFonts w:ascii="Times New Roman" w:hAnsi="Times New Roman"/>
          <w:b w:val="false"/>
          <w:sz w:val="24"/>
        </w:rPr>
      </w:pPr>
      <w:r>
        <w:rPr>
          <w:rFonts w:ascii="Times New Roman" w:hAnsi="Times New Roman"/>
          <w:b w:val="false"/>
          <w:sz w:val="24"/>
        </w:rPr>
        <w:t>5.13.</w:t>
      </w:r>
    </w:p>
    <w:p>
      <w:pPr>
        <w:pStyle w:val="TextBody"/>
        <w:bidi w:val="0"/>
        <w:spacing w:before="0" w:after="240"/>
        <w:jc w:val="left"/>
        <w:rPr/>
      </w:pPr>
      <w:r>
        <w:rPr>
          <w:rFonts w:ascii="Times New Roman;serif" w:hAnsi="Times New Roman;serif"/>
          <w:b w:val="false"/>
          <w:sz w:val="24"/>
          <w:u w:val="single"/>
        </w:rPr>
        <w:t>Survival of Representations and Warranties and Covenants</w:t>
      </w:r>
      <w:r>
        <w:rPr>
          <w:rFonts w:ascii="Times New Roman;serif" w:hAnsi="Times New Roman;serif"/>
          <w:b w:val="false"/>
          <w:sz w:val="24"/>
        </w:rPr>
        <w:t>. All representations and warranties made by the parties hereto, and all covenants and other agreements of the parties hereto, in this Subscription Agreement shall survive the Closing.</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b w:val="false"/>
          <w:sz w:val="24"/>
        </w:rPr>
      </w:pPr>
      <w:r>
        <w:rPr>
          <w:rFonts w:ascii="Times New Roman" w:hAnsi="Times New Roman"/>
          <w:b w:val="false"/>
          <w:sz w:val="24"/>
        </w:rPr>
        <w:t>5.14.</w:t>
      </w:r>
    </w:p>
    <w:p>
      <w:pPr>
        <w:pStyle w:val="TextBody"/>
        <w:bidi w:val="0"/>
        <w:spacing w:before="0" w:after="240"/>
        <w:jc w:val="left"/>
        <w:rPr/>
      </w:pPr>
      <w:r>
        <w:rPr>
          <w:rFonts w:ascii="Times New Roman;serif" w:hAnsi="Times New Roman;serif"/>
          <w:b w:val="false"/>
          <w:sz w:val="24"/>
          <w:u w:val="single"/>
        </w:rPr>
        <w:t>Headings</w:t>
      </w:r>
      <w:r>
        <w:rPr>
          <w:rFonts w:ascii="Times New Roman;serif" w:hAnsi="Times New Roman;serif"/>
          <w:b w:val="false"/>
          <w:sz w:val="24"/>
        </w:rPr>
        <w:t>. The headings of the sections of this Subscription Agreement have been inserted for convenience of reference only and shall not be deemed a part of this Subscription Agreement.</w:t>
      </w:r>
    </w:p>
    <w:p>
      <w:pPr>
        <w:pStyle w:val="TextBody"/>
        <w:bidi w:val="0"/>
        <w:spacing w:before="0" w:after="240"/>
        <w:jc w:val="left"/>
        <w:rPr>
          <w:rFonts w:ascii="Times New Roman" w:hAnsi="Times New Roman"/>
          <w:b w:val="false"/>
          <w:sz w:val="24"/>
        </w:rPr>
      </w:pPr>
      <w:r>
        <w:rPr>
          <w:rFonts w:ascii="Times New Roman" w:hAnsi="Times New Roman"/>
          <w:b w:val="false"/>
          <w:sz w:val="24"/>
        </w:rPr>
        <w:t>5.15.</w:t>
      </w:r>
    </w:p>
    <w:p>
      <w:pPr>
        <w:pStyle w:val="TextBody"/>
        <w:bidi w:val="0"/>
        <w:spacing w:before="0" w:after="240"/>
        <w:jc w:val="left"/>
        <w:rPr/>
      </w:pPr>
      <w:r>
        <w:rPr>
          <w:rFonts w:ascii="Times New Roman;serif" w:hAnsi="Times New Roman;serif"/>
          <w:b w:val="false"/>
          <w:sz w:val="24"/>
          <w:u w:val="single"/>
        </w:rPr>
        <w:t>Counterparts</w:t>
      </w:r>
      <w:r>
        <w:rPr>
          <w:rFonts w:ascii="Times New Roman;serif" w:hAnsi="Times New Roman;serif"/>
          <w:b w:val="false"/>
          <w:sz w:val="24"/>
        </w:rPr>
        <w:t>. This Subscription Agreement may be executed in one or more counterparts, all of which when taken together shall be considered one and the same agreement and shall become effective when counterparts have been signed by each party and delivered to the other parties, it being understood that the parties need not sign the same counterpart. In the event that any signature is delivered by facsimile transmission or any other form of electronic delivery, such signature shall create a valid and binding obligation of the party executing (or on whose behalf such signature is executed) with the same force and effect as if such signature page were an original thereof.</w:t>
      </w:r>
    </w:p>
    <w:p>
      <w:pPr>
        <w:pStyle w:val="TextBody"/>
        <w:bidi w:val="0"/>
        <w:spacing w:before="0" w:after="240"/>
        <w:jc w:val="left"/>
        <w:rPr>
          <w:rFonts w:ascii="Times New Roman" w:hAnsi="Times New Roman"/>
          <w:b w:val="false"/>
          <w:sz w:val="24"/>
        </w:rPr>
      </w:pPr>
      <w:r>
        <w:rPr>
          <w:rFonts w:ascii="Times New Roman" w:hAnsi="Times New Roman"/>
          <w:b w:val="false"/>
          <w:sz w:val="24"/>
        </w:rPr>
        <w:t>5.16.</w:t>
      </w:r>
    </w:p>
    <w:p>
      <w:pPr>
        <w:pStyle w:val="TextBody"/>
        <w:bidi w:val="0"/>
        <w:spacing w:before="0" w:after="240"/>
        <w:jc w:val="left"/>
        <w:rPr/>
      </w:pPr>
      <w:r>
        <w:rPr>
          <w:rFonts w:ascii="Times New Roman;serif" w:hAnsi="Times New Roman;serif"/>
          <w:b w:val="false"/>
          <w:sz w:val="24"/>
          <w:u w:val="single"/>
        </w:rPr>
        <w:t>Construction</w:t>
      </w:r>
      <w:r>
        <w:rPr>
          <w:rFonts w:ascii="Times New Roman;serif" w:hAnsi="Times New Roman;serif"/>
          <w:b w:val="false"/>
          <w:sz w:val="24"/>
        </w:rPr>
        <w:t>. The words “</w:t>
      </w:r>
      <w:r>
        <w:rPr>
          <w:rFonts w:ascii="Times New Roman;serif" w:hAnsi="Times New Roman;serif"/>
          <w:b w:val="false"/>
          <w:i/>
          <w:sz w:val="24"/>
        </w:rPr>
        <w:t>include</w:t>
      </w:r>
      <w:r>
        <w:rPr>
          <w:rFonts w:ascii="Times New Roman;serif" w:hAnsi="Times New Roman;serif"/>
          <w:b w:val="false"/>
          <w:sz w:val="24"/>
        </w:rPr>
        <w:t>,” “</w:t>
      </w:r>
      <w:r>
        <w:rPr>
          <w:rFonts w:ascii="Times New Roman;serif" w:hAnsi="Times New Roman;serif"/>
          <w:b w:val="false"/>
          <w:i/>
          <w:sz w:val="24"/>
        </w:rPr>
        <w:t>includes</w:t>
      </w:r>
      <w:r>
        <w:rPr>
          <w:rFonts w:ascii="Times New Roman;serif" w:hAnsi="Times New Roman;serif"/>
          <w:b w:val="false"/>
          <w:sz w:val="24"/>
        </w:rPr>
        <w:t>,” and “</w:t>
      </w:r>
      <w:r>
        <w:rPr>
          <w:rFonts w:ascii="Times New Roman;serif" w:hAnsi="Times New Roman;serif"/>
          <w:b w:val="false"/>
          <w:i/>
          <w:sz w:val="24"/>
        </w:rPr>
        <w:t>including</w:t>
      </w:r>
      <w:r>
        <w:rPr/>
        <w:t xml:space="preserve">” </w:t>
      </w:r>
      <w:r>
        <w:rPr>
          <w:rFonts w:ascii="Times New Roman;serif" w:hAnsi="Times New Roman;serif"/>
          <w:b w:val="false"/>
          <w:sz w:val="24"/>
        </w:rPr>
        <w:t>will be deemed to be followed by “without limitation.” Pronouns in masculine, feminine, and neuter genders will be construed to include any other gender, and words in the singular form will be construed to include the plural and vice versa, unless the context otherwise requires. The words “</w:t>
      </w:r>
      <w:r>
        <w:rPr>
          <w:rFonts w:ascii="Times New Roman;serif" w:hAnsi="Times New Roman;serif"/>
          <w:b w:val="false"/>
          <w:i/>
          <w:sz w:val="24"/>
        </w:rPr>
        <w:t>this Subscription Agreement</w:t>
      </w:r>
      <w:r>
        <w:rPr>
          <w:rFonts w:ascii="Times New Roman;serif" w:hAnsi="Times New Roman;serif"/>
          <w:b w:val="false"/>
          <w:sz w:val="24"/>
        </w:rPr>
        <w:t>,” “</w:t>
      </w:r>
      <w:r>
        <w:rPr>
          <w:rFonts w:ascii="Times New Roman;serif" w:hAnsi="Times New Roman;serif"/>
          <w:b w:val="false"/>
          <w:i/>
          <w:sz w:val="24"/>
        </w:rPr>
        <w:t>herein</w:t>
      </w:r>
      <w:r>
        <w:rPr>
          <w:rFonts w:ascii="Times New Roman;serif" w:hAnsi="Times New Roman;serif"/>
          <w:b w:val="false"/>
          <w:sz w:val="24"/>
        </w:rPr>
        <w:t>,” “</w:t>
      </w:r>
      <w:r>
        <w:rPr>
          <w:rFonts w:ascii="Times New Roman;serif" w:hAnsi="Times New Roman;serif"/>
          <w:b w:val="false"/>
          <w:i/>
          <w:sz w:val="24"/>
        </w:rPr>
        <w:t>hereof</w:t>
      </w:r>
      <w:r>
        <w:rPr>
          <w:rFonts w:ascii="Times New Roman;serif" w:hAnsi="Times New Roman;serif"/>
          <w:b w:val="false"/>
          <w:sz w:val="24"/>
        </w:rPr>
        <w:t>,” “</w:t>
      </w:r>
      <w:r>
        <w:rPr>
          <w:rFonts w:ascii="Times New Roman;serif" w:hAnsi="Times New Roman;serif"/>
          <w:b w:val="false"/>
          <w:i/>
          <w:sz w:val="24"/>
        </w:rPr>
        <w:t>hereby</w:t>
      </w:r>
      <w:r>
        <w:rPr>
          <w:rFonts w:ascii="Times New Roman;serif" w:hAnsi="Times New Roman;serif"/>
          <w:b w:val="false"/>
          <w:sz w:val="24"/>
        </w:rPr>
        <w:t>,” “</w:t>
      </w:r>
      <w:r>
        <w:rPr>
          <w:rFonts w:ascii="Times New Roman;serif" w:hAnsi="Times New Roman;serif"/>
          <w:b w:val="false"/>
          <w:i/>
          <w:sz w:val="24"/>
        </w:rPr>
        <w:t>hereunder</w:t>
      </w:r>
      <w:r>
        <w:rPr>
          <w:rFonts w:ascii="Times New Roman;serif" w:hAnsi="Times New Roman;serif"/>
          <w:b w:val="false"/>
          <w:sz w:val="24"/>
        </w:rPr>
        <w:t>,” and words of similar import refer to this Subscription Agreement as a whole and not to any particular subdivision unless expressly so limited. The parties hereto intend that each representation, warranty, and covenant contained herein will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 specificity) which such party hereto has not breached will not detract from or mitigate the fact that such party hereto is in breach of the first representation, warranty, or covenant. All references in this Subscription Agreement to numbers of shares, per share amounts and purchase prices shall be appropriately adjusted to reflect any stock split, stock dividend, stock combination, recapitalization or the like occurring after the date hereof.</w:t>
      </w:r>
    </w:p>
    <w:p>
      <w:pPr>
        <w:pStyle w:val="TextBody"/>
        <w:bidi w:val="0"/>
        <w:spacing w:before="0" w:after="240"/>
        <w:jc w:val="left"/>
        <w:rPr>
          <w:rFonts w:ascii="Times New Roman" w:hAnsi="Times New Roman"/>
          <w:b w:val="false"/>
          <w:sz w:val="24"/>
        </w:rPr>
      </w:pPr>
      <w:r>
        <w:rPr>
          <w:rFonts w:ascii="Times New Roman" w:hAnsi="Times New Roman"/>
          <w:b w:val="false"/>
          <w:sz w:val="24"/>
        </w:rPr>
        <w:t>5.17.</w:t>
      </w:r>
    </w:p>
    <w:p>
      <w:pPr>
        <w:pStyle w:val="TextBody"/>
        <w:bidi w:val="0"/>
        <w:spacing w:before="0" w:after="240"/>
        <w:jc w:val="left"/>
        <w:rPr/>
      </w:pPr>
      <w:r>
        <w:rPr>
          <w:rFonts w:ascii="Times New Roman;serif" w:hAnsi="Times New Roman;serif"/>
          <w:b w:val="false"/>
          <w:sz w:val="24"/>
          <w:u w:val="single"/>
        </w:rPr>
        <w:t>Mutual Drafting</w:t>
      </w:r>
      <w:r>
        <w:rPr>
          <w:rFonts w:ascii="Times New Roman;serif" w:hAnsi="Times New Roman;serif"/>
          <w:b w:val="false"/>
          <w:sz w:val="24"/>
        </w:rPr>
        <w:t>. This Subscription Agreement is the joint product of the parties hereto and each provision hereof has been subject to the mutual consultation, negotiation and agreement of the parties and shall not be construed for or against any party hereto.</w:t>
      </w:r>
    </w:p>
    <w:p>
      <w:pPr>
        <w:pStyle w:val="TextBody"/>
        <w:bidi w:val="0"/>
        <w:spacing w:before="0" w:after="240"/>
        <w:jc w:val="left"/>
        <w:rPr>
          <w:rFonts w:ascii="Times New Roman" w:hAnsi="Times New Roman"/>
          <w:b w:val="false"/>
          <w:sz w:val="24"/>
        </w:rPr>
      </w:pPr>
      <w:r>
        <w:rPr>
          <w:rFonts w:ascii="Times New Roman" w:hAnsi="Times New Roman"/>
          <w:b w:val="false"/>
          <w:sz w:val="24"/>
        </w:rPr>
        <w:t>6.</w:t>
      </w:r>
    </w:p>
    <w:p>
      <w:pPr>
        <w:pStyle w:val="TextBody"/>
        <w:bidi w:val="0"/>
        <w:spacing w:before="0" w:after="240"/>
        <w:jc w:val="left"/>
        <w:rPr/>
      </w:pPr>
      <w:r>
        <w:rPr>
          <w:rFonts w:ascii="Times New Roman;serif" w:hAnsi="Times New Roman;serif"/>
          <w:b w:val="false"/>
          <w:sz w:val="24"/>
          <w:u w:val="single"/>
        </w:rPr>
        <w:t>Non-Reliance</w:t>
      </w:r>
      <w:r>
        <w:rPr>
          <w:rFonts w:ascii="Times New Roman;serif" w:hAnsi="Times New Roman;serif"/>
          <w:b w:val="false"/>
          <w:sz w:val="24"/>
        </w:rPr>
        <w:t>. Subscriber acknowledges that it is not relying upon, and has not relied upon, any statement, representation or warranty made by any person, firm or corporation, other than the representations and warranties of the Issuer expressly set forth in this Subscription Agreement, in making its investment or decision to invest in the Issuer. Subscriber agrees that no Other Subscriber pursuant to this Subscription Agreement or any other agreement related to the private placement of shares of the Issuer’s capital stock (including the controlling persons, officers, directors, partners, agents or employees of any such Subscriber) shall be liable to any Other Subscriber pursuant to this Subscription Agreement or any other agreement related to the private placement of shares of the Issuer’s capital stock for any action heretofore or hereafter taken or omitted to be taken by any of them in connection with the purchase of the Subscribed Shares hereunder.</w:t>
      </w:r>
    </w:p>
    <w:p>
      <w:pPr>
        <w:pStyle w:val="TextBody"/>
        <w:bidi w:val="0"/>
        <w:spacing w:before="0" w:after="240"/>
        <w:jc w:val="left"/>
        <w:rPr>
          <w:rFonts w:ascii="Times New Roman" w:hAnsi="Times New Roman"/>
          <w:b w:val="false"/>
          <w:sz w:val="24"/>
        </w:rPr>
      </w:pPr>
      <w:r>
        <w:rPr>
          <w:rFonts w:ascii="Times New Roman" w:hAnsi="Times New Roman"/>
          <w:b w:val="false"/>
          <w:sz w:val="24"/>
        </w:rPr>
        <w:t>7.</w:t>
      </w:r>
    </w:p>
    <w:p>
      <w:pPr>
        <w:pStyle w:val="TextBody"/>
        <w:bidi w:val="0"/>
        <w:spacing w:before="0" w:after="240"/>
        <w:jc w:val="left"/>
        <w:rPr/>
      </w:pPr>
      <w:r>
        <w:rPr>
          <w:rFonts w:ascii="Times New Roman;serif" w:hAnsi="Times New Roman;serif"/>
          <w:b w:val="false"/>
          <w:sz w:val="24"/>
          <w:u w:val="single"/>
        </w:rPr>
        <w:t>Rule 144</w:t>
      </w:r>
      <w:r>
        <w:rPr>
          <w:rFonts w:ascii="Times New Roman;serif" w:hAnsi="Times New Roman;serif"/>
          <w:b w:val="false"/>
          <w:sz w:val="24"/>
        </w:rPr>
        <w:t xml:space="preserve">. From and after such time as the benefits of Rule 144 promulgated under the Securities Act or any other similar rule or regulation of the Commission that may allow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Subscriber to sell securities of the Issuer to the public without registration are available to holders of the Issuer’s shares of common stock and for so long as Subscriber holds the Subscribed Shares, the Issuer agrees to:</w:t>
      </w:r>
    </w:p>
    <w:p>
      <w:pPr>
        <w:pStyle w:val="TextBody"/>
        <w:bidi w:val="0"/>
        <w:spacing w:before="0" w:after="240"/>
        <w:jc w:val="left"/>
        <w:rPr>
          <w:rFonts w:ascii="Times New Roman" w:hAnsi="Times New Roman"/>
          <w:b w:val="false"/>
          <w:sz w:val="24"/>
        </w:rPr>
      </w:pPr>
      <w:r>
        <w:rPr>
          <w:rFonts w:ascii="Times New Roman" w:hAnsi="Times New Roman"/>
          <w:b w:val="false"/>
          <w:sz w:val="24"/>
        </w:rPr>
        <w:t>7.1.</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make and keep public information available, as those terms are understood and defined in Rule 144; and</w:t>
      </w:r>
    </w:p>
    <w:p>
      <w:pPr>
        <w:pStyle w:val="TextBody"/>
        <w:bidi w:val="0"/>
        <w:spacing w:before="0" w:after="240"/>
        <w:jc w:val="left"/>
        <w:rPr>
          <w:rFonts w:ascii="Times New Roman" w:hAnsi="Times New Roman"/>
          <w:b w:val="false"/>
          <w:sz w:val="24"/>
        </w:rPr>
      </w:pPr>
      <w:r>
        <w:rPr>
          <w:rFonts w:ascii="Times New Roman" w:hAnsi="Times New Roman"/>
          <w:b w:val="false"/>
          <w:sz w:val="24"/>
        </w:rPr>
        <w:t>7.2.</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file with the Commission in a timely manner all reports and other documents required of the Issuer under the Securities Act and the Exchange Act so long as the Issuer remains subject to such requirements and the filing of such reports and other documents is required for the applicable provisions of Rule 144.</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If the Subscribed Shares are eligible to be sold without restriction under, and without the Issuer being in compliance with the current public information requirements of, Rule 144 under the Securities Act, then at Subscriber’s request and upon delivery of an opinion of counsel by Subscriber, in form reasonably satisfactory to the transfer agent of the Issuer, the Issuer will cause its transfer agent to remove the applicable restrictive legend.</w:t>
      </w:r>
    </w:p>
    <w:p>
      <w:pPr>
        <w:pStyle w:val="TextBody"/>
        <w:bidi w:val="0"/>
        <w:spacing w:before="0" w:after="240"/>
        <w:jc w:val="left"/>
        <w:rPr>
          <w:rFonts w:ascii="Times New Roman" w:hAnsi="Times New Roman"/>
          <w:b w:val="false"/>
          <w:sz w:val="24"/>
        </w:rPr>
      </w:pPr>
      <w:r>
        <w:rPr>
          <w:rFonts w:ascii="Times New Roman" w:hAnsi="Times New Roman"/>
          <w:b w:val="false"/>
          <w:sz w:val="24"/>
        </w:rPr>
        <w:t>8.</w:t>
      </w:r>
    </w:p>
    <w:p>
      <w:pPr>
        <w:pStyle w:val="TextBody"/>
        <w:bidi w:val="0"/>
        <w:spacing w:before="0" w:after="240"/>
        <w:jc w:val="left"/>
        <w:rPr/>
      </w:pPr>
      <w:r>
        <w:rPr>
          <w:rFonts w:ascii="Times New Roman;serif" w:hAnsi="Times New Roman;serif"/>
          <w:b w:val="false"/>
          <w:sz w:val="24"/>
          <w:u w:val="single"/>
        </w:rPr>
        <w:t>Massachusetts Business Trust</w:t>
      </w:r>
      <w:r>
        <w:rPr>
          <w:rFonts w:ascii="Times New Roman;serif" w:hAnsi="Times New Roman;serif"/>
          <w:b w:val="false"/>
          <w:sz w:val="24"/>
        </w:rPr>
        <w:t xml:space="preserve">. If Subscriber is a Massachusetts Business Trust, a copy of the Agreement and Declaration of Trust of Subscriber or any affiliate thereof is on file with the Secretary of State of the Commonwealth of Massachusetts and notice is hereby given that the Subscription Agreement is executed on behalf of the trustees of Subscriber or any affiliate thereof as trustees and not individually and that the obligations of the Subscription Agreement are not binding on any of the trustees, officers or stockholders of Subscriber or any affiliate thereof individually but are </w:t>
      </w:r>
      <w:r>
        <w:rPr>
          <w:rFonts w:ascii="Times New Roman;serif" w:hAnsi="Times New Roman;serif"/>
          <w:b w:val="false"/>
          <w:sz w:val="24"/>
          <w:u w:val="single"/>
        </w:rPr>
        <w:t>binding</w:t>
      </w:r>
      <w:r>
        <w:rPr/>
        <w:t xml:space="preserve"> </w:t>
      </w:r>
      <w:r>
        <w:rPr>
          <w:rFonts w:ascii="Times New Roman;serif" w:hAnsi="Times New Roman;serif"/>
          <w:b w:val="false"/>
          <w:sz w:val="24"/>
        </w:rPr>
        <w:t>only upon Subscriber or any affiliate thereof and its assets and property.</w:t>
      </w:r>
    </w:p>
    <w:p>
      <w:pPr>
        <w:pStyle w:val="TextBody"/>
        <w:bidi w:val="0"/>
        <w:spacing w:before="0" w:after="240"/>
        <w:jc w:val="left"/>
        <w:rPr/>
      </w:pPr>
      <w:r>
        <w:rPr/>
        <w:t> </w:t>
      </w:r>
    </w:p>
    <w:p>
      <w:pPr>
        <w:pStyle w:val="TextBody"/>
        <w:bidi w:val="0"/>
        <w:spacing w:before="0" w:after="240"/>
        <w:jc w:val="center"/>
        <w:rPr>
          <w:rFonts w:ascii="Times New Roman" w:hAnsi="Times New Roman"/>
          <w:sz w:val="20"/>
        </w:rPr>
      </w:pPr>
      <w:r>
        <w:rPr>
          <w:rFonts w:ascii="Times New Roman;serif" w:hAnsi="Times New Roman;serif"/>
          <w:b w:val="false"/>
          <w:sz w:val="24"/>
        </w:rPr>
        <w:t>[</w:t>
      </w:r>
      <w:r>
        <w:rPr>
          <w:rFonts w:ascii="Times New Roman;serif" w:hAnsi="Times New Roman;serif"/>
          <w:b w:val="false"/>
          <w:i/>
          <w:sz w:val="24"/>
        </w:rPr>
        <w:t>Signature Page Follows</w:t>
      </w:r>
      <w:r>
        <w:rPr>
          <w:rFonts w:ascii="Times New Roman;serif" w:hAnsi="Times New Roman;serif"/>
          <w:b w:val="false"/>
          <w:sz w:val="24"/>
        </w:rPr>
        <w:t>]</w:t>
      </w:r>
    </w:p>
    <w:p>
      <w:pPr>
        <w:pStyle w:val="TextBody"/>
        <w:bidi w:val="0"/>
        <w:spacing w:before="0" w:after="240"/>
        <w:jc w:val="left"/>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 w:hAnsi="Times New Roman"/>
          <w:sz w:val="20"/>
        </w:rPr>
      </w:pPr>
      <w:r>
        <w:rPr>
          <w:rFonts w:ascii="Times New Roman;serif" w:hAnsi="Times New Roman;serif"/>
          <w:b/>
          <w:sz w:val="24"/>
        </w:rPr>
        <w:t>IN WITNESS WHEREOF</w:t>
      </w:r>
      <w:r>
        <w:rPr>
          <w:rFonts w:ascii="Times New Roman;serif" w:hAnsi="Times New Roman;serif"/>
          <w:b w:val="false"/>
          <w:sz w:val="24"/>
        </w:rPr>
        <w:t>, each of the Issuer and Subscriber has executed or caused this Subscription Agreement to be executed by its duly authorized representative as of the date set forth below.</w:t>
      </w:r>
    </w:p>
    <w:p>
      <w:pPr>
        <w:pStyle w:val="TextBody"/>
        <w:bidi w:val="0"/>
        <w:spacing w:before="0" w:after="240"/>
        <w:jc w:val="left"/>
        <w:rPr/>
      </w:pPr>
      <w:r>
        <w:rPr/>
        <w:t> </w:t>
      </w:r>
    </w:p>
    <w:tbl>
      <w:tblPr>
        <w:tblW w:w="1980" w:type="dxa"/>
        <w:jc w:val="left"/>
        <w:tblInd w:w="0" w:type="dxa"/>
        <w:tblLayout w:type="fixed"/>
        <w:tblCellMar>
          <w:top w:w="28" w:type="dxa"/>
          <w:left w:w="28" w:type="dxa"/>
          <w:bottom w:w="28" w:type="dxa"/>
          <w:right w:w="28" w:type="dxa"/>
        </w:tblCellMar>
      </w:tblPr>
      <w:tblGrid>
        <w:gridCol w:w="1346"/>
        <w:gridCol w:w="634"/>
      </w:tblGrid>
      <w:tr>
        <w:trPr/>
        <w:tc>
          <w:tcPr>
            <w:tcW w:w="134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1980" w:type="dxa"/>
            <w:gridSpan w:val="2"/>
            <w:tcBorders/>
            <w:tcMar>
              <w:top w:w="0" w:type="dxa"/>
              <w:left w:w="0" w:type="dxa"/>
              <w:bottom w:w="0" w:type="dxa"/>
              <w:right w:w="0" w:type="dxa"/>
            </w:tcMar>
            <w:vAlign w:val="center"/>
          </w:tcPr>
          <w:p>
            <w:pPr>
              <w:pStyle w:val="TableContents"/>
              <w:bidi w:val="0"/>
              <w:spacing w:before="0" w:after="480"/>
              <w:ind w:left="0" w:right="0" w:hanging="0"/>
              <w:jc w:val="left"/>
              <w:rPr>
                <w:rFonts w:ascii="Times New Roman;serif" w:hAnsi="Times New Roman;serif"/>
                <w:b/>
                <w:sz w:val="24"/>
              </w:rPr>
            </w:pPr>
            <w:r>
              <w:rPr>
                <w:rFonts w:ascii="Times New Roman;serif" w:hAnsi="Times New Roman;serif"/>
                <w:b/>
                <w:sz w:val="24"/>
              </w:rPr>
              <w:t>BIODESIX, INC.</w:t>
            </w:r>
          </w:p>
        </w:tc>
      </w:tr>
      <w:tr>
        <w:trPr/>
        <w:tc>
          <w:tcPr>
            <w:tcW w:w="13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By:</w:t>
            </w:r>
          </w:p>
        </w:tc>
        <w:tc>
          <w:tcPr>
            <w:tcW w:w="6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980"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Name:</w:t>
            </w:r>
          </w:p>
        </w:tc>
      </w:tr>
      <w:tr>
        <w:trPr/>
        <w:tc>
          <w:tcPr>
            <w:tcW w:w="1980"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Title:</w:t>
            </w:r>
          </w:p>
        </w:tc>
      </w:tr>
    </w:tbl>
    <w:p>
      <w:pPr>
        <w:pStyle w:val="TextBody"/>
        <w:bidi w:val="0"/>
        <w:spacing w:before="0" w:after="24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Accepted and agreed this 3rd day of August, 2023.</w:t>
      </w:r>
    </w:p>
    <w:p>
      <w:pPr>
        <w:pStyle w:val="TextBody"/>
        <w:bidi w:val="0"/>
        <w:spacing w:before="0" w:after="240"/>
        <w:jc w:val="left"/>
        <w:rPr>
          <w:rFonts w:ascii="Times New Roman;serif" w:hAnsi="Times New Roman;serif"/>
          <w:b/>
          <w:sz w:val="24"/>
        </w:rPr>
      </w:pPr>
      <w:r>
        <w:rPr>
          <w:rFonts w:ascii="Times New Roman;serif" w:hAnsi="Times New Roman;serif"/>
          <w:b/>
          <w:sz w:val="24"/>
        </w:rPr>
        <w:t>SUBSCRIBER:</w:t>
      </w:r>
    </w:p>
    <w:tbl>
      <w:tblPr>
        <w:tblW w:w="6761" w:type="dxa"/>
        <w:jc w:val="left"/>
        <w:tblInd w:w="0" w:type="dxa"/>
        <w:tblLayout w:type="fixed"/>
        <w:tblCellMar>
          <w:top w:w="28" w:type="dxa"/>
          <w:left w:w="28" w:type="dxa"/>
          <w:bottom w:w="28" w:type="dxa"/>
          <w:right w:w="28" w:type="dxa"/>
        </w:tblCellMar>
      </w:tblPr>
      <w:tblGrid>
        <w:gridCol w:w="1765"/>
        <w:gridCol w:w="635"/>
        <w:gridCol w:w="146"/>
        <w:gridCol w:w="2829"/>
        <w:gridCol w:w="1386"/>
      </w:tblGrid>
      <w:tr>
        <w:trPr/>
        <w:tc>
          <w:tcPr>
            <w:tcW w:w="176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r>
      <w:tr>
        <w:trPr/>
        <w:tc>
          <w:tcPr>
            <w:tcW w:w="2400" w:type="dxa"/>
            <w:gridSpan w:val="2"/>
            <w:tcBorders/>
            <w:tcMar>
              <w:top w:w="0" w:type="dxa"/>
              <w:left w:w="0" w:type="dxa"/>
              <w:bottom w:w="0" w:type="dxa"/>
              <w:right w:w="0" w:type="dxa"/>
            </w:tcMar>
            <w:vAlign w:val="center"/>
          </w:tcPr>
          <w:p>
            <w:pPr>
              <w:pStyle w:val="TableContents"/>
              <w:bidi w:val="0"/>
              <w:spacing w:before="0" w:after="240"/>
              <w:ind w:left="0" w:right="0" w:hanging="0"/>
              <w:jc w:val="left"/>
              <w:rPr>
                <w:rFonts w:ascii="Times New Roman;serif" w:hAnsi="Times New Roman;serif"/>
                <w:b w:val="false"/>
                <w:sz w:val="24"/>
              </w:rPr>
            </w:pPr>
            <w:r>
              <w:rPr>
                <w:rFonts w:ascii="Times New Roman;serif" w:hAnsi="Times New Roman;serif"/>
                <w:b w:val="false"/>
                <w:sz w:val="24"/>
              </w:rPr>
              <w:t>Signature of Subscriber:</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215" w:type="dxa"/>
            <w:gridSpan w:val="2"/>
            <w:tcBorders/>
            <w:tcMar>
              <w:top w:w="0" w:type="dxa"/>
              <w:left w:w="0" w:type="dxa"/>
              <w:bottom w:w="0" w:type="dxa"/>
              <w:right w:w="0" w:type="dxa"/>
            </w:tcMar>
            <w:vAlign w:val="center"/>
          </w:tcPr>
          <w:p>
            <w:pPr>
              <w:pStyle w:val="TableContents"/>
              <w:bidi w:val="0"/>
              <w:spacing w:before="0" w:after="240"/>
              <w:ind w:left="0" w:right="0" w:hanging="0"/>
              <w:jc w:val="left"/>
              <w:rPr>
                <w:rFonts w:ascii="Times New Roman;serif" w:hAnsi="Times New Roman;serif"/>
                <w:b w:val="false"/>
                <w:sz w:val="24"/>
              </w:rPr>
            </w:pPr>
            <w:r>
              <w:rPr>
                <w:rFonts w:ascii="Times New Roman;serif" w:hAnsi="Times New Roman;serif"/>
                <w:b w:val="false"/>
                <w:sz w:val="24"/>
              </w:rPr>
              <w:t>Signature of Joint Subscriber, if applicable:</w:t>
            </w:r>
          </w:p>
        </w:tc>
      </w:tr>
      <w:tr>
        <w:trPr/>
        <w:tc>
          <w:tcPr>
            <w:tcW w:w="176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By:</w:t>
            </w:r>
          </w:p>
        </w:tc>
        <w:tc>
          <w:tcPr>
            <w:tcW w:w="6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2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By:</w:t>
            </w:r>
          </w:p>
        </w:tc>
        <w:tc>
          <w:tcPr>
            <w:tcW w:w="13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00"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Name: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215"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Name:</w:t>
            </w:r>
          </w:p>
        </w:tc>
      </w:tr>
      <w:tr>
        <w:trPr/>
        <w:tc>
          <w:tcPr>
            <w:tcW w:w="2400"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Title: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215"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Title:</w:t>
            </w:r>
          </w:p>
        </w:tc>
      </w:tr>
    </w:tbl>
    <w:p>
      <w:pPr>
        <w:pStyle w:val="TextBody"/>
        <w:bidi w:val="0"/>
        <w:spacing w:before="0" w:after="24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Date: August [], 2023</w:t>
      </w:r>
    </w:p>
    <w:tbl>
      <w:tblPr>
        <w:tblW w:w="7813" w:type="dxa"/>
        <w:jc w:val="left"/>
        <w:tblInd w:w="0" w:type="dxa"/>
        <w:tblLayout w:type="fixed"/>
        <w:tblCellMar>
          <w:top w:w="28" w:type="dxa"/>
          <w:left w:w="28" w:type="dxa"/>
          <w:bottom w:w="28" w:type="dxa"/>
          <w:right w:w="28" w:type="dxa"/>
        </w:tblCellMar>
      </w:tblPr>
      <w:tblGrid>
        <w:gridCol w:w="3781"/>
        <w:gridCol w:w="146"/>
        <w:gridCol w:w="3886"/>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3781" w:type="dxa"/>
            <w:tcBorders/>
            <w:tcMar>
              <w:top w:w="0" w:type="dxa"/>
              <w:left w:w="0" w:type="dxa"/>
              <w:bottom w:w="0" w:type="dxa"/>
              <w:right w:w="0" w:type="dxa"/>
            </w:tcMar>
            <w:vAlign w:val="center"/>
          </w:tcPr>
          <w:p>
            <w:pPr>
              <w:pStyle w:val="TableContents"/>
              <w:bidi w:val="0"/>
              <w:spacing w:before="0" w:after="240"/>
              <w:ind w:left="0" w:right="0" w:hanging="0"/>
              <w:jc w:val="left"/>
              <w:rPr>
                <w:rFonts w:ascii="Times New Roman;serif" w:hAnsi="Times New Roman;serif"/>
                <w:b w:val="false"/>
                <w:sz w:val="24"/>
              </w:rPr>
            </w:pPr>
            <w:r>
              <w:rPr>
                <w:rFonts w:ascii="Times New Roman;serif" w:hAnsi="Times New Roman;serif"/>
                <w:b w:val="false"/>
                <w:sz w:val="24"/>
              </w:rPr>
              <w:t>Name of Subscriber:</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886" w:type="dxa"/>
            <w:tcBorders/>
            <w:tcMar>
              <w:top w:w="0" w:type="dxa"/>
              <w:left w:w="0" w:type="dxa"/>
              <w:bottom w:w="0" w:type="dxa"/>
              <w:right w:w="0" w:type="dxa"/>
            </w:tcMar>
            <w:vAlign w:val="center"/>
          </w:tcPr>
          <w:p>
            <w:pPr>
              <w:pStyle w:val="TableContents"/>
              <w:bidi w:val="0"/>
              <w:spacing w:before="0" w:after="240"/>
              <w:ind w:left="0" w:right="0" w:hanging="0"/>
              <w:jc w:val="left"/>
              <w:rPr>
                <w:rFonts w:ascii="Times New Roman;serif" w:hAnsi="Times New Roman;serif"/>
                <w:b w:val="false"/>
                <w:sz w:val="24"/>
              </w:rPr>
            </w:pPr>
            <w:r>
              <w:rPr>
                <w:rFonts w:ascii="Times New Roman;serif" w:hAnsi="Times New Roman;serif"/>
                <w:b w:val="false"/>
                <w:sz w:val="24"/>
              </w:rPr>
              <w:t>Name of Joint Subscriber, if applicable:</w:t>
            </w:r>
          </w:p>
        </w:tc>
      </w:tr>
      <w:tr>
        <w:trPr/>
        <w:tc>
          <w:tcPr>
            <w:tcW w:w="3781" w:type="dxa"/>
            <w:tcBorders>
              <w:bottom w:val="single" w:sz="4" w:space="0" w:color="000000"/>
            </w:tcBorders>
            <w:tcMar>
              <w:top w:w="0" w:type="dxa"/>
              <w:left w:w="0" w:type="dxa"/>
              <w:right w:w="0" w:type="dxa"/>
            </w:tcMar>
            <w:vAlign w:val="center"/>
          </w:tcPr>
          <w:p>
            <w:pPr>
              <w:pStyle w:val="TableContents"/>
              <w:pBdr>
                <w:bottom w:val="single" w:sz="4" w:space="1" w:color="000000"/>
              </w:pBdr>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(Please print. Please indicate name and</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(Please print. Please indicate name and</w:t>
            </w:r>
          </w:p>
        </w:tc>
      </w:tr>
      <w:tr>
        <w:trPr/>
        <w:tc>
          <w:tcPr>
            <w:tcW w:w="37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Capacity of person signing above)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Capacity of person signing above)</w:t>
            </w:r>
          </w:p>
        </w:tc>
      </w:tr>
    </w:tbl>
    <w:p>
      <w:pPr>
        <w:pStyle w:val="TextBody"/>
        <w:bidi w:val="0"/>
        <w:spacing w:before="0" w:after="240"/>
        <w:jc w:val="left"/>
        <w:rPr/>
      </w:pPr>
      <w:r>
        <w:rPr/>
        <w:t> </w:t>
      </w:r>
    </w:p>
    <w:tbl>
      <w:tblPr>
        <w:tblW w:w="6353" w:type="dxa"/>
        <w:jc w:val="left"/>
        <w:tblInd w:w="0" w:type="dxa"/>
        <w:tblLayout w:type="fixed"/>
        <w:tblCellMar>
          <w:top w:w="28" w:type="dxa"/>
          <w:left w:w="28" w:type="dxa"/>
          <w:bottom w:w="28" w:type="dxa"/>
          <w:right w:w="28" w:type="dxa"/>
        </w:tblCellMar>
      </w:tblPr>
      <w:tblGrid>
        <w:gridCol w:w="6016"/>
        <w:gridCol w:w="146"/>
        <w:gridCol w:w="191"/>
      </w:tblGrid>
      <w:tr>
        <w:trPr/>
        <w:tc>
          <w:tcPr>
            <w:tcW w:w="6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0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1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Name in which securities are to be registered</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601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(if different from the name of Subscriber listed directly above):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9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24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Email Address:</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 xml:space="preserve">If there are joint investors, please check one: </w:t>
      </w:r>
    </w:p>
    <w:p>
      <w:pPr>
        <w:pStyle w:val="TextBody"/>
        <w:bidi w:val="0"/>
        <w:spacing w:before="0" w:after="240"/>
        <w:jc w:val="left"/>
        <w:rPr/>
      </w:pPr>
      <w:r>
        <w:rPr/>
        <w:t xml:space="preserve">☐ </w:t>
      </w:r>
      <w:r>
        <w:rPr>
          <w:rFonts w:ascii="Times New Roman;serif" w:hAnsi="Times New Roman;serif"/>
          <w:b w:val="false"/>
          <w:sz w:val="24"/>
        </w:rPr>
        <w:t xml:space="preserve">Joint Tenants with Rights of Survivorship </w:t>
      </w:r>
    </w:p>
    <w:p>
      <w:pPr>
        <w:pStyle w:val="TextBody"/>
        <w:bidi w:val="0"/>
        <w:spacing w:before="0" w:after="240"/>
        <w:jc w:val="left"/>
        <w:rPr/>
      </w:pPr>
      <w:r>
        <w:rPr/>
        <w:t xml:space="preserve">☐ </w:t>
      </w:r>
      <w:r>
        <w:rPr>
          <w:rFonts w:ascii="Times New Roman;serif" w:hAnsi="Times New Roman;serif"/>
          <w:b w:val="false"/>
          <w:sz w:val="24"/>
        </w:rPr>
        <w:t>Tenants-in-Common</w:t>
      </w:r>
    </w:p>
    <w:p>
      <w:pPr>
        <w:pStyle w:val="TextBody"/>
        <w:bidi w:val="0"/>
        <w:spacing w:before="0" w:after="240"/>
        <w:jc w:val="left"/>
        <w:rPr/>
      </w:pPr>
      <w:r>
        <w:rPr/>
        <w:t xml:space="preserve">☐ </w:t>
      </w:r>
      <w:r>
        <w:rPr>
          <w:rFonts w:ascii="Times New Roman;serif" w:hAnsi="Times New Roman;serif"/>
          <w:b w:val="false"/>
          <w:sz w:val="24"/>
        </w:rPr>
        <w:t>Community Property</w:t>
      </w:r>
    </w:p>
    <w:tbl>
      <w:tblPr>
        <w:tblW w:w="4610" w:type="dxa"/>
        <w:jc w:val="left"/>
        <w:tblInd w:w="0" w:type="dxa"/>
        <w:tblLayout w:type="fixed"/>
        <w:tblCellMar>
          <w:top w:w="28" w:type="dxa"/>
          <w:left w:w="28" w:type="dxa"/>
          <w:bottom w:w="28" w:type="dxa"/>
          <w:right w:w="28" w:type="dxa"/>
        </w:tblCellMar>
      </w:tblPr>
      <w:tblGrid>
        <w:gridCol w:w="1816"/>
        <w:gridCol w:w="146"/>
        <w:gridCol w:w="146"/>
        <w:gridCol w:w="2311"/>
        <w:gridCol w:w="191"/>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1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Subscriber’s EIN: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Joint Subscriber’s EIN:</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120"/>
        <w:jc w:val="left"/>
        <w:rPr/>
      </w:pPr>
      <w:r>
        <w:rPr/>
        <w:t> </w:t>
      </w:r>
    </w:p>
    <w:tbl>
      <w:tblPr>
        <w:tblW w:w="6223" w:type="dxa"/>
        <w:jc w:val="left"/>
        <w:tblInd w:w="0" w:type="dxa"/>
        <w:tblLayout w:type="fixed"/>
        <w:tblCellMar>
          <w:top w:w="28" w:type="dxa"/>
          <w:left w:w="28" w:type="dxa"/>
          <w:bottom w:w="28" w:type="dxa"/>
          <w:right w:w="28" w:type="dxa"/>
        </w:tblCellMar>
      </w:tblPr>
      <w:tblGrid>
        <w:gridCol w:w="2476"/>
        <w:gridCol w:w="146"/>
        <w:gridCol w:w="360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1" w:type="dxa"/>
            <w:tcBorders/>
            <w:vAlign w:val="center"/>
          </w:tcPr>
          <w:p>
            <w:pPr>
              <w:pStyle w:val="TableContents"/>
              <w:bidi w:val="0"/>
              <w:spacing w:before="0" w:after="283"/>
              <w:jc w:val="left"/>
              <w:rPr>
                <w:sz w:val="4"/>
                <w:szCs w:val="4"/>
              </w:rPr>
            </w:pPr>
            <w:r>
              <w:rPr>
                <w:sz w:val="4"/>
                <w:szCs w:val="4"/>
              </w:rPr>
            </w:r>
          </w:p>
        </w:tc>
      </w:tr>
      <w:tr>
        <w:trPr/>
        <w:tc>
          <w:tcPr>
            <w:tcW w:w="24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Business Address-Street: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Mailing Address-Street (if different):</w:t>
            </w:r>
          </w:p>
        </w:tc>
      </w:tr>
      <w:tr>
        <w:trPr/>
        <w:tc>
          <w:tcPr>
            <w:tcW w:w="24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240"/>
        <w:jc w:val="left"/>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9208" w:type="dxa"/>
        <w:jc w:val="left"/>
        <w:tblInd w:w="0" w:type="dxa"/>
        <w:tblLayout w:type="fixed"/>
        <w:tblCellMar>
          <w:top w:w="28" w:type="dxa"/>
          <w:left w:w="28" w:type="dxa"/>
          <w:bottom w:w="28" w:type="dxa"/>
          <w:right w:w="28" w:type="dxa"/>
        </w:tblCellMar>
      </w:tblPr>
      <w:tblGrid>
        <w:gridCol w:w="4681"/>
        <w:gridCol w:w="296"/>
        <w:gridCol w:w="4231"/>
      </w:tblGrid>
      <w:tr>
        <w:trPr/>
        <w:tc>
          <w:tcPr>
            <w:tcW w:w="468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231" w:type="dxa"/>
            <w:tcBorders/>
            <w:vAlign w:val="center"/>
          </w:tcPr>
          <w:p>
            <w:pPr>
              <w:pStyle w:val="TableContents"/>
              <w:bidi w:val="0"/>
              <w:spacing w:before="0" w:after="283"/>
              <w:jc w:val="left"/>
              <w:rPr>
                <w:sz w:val="4"/>
                <w:szCs w:val="4"/>
              </w:rPr>
            </w:pPr>
            <w:r>
              <w:rPr>
                <w:sz w:val="4"/>
                <w:szCs w:val="4"/>
              </w:rPr>
            </w:r>
          </w:p>
        </w:tc>
      </w:tr>
      <w:tr>
        <w:trPr/>
        <w:tc>
          <w:tcPr>
            <w:tcW w:w="4681" w:type="dxa"/>
            <w:tcBorders/>
            <w:tcMar>
              <w:top w:w="0" w:type="dxa"/>
              <w:left w:w="0" w:type="dxa"/>
              <w:bottom w:w="0" w:type="dxa"/>
              <w:right w:w="0" w:type="dxa"/>
            </w:tcMar>
            <w:vAlign w:val="center"/>
          </w:tcPr>
          <w:p>
            <w:pPr>
              <w:pStyle w:val="TableContents"/>
              <w:bidi w:val="0"/>
              <w:spacing w:before="0" w:after="240"/>
              <w:ind w:left="0" w:right="0" w:hanging="0"/>
              <w:jc w:val="left"/>
              <w:rPr>
                <w:rFonts w:ascii="Times New Roman;serif" w:hAnsi="Times New Roman;serif"/>
                <w:b w:val="false"/>
                <w:sz w:val="24"/>
              </w:rPr>
            </w:pPr>
            <w:r>
              <w:rPr>
                <w:rFonts w:ascii="Times New Roman;serif" w:hAnsi="Times New Roman;serif"/>
                <w:b w:val="false"/>
                <w:sz w:val="24"/>
              </w:rPr>
              <w:t>City, State, Zip:</w:t>
            </w:r>
          </w:p>
        </w:tc>
        <w:tc>
          <w:tcPr>
            <w:tcW w:w="296" w:type="dxa"/>
            <w:tcBorders/>
            <w:tcMar>
              <w:top w:w="0" w:type="dxa"/>
              <w:left w:w="0" w:type="dxa"/>
              <w:bottom w:w="0" w:type="dxa"/>
              <w:right w:w="0" w:type="dxa"/>
            </w:tcMar>
            <w:vAlign w:val="center"/>
          </w:tcPr>
          <w:p>
            <w:pPr>
              <w:pStyle w:val="TableContents"/>
              <w:bidi w:val="0"/>
              <w:spacing w:before="0" w:after="240"/>
              <w:ind w:left="0" w:right="0" w:firstLine="120"/>
              <w:jc w:val="left"/>
              <w:rPr/>
            </w:pPr>
            <w:r>
              <w:rPr/>
              <w:t> </w:t>
            </w:r>
          </w:p>
        </w:tc>
        <w:tc>
          <w:tcPr>
            <w:tcW w:w="4231" w:type="dxa"/>
            <w:tcBorders/>
            <w:tcMar>
              <w:top w:w="0" w:type="dxa"/>
              <w:left w:w="0" w:type="dxa"/>
              <w:bottom w:w="0" w:type="dxa"/>
              <w:right w:w="0" w:type="dxa"/>
            </w:tcMar>
            <w:vAlign w:val="center"/>
          </w:tcPr>
          <w:p>
            <w:pPr>
              <w:pStyle w:val="TableContents"/>
              <w:bidi w:val="0"/>
              <w:spacing w:before="0" w:after="240"/>
              <w:ind w:left="120" w:right="0" w:hanging="0"/>
              <w:jc w:val="left"/>
              <w:rPr>
                <w:rFonts w:ascii="Times New Roman;serif" w:hAnsi="Times New Roman;serif"/>
                <w:b w:val="false"/>
                <w:sz w:val="24"/>
              </w:rPr>
            </w:pPr>
            <w:r>
              <w:rPr>
                <w:rFonts w:ascii="Times New Roman;serif" w:hAnsi="Times New Roman;serif"/>
                <w:b w:val="false"/>
                <w:sz w:val="24"/>
              </w:rPr>
              <w:t>City, State, Zip:</w:t>
            </w:r>
          </w:p>
        </w:tc>
      </w:tr>
      <w:tr>
        <w:trPr/>
        <w:tc>
          <w:tcPr>
            <w:tcW w:w="4681" w:type="dxa"/>
            <w:tcBorders/>
            <w:tcMar>
              <w:top w:w="0" w:type="dxa"/>
              <w:left w:w="0" w:type="dxa"/>
              <w:bottom w:w="0" w:type="dxa"/>
              <w:right w:w="0" w:type="dxa"/>
            </w:tcMar>
            <w:vAlign w:val="center"/>
          </w:tcPr>
          <w:p>
            <w:pPr>
              <w:pStyle w:val="TableContents"/>
              <w:bidi w:val="0"/>
              <w:spacing w:before="0" w:after="240"/>
              <w:ind w:left="0" w:right="0" w:hanging="0"/>
              <w:jc w:val="left"/>
              <w:rPr>
                <w:rFonts w:ascii="Times New Roman;serif" w:hAnsi="Times New Roman;serif"/>
                <w:b w:val="false"/>
                <w:sz w:val="24"/>
              </w:rPr>
            </w:pPr>
            <w:r>
              <w:rPr>
                <w:rFonts w:ascii="Times New Roman;serif" w:hAnsi="Times New Roman;serif"/>
                <w:b w:val="false"/>
                <w:sz w:val="24"/>
              </w:rPr>
              <w:t>Attn:</w:t>
            </w:r>
          </w:p>
        </w:tc>
        <w:tc>
          <w:tcPr>
            <w:tcW w:w="296" w:type="dxa"/>
            <w:tcBorders/>
            <w:tcMar>
              <w:top w:w="0" w:type="dxa"/>
              <w:left w:w="0" w:type="dxa"/>
              <w:bottom w:w="0" w:type="dxa"/>
              <w:right w:w="0" w:type="dxa"/>
            </w:tcMar>
            <w:vAlign w:val="center"/>
          </w:tcPr>
          <w:p>
            <w:pPr>
              <w:pStyle w:val="TableContents"/>
              <w:bidi w:val="0"/>
              <w:spacing w:before="0" w:after="240"/>
              <w:ind w:left="0" w:right="0" w:firstLine="150"/>
              <w:jc w:val="left"/>
              <w:rPr/>
            </w:pPr>
            <w:r>
              <w:rPr/>
              <w:t> </w:t>
            </w:r>
          </w:p>
        </w:tc>
        <w:tc>
          <w:tcPr>
            <w:tcW w:w="4231" w:type="dxa"/>
            <w:tcBorders/>
            <w:tcMar>
              <w:top w:w="0" w:type="dxa"/>
              <w:left w:w="0" w:type="dxa"/>
              <w:bottom w:w="0" w:type="dxa"/>
              <w:right w:w="0" w:type="dxa"/>
            </w:tcMar>
            <w:vAlign w:val="center"/>
          </w:tcPr>
          <w:p>
            <w:pPr>
              <w:pStyle w:val="TableContents"/>
              <w:bidi w:val="0"/>
              <w:spacing w:before="0" w:after="240"/>
              <w:ind w:left="150" w:right="0" w:hanging="0"/>
              <w:jc w:val="left"/>
              <w:rPr>
                <w:rFonts w:ascii="Times New Roman;serif" w:hAnsi="Times New Roman;serif"/>
                <w:b w:val="false"/>
                <w:sz w:val="24"/>
              </w:rPr>
            </w:pPr>
            <w:r>
              <w:rPr>
                <w:rFonts w:ascii="Times New Roman;serif" w:hAnsi="Times New Roman;serif"/>
                <w:b w:val="false"/>
                <w:sz w:val="24"/>
              </w:rPr>
              <w:t>Attn:</w:t>
            </w:r>
          </w:p>
        </w:tc>
      </w:tr>
      <w:tr>
        <w:trPr/>
        <w:tc>
          <w:tcPr>
            <w:tcW w:w="4681" w:type="dxa"/>
            <w:tcBorders/>
            <w:tcMar>
              <w:top w:w="0" w:type="dxa"/>
              <w:left w:w="0" w:type="dxa"/>
              <w:bottom w:w="0" w:type="dxa"/>
              <w:right w:w="0" w:type="dxa"/>
            </w:tcMar>
            <w:vAlign w:val="center"/>
          </w:tcPr>
          <w:p>
            <w:pPr>
              <w:pStyle w:val="TableContents"/>
              <w:bidi w:val="0"/>
              <w:spacing w:before="0" w:after="240"/>
              <w:ind w:left="0" w:right="0" w:hanging="0"/>
              <w:jc w:val="left"/>
              <w:rPr>
                <w:rFonts w:ascii="Times New Roman;serif" w:hAnsi="Times New Roman;serif"/>
                <w:b w:val="false"/>
                <w:sz w:val="24"/>
              </w:rPr>
            </w:pPr>
            <w:r>
              <w:rPr>
                <w:rFonts w:ascii="Times New Roman;serif" w:hAnsi="Times New Roman;serif"/>
                <w:b w:val="false"/>
                <w:sz w:val="24"/>
              </w:rPr>
              <w:t>Telephone No.: _________________________</w:t>
            </w:r>
          </w:p>
        </w:tc>
        <w:tc>
          <w:tcPr>
            <w:tcW w:w="296" w:type="dxa"/>
            <w:tcBorders/>
            <w:tcMar>
              <w:top w:w="0" w:type="dxa"/>
              <w:left w:w="0" w:type="dxa"/>
              <w:bottom w:w="0" w:type="dxa"/>
              <w:right w:w="0" w:type="dxa"/>
            </w:tcMar>
            <w:vAlign w:val="center"/>
          </w:tcPr>
          <w:p>
            <w:pPr>
              <w:pStyle w:val="TableContents"/>
              <w:bidi w:val="0"/>
              <w:spacing w:before="0" w:after="240"/>
              <w:ind w:left="0" w:right="0" w:hanging="0"/>
              <w:jc w:val="left"/>
              <w:rPr/>
            </w:pPr>
            <w:r>
              <w:rPr/>
              <w:t> </w:t>
            </w:r>
          </w:p>
        </w:tc>
        <w:tc>
          <w:tcPr>
            <w:tcW w:w="4231" w:type="dxa"/>
            <w:tcBorders/>
            <w:tcMar>
              <w:top w:w="0" w:type="dxa"/>
              <w:left w:w="0" w:type="dxa"/>
              <w:bottom w:w="0" w:type="dxa"/>
              <w:right w:w="0" w:type="dxa"/>
            </w:tcMar>
            <w:vAlign w:val="center"/>
          </w:tcPr>
          <w:p>
            <w:pPr>
              <w:pStyle w:val="TableContents"/>
              <w:bidi w:val="0"/>
              <w:spacing w:before="0" w:after="240"/>
              <w:ind w:left="0" w:right="0" w:hanging="0"/>
              <w:jc w:val="left"/>
              <w:rPr>
                <w:rFonts w:ascii="Times New Roman;serif" w:hAnsi="Times New Roman;serif"/>
                <w:b w:val="false"/>
                <w:sz w:val="24"/>
              </w:rPr>
            </w:pPr>
            <w:r>
              <w:rPr>
                <w:rFonts w:ascii="Times New Roman;serif" w:hAnsi="Times New Roman;serif"/>
                <w:b w:val="false"/>
                <w:sz w:val="24"/>
              </w:rPr>
              <w:t>Telephone No.: _____________________</w:t>
            </w:r>
          </w:p>
        </w:tc>
      </w:tr>
      <w:tr>
        <w:trPr/>
        <w:tc>
          <w:tcPr>
            <w:tcW w:w="4681" w:type="dxa"/>
            <w:tcBorders/>
            <w:tcMar>
              <w:top w:w="0" w:type="dxa"/>
              <w:left w:w="0" w:type="dxa"/>
              <w:bottom w:w="0" w:type="dxa"/>
              <w:right w:w="0" w:type="dxa"/>
            </w:tcMar>
            <w:vAlign w:val="center"/>
          </w:tcPr>
          <w:p>
            <w:pPr>
              <w:pStyle w:val="TableContents"/>
              <w:bidi w:val="0"/>
              <w:spacing w:before="0" w:after="240"/>
              <w:ind w:left="0" w:right="0" w:hanging="0"/>
              <w:jc w:val="left"/>
              <w:rPr>
                <w:rFonts w:ascii="Times New Roman;serif" w:hAnsi="Times New Roman;serif"/>
                <w:b w:val="false"/>
                <w:sz w:val="24"/>
              </w:rPr>
            </w:pPr>
            <w:r>
              <w:rPr>
                <w:rFonts w:ascii="Times New Roman;serif" w:hAnsi="Times New Roman;serif"/>
                <w:b w:val="false"/>
                <w:sz w:val="24"/>
              </w:rPr>
              <w:t>Facsimile No.: __________________________</w:t>
            </w:r>
          </w:p>
        </w:tc>
        <w:tc>
          <w:tcPr>
            <w:tcW w:w="296" w:type="dxa"/>
            <w:tcBorders/>
            <w:tcMar>
              <w:top w:w="0" w:type="dxa"/>
              <w:left w:w="0" w:type="dxa"/>
              <w:bottom w:w="0" w:type="dxa"/>
              <w:right w:w="0" w:type="dxa"/>
            </w:tcMar>
            <w:vAlign w:val="center"/>
          </w:tcPr>
          <w:p>
            <w:pPr>
              <w:pStyle w:val="TableContents"/>
              <w:bidi w:val="0"/>
              <w:spacing w:before="0" w:after="240"/>
              <w:ind w:left="0" w:right="0" w:hanging="0"/>
              <w:jc w:val="left"/>
              <w:rPr/>
            </w:pPr>
            <w:r>
              <w:rPr/>
              <w:t> </w:t>
            </w:r>
          </w:p>
        </w:tc>
        <w:tc>
          <w:tcPr>
            <w:tcW w:w="4231" w:type="dxa"/>
            <w:tcBorders/>
            <w:tcMar>
              <w:top w:w="0" w:type="dxa"/>
              <w:left w:w="0" w:type="dxa"/>
              <w:bottom w:w="0" w:type="dxa"/>
              <w:right w:w="0" w:type="dxa"/>
            </w:tcMar>
            <w:vAlign w:val="center"/>
          </w:tcPr>
          <w:p>
            <w:pPr>
              <w:pStyle w:val="TableContents"/>
              <w:bidi w:val="0"/>
              <w:spacing w:before="0" w:after="240"/>
              <w:ind w:left="0" w:right="0" w:hanging="0"/>
              <w:jc w:val="left"/>
              <w:rPr>
                <w:rFonts w:ascii="Times New Roman;serif" w:hAnsi="Times New Roman;serif"/>
                <w:b w:val="false"/>
                <w:sz w:val="24"/>
              </w:rPr>
            </w:pPr>
            <w:r>
              <w:rPr>
                <w:rFonts w:ascii="Times New Roman;serif" w:hAnsi="Times New Roman;serif"/>
                <w:b w:val="false"/>
                <w:sz w:val="24"/>
              </w:rPr>
              <w:t>Facsimile No.: ______________________</w:t>
            </w:r>
          </w:p>
        </w:tc>
      </w:tr>
    </w:tbl>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Aggregate Number of Subscribed Shares subscribed for:</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_____________________________________________</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Aggregate Purchase Price: $______________.</w:t>
      </w:r>
    </w:p>
    <w:p>
      <w:pPr>
        <w:pStyle w:val="TextBody"/>
        <w:bidi w:val="0"/>
        <w:spacing w:before="0" w:after="240"/>
        <w:jc w:val="left"/>
        <w:rPr>
          <w:rFonts w:ascii="Times New Roman" w:hAnsi="Times New Roman"/>
          <w:sz w:val="20"/>
        </w:rPr>
      </w:pPr>
      <w:r>
        <w:rPr>
          <w:rFonts w:ascii="Times New Roman;serif" w:hAnsi="Times New Roman;serif"/>
          <w:b w:val="false"/>
          <w:sz w:val="24"/>
        </w:rPr>
        <w:t>You must pay the Purchase Price in two installments for the amounts for each corresponding Closing Date as set forth on Schedule II.</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center"/>
        <w:rPr>
          <w:rFonts w:ascii="Times New Roman;serif" w:hAnsi="Times New Roman;serif"/>
          <w:b/>
          <w:sz w:val="24"/>
        </w:rPr>
      </w:pPr>
      <w:r>
        <w:rPr>
          <w:rFonts w:ascii="Times New Roman;serif" w:hAnsi="Times New Roman;serif"/>
          <w:b/>
          <w:sz w:val="24"/>
        </w:rPr>
        <w:t>SCHEDULE I</w:t>
      </w:r>
    </w:p>
    <w:p>
      <w:pPr>
        <w:pStyle w:val="TextBody"/>
        <w:bidi w:val="0"/>
        <w:spacing w:before="0" w:after="240"/>
        <w:jc w:val="center"/>
        <w:rPr>
          <w:rFonts w:ascii="Times New Roman;serif" w:hAnsi="Times New Roman;serif"/>
          <w:b/>
          <w:sz w:val="24"/>
        </w:rPr>
      </w:pPr>
      <w:r>
        <w:rPr>
          <w:rFonts w:ascii="Times New Roman;serif" w:hAnsi="Times New Roman;serif"/>
          <w:b/>
          <w:sz w:val="24"/>
        </w:rPr>
        <w:t>ELIGIBILITY REPRESENTATIONS OF SUBSCRIBER</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 QUALIFIED INSTITUTIONAL BUYER STATUS</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(Please check the applicable subparagraphs):</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1. </w:t>
      </w:r>
      <w:r>
        <w:rPr>
          <w:rFonts w:ascii="Times New Roman" w:hAnsi="Times New Roman"/>
          <w:sz w:val="20"/>
        </w:rPr>
        <w:t xml:space="preserve">☐ </w:t>
      </w:r>
      <w:r>
        <w:rPr>
          <w:rFonts w:ascii="Times New Roman;serif" w:hAnsi="Times New Roman;serif"/>
          <w:b w:val="false"/>
          <w:sz w:val="24"/>
        </w:rPr>
        <w:t>We are a “qualified institutional buyer” (as defined in Rule 144A under the Securities Act of 1933, as amended (the “</w:t>
      </w:r>
      <w:r>
        <w:rPr>
          <w:rFonts w:ascii="Times New Roman;serif" w:hAnsi="Times New Roman;serif"/>
          <w:b/>
          <w:sz w:val="24"/>
        </w:rPr>
        <w:t>Securities Act</w:t>
      </w:r>
      <w:r>
        <w:rPr>
          <w:rFonts w:ascii="Times New Roman" w:hAnsi="Times New Roman"/>
          <w:sz w:val="20"/>
        </w:rPr>
        <w:t>”</w:t>
      </w:r>
      <w:r>
        <w:rPr>
          <w:rFonts w:ascii="Times New Roman;serif" w:hAnsi="Times New Roman;serif"/>
          <w:b w:val="false"/>
          <w:sz w:val="24"/>
        </w:rPr>
        <w:t>) (a “</w:t>
      </w:r>
      <w:r>
        <w:rPr>
          <w:rFonts w:ascii="Times New Roman;serif" w:hAnsi="Times New Roman;serif"/>
          <w:b/>
          <w:sz w:val="24"/>
        </w:rPr>
        <w:t>QIB</w:t>
      </w:r>
      <w:r>
        <w:rPr>
          <w:rFonts w:ascii="Times New Roman" w:hAnsi="Times New Roman"/>
          <w:sz w:val="20"/>
        </w:rPr>
        <w:t>”</w:t>
      </w:r>
      <w:r>
        <w:rPr>
          <w:rFonts w:ascii="Times New Roman;serif" w:hAnsi="Times New Roman;serif"/>
          <w:b w:val="false"/>
          <w:sz w:val="24"/>
        </w:rPr>
        <w:t>)).</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2. </w:t>
      </w:r>
      <w:r>
        <w:rPr>
          <w:rFonts w:ascii="Times New Roman" w:hAnsi="Times New Roman"/>
          <w:sz w:val="20"/>
        </w:rPr>
        <w:t xml:space="preserve">☐ </w:t>
      </w:r>
      <w:r>
        <w:rPr>
          <w:rFonts w:ascii="Times New Roman;serif" w:hAnsi="Times New Roman;serif"/>
          <w:b w:val="false"/>
          <w:sz w:val="24"/>
        </w:rPr>
        <w:t>We are subscribing for the Subscribed Shares as a fiduciary or agent for one or more investor accounts, and each owner of such account is a QIB.</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 OR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B. INSTITUTIONAL ACCREDITED INVESTOR STATUS</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(Please check the applicable subparagraphs):</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1. </w:t>
      </w:r>
      <w:r>
        <w:rPr>
          <w:rFonts w:ascii="Times New Roman" w:hAnsi="Times New Roman"/>
          <w:sz w:val="20"/>
        </w:rPr>
        <w:t xml:space="preserve">☐ </w:t>
      </w:r>
      <w:r>
        <w:rPr>
          <w:rFonts w:ascii="Times New Roman;serif" w:hAnsi="Times New Roman;serif"/>
          <w:b w:val="false"/>
          <w:sz w:val="24"/>
        </w:rPr>
        <w:t>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w:t>
      </w:r>
    </w:p>
    <w:p>
      <w:pPr>
        <w:pStyle w:val="TextBody"/>
        <w:bidi w:val="0"/>
        <w:spacing w:before="0" w:after="240"/>
        <w:jc w:val="left"/>
        <w:rPr>
          <w:rFonts w:ascii="Times New Roman" w:hAnsi="Times New Roman"/>
          <w:sz w:val="20"/>
        </w:rPr>
      </w:pPr>
      <w:r>
        <w:rPr>
          <w:rFonts w:ascii="Times New Roman;serif" w:hAnsi="Times New Roman;serif"/>
          <w:b w:val="false"/>
          <w:sz w:val="24"/>
        </w:rPr>
        <w:t xml:space="preserve">2. </w:t>
      </w:r>
      <w:r>
        <w:rPr>
          <w:rFonts w:ascii="Times New Roman" w:hAnsi="Times New Roman"/>
          <w:sz w:val="20"/>
        </w:rPr>
        <w:t xml:space="preserve">☐ </w:t>
      </w:r>
      <w:r>
        <w:rPr>
          <w:rFonts w:ascii="Times New Roman;serif" w:hAnsi="Times New Roman;serif"/>
          <w:b w:val="false"/>
          <w:sz w:val="24"/>
        </w:rPr>
        <w:t>We are not a natural person.</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 AND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C. AFFILIATE STATUS</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(Please check the applicable box) SUBSCRIBER:</w:t>
      </w:r>
    </w:p>
    <w:p>
      <w:pPr>
        <w:pStyle w:val="TextBody"/>
        <w:bidi w:val="0"/>
        <w:spacing w:before="0" w:after="240"/>
        <w:jc w:val="left"/>
        <w:rPr/>
      </w:pPr>
      <w:r>
        <w:rPr/>
        <w:t xml:space="preserve">☐ </w:t>
      </w:r>
      <w:r>
        <w:rPr>
          <w:rFonts w:ascii="Times New Roman;serif" w:hAnsi="Times New Roman;serif"/>
          <w:b w:val="false"/>
          <w:sz w:val="24"/>
        </w:rPr>
        <w:t>is:</w:t>
      </w:r>
    </w:p>
    <w:p>
      <w:pPr>
        <w:pStyle w:val="TextBody"/>
        <w:bidi w:val="0"/>
        <w:spacing w:before="0" w:after="240"/>
        <w:jc w:val="left"/>
        <w:rPr/>
      </w:pPr>
      <w:r>
        <w:rPr/>
        <w:t xml:space="preserve">☐ </w:t>
      </w:r>
      <w:r>
        <w:rPr>
          <w:rFonts w:ascii="Times New Roman;serif" w:hAnsi="Times New Roman;serif"/>
          <w:b w:val="false"/>
          <w:sz w:val="24"/>
        </w:rPr>
        <w:t>is not:</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an “affiliate” (as defined in Rule 144 under the Securities Act) of the Issuer or acting on behalf of an affiliate of the Issuer.</w:t>
      </w:r>
    </w:p>
    <w:p>
      <w:pPr>
        <w:pStyle w:val="TextBody"/>
        <w:bidi w:val="0"/>
        <w:spacing w:before="0" w:after="240"/>
        <w:jc w:val="center"/>
        <w:rPr>
          <w:rFonts w:ascii="Times New Roman;serif" w:hAnsi="Times New Roman;serif"/>
          <w:b/>
          <w:i/>
          <w:sz w:val="24"/>
        </w:rPr>
      </w:pPr>
      <w:r>
        <w:rPr>
          <w:rFonts w:ascii="Times New Roman;serif" w:hAnsi="Times New Roman;serif"/>
          <w:b/>
          <w:i/>
          <w:sz w:val="24"/>
        </w:rPr>
        <w:t>This page should be completed by Subscriber</w:t>
        <w:br/>
        <w:t>and constitutes a part of the Subscription Agreement.</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rFonts w:ascii="Times New Roman;serif" w:hAnsi="Times New Roman;serif"/>
          <w:b w:val="false"/>
          <w:sz w:val="24"/>
        </w:rPr>
      </w:pPr>
      <w:r>
        <w:rPr>
          <w:rFonts w:ascii="Times New Roman;serif" w:hAnsi="Times New Roman;serif"/>
          <w:b w:val="false"/>
          <w:sz w:val="24"/>
        </w:rPr>
        <w:t>Rule 501(a) under the Securities Act,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 below, the provision(s) below which apply to Subscriber and under which Subscriber accordingly qualifies as an “accredited investor.”</w:t>
      </w:r>
    </w:p>
    <w:p>
      <w:pPr>
        <w:pStyle w:val="TextBody"/>
        <w:bidi w:val="0"/>
        <w:spacing w:before="0" w:after="240"/>
        <w:jc w:val="left"/>
        <w:rPr/>
      </w:pPr>
      <w:r>
        <w:rPr/>
        <w:t xml:space="preserve">☐ </w:t>
      </w:r>
      <w:r>
        <w:rPr>
          <w:rFonts w:ascii="Times New Roman;serif" w:hAnsi="Times New Roman;serif"/>
          <w:b w:val="false"/>
          <w:sz w:val="24"/>
        </w:rPr>
        <w:t>Any bank as defined in section 3(a)(2) of the Securities Act, or any savings and loan association or other institution as defined in section 3(a)(5)(A) of the Securities Act whether acting in its individual or fiduciary capacity;</w:t>
      </w:r>
    </w:p>
    <w:p>
      <w:pPr>
        <w:pStyle w:val="TextBody"/>
        <w:bidi w:val="0"/>
        <w:spacing w:before="0" w:after="240"/>
        <w:jc w:val="left"/>
        <w:rPr/>
      </w:pPr>
      <w:r>
        <w:rPr/>
        <w:t xml:space="preserve">☐ </w:t>
      </w:r>
      <w:r>
        <w:rPr>
          <w:rFonts w:ascii="Times New Roman;serif" w:hAnsi="Times New Roman;serif"/>
          <w:b w:val="false"/>
          <w:sz w:val="24"/>
        </w:rPr>
        <w:t>Any broker or dealer registered pursuant to section 15 of the Securities Exchange Act of 1934, as amended;</w:t>
      </w:r>
    </w:p>
    <w:p>
      <w:pPr>
        <w:pStyle w:val="TextBody"/>
        <w:bidi w:val="0"/>
        <w:spacing w:before="0" w:after="240"/>
        <w:jc w:val="left"/>
        <w:rPr/>
      </w:pPr>
      <w:r>
        <w:rPr/>
        <w:t xml:space="preserve">☐ </w:t>
      </w:r>
      <w:r>
        <w:rPr>
          <w:rFonts w:ascii="Times New Roman;serif" w:hAnsi="Times New Roman;serif"/>
          <w:b w:val="false"/>
          <w:sz w:val="24"/>
        </w:rPr>
        <w:t>Any investment adviser registered pursuant to section 203 of the Investment Advisers Act of 1940, as amended (the “</w:t>
      </w:r>
      <w:r>
        <w:rPr>
          <w:rFonts w:ascii="Times New Roman;serif" w:hAnsi="Times New Roman;serif"/>
          <w:b/>
          <w:sz w:val="24"/>
        </w:rPr>
        <w:t>Investment Advisers Act</w:t>
      </w:r>
      <w:r>
        <w:rPr>
          <w:rFonts w:ascii="Times New Roman" w:hAnsi="Times New Roman"/>
          <w:sz w:val="20"/>
        </w:rPr>
        <w:t>”</w:t>
      </w:r>
      <w:r>
        <w:rPr>
          <w:rFonts w:ascii="Times New Roman;serif" w:hAnsi="Times New Roman;serif"/>
          <w:b w:val="false"/>
          <w:sz w:val="24"/>
        </w:rPr>
        <w:t>), or registered pursuant to the laws of a state;</w:t>
      </w:r>
    </w:p>
    <w:p>
      <w:pPr>
        <w:pStyle w:val="TextBody"/>
        <w:bidi w:val="0"/>
        <w:spacing w:before="0" w:after="240"/>
        <w:jc w:val="left"/>
        <w:rPr/>
      </w:pPr>
      <w:r>
        <w:rPr/>
        <w:t xml:space="preserve">☐ </w:t>
      </w:r>
      <w:r>
        <w:rPr>
          <w:rFonts w:ascii="Times New Roman;serif" w:hAnsi="Times New Roman;serif"/>
          <w:b w:val="false"/>
          <w:sz w:val="24"/>
        </w:rPr>
        <w:t>Any investment adviser relying on the exemption from registering with the Commission under section 203(l) or (m) of the Investment Advisers Act;</w:t>
      </w:r>
    </w:p>
    <w:p>
      <w:pPr>
        <w:pStyle w:val="TextBody"/>
        <w:bidi w:val="0"/>
        <w:spacing w:before="0" w:after="240"/>
        <w:jc w:val="left"/>
        <w:rPr/>
      </w:pPr>
      <w:r>
        <w:rPr/>
        <w:t xml:space="preserve">☐ </w:t>
      </w:r>
      <w:r>
        <w:rPr>
          <w:rFonts w:ascii="Times New Roman;serif" w:hAnsi="Times New Roman;serif"/>
          <w:b w:val="false"/>
          <w:sz w:val="24"/>
        </w:rPr>
        <w:t>Any insurance company as defined in section 2(a)(13) of the Securities Act;</w:t>
      </w:r>
    </w:p>
    <w:p>
      <w:pPr>
        <w:pStyle w:val="TextBody"/>
        <w:bidi w:val="0"/>
        <w:spacing w:before="0" w:after="240"/>
        <w:jc w:val="left"/>
        <w:rPr/>
      </w:pPr>
      <w:r>
        <w:rPr/>
        <w:t xml:space="preserve">☐ </w:t>
      </w:r>
      <w:r>
        <w:rPr>
          <w:rFonts w:ascii="Times New Roman;serif" w:hAnsi="Times New Roman;serif"/>
          <w:b w:val="false"/>
          <w:sz w:val="24"/>
        </w:rPr>
        <w:t>Any investment company registered under the Investment Company Act of 1940, as amended (the “</w:t>
      </w:r>
      <w:r>
        <w:rPr>
          <w:rFonts w:ascii="Times New Roman;serif" w:hAnsi="Times New Roman;serif"/>
          <w:b w:val="false"/>
          <w:sz w:val="24"/>
          <w:u w:val="single"/>
        </w:rPr>
        <w:t>Investment Company Act</w:t>
      </w:r>
      <w:r>
        <w:rPr>
          <w:rFonts w:ascii="Times New Roman" w:hAnsi="Times New Roman"/>
          <w:sz w:val="20"/>
        </w:rPr>
        <w:t>”</w:t>
      </w:r>
      <w:r>
        <w:rPr>
          <w:rFonts w:ascii="Times New Roman;serif" w:hAnsi="Times New Roman;serif"/>
          <w:b w:val="false"/>
          <w:sz w:val="24"/>
        </w:rPr>
        <w:t>) or a business development company as defined in section 2(a)(48) of the Investment Company Act;</w:t>
      </w:r>
    </w:p>
    <w:p>
      <w:pPr>
        <w:pStyle w:val="TextBody"/>
        <w:bidi w:val="0"/>
        <w:spacing w:before="0" w:after="240"/>
        <w:jc w:val="left"/>
        <w:rPr/>
      </w:pPr>
      <w:r>
        <w:rPr/>
        <w:t xml:space="preserve">☐ </w:t>
      </w:r>
      <w:r>
        <w:rPr>
          <w:rFonts w:ascii="Times New Roman;serif" w:hAnsi="Times New Roman;serif"/>
          <w:b w:val="false"/>
          <w:sz w:val="24"/>
        </w:rPr>
        <w:t>Any Small Business Investment Company licensed by the U.S. Small Business Administration under section 301(c) or (d) of the Small Business Investment Act of 1958, as amended;</w:t>
      </w:r>
    </w:p>
    <w:p>
      <w:pPr>
        <w:pStyle w:val="TextBody"/>
        <w:bidi w:val="0"/>
        <w:spacing w:before="0" w:after="240"/>
        <w:jc w:val="left"/>
        <w:rPr/>
      </w:pPr>
      <w:r>
        <w:rPr/>
        <w:t xml:space="preserve">☐ </w:t>
      </w:r>
      <w:r>
        <w:rPr>
          <w:rFonts w:ascii="Times New Roman;serif" w:hAnsi="Times New Roman;serif"/>
          <w:b w:val="false"/>
          <w:sz w:val="24"/>
        </w:rPr>
        <w:t>Any Rural Business Investment Company as defined in section 384A of the Consolidated Farm and Rural Development Act, as amended;</w:t>
      </w:r>
    </w:p>
    <w:p>
      <w:pPr>
        <w:pStyle w:val="TextBody"/>
        <w:bidi w:val="0"/>
        <w:spacing w:before="0" w:after="240"/>
        <w:jc w:val="left"/>
        <w:rPr/>
      </w:pPr>
      <w:r>
        <w:rPr/>
        <w:t xml:space="preserve">☐ </w:t>
      </w:r>
      <w:r>
        <w:rPr>
          <w:rFonts w:ascii="Times New Roman;serif" w:hAnsi="Times New Roman;serif"/>
          <w:b w:val="false"/>
          <w:sz w:val="24"/>
        </w:rPr>
        <w:t>Any plan established and maintained by a state, its political subdivisions, or any agency or instrumentality of a state or its political subdivisions, for the benefit of its employees, if such plan has total assets in excess of $5,000,000;</w:t>
      </w:r>
    </w:p>
    <w:p>
      <w:pPr>
        <w:pStyle w:val="TextBody"/>
        <w:bidi w:val="0"/>
        <w:spacing w:before="0" w:after="240"/>
        <w:jc w:val="left"/>
        <w:rPr/>
      </w:pPr>
      <w:r>
        <w:rPr/>
        <w:t xml:space="preserve">☐ </w:t>
      </w:r>
      <w:r>
        <w:rPr>
          <w:rFonts w:ascii="Times New Roman;serif" w:hAnsi="Times New Roman;serif"/>
          <w:b w:val="false"/>
          <w:sz w:val="24"/>
        </w:rPr>
        <w:t>Any employee benefit plan within the meaning of the Employee Retirement Income Security Act of 1974, as amended (“</w:t>
      </w:r>
      <w:r>
        <w:rPr>
          <w:rFonts w:ascii="Times New Roman;serif" w:hAnsi="Times New Roman;serif"/>
          <w:b/>
          <w:sz w:val="24"/>
        </w:rPr>
        <w:t>ERISA</w:t>
      </w:r>
      <w:r>
        <w:rPr>
          <w:rFonts w:ascii="Times New Roman" w:hAnsi="Times New Roman"/>
          <w:sz w:val="20"/>
        </w:rPr>
        <w:t>”</w:t>
      </w:r>
      <w:r>
        <w:rPr>
          <w:rFonts w:ascii="Times New Roman;serif" w:hAnsi="Times New Roman;serif"/>
          <w:b w:val="false"/>
          <w:sz w:val="24"/>
        </w:rPr>
        <w:t>), if (i) the investment decision is made by a plan fiduciary, as defined in section 3(21) of ERISA, which is either a bank, a savings and loan association, an insurance company, or a registered investment adviser, (ii) the employee benefit plan has total assets in excess of $5,000,000, or (iii) such plan is a self-directed plan, with investment decisions made solely by persons that are “accredited investors”;</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t xml:space="preserve">☐ </w:t>
      </w:r>
      <w:r>
        <w:rPr>
          <w:rFonts w:ascii="Times New Roman;serif" w:hAnsi="Times New Roman;serif"/>
          <w:b w:val="false"/>
          <w:sz w:val="24"/>
        </w:rPr>
        <w:t>Any private business development company as defined in section 202(a)(22) of the Investment Advisers Act;</w:t>
      </w:r>
    </w:p>
    <w:p>
      <w:pPr>
        <w:pStyle w:val="TextBody"/>
        <w:bidi w:val="0"/>
        <w:spacing w:before="0" w:after="240"/>
        <w:jc w:val="left"/>
        <w:rPr/>
      </w:pPr>
      <w:r>
        <w:rPr/>
        <w:t xml:space="preserve">☐ </w:t>
      </w:r>
      <w:r>
        <w:rPr>
          <w:rFonts w:ascii="Times New Roman;serif" w:hAnsi="Times New Roman;serif"/>
          <w:b w:val="false"/>
          <w:sz w:val="24"/>
        </w:rPr>
        <w:t>Any (i) corporation, limited liability company or partnership, (ii) Massachusetts or similar business trust, or (iii) organization described in section 501(c)(3) of the Internal Revenue Code of 1986, as amended, not formed for the specific purpose of acquiring the securities offered, and with total assets in excess of $5,000,000;</w:t>
      </w:r>
    </w:p>
    <w:p>
      <w:pPr>
        <w:pStyle w:val="TextBody"/>
        <w:bidi w:val="0"/>
        <w:spacing w:before="0" w:after="240"/>
        <w:jc w:val="left"/>
        <w:rPr/>
      </w:pPr>
      <w:r>
        <w:rPr/>
        <w:t xml:space="preserve">☐ </w:t>
      </w:r>
      <w:r>
        <w:rPr>
          <w:rFonts w:ascii="Times New Roman;serif" w:hAnsi="Times New Roman;serif"/>
          <w:b w:val="false"/>
          <w:sz w:val="24"/>
        </w:rPr>
        <w:t>Any director, executive officer, or general partner of the issuer of the securities being offered or sold, or any director, executive officer, or general partner of a general partner of that issuer;</w:t>
      </w:r>
    </w:p>
    <w:p>
      <w:pPr>
        <w:pStyle w:val="TextBody"/>
        <w:bidi w:val="0"/>
        <w:spacing w:before="0" w:after="240"/>
        <w:jc w:val="left"/>
        <w:rPr/>
      </w:pPr>
      <w:r>
        <w:rPr/>
        <w:t xml:space="preserve">☐ </w:t>
      </w:r>
      <w:r>
        <w:rPr>
          <w:rFonts w:ascii="Times New Roman;serif" w:hAnsi="Times New Roman;serif"/>
          <w:b w:val="false"/>
          <w:sz w:val="24"/>
        </w:rPr>
        <w:t>Any natural person whose individual net worth, or joint net worth with that person’s spouse or spousal equivalent, exceeds $1,000,000. For purposes of calculating a natural person’s net worth: (a) the person’s primary residence shall not be included as an asset; (b) indebtedness that is secured by the person’s primary residence, up to the estimated fair market value of the primary residence at the time of the sale of securities, shall not be included as a liability (except that if the amount of such indebtedness outstanding at the time of sale of securities exceeds the amount outstanding sixty (60) days before such time, other than as a result of the acquisition of the primary residence, the amount of such excess shall be included as a liability); and (c) indebtedness that is secured by the person’s primary residence in excess of the estimated fair market value of the primary residence at the time of the sale of securities shall be included as a liability;</w:t>
      </w:r>
    </w:p>
    <w:p>
      <w:pPr>
        <w:pStyle w:val="TextBody"/>
        <w:bidi w:val="0"/>
        <w:spacing w:before="0" w:after="240"/>
        <w:jc w:val="left"/>
        <w:rPr/>
      </w:pPr>
      <w:r>
        <w:rPr/>
        <w:t xml:space="preserve">☐ </w:t>
      </w:r>
      <w:r>
        <w:rPr>
          <w:rFonts w:ascii="Times New Roman;serif" w:hAnsi="Times New Roman;serif"/>
          <w:b w:val="false"/>
          <w:sz w:val="24"/>
        </w:rPr>
        <w:t>Any natural person who had an individual income in excess of $200,000 in each of the two most recent years or joint income with that person’s spouse or spousal equivalent in excess of $300,000 in each of those years and has a reasonable expectation of reaching the same income level in the current year;</w:t>
      </w:r>
    </w:p>
    <w:p>
      <w:pPr>
        <w:pStyle w:val="TextBody"/>
        <w:bidi w:val="0"/>
        <w:spacing w:before="0" w:after="240"/>
        <w:jc w:val="left"/>
        <w:rPr/>
      </w:pPr>
      <w:r>
        <w:rPr/>
        <w:t xml:space="preserve">☐ </w:t>
      </w:r>
      <w:r>
        <w:rPr>
          <w:rFonts w:ascii="Times New Roman;serif" w:hAnsi="Times New Roman;serif"/>
          <w:b w:val="false"/>
          <w:sz w:val="24"/>
        </w:rPr>
        <w:t>Any trust, with total assets in excess of $5,000,000, not formed for the specific purpose of acquiring the securities offered, whose purchase is directed by a sophisticated person as described in section 230.506(b)(2)(ii) of Regulation D;</w:t>
      </w:r>
      <w:r>
        <w:rPr>
          <w:rFonts w:ascii="Times New Roman" w:hAnsi="Times New Roman"/>
          <w:sz w:val="20"/>
        </w:rPr>
        <w:t xml:space="preserve"> </w:t>
      </w:r>
    </w:p>
    <w:p>
      <w:pPr>
        <w:pStyle w:val="TextBody"/>
        <w:bidi w:val="0"/>
        <w:spacing w:before="0" w:after="240"/>
        <w:jc w:val="left"/>
        <w:rPr/>
      </w:pPr>
      <w:r>
        <w:rPr/>
        <w:t xml:space="preserve">☐ </w:t>
      </w:r>
      <w:r>
        <w:rPr>
          <w:rFonts w:ascii="Times New Roman;serif" w:hAnsi="Times New Roman;serif"/>
          <w:b w:val="false"/>
          <w:sz w:val="24"/>
        </w:rPr>
        <w:t>Any entity in which all of the equity owners are “accredited investors”;</w:t>
      </w:r>
    </w:p>
    <w:p>
      <w:pPr>
        <w:pStyle w:val="TextBody"/>
        <w:bidi w:val="0"/>
        <w:spacing w:before="0" w:after="240"/>
        <w:jc w:val="left"/>
        <w:rPr/>
      </w:pPr>
      <w:r>
        <w:rPr/>
        <w:t xml:space="preserve">☐ </w:t>
      </w:r>
      <w:r>
        <w:rPr>
          <w:rFonts w:ascii="Times New Roman;serif" w:hAnsi="Times New Roman;serif"/>
          <w:b w:val="false"/>
          <w:sz w:val="24"/>
        </w:rPr>
        <w:t>Any entity, of a type not listed above, not formed for the specific purpose of acquiring the securities offered, that owns investments in excess of $5,000,000;</w:t>
      </w:r>
    </w:p>
    <w:p>
      <w:pPr>
        <w:pStyle w:val="TextBody"/>
        <w:bidi w:val="0"/>
        <w:spacing w:before="0" w:after="240"/>
        <w:jc w:val="left"/>
        <w:rPr/>
      </w:pPr>
      <w:r>
        <w:rPr/>
        <w:t xml:space="preserve">☐ </w:t>
      </w:r>
      <w:r>
        <w:rPr>
          <w:rFonts w:ascii="Times New Roman;serif" w:hAnsi="Times New Roman;serif"/>
          <w:b w:val="false"/>
          <w:sz w:val="24"/>
        </w:rPr>
        <w:t>Any natural person holding in good standing one or more professional certifications or designations or credentials from an accredited educational institution that the SEC has designated as qualifying an individual for accredited investor status, such as a General Securities Representative license (Series 7), a Private Securities Offerings Representative license (Series 82) and an Investment Adviser Representative license (Series 65);</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left"/>
        <w:rPr/>
      </w:pPr>
      <w:r>
        <w:rPr/>
        <w:t xml:space="preserve">☐ </w:t>
      </w:r>
      <w:r>
        <w:rPr>
          <w:rFonts w:ascii="Times New Roman;serif" w:hAnsi="Times New Roman;serif"/>
          <w:b w:val="false"/>
          <w:sz w:val="24"/>
        </w:rPr>
        <w:t>Any natural person who is a “knowledgeable employee,” as defined in Rule 3c-5(a)(4) under the Investment Company Act, of the issuer of the securities being offered or sold where the issuer would be an investment company, as defined in section 3 of the Investment Company Act, but for the exclusion provided by either section 3(c)(1) or section 3(c)(7) of the Investment Company Act;</w:t>
      </w:r>
    </w:p>
    <w:p>
      <w:pPr>
        <w:pStyle w:val="TextBody"/>
        <w:bidi w:val="0"/>
        <w:spacing w:before="0" w:after="240"/>
        <w:jc w:val="left"/>
        <w:rPr/>
      </w:pPr>
      <w:r>
        <w:rPr/>
        <w:t xml:space="preserve">☐ </w:t>
      </w:r>
      <w:r>
        <w:rPr>
          <w:rFonts w:ascii="Times New Roman;serif" w:hAnsi="Times New Roman;serif"/>
          <w:b w:val="false"/>
          <w:sz w:val="24"/>
        </w:rPr>
        <w:t>Any “family office” as defined in Rule 202(a)(11)(G)-1 under the Investment Advisers Act which was not formed for the purpose of investing in the Company, has assets under management in excess of $5,000,000 and whose prospective investment is directed by a person who has such knowledge and experience in financial and business matters that such family office is capable of evaluating the merits and risks of the prospective investment; or</w:t>
      </w:r>
    </w:p>
    <w:p>
      <w:pPr>
        <w:pStyle w:val="TextBody"/>
        <w:bidi w:val="0"/>
        <w:spacing w:before="0" w:after="240"/>
        <w:jc w:val="left"/>
        <w:rPr/>
      </w:pPr>
      <w:r>
        <w:rPr/>
        <w:t xml:space="preserve">☐ </w:t>
      </w:r>
      <w:r>
        <w:rPr>
          <w:rFonts w:ascii="Times New Roman;serif" w:hAnsi="Times New Roman;serif"/>
          <w:b w:val="false"/>
          <w:sz w:val="24"/>
        </w:rPr>
        <w:t>Any “family client,” as defined in Rule 202(a)(11)(G)-1 under the Investment Advisers Act, of a family office, whose prospective investment in the Company is directed by such family office, and such family office is one (i) with assets under management in excess of $5,000,000, (ii) that was not formed for the specific purpose of investing in the Company, and (iii) whose prospective investment in the Company is directed by a person who has such knowledge and experience in financial and business matters that such family office is capable of evaluating the merits and risks of such prospective investment.</w:t>
      </w:r>
    </w:p>
    <w:p>
      <w:pPr>
        <w:pStyle w:val="TextBody"/>
        <w:bidi w:val="0"/>
        <w:spacing w:before="0" w:after="0"/>
        <w:jc w:val="left"/>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40"/>
        <w:jc w:val="center"/>
        <w:rPr>
          <w:rFonts w:ascii="Times New Roman;serif" w:hAnsi="Times New Roman;serif"/>
          <w:b/>
          <w:sz w:val="24"/>
        </w:rPr>
      </w:pPr>
      <w:r>
        <w:rPr>
          <w:rFonts w:ascii="Times New Roman;serif" w:hAnsi="Times New Roman;serif"/>
          <w:b/>
          <w:sz w:val="24"/>
        </w:rPr>
        <w:t>SCHEDULE II</w:t>
      </w:r>
    </w:p>
    <w:tbl>
      <w:tblPr>
        <w:tblW w:w="5838" w:type="dxa"/>
        <w:jc w:val="left"/>
        <w:tblInd w:w="0" w:type="dxa"/>
        <w:tblLayout w:type="fixed"/>
        <w:tblCellMar>
          <w:top w:w="28" w:type="dxa"/>
          <w:left w:w="28" w:type="dxa"/>
          <w:bottom w:w="28" w:type="dxa"/>
          <w:right w:w="28" w:type="dxa"/>
        </w:tblCellMar>
      </w:tblPr>
      <w:tblGrid>
        <w:gridCol w:w="2026"/>
        <w:gridCol w:w="2131"/>
        <w:gridCol w:w="1681"/>
      </w:tblGrid>
      <w:tr>
        <w:trPr/>
        <w:tc>
          <w:tcPr>
            <w:tcW w:w="202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02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40"/>
              <w:ind w:left="0" w:right="0" w:hanging="0"/>
              <w:jc w:val="center"/>
              <w:rPr>
                <w:rFonts w:ascii="Times New Roman;serif" w:hAnsi="Times New Roman;serif"/>
                <w:b/>
                <w:sz w:val="24"/>
              </w:rPr>
            </w:pPr>
            <w:r>
              <w:rPr>
                <w:rFonts w:ascii="Times New Roman;serif" w:hAnsi="Times New Roman;serif"/>
                <w:b/>
                <w:sz w:val="24"/>
              </w:rPr>
              <w:t>Closing Date</w:t>
            </w:r>
          </w:p>
        </w:tc>
        <w:tc>
          <w:tcPr>
            <w:tcW w:w="213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ind w:left="0" w:right="0" w:hanging="0"/>
              <w:jc w:val="center"/>
              <w:rPr>
                <w:rFonts w:ascii="Times New Roman;serif" w:hAnsi="Times New Roman;serif"/>
                <w:b/>
                <w:sz w:val="24"/>
              </w:rPr>
            </w:pPr>
            <w:r>
              <w:rPr>
                <w:rFonts w:ascii="Times New Roman;serif" w:hAnsi="Times New Roman;serif"/>
                <w:b/>
                <w:sz w:val="24"/>
              </w:rPr>
              <w:t>Cash Consideration</w:t>
            </w:r>
          </w:p>
        </w:tc>
        <w:tc>
          <w:tcPr>
            <w:tcW w:w="168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ind w:left="0" w:right="0" w:hanging="0"/>
              <w:jc w:val="center"/>
              <w:rPr>
                <w:rFonts w:ascii="Times New Roman;serif" w:hAnsi="Times New Roman;serif"/>
                <w:b/>
                <w:sz w:val="24"/>
              </w:rPr>
            </w:pPr>
            <w:r>
              <w:rPr>
                <w:rFonts w:ascii="Times New Roman;serif" w:hAnsi="Times New Roman;serif"/>
                <w:b/>
                <w:sz w:val="24"/>
              </w:rPr>
              <w:t>Purchase Price</w:t>
            </w:r>
          </w:p>
        </w:tc>
      </w:tr>
      <w:tr>
        <w:trPr/>
        <w:tc>
          <w:tcPr>
            <w:tcW w:w="20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ind w:left="0" w:right="0" w:hanging="0"/>
              <w:jc w:val="center"/>
              <w:rPr>
                <w:rFonts w:ascii="Times New Roman;serif" w:hAnsi="Times New Roman;serif"/>
                <w:b w:val="false"/>
                <w:sz w:val="24"/>
              </w:rPr>
            </w:pPr>
            <w:r>
              <w:rPr>
                <w:rFonts w:ascii="Times New Roman;serif" w:hAnsi="Times New Roman;serif"/>
                <w:b w:val="false"/>
                <w:sz w:val="24"/>
              </w:rPr>
              <w:t>August 31, 2023</w:t>
            </w:r>
          </w:p>
        </w:tc>
        <w:tc>
          <w:tcPr>
            <w:tcW w:w="21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ind w:left="0" w:right="0" w:hanging="0"/>
              <w:jc w:val="center"/>
              <w:rPr>
                <w:rFonts w:ascii="Times New Roman;serif" w:hAnsi="Times New Roman;serif"/>
                <w:b w:val="false"/>
                <w:sz w:val="24"/>
              </w:rPr>
            </w:pPr>
            <w:r>
              <w:rPr>
                <w:rFonts w:ascii="Times New Roman;serif" w:hAnsi="Times New Roman;serif"/>
                <w:b w:val="false"/>
                <w:sz w:val="24"/>
              </w:rPr>
              <w:t>$[]</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ind w:left="0" w:right="0" w:hanging="0"/>
              <w:jc w:val="center"/>
              <w:rPr>
                <w:rFonts w:ascii="Times New Roman;serif" w:hAnsi="Times New Roman;serif"/>
                <w:b w:val="false"/>
                <w:sz w:val="24"/>
              </w:rPr>
            </w:pPr>
            <w:r>
              <w:rPr>
                <w:rFonts w:ascii="Times New Roman;serif" w:hAnsi="Times New Roman;serif"/>
                <w:b w:val="false"/>
                <w:sz w:val="24"/>
              </w:rPr>
              <w:t>$[]</w:t>
            </w:r>
          </w:p>
        </w:tc>
      </w:tr>
      <w:tr>
        <w:trPr/>
        <w:tc>
          <w:tcPr>
            <w:tcW w:w="20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ind w:left="0" w:right="0" w:hanging="0"/>
              <w:jc w:val="center"/>
              <w:rPr>
                <w:rFonts w:ascii="Times New Roman;serif" w:hAnsi="Times New Roman;serif"/>
                <w:b w:val="false"/>
                <w:sz w:val="24"/>
              </w:rPr>
            </w:pPr>
            <w:r>
              <w:rPr>
                <w:rFonts w:ascii="Times New Roman;serif" w:hAnsi="Times New Roman;serif"/>
                <w:b w:val="false"/>
                <w:sz w:val="24"/>
              </w:rPr>
              <w:t>September 29, 2023</w:t>
            </w:r>
          </w:p>
        </w:tc>
        <w:tc>
          <w:tcPr>
            <w:tcW w:w="21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ind w:left="0" w:right="0" w:hanging="0"/>
              <w:jc w:val="center"/>
              <w:rPr>
                <w:rFonts w:ascii="Times New Roman;serif" w:hAnsi="Times New Roman;serif"/>
                <w:b w:val="false"/>
                <w:sz w:val="24"/>
              </w:rPr>
            </w:pPr>
            <w:r>
              <w:rPr>
                <w:rFonts w:ascii="Times New Roman;serif" w:hAnsi="Times New Roman;serif"/>
                <w:b w:val="false"/>
                <w:sz w:val="24"/>
              </w:rPr>
              <w:t>$[]</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ind w:left="0" w:right="0" w:hanging="0"/>
              <w:jc w:val="center"/>
              <w:rPr>
                <w:rFonts w:ascii="Times New Roman;serif" w:hAnsi="Times New Roman;serif"/>
                <w:b w:val="false"/>
                <w:sz w:val="24"/>
              </w:rPr>
            </w:pPr>
            <w:r>
              <w:rPr>
                <w:rFonts w:ascii="Times New Roman;serif" w:hAnsi="Times New Roman;serif"/>
                <w:b w:val="false"/>
                <w:sz w:val="24"/>
              </w:rPr>
              <w:t>$[]</w:t>
            </w:r>
          </w:p>
        </w:tc>
      </w:tr>
      <w:tr>
        <w:trPr/>
        <w:tc>
          <w:tcPr>
            <w:tcW w:w="20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ind w:left="0" w:right="0" w:hanging="0"/>
              <w:jc w:val="center"/>
              <w:rPr>
                <w:rFonts w:ascii="Times New Roman;serif" w:hAnsi="Times New Roman;serif"/>
                <w:b/>
                <w:sz w:val="24"/>
              </w:rPr>
            </w:pPr>
            <w:r>
              <w:rPr>
                <w:rFonts w:ascii="Times New Roman;serif" w:hAnsi="Times New Roman;serif"/>
                <w:b/>
                <w:sz w:val="24"/>
              </w:rPr>
              <w:t>Total</w:t>
            </w:r>
          </w:p>
        </w:tc>
        <w:tc>
          <w:tcPr>
            <w:tcW w:w="21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ind w:left="0" w:right="0" w:hanging="0"/>
              <w:jc w:val="center"/>
              <w:rPr>
                <w:rFonts w:ascii="Times New Roman;serif" w:hAnsi="Times New Roman;serif"/>
                <w:b/>
                <w:sz w:val="24"/>
              </w:rPr>
            </w:pPr>
            <w:r>
              <w:rPr>
                <w:rFonts w:ascii="Times New Roman;serif" w:hAnsi="Times New Roman;serif"/>
                <w:b/>
                <w:sz w:val="24"/>
              </w:rPr>
              <w:t>$[]</w:t>
            </w:r>
          </w:p>
        </w:tc>
        <w:tc>
          <w:tcPr>
            <w:tcW w:w="168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ind w:left="0" w:right="0" w:hanging="0"/>
              <w:jc w:val="center"/>
              <w:rPr/>
            </w:pPr>
            <w:r>
              <w:rPr/>
              <w:t> </w:t>
            </w:r>
          </w:p>
        </w:tc>
      </w:tr>
    </w:tbl>
    <w:p>
      <w:pPr>
        <w:pStyle w:val="TextBody"/>
        <w:bidi w:val="0"/>
        <w:spacing w:before="0" w:after="240"/>
        <w:jc w:val="center"/>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120" w:after="0"/>
        <w:jc w:val="right"/>
        <w:rPr>
          <w:rFonts w:ascii="Times New Roman;serif" w:hAnsi="Times New Roman;serif"/>
          <w:b/>
          <w:sz w:val="20"/>
        </w:rPr>
      </w:pPr>
      <w:bookmarkStart w:id="23" w:name="bdsx-ex10_2.htm"/>
      <w:bookmarkStart w:id="24" w:name="ksbdsxex10_2"/>
      <w:bookmarkEnd w:id="23"/>
      <w:bookmarkEnd w:id="24"/>
      <w:r>
        <w:rPr>
          <w:rFonts w:ascii="Times New Roman;serif" w:hAnsi="Times New Roman;serif"/>
          <w:b/>
          <w:sz w:val="20"/>
        </w:rPr>
        <w:t>Exhibit 10.2</w:t>
      </w:r>
      <w:r>
        <w:br w:type="page"/>
      </w:r>
    </w:p>
    <w:p>
      <w:pPr>
        <w:pStyle w:val="TextBody"/>
        <w:bidi w:val="0"/>
        <w:spacing w:before="0" w:after="0"/>
        <w:jc w:val="center"/>
        <w:rPr/>
      </w:pPr>
      <w:r>
        <w:rPr/>
        <w:t> </w:t>
      </w:r>
    </w:p>
    <w:p>
      <w:pPr>
        <w:pStyle w:val="TextBody"/>
        <w:bidi w:val="0"/>
        <w:spacing w:before="0" w:after="0"/>
        <w:jc w:val="center"/>
        <w:rPr>
          <w:rFonts w:ascii="Times New Roman;serif" w:hAnsi="Times New Roman;serif"/>
          <w:b/>
          <w:smallCaps/>
          <w:sz w:val="22"/>
        </w:rPr>
      </w:pPr>
      <w:r>
        <w:rPr>
          <w:rFonts w:ascii="Times New Roman;serif" w:hAnsi="Times New Roman;serif"/>
          <w:b/>
          <w:smallCaps/>
          <w:sz w:val="22"/>
        </w:rPr>
        <w:t>Second Amendment to Credit Agreement and Guaranty</w:t>
      </w:r>
    </w:p>
    <w:p>
      <w:pPr>
        <w:pStyle w:val="TextBody"/>
        <w:bidi w:val="0"/>
        <w:spacing w:before="280" w:after="0"/>
        <w:jc w:val="both"/>
        <w:rPr/>
      </w:pPr>
      <w:r>
        <w:rPr/>
        <w:t> </w:t>
      </w:r>
    </w:p>
    <w:p>
      <w:pPr>
        <w:pStyle w:val="TextBody"/>
        <w:bidi w:val="0"/>
        <w:spacing w:before="0" w:after="240"/>
        <w:jc w:val="both"/>
        <w:rPr>
          <w:rFonts w:ascii="Times New Roman" w:hAnsi="Times New Roman"/>
          <w:sz w:val="20"/>
        </w:rPr>
      </w:pPr>
      <w:r>
        <w:rPr>
          <w:rFonts w:ascii="Times New Roman;serif" w:hAnsi="Times New Roman;serif"/>
          <w:b w:val="false"/>
          <w:sz w:val="22"/>
        </w:rPr>
        <w:t xml:space="preserve">This Second Amendment to Credit Agreement and Guaranty (herein, this </w:t>
      </w:r>
      <w:r>
        <w:rPr>
          <w:rFonts w:ascii="Times New Roman" w:hAnsi="Times New Roman"/>
          <w:sz w:val="20"/>
        </w:rPr>
        <w:t>“</w:t>
      </w:r>
      <w:r>
        <w:rPr>
          <w:rFonts w:ascii="Times New Roman;serif" w:hAnsi="Times New Roman;serif"/>
          <w:b w:val="false"/>
          <w:i/>
          <w:sz w:val="22"/>
        </w:rPr>
        <w:t>Agreement”</w:t>
      </w:r>
      <w:r>
        <w:rPr>
          <w:rFonts w:ascii="Times New Roman;serif" w:hAnsi="Times New Roman;serif"/>
          <w:b w:val="false"/>
          <w:sz w:val="22"/>
        </w:rPr>
        <w:t>) is entered into as of August 4, 2023 (the “</w:t>
      </w:r>
      <w:r>
        <w:rPr>
          <w:rFonts w:ascii="Times New Roman;serif" w:hAnsi="Times New Roman;serif"/>
          <w:b w:val="false"/>
          <w:i/>
          <w:sz w:val="22"/>
        </w:rPr>
        <w:t>Second Amendment Effective Date</w:t>
      </w:r>
      <w:r>
        <w:rPr>
          <w:rFonts w:ascii="Times New Roman" w:hAnsi="Times New Roman"/>
          <w:sz w:val="20"/>
        </w:rPr>
        <w:t>”</w:t>
      </w:r>
      <w:r>
        <w:rPr>
          <w:rFonts w:ascii="Times New Roman;serif" w:hAnsi="Times New Roman;serif"/>
          <w:b w:val="false"/>
          <w:sz w:val="22"/>
        </w:rPr>
        <w:t xml:space="preserve">), by and among </w:t>
      </w:r>
      <w:r>
        <w:rPr>
          <w:rFonts w:ascii="Times New Roman;serif" w:hAnsi="Times New Roman;serif"/>
          <w:b w:val="false"/>
          <w:smallCaps/>
          <w:sz w:val="22"/>
        </w:rPr>
        <w:t>Biodesix, Inc.</w:t>
      </w:r>
      <w:r>
        <w:rPr>
          <w:rFonts w:ascii="Times New Roman;serif" w:hAnsi="Times New Roman;serif"/>
          <w:b w:val="false"/>
          <w:sz w:val="22"/>
        </w:rPr>
        <w:t>, a Delaware corporation (the “</w:t>
      </w:r>
      <w:r>
        <w:rPr>
          <w:rFonts w:ascii="Times New Roman;serif" w:hAnsi="Times New Roman;serif"/>
          <w:b w:val="false"/>
          <w:i/>
          <w:sz w:val="22"/>
        </w:rPr>
        <w:t>Borrower</w:t>
      </w:r>
      <w:r>
        <w:rPr>
          <w:rFonts w:ascii="Times New Roman" w:hAnsi="Times New Roman"/>
          <w:sz w:val="20"/>
        </w:rPr>
        <w:t>”</w:t>
      </w:r>
      <w:r>
        <w:rPr>
          <w:rFonts w:ascii="Times New Roman;serif" w:hAnsi="Times New Roman;serif"/>
          <w:b w:val="false"/>
          <w:sz w:val="22"/>
        </w:rPr>
        <w:t xml:space="preserve">), the Lenders party hereto constituting Majority Lenders and </w:t>
      </w:r>
      <w:r>
        <w:rPr>
          <w:rFonts w:ascii="Times New Roman;serif" w:hAnsi="Times New Roman;serif"/>
          <w:b w:val="false"/>
          <w:smallCaps/>
          <w:sz w:val="22"/>
        </w:rPr>
        <w:t xml:space="preserve">Perceptive Credit Holdings IV, LP, </w:t>
      </w:r>
      <w:r>
        <w:rPr>
          <w:rFonts w:ascii="Times New Roman;serif" w:hAnsi="Times New Roman;serif"/>
          <w:b w:val="false"/>
          <w:sz w:val="22"/>
        </w:rPr>
        <w:t xml:space="preserve">a Delaware limited partnership, as administrative agent for the Lenders (in such capacity, together with its successors and assigns, the </w:t>
      </w:r>
      <w:r>
        <w:rPr>
          <w:rFonts w:ascii="Times New Roman" w:hAnsi="Times New Roman"/>
          <w:sz w:val="20"/>
        </w:rPr>
        <w:t>“</w:t>
      </w:r>
      <w:r>
        <w:rPr>
          <w:rFonts w:ascii="Times New Roman;serif" w:hAnsi="Times New Roman;serif"/>
          <w:b w:val="false"/>
          <w:i/>
          <w:sz w:val="22"/>
        </w:rPr>
        <w:t>Administrative Agent”</w:t>
      </w:r>
      <w:r>
        <w:rPr>
          <w:rFonts w:ascii="Times New Roman;serif" w:hAnsi="Times New Roman;serif"/>
          <w:b w:val="false"/>
          <w:sz w:val="22"/>
        </w:rPr>
        <w:t>).</w:t>
      </w:r>
      <w:r>
        <w:rPr>
          <w:rFonts w:ascii="Times New Roman" w:hAnsi="Times New Roman"/>
          <w:sz w:val="20"/>
        </w:rPr>
        <w:t xml:space="preserve"> </w:t>
      </w:r>
    </w:p>
    <w:p>
      <w:pPr>
        <w:pStyle w:val="TextBody"/>
        <w:bidi w:val="0"/>
        <w:spacing w:before="280" w:after="0"/>
        <w:jc w:val="center"/>
        <w:rPr>
          <w:rFonts w:ascii="Times New Roman" w:hAnsi="Times New Roman"/>
          <w:sz w:val="20"/>
        </w:rPr>
      </w:pPr>
      <w:r>
        <w:rPr>
          <w:rFonts w:ascii="Times New Roman;serif" w:hAnsi="Times New Roman;serif"/>
          <w:b/>
          <w:smallCaps/>
          <w:sz w:val="22"/>
        </w:rPr>
        <w:t>Recitals</w:t>
      </w:r>
      <w:r>
        <w:rPr>
          <w:rFonts w:ascii="Times New Roman;serif" w:hAnsi="Times New Roman;serif"/>
          <w:b/>
          <w:sz w:val="22"/>
        </w:rPr>
        <w:t>:</w:t>
      </w:r>
    </w:p>
    <w:p>
      <w:pPr>
        <w:pStyle w:val="TextBody"/>
        <w:bidi w:val="0"/>
        <w:spacing w:before="280" w:after="0"/>
        <w:jc w:val="both"/>
        <w:rPr>
          <w:rFonts w:ascii="Times New Roman" w:hAnsi="Times New Roman"/>
          <w:sz w:val="20"/>
        </w:rPr>
      </w:pPr>
      <w:r>
        <w:rPr>
          <w:rFonts w:ascii="Times New Roman;serif" w:hAnsi="Times New Roman;serif"/>
          <w:b w:val="false"/>
          <w:sz w:val="22"/>
        </w:rPr>
        <w:t xml:space="preserve">A. The Lenders have extended credit to the Borrower on the terms and conditions set forth in that certain Credit Agreement and Guaranty, dated as of November 16, 2022 (as amended pursuant to that certain First Amendment to Credit Agreement and Guaranty, dated as of May 10, 2023, the </w:t>
      </w:r>
      <w:r>
        <w:rPr>
          <w:rFonts w:ascii="Times New Roman" w:hAnsi="Times New Roman"/>
          <w:sz w:val="20"/>
        </w:rPr>
        <w:t>“</w:t>
      </w:r>
      <w:r>
        <w:rPr>
          <w:rFonts w:ascii="Times New Roman;serif" w:hAnsi="Times New Roman;serif"/>
          <w:b w:val="false"/>
          <w:i/>
          <w:sz w:val="22"/>
        </w:rPr>
        <w:t>Existing</w:t>
      </w:r>
      <w:r>
        <w:rPr>
          <w:rFonts w:ascii="Times New Roman" w:hAnsi="Times New Roman"/>
          <w:sz w:val="20"/>
        </w:rPr>
        <w:t xml:space="preserve"> </w:t>
      </w:r>
      <w:r>
        <w:rPr>
          <w:rFonts w:ascii="Times New Roman;serif" w:hAnsi="Times New Roman;serif"/>
          <w:b w:val="false"/>
          <w:i/>
          <w:sz w:val="22"/>
        </w:rPr>
        <w:t>Credit Agreement”</w:t>
      </w:r>
      <w:r>
        <w:rPr>
          <w:rFonts w:ascii="Times New Roman;serif" w:hAnsi="Times New Roman;serif"/>
          <w:b w:val="false"/>
          <w:sz w:val="22"/>
        </w:rPr>
        <w:t>; the Existing Credit Agreement as amended by this Agreement, the “</w:t>
      </w:r>
      <w:r>
        <w:rPr>
          <w:rFonts w:ascii="Times New Roman;serif" w:hAnsi="Times New Roman;serif"/>
          <w:b w:val="false"/>
          <w:i/>
          <w:sz w:val="22"/>
        </w:rPr>
        <w:t>Credit Agreement</w:t>
      </w:r>
      <w:r>
        <w:rPr>
          <w:rFonts w:ascii="Times New Roman" w:hAnsi="Times New Roman"/>
          <w:sz w:val="20"/>
        </w:rPr>
        <w:t>”</w:t>
      </w:r>
      <w:r>
        <w:rPr>
          <w:rFonts w:ascii="Times New Roman;serif" w:hAnsi="Times New Roman;serif"/>
          <w:b w:val="false"/>
          <w:sz w:val="22"/>
        </w:rPr>
        <w:t>).</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sz w:val="22"/>
        </w:rPr>
        <w:t>B. The Borrower has requested that the Administrative Agent and the Lenders agree to amend certain provisions of the Existing Credit Agreement.</w:t>
      </w:r>
      <w:r>
        <w:rPr>
          <w:rFonts w:ascii="Times New Roman" w:hAnsi="Times New Roman"/>
          <w:sz w:val="20"/>
        </w:rPr>
        <w:t xml:space="preserve"> </w:t>
      </w:r>
    </w:p>
    <w:p>
      <w:pPr>
        <w:pStyle w:val="TextBody"/>
        <w:bidi w:val="0"/>
        <w:spacing w:before="280" w:after="0"/>
        <w:jc w:val="both"/>
        <w:rPr>
          <w:rFonts w:ascii="Times New Roman;serif" w:hAnsi="Times New Roman;serif"/>
          <w:b w:val="false"/>
          <w:sz w:val="22"/>
        </w:rPr>
      </w:pPr>
      <w:r>
        <w:rPr>
          <w:rFonts w:ascii="Times New Roman;serif" w:hAnsi="Times New Roman;serif"/>
          <w:b w:val="false"/>
          <w:sz w:val="22"/>
        </w:rPr>
        <w:t>C. The parties hereto agree to amend the Existing Credit Agreement pursuant to the terms of this Agreement.</w:t>
      </w:r>
    </w:p>
    <w:p>
      <w:pPr>
        <w:pStyle w:val="TextBody"/>
        <w:bidi w:val="0"/>
        <w:spacing w:before="280" w:after="0"/>
        <w:jc w:val="both"/>
        <w:rPr>
          <w:rFonts w:ascii="Times New Roman" w:hAnsi="Times New Roman"/>
          <w:sz w:val="20"/>
        </w:rPr>
      </w:pPr>
      <w:r>
        <w:rPr>
          <w:rFonts w:ascii="Times New Roman;serif" w:hAnsi="Times New Roman;serif"/>
          <w:b w:val="false"/>
          <w:smallCaps/>
          <w:sz w:val="22"/>
        </w:rPr>
        <w:t>Now, Therefore</w:t>
      </w:r>
      <w:r>
        <w:rPr>
          <w:rFonts w:ascii="Times New Roman;serif" w:hAnsi="Times New Roman;serif"/>
          <w:b w:val="false"/>
          <w:sz w:val="22"/>
        </w:rPr>
        <w:t>, for good and valuable consideration, the receipt and sufficiency of which is hereby acknowledged, the parties hereto agree as follows: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2"/>
        </w:rPr>
        <w:t xml:space="preserve">1. </w:t>
      </w:r>
      <w:r>
        <w:rPr>
          <w:rFonts w:ascii="Times New Roman;serif" w:hAnsi="Times New Roman;serif"/>
          <w:b w:val="false"/>
          <w:i/>
          <w:sz w:val="22"/>
        </w:rPr>
        <w:t>Incorporation of Recitals; Defined Terms.</w:t>
      </w:r>
      <w:r>
        <w:rPr>
          <w:rFonts w:ascii="Times New Roman" w:hAnsi="Times New Roman"/>
          <w:sz w:val="20"/>
        </w:rPr>
        <w:t xml:space="preserve"> </w:t>
      </w:r>
      <w:r>
        <w:rPr>
          <w:rFonts w:ascii="Times New Roman;serif" w:hAnsi="Times New Roman;serif"/>
          <w:b w:val="false"/>
          <w:sz w:val="22"/>
        </w:rPr>
        <w:t>The parties hereto acknowledge that the Recitals set forth above are true and correct in all material respects. The defined terms in the Recitals set forth above are hereby incorporated into this Agreement by reference. All other capitalized terms used herein without definition shall have the same meanings herein as such terms have in the Credit Agreement.</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2"/>
        </w:rPr>
        <w:t xml:space="preserve">2. </w:t>
      </w:r>
      <w:r>
        <w:rPr>
          <w:rFonts w:ascii="Times New Roman;serif" w:hAnsi="Times New Roman;serif"/>
          <w:b w:val="false"/>
          <w:i/>
          <w:sz w:val="22"/>
        </w:rPr>
        <w:t>Second Amendment to Existing Credit Agreement</w:t>
      </w:r>
      <w:r>
        <w:rPr>
          <w:rFonts w:ascii="Times New Roman;serif" w:hAnsi="Times New Roman;serif"/>
          <w:b w:val="false"/>
          <w:sz w:val="22"/>
        </w:rPr>
        <w:t>. Upon satisfaction of the conditions set forth in Section 5 hereof, the Borrower, the Lenders and the Administrative Agent hereby agree that the Existing Credit Agreement is hereby amended to incorporate the changes reflected in the pages of Annex A hereto.</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2"/>
        </w:rPr>
        <w:t xml:space="preserve">3. </w:t>
      </w:r>
      <w:r>
        <w:rPr>
          <w:rFonts w:ascii="Times New Roman;serif" w:hAnsi="Times New Roman;serif"/>
          <w:b w:val="false"/>
          <w:i/>
          <w:sz w:val="22"/>
        </w:rPr>
        <w:t>Acknowledgement of Liens</w:t>
      </w:r>
      <w:r>
        <w:rPr>
          <w:rFonts w:ascii="Times New Roman;serif" w:hAnsi="Times New Roman;serif"/>
          <w:b w:val="false"/>
          <w:sz w:val="22"/>
        </w:rPr>
        <w:t>. The Borrower hereby acknowledges and agrees that the Obligations owing to the Administrative Agent and the Lenders arising out of or in any manner relating to the Loan Documents shall continue to be secured by the Liens granted as security therefor in the Loan Documents, to the extent provided for in the Loan Documents heretofore executed and delivered by the Borrower;</w:t>
      </w:r>
      <w:r>
        <w:rPr>
          <w:rFonts w:ascii="Times New Roman" w:hAnsi="Times New Roman"/>
          <w:sz w:val="20"/>
        </w:rPr>
        <w:t xml:space="preserve"> </w:t>
      </w:r>
      <w:r>
        <w:rPr>
          <w:rFonts w:ascii="Times New Roman;serif" w:hAnsi="Times New Roman;serif"/>
          <w:b w:val="false"/>
          <w:sz w:val="22"/>
        </w:rPr>
        <w:t>and nothing herein contained shall in any manner affect or impair the priority of the Liens created and provided for thereby as to the indebtedness, obligations, and liabilities which would be secured thereby prior to giving effect to this Agreement.</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2"/>
        </w:rPr>
        <w:t xml:space="preserve">4. </w:t>
      </w:r>
      <w:r>
        <w:rPr>
          <w:rFonts w:ascii="Times New Roman;serif" w:hAnsi="Times New Roman;serif"/>
          <w:b w:val="false"/>
          <w:i/>
          <w:sz w:val="22"/>
        </w:rPr>
        <w:t xml:space="preserve">Representations And Warranties. </w:t>
      </w:r>
      <w:r>
        <w:rPr>
          <w:rFonts w:ascii="Times New Roman;serif" w:hAnsi="Times New Roman;serif"/>
          <w:b w:val="false"/>
          <w:sz w:val="22"/>
        </w:rPr>
        <w:t>In order to induce the Administrative Agent and the Lenders to enter into this Agreement, the Borrower hereby represents and warrants to the Administrative Agent and the Lenders as follows:</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z w:val="22"/>
        </w:rPr>
        <w:t>(A) After giving effect to this Agreement, the representations and warranties of the Borrower contained in Article 7 of the Credit Agreement and in each other Loan Document shall be true and correct in all material respects on and as of the date hereof; provided that to the extent that such representations and warranties specifically refer to an earlier date, they shall be true and correct in all material respects as of such earlier date; provided further that any representation and warranty that is qualified as to “materiality”, “Material Adverse Effect” or similar language shall be true and correct (after giving effect to any qualification therein) in all respects on such respective dates.</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sz w:val="22"/>
        </w:rPr>
        <w:t>(B) The execution, delivery and performance of this Agreement has been duly authorized by all necessary corporate action on the part of, and duly executed and delivered by, the Borrower.</w:t>
      </w:r>
      <w:r>
        <w:rPr>
          <w:rFonts w:ascii="Times New Roman" w:hAnsi="Times New Roman"/>
          <w:sz w:val="20"/>
        </w:rPr>
        <w:t xml:space="preserve"> </w:t>
      </w:r>
    </w:p>
    <w:p>
      <w:pPr>
        <w:pStyle w:val="TextBody"/>
        <w:bidi w:val="0"/>
        <w:spacing w:before="280" w:after="0"/>
        <w:jc w:val="both"/>
        <w:rPr>
          <w:rFonts w:ascii="Times New Roman;serif" w:hAnsi="Times New Roman;serif"/>
          <w:b w:val="false"/>
          <w:sz w:val="22"/>
        </w:rPr>
      </w:pPr>
      <w:r>
        <w:rPr>
          <w:rFonts w:ascii="Times New Roman;serif" w:hAnsi="Times New Roman;serif"/>
          <w:b w:val="false"/>
          <w:sz w:val="22"/>
        </w:rPr>
        <w:t xml:space="preserve">(C) No Default or Event of Default has occurred and is continuing or shall occur and be continuing immediately after giving effect to this Agreement.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mallCaps/>
          <w:sz w:val="22"/>
        </w:rPr>
        <w:t xml:space="preserve">5. </w:t>
      </w:r>
      <w:r>
        <w:rPr>
          <w:rFonts w:ascii="Times New Roman;serif" w:hAnsi="Times New Roman;serif"/>
          <w:b w:val="false"/>
          <w:i/>
          <w:sz w:val="22"/>
        </w:rPr>
        <w:t>Conditions Precedent.</w:t>
      </w:r>
      <w:r>
        <w:rPr>
          <w:rFonts w:ascii="Times New Roman" w:hAnsi="Times New Roman"/>
          <w:sz w:val="20"/>
        </w:rPr>
        <w:t xml:space="preserve"> </w:t>
      </w:r>
      <w:r>
        <w:rPr>
          <w:rFonts w:ascii="Times New Roman;serif" w:hAnsi="Times New Roman;serif"/>
          <w:b w:val="false"/>
          <w:sz w:val="22"/>
        </w:rPr>
        <w:t>The effectiveness of this Agreement is subject to the satisfaction of the following conditions precedent:</w:t>
      </w:r>
      <w:r>
        <w:rPr>
          <w:rFonts w:ascii="Times New Roman" w:hAnsi="Times New Roman"/>
          <w:sz w:val="20"/>
        </w:rPr>
        <w:t xml:space="preserve"> </w:t>
      </w:r>
    </w:p>
    <w:p>
      <w:pPr>
        <w:pStyle w:val="TextBody"/>
        <w:bidi w:val="0"/>
        <w:spacing w:before="280" w:after="0"/>
        <w:jc w:val="both"/>
        <w:rPr>
          <w:rFonts w:ascii="Times New Roman;serif" w:hAnsi="Times New Roman;serif"/>
          <w:b w:val="false"/>
          <w:sz w:val="22"/>
        </w:rPr>
      </w:pPr>
      <w:r>
        <w:rPr>
          <w:rFonts w:ascii="Times New Roman;serif" w:hAnsi="Times New Roman;serif"/>
          <w:b w:val="false"/>
          <w:sz w:val="22"/>
        </w:rPr>
        <w:t>(A) The Agent and the Lenders shall have received executed counterparts of this Agreement and the Second Amended and Restated Fee Letter, dated as of the date hereof, in each case, duly executed and delivered by the Borrower.</w:t>
      </w:r>
    </w:p>
    <w:p>
      <w:pPr>
        <w:pStyle w:val="TextBody"/>
        <w:bidi w:val="0"/>
        <w:spacing w:before="280" w:after="0"/>
        <w:jc w:val="both"/>
        <w:rPr>
          <w:rFonts w:ascii="Times New Roman" w:hAnsi="Times New Roman"/>
          <w:sz w:val="20"/>
        </w:rPr>
      </w:pPr>
      <w:r>
        <w:rPr>
          <w:rFonts w:ascii="Times New Roman;serif" w:hAnsi="Times New Roman;serif"/>
          <w:b w:val="false"/>
          <w:sz w:val="22"/>
        </w:rPr>
        <w:t>(B) The Administrative Agent and the Lenders shall have received (i) certified copies of the Organizational Documents of the Borrower (or certification of no change thereto since the Closing Date) and of resolutions of the Board (or similar governing body or committee of the board of directors, as applicable) of the Borrower approving and authorizing the execution, delivery and performance of this Agreement, certified as of the Second Amendment Effective Date by a Responsible Officer of the Borrower as being in full force and effect without modification or amendment and (ii) a good standing certificate and/or compliance certificate from the applicable Governmental Authority of the Borrower’s jurisdiction of incorporation, dated a recent date prior to the Second Amendment Effective Date.</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2"/>
        </w:rPr>
        <w:t xml:space="preserve">6. </w:t>
      </w:r>
      <w:r>
        <w:rPr>
          <w:rFonts w:ascii="Times New Roman;serif" w:hAnsi="Times New Roman;serif"/>
          <w:b w:val="false"/>
          <w:i/>
          <w:sz w:val="22"/>
        </w:rPr>
        <w:t>Reference to and Effect on the Loan Documents; No Novation.</w:t>
      </w:r>
    </w:p>
    <w:p>
      <w:pPr>
        <w:pStyle w:val="TextBody"/>
        <w:bidi w:val="0"/>
        <w:spacing w:before="280" w:after="0"/>
        <w:jc w:val="both"/>
        <w:rPr>
          <w:rFonts w:ascii="Times New Roman;serif" w:hAnsi="Times New Roman;serif"/>
          <w:b w:val="false"/>
          <w:sz w:val="22"/>
        </w:rPr>
      </w:pPr>
      <w:r>
        <w:rPr>
          <w:rFonts w:ascii="Times New Roman;serif" w:hAnsi="Times New Roman;serif"/>
          <w:b w:val="false"/>
          <w:sz w:val="22"/>
        </w:rPr>
        <w:t>(A) This Agreement constitutes a Loan Document. On and after the date hereof, words of like import referring to the Credit Agreement, and each reference in the other Loan Documents to the “Credit Agreement”, “thereunder”, “thereof” or words of like import referring to the Credit Agreement shall mean and be a reference to the Credit Agreement after giving effect to this Agreement.</w:t>
      </w:r>
    </w:p>
    <w:p>
      <w:pPr>
        <w:pStyle w:val="TextBody"/>
        <w:bidi w:val="0"/>
        <w:spacing w:before="280" w:after="0"/>
        <w:jc w:val="both"/>
        <w:rPr>
          <w:rFonts w:ascii="Times New Roman;serif" w:hAnsi="Times New Roman;serif"/>
          <w:b w:val="false"/>
          <w:sz w:val="22"/>
        </w:rPr>
      </w:pPr>
      <w:r>
        <w:rPr>
          <w:rFonts w:ascii="Times New Roman;serif" w:hAnsi="Times New Roman;serif"/>
          <w:b w:val="false"/>
          <w:sz w:val="22"/>
        </w:rPr>
        <w:t>(B) Except as specifically set forth in this Agreement, the Credit Agreement and the other Loan Documents shall remain in full force and effect and are hereby ratified and confirmed.</w:t>
      </w:r>
    </w:p>
    <w:p>
      <w:pPr>
        <w:pStyle w:val="TextBody"/>
        <w:bidi w:val="0"/>
        <w:spacing w:before="280" w:after="0"/>
        <w:jc w:val="both"/>
        <w:rPr>
          <w:rFonts w:ascii="Times New Roman" w:hAnsi="Times New Roman"/>
          <w:sz w:val="20"/>
        </w:rPr>
      </w:pPr>
      <w:r>
        <w:rPr>
          <w:rFonts w:ascii="Times New Roman;serif" w:hAnsi="Times New Roman;serif"/>
          <w:b w:val="false"/>
          <w:sz w:val="22"/>
        </w:rPr>
        <w:t>(C) Except as expressly set forth in this Agreement, the Loan Documents and all of the obligations of the Loan Parties thereunder and the rights and benefits of the Administrative Agent and the Lenders thereunder remain in full force and effect. This Agreement is not a novation nor is it to be construed as a release, waiver or modification of any of the terms, conditions, representations, warranties, covenants, rights or remedies set forth in the Loan Documents, except as specifically set forth herein. Without limiting the foregoing, the Loan Parties agree to comply with all of the terms, conditions, and provisions of the Loan Documents except to the extent such compliance is irreconcilably inconsistent with the express provisions of this Agreement. This Agreement may not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z w:val="22"/>
        </w:rPr>
        <w:t>be amended, supplemented, or otherwise modified except by a written agreement entered into in accordance with Section 13.04 of the Credit Agreement. THIS AGREEMENT, THE CREDIT AGREEMENT AND THE OTHER LOAN DOCUMENTS REPRESENTS THE ENTIRE AGREEMENT AMONG THE PARTIES</w:t>
      </w:r>
      <w:r>
        <w:rPr>
          <w:rFonts w:ascii="Times New Roman" w:hAnsi="Times New Roman"/>
          <w:caps/>
          <w:sz w:val="20"/>
        </w:rPr>
        <w:t xml:space="preserve"> </w:t>
      </w:r>
      <w:r>
        <w:rPr>
          <w:rFonts w:ascii="Times New Roman;serif" w:hAnsi="Times New Roman;serif"/>
          <w:b w:val="false"/>
          <w:caps/>
          <w:sz w:val="22"/>
        </w:rPr>
        <w:t>with respect to the subject matter hereof and thereof and supersede any and all previous agreements and understandings, oral or written, relating to the subject matter hereof.</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2"/>
        </w:rPr>
        <w:t xml:space="preserve">7. </w:t>
      </w:r>
      <w:r>
        <w:rPr>
          <w:rFonts w:ascii="Times New Roman;serif" w:hAnsi="Times New Roman;serif"/>
          <w:b w:val="false"/>
          <w:i/>
          <w:sz w:val="22"/>
        </w:rPr>
        <w:t>Headings</w:t>
      </w:r>
      <w:r>
        <w:rPr>
          <w:rFonts w:ascii="Times New Roman;serif" w:hAnsi="Times New Roman;serif"/>
          <w:b w:val="false"/>
          <w:sz w:val="22"/>
        </w:rPr>
        <w:t>. The headings in this Agreement are included solely for convenience of reference and are not intended to affect the interpretation of any provision of this Agreement.</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2"/>
        </w:rPr>
        <w:t xml:space="preserve">8. </w:t>
      </w:r>
      <w:r>
        <w:rPr>
          <w:rFonts w:ascii="Times New Roman;serif" w:hAnsi="Times New Roman;serif"/>
          <w:b w:val="false"/>
          <w:i/>
          <w:sz w:val="22"/>
        </w:rPr>
        <w:t>Governing Law</w:t>
      </w:r>
      <w:r>
        <w:rPr>
          <w:rFonts w:ascii="Times New Roman;serif" w:hAnsi="Times New Roman;serif"/>
          <w:b w:val="false"/>
          <w:sz w:val="22"/>
        </w:rPr>
        <w:t>. THIS AGREEMENT, THE RIGHTS AND OBLIGATIONS OF THE PARTIES HEREUNDER, AND ALL CLAIMS, DISPUTES AND MATTERS ARISING HEREUNDER OR RELATED HERETO, SHALL BE GOVERNED BY, AND CONSTRUED IN ACCORDANCE WITH, THE LAWS OF THE STATE OF NEW YORK APPLICABLE TO CONTRACTS EXECUTED IN AND TO BE PERFORMED ENTIRELY WITHIN THAT STATE, WITHOUT REFERENCE TO CONFLICTS OF LAWS PROVISIONS (OTHER THAN SECTION 5-1401 OF THE NEW YORK GENERAL OBLIGATIONS LAW).</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2"/>
        </w:rPr>
        <w:t xml:space="preserve">9. </w:t>
      </w:r>
      <w:r>
        <w:rPr>
          <w:rFonts w:ascii="Times New Roman;serif" w:hAnsi="Times New Roman;serif"/>
          <w:b w:val="false"/>
          <w:i/>
          <w:sz w:val="22"/>
        </w:rPr>
        <w:t>Incorporation of Sections 13.10 and 13.11 of the Credit Agreement</w:t>
      </w:r>
      <w:r>
        <w:rPr>
          <w:rFonts w:ascii="Times New Roman;serif" w:hAnsi="Times New Roman;serif"/>
          <w:b w:val="false"/>
          <w:sz w:val="22"/>
        </w:rPr>
        <w:t>. The provisions set forth in Sections 13.10 (Jurisdiction, Service of Process and Venue) and 13.11 (Waiver of Jury Trial) of the Credit Agreement shall apply to this Agreement in all respects.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2"/>
        </w:rPr>
        <w:t xml:space="preserve">10. </w:t>
      </w:r>
      <w:r>
        <w:rPr>
          <w:rFonts w:ascii="Times New Roman;serif" w:hAnsi="Times New Roman;serif"/>
          <w:b w:val="false"/>
          <w:i/>
          <w:sz w:val="22"/>
        </w:rPr>
        <w:t>Counterparts</w:t>
      </w:r>
      <w:r>
        <w:rPr>
          <w:rFonts w:ascii="Times New Roman;serif" w:hAnsi="Times New Roman;serif"/>
          <w:b w:val="false"/>
          <w:sz w:val="22"/>
        </w:rPr>
        <w:t>. This Agreement may be executed in any number of counterparts, all of which taken together shall constitute one and the same instrument and any of the parties hereto may execute this Agreement by signing any such counterpart. Delivery of an executed signature page of this Agreement by facsimile transmission, electronic transmission (in PDF format) or DocuSign shall be effective as delivery of a manually executed counterpart hereof. The words “execution,” “signed,” “signature,” and words of like import in this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2"/>
        </w:rPr>
        <w:t xml:space="preserve">11. </w:t>
      </w:r>
      <w:r>
        <w:rPr>
          <w:rFonts w:ascii="Times New Roman;serif" w:hAnsi="Times New Roman;serif"/>
          <w:b w:val="false"/>
          <w:i/>
          <w:sz w:val="22"/>
        </w:rPr>
        <w:t>Severability</w:t>
      </w:r>
      <w:r>
        <w:rPr>
          <w:rFonts w:ascii="Times New Roman;serif" w:hAnsi="Times New Roman;serif"/>
          <w:b w:val="false"/>
          <w:sz w:val="22"/>
        </w:rPr>
        <w:t>. If any provision hereof is found by a court to be invalid or unenforceable, to the fullest extent permitted by applicable Law the parties agree that such invalidity or unenforceability shall not impair the validity or enforceability of any other provision hereof.</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2"/>
        </w:rPr>
        <w:t xml:space="preserve">12. </w:t>
      </w:r>
      <w:r>
        <w:rPr>
          <w:rFonts w:ascii="Times New Roman;serif" w:hAnsi="Times New Roman;serif"/>
          <w:b w:val="false"/>
          <w:i/>
          <w:sz w:val="22"/>
        </w:rPr>
        <w:t>Binding Effect</w:t>
      </w:r>
      <w:r>
        <w:rPr>
          <w:rFonts w:ascii="Times New Roman;serif" w:hAnsi="Times New Roman;serif"/>
          <w:b w:val="false"/>
          <w:sz w:val="22"/>
        </w:rPr>
        <w:t>. This Agreement will be binding upon and inure to the benefit of and is enforceable by the respective successors and permitted assigns of the parties hereto.</w:t>
      </w:r>
      <w:r>
        <w:rPr>
          <w:rFonts w:ascii="Times New Roman" w:hAnsi="Times New Roman"/>
          <w:sz w:val="20"/>
        </w:rPr>
        <w:t xml:space="preserve"> </w:t>
      </w:r>
    </w:p>
    <w:p>
      <w:pPr>
        <w:pStyle w:val="TextBody"/>
        <w:bidi w:val="0"/>
        <w:spacing w:before="400" w:after="0"/>
        <w:jc w:val="center"/>
        <w:rPr>
          <w:rFonts w:ascii="Times New Roman;serif" w:hAnsi="Times New Roman;serif"/>
          <w:b w:val="false"/>
          <w:smallCaps/>
          <w:sz w:val="22"/>
        </w:rPr>
      </w:pPr>
      <w:r>
        <w:rPr>
          <w:rFonts w:ascii="Times New Roman;serif" w:hAnsi="Times New Roman;serif"/>
          <w:b w:val="false"/>
          <w:smallCaps/>
          <w:sz w:val="22"/>
        </w:rPr>
        <w:t>[Signature Pages to Follow]</w:t>
      </w:r>
    </w:p>
    <w:p>
      <w:pPr>
        <w:pStyle w:val="TextBody"/>
        <w:bidi w:val="0"/>
        <w:spacing w:before="280" w:after="0"/>
        <w:jc w:val="both"/>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120"/>
        <w:jc w:val="both"/>
        <w:rPr>
          <w:rFonts w:ascii="Times New Roman;serif" w:hAnsi="Times New Roman;serif"/>
          <w:b w:val="false"/>
          <w:sz w:val="22"/>
        </w:rPr>
      </w:pPr>
      <w:r>
        <w:rPr>
          <w:rFonts w:ascii="Times New Roman;serif" w:hAnsi="Times New Roman;serif"/>
          <w:b w:val="false"/>
          <w:sz w:val="22"/>
        </w:rPr>
        <w:t>IN WITNESS WHEREOF, the parties hereto have caused this Agreement to be duly executed and delivered by their respective officers thereunto duly authorized as of the date first written above.</w:t>
      </w:r>
    </w:p>
    <w:p>
      <w:pPr>
        <w:pStyle w:val="TextBody"/>
        <w:bidi w:val="0"/>
        <w:spacing w:before="280" w:after="0"/>
        <w:jc w:val="left"/>
        <w:rPr>
          <w:rFonts w:ascii="Times New Roman" w:hAnsi="Times New Roman"/>
          <w:sz w:val="20"/>
        </w:rPr>
      </w:pPr>
      <w:r>
        <w:rPr>
          <w:rFonts w:ascii="Times New Roman;serif" w:hAnsi="Times New Roman;serif"/>
          <w:b w:val="false"/>
          <w:smallCaps/>
          <w:sz w:val="22"/>
        </w:rPr>
        <w:t xml:space="preserve">Biodesix, Inc., </w:t>
      </w:r>
      <w:r>
        <w:rPr>
          <w:rFonts w:ascii="Times New Roman;serif" w:hAnsi="Times New Roman;serif"/>
          <w:b w:val="false"/>
          <w:sz w:val="22"/>
        </w:rPr>
        <w:t>as Borrower</w:t>
      </w:r>
    </w:p>
    <w:p>
      <w:pPr>
        <w:pStyle w:val="TextBody"/>
        <w:bidi w:val="0"/>
        <w:spacing w:before="56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Robin Harper Cowie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Name: Robin Harper Cowie</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Title: Chief Financial Officer</w:t>
      </w:r>
    </w:p>
    <w:p>
      <w:pPr>
        <w:pStyle w:val="TextBody"/>
        <w:bidi w:val="0"/>
        <w:spacing w:before="0" w:after="0"/>
        <w:jc w:val="left"/>
        <w:rPr/>
      </w:pPr>
      <w:r>
        <w:rPr/>
        <w:t> </w:t>
      </w:r>
    </w:p>
    <w:p>
      <w:pPr>
        <w:pStyle w:val="TextBody"/>
        <w:bidi w:val="0"/>
        <w:spacing w:before="28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[Signature Page to Second Amendment to Credit Agreement and Guaranty]</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mallCaps/>
          <w:sz w:val="22"/>
        </w:rPr>
      </w:pPr>
      <w:r>
        <w:rPr>
          <w:rFonts w:ascii="Times New Roman;serif" w:hAnsi="Times New Roman;serif"/>
          <w:b w:val="false"/>
          <w:smallCaps/>
          <w:sz w:val="22"/>
        </w:rPr>
        <w:t>PERCEPTIVE CREDIT HOLDINGS IV, LP,</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as Agent and Lender</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By: Perceptive Credit Opportunities GP, LLC, its general partner</w:t>
      </w:r>
    </w:p>
    <w:p>
      <w:pPr>
        <w:pStyle w:val="TextBody"/>
        <w:bidi w:val="0"/>
        <w:spacing w:before="56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Sandeep Dixit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Name: Sandeep Dixit</w:t>
      </w:r>
    </w:p>
    <w:p>
      <w:pPr>
        <w:pStyle w:val="TextBody"/>
        <w:bidi w:val="0"/>
        <w:spacing w:before="0" w:after="0"/>
        <w:jc w:val="left"/>
        <w:rPr>
          <w:rFonts w:ascii="Times New Roman" w:hAnsi="Times New Roman"/>
          <w:sz w:val="20"/>
        </w:rPr>
      </w:pPr>
      <w:r>
        <w:rPr>
          <w:rFonts w:ascii="Times New Roman;serif" w:hAnsi="Times New Roman;serif"/>
          <w:b w:val="false"/>
          <w:sz w:val="22"/>
        </w:rPr>
        <w:t>Title: Chief Credit Officer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Sam Chawla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Name: Sam Chawla</w:t>
      </w:r>
    </w:p>
    <w:p>
      <w:pPr>
        <w:pStyle w:val="TextBody"/>
        <w:bidi w:val="0"/>
        <w:spacing w:before="0" w:after="0"/>
        <w:jc w:val="left"/>
        <w:rPr>
          <w:rFonts w:ascii="Times New Roman" w:hAnsi="Times New Roman"/>
          <w:sz w:val="20"/>
        </w:rPr>
      </w:pPr>
      <w:r>
        <w:rPr>
          <w:rFonts w:ascii="Times New Roman;serif" w:hAnsi="Times New Roman;serif"/>
          <w:b w:val="false"/>
          <w:sz w:val="22"/>
        </w:rPr>
        <w:t>Title: Portfolio Manager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[Signature Page to Second Amendment to Credit Agreement and Guaranty]</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mallCaps/>
          <w:sz w:val="22"/>
        </w:rPr>
      </w:pPr>
      <w:r>
        <w:rPr>
          <w:rFonts w:ascii="Times New Roman;serif" w:hAnsi="Times New Roman;serif"/>
          <w:b/>
          <w:smallCaps/>
          <w:sz w:val="22"/>
        </w:rPr>
        <w:t>ANNEX A</w:t>
      </w:r>
    </w:p>
    <w:p>
      <w:pPr>
        <w:pStyle w:val="TextBody"/>
        <w:bidi w:val="0"/>
        <w:spacing w:before="280" w:after="0"/>
        <w:jc w:val="both"/>
        <w:rPr/>
      </w:pPr>
      <w:r>
        <w:rPr/>
        <w:t> </w:t>
      </w:r>
    </w:p>
    <w:p>
      <w:pPr>
        <w:pStyle w:val="TextBody"/>
        <w:bidi w:val="0"/>
        <w:spacing w:before="0" w:after="0"/>
        <w:jc w:val="center"/>
        <w:rPr>
          <w:rFonts w:ascii="Times New Roman;serif" w:hAnsi="Times New Roman;serif"/>
          <w:b/>
          <w:sz w:val="22"/>
        </w:rPr>
      </w:pPr>
      <w:r>
        <w:rPr>
          <w:rFonts w:ascii="Times New Roman;serif" w:hAnsi="Times New Roman;serif"/>
          <w:b/>
          <w:sz w:val="22"/>
        </w:rPr>
        <w:t>Conformed Credit Agreement</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2"/>
        </w:rPr>
      </w:pPr>
      <w:r>
        <w:rPr>
          <w:rFonts w:ascii="Times New Roman;serif" w:hAnsi="Times New Roman;serif"/>
          <w:b/>
          <w:sz w:val="22"/>
        </w:rPr>
        <w:t>(Second Amendment)</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See attached.</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right"/>
        <w:rPr/>
      </w:pPr>
      <w:r>
        <w:rPr/>
        <w:t> </w:t>
      </w:r>
    </w:p>
    <w:p>
      <w:pPr>
        <w:pStyle w:val="TextBody"/>
        <w:pBdr>
          <w:top w:val="double" w:sz="6" w:space="1" w:color="000000"/>
        </w:pBdr>
        <w:bidi w:val="0"/>
        <w:spacing w:before="0" w:after="480"/>
        <w:jc w:val="center"/>
        <w:rPr/>
      </w:pPr>
      <w:r>
        <w:rPr/>
        <w:t> </w:t>
      </w:r>
    </w:p>
    <w:p>
      <w:pPr>
        <w:pStyle w:val="TextBody"/>
        <w:bidi w:val="0"/>
        <w:spacing w:before="0" w:after="0"/>
        <w:jc w:val="center"/>
        <w:rPr>
          <w:rFonts w:ascii="Times New Roman;serif" w:hAnsi="Times New Roman;serif"/>
          <w:b w:val="false"/>
          <w:smallCaps/>
          <w:sz w:val="24"/>
        </w:rPr>
      </w:pPr>
      <w:r>
        <w:rPr>
          <w:rFonts w:ascii="Times New Roman;serif" w:hAnsi="Times New Roman;serif"/>
          <w:b w:val="false"/>
          <w:smallCaps/>
          <w:sz w:val="24"/>
        </w:rPr>
        <w:t>Credit Agreement and Guaranty</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dated as of</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smallCaps/>
          <w:sz w:val="24"/>
        </w:rPr>
        <w:t>November</w:t>
      </w:r>
      <w:r>
        <w:rPr>
          <w:rFonts w:ascii="Times New Roman" w:hAnsi="Times New Roman"/>
          <w:smallCaps/>
          <w:sz w:val="20"/>
        </w:rPr>
        <w:t xml:space="preserve"> </w:t>
      </w:r>
      <w:r>
        <w:rPr>
          <w:rFonts w:ascii="Times New Roman;serif" w:hAnsi="Times New Roman;serif"/>
          <w:b w:val="false"/>
          <w:smallCaps/>
          <w:sz w:val="24"/>
        </w:rPr>
        <w:t>16, 2022</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among</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smallCaps/>
          <w:sz w:val="24"/>
        </w:rPr>
        <w:t>Biodesix, Inc.,</w:t>
        <w:br/>
      </w:r>
      <w:r>
        <w:rPr>
          <w:rFonts w:ascii="Times New Roman;serif" w:hAnsi="Times New Roman;serif"/>
          <w:b w:val="false"/>
          <w:sz w:val="24"/>
        </w:rPr>
        <w:t>as the Borrower</w:t>
      </w:r>
      <w:r>
        <w:rPr>
          <w:rFonts w:ascii="Times New Roman;serif" w:hAnsi="Times New Roman;serif"/>
          <w:b w:val="false"/>
          <w:smallCaps/>
          <w:sz w:val="24"/>
        </w:rPr>
        <w:t>,</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mallCaps/>
          <w:sz w:val="24"/>
        </w:rPr>
      </w:pPr>
      <w:r>
        <w:rPr>
          <w:rFonts w:ascii="Times New Roman;serif" w:hAnsi="Times New Roman;serif"/>
          <w:b w:val="false"/>
          <w:smallCaps/>
          <w:sz w:val="24"/>
        </w:rPr>
        <w:t>The Guarantors from Time to Time Party hereto,</w:t>
      </w:r>
    </w:p>
    <w:p>
      <w:pPr>
        <w:pStyle w:val="TextBody"/>
        <w:bidi w:val="0"/>
        <w:spacing w:before="0" w:after="0"/>
        <w:jc w:val="center"/>
        <w:rPr>
          <w:rFonts w:ascii="Times New Roman" w:hAnsi="Times New Roman"/>
          <w:sz w:val="20"/>
        </w:rPr>
      </w:pPr>
      <w:r>
        <w:rPr>
          <w:rFonts w:ascii="Times New Roman;serif" w:hAnsi="Times New Roman;serif"/>
          <w:b w:val="false"/>
          <w:sz w:val="24"/>
        </w:rPr>
        <w:t>as Guarantors,</w:t>
        <w:br/>
      </w:r>
      <w:r>
        <w:rPr>
          <w:rFonts w:ascii="Times New Roman" w:hAnsi="Times New Roman"/>
          <w:sz w:val="20"/>
        </w:rPr>
        <w:t> </w:t>
      </w:r>
    </w:p>
    <w:p>
      <w:pPr>
        <w:pStyle w:val="TextBody"/>
        <w:bidi w:val="0"/>
        <w:spacing w:before="0" w:after="0"/>
        <w:jc w:val="center"/>
        <w:rPr>
          <w:rFonts w:ascii="Times New Roman" w:hAnsi="Times New Roman"/>
          <w:sz w:val="20"/>
        </w:rPr>
      </w:pPr>
      <w:r>
        <w:rPr>
          <w:rFonts w:ascii="Times New Roman;serif" w:hAnsi="Times New Roman;serif"/>
          <w:b w:val="false"/>
          <w:smallCaps/>
          <w:sz w:val="24"/>
        </w:rPr>
        <w:t>The Lenders from Time to Time Party hereto</w:t>
      </w:r>
      <w:r>
        <w:rPr>
          <w:rFonts w:ascii="Times New Roman;serif" w:hAnsi="Times New Roman;serif"/>
          <w:b w:val="false"/>
          <w:sz w:val="24"/>
        </w:rPr>
        <w:t>,</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as Lenders,</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mallCaps/>
          <w:sz w:val="24"/>
        </w:rPr>
      </w:pPr>
      <w:r>
        <w:rPr>
          <w:rFonts w:ascii="Times New Roman;serif" w:hAnsi="Times New Roman;serif"/>
          <w:b w:val="false"/>
          <w:smallCaps/>
          <w:sz w:val="24"/>
        </w:rPr>
        <w:t>and</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mallCaps/>
          <w:sz w:val="24"/>
        </w:rPr>
      </w:pPr>
      <w:r>
        <w:rPr>
          <w:rFonts w:ascii="Times New Roman;serif" w:hAnsi="Times New Roman;serif"/>
          <w:b w:val="false"/>
          <w:smallCaps/>
          <w:sz w:val="24"/>
        </w:rPr>
        <w:t>Perceptive Credit Holdings IV, LP,</w:t>
      </w:r>
    </w:p>
    <w:p>
      <w:pPr>
        <w:pStyle w:val="TextBody"/>
        <w:bidi w:val="0"/>
        <w:spacing w:before="0" w:after="0"/>
        <w:jc w:val="center"/>
        <w:rPr>
          <w:rFonts w:ascii="Times New Roman;serif" w:hAnsi="Times New Roman;serif"/>
          <w:b w:val="false"/>
          <w:sz w:val="24"/>
        </w:rPr>
      </w:pPr>
      <w:r>
        <w:rPr>
          <w:rFonts w:ascii="Times New Roman;serif" w:hAnsi="Times New Roman;serif"/>
          <w:b w:val="false"/>
          <w:sz w:val="24"/>
        </w:rPr>
        <w:t>as the Administrative Agent and as a Lender</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mallCaps/>
          <w:sz w:val="24"/>
        </w:rPr>
      </w:pPr>
      <w:r>
        <w:rPr>
          <w:rFonts w:ascii="Times New Roman;serif" w:hAnsi="Times New Roman;serif"/>
          <w:b w:val="false"/>
          <w:smallCaps/>
          <w:sz w:val="24"/>
        </w:rPr>
        <w:t>$50,000,000</w:t>
      </w:r>
    </w:p>
    <w:p>
      <w:pPr>
        <w:pStyle w:val="TextBody"/>
        <w:bidi w:val="0"/>
        <w:spacing w:before="0" w:after="0"/>
        <w:jc w:val="center"/>
        <w:rPr/>
      </w:pPr>
      <w:r>
        <w:rPr/>
        <w:t> </w:t>
      </w:r>
    </w:p>
    <w:p>
      <w:pPr>
        <w:pStyle w:val="TextBody"/>
        <w:bidi w:val="0"/>
        <w:spacing w:before="0" w:after="0"/>
        <w:jc w:val="center"/>
        <w:rPr/>
      </w:pPr>
      <w:r>
        <w:rPr/>
        <w:t> </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mallCaps/>
          <w:sz w:val="24"/>
        </w:rPr>
      </w:pPr>
      <w:r>
        <w:rPr>
          <w:rFonts w:ascii="Times New Roman;serif" w:hAnsi="Times New Roman;serif"/>
          <w:b/>
          <w:smallCaps/>
          <w:sz w:val="24"/>
        </w:rPr>
        <w:t>Table of Contents</w:t>
      </w:r>
    </w:p>
    <w:p>
      <w:pPr>
        <w:pStyle w:val="TextBody"/>
        <w:bidi w:val="0"/>
        <w:spacing w:before="280" w:after="0"/>
        <w:jc w:val="both"/>
        <w:rPr>
          <w:rFonts w:ascii="Times New Roman;serif" w:hAnsi="Times New Roman;serif"/>
          <w:b w:val="false"/>
          <w:smallCaps/>
          <w:sz w:val="24"/>
        </w:rPr>
      </w:pPr>
      <w:r>
        <w:rPr>
          <w:rFonts w:ascii="Times New Roman;serif" w:hAnsi="Times New Roman;serif"/>
          <w:b w:val="false"/>
          <w:smallCaps/>
          <w:sz w:val="24"/>
        </w:rPr>
        <w:t>Section Heading Page</w:t>
      </w:r>
    </w:p>
    <w:tbl>
      <w:tblPr>
        <w:tblW w:w="10205" w:type="dxa"/>
        <w:jc w:val="left"/>
        <w:tblInd w:w="0" w:type="dxa"/>
        <w:tblLayout w:type="fixed"/>
        <w:tblCellMar>
          <w:top w:w="28" w:type="dxa"/>
          <w:left w:w="28" w:type="dxa"/>
          <w:bottom w:w="28" w:type="dxa"/>
          <w:right w:w="28" w:type="dxa"/>
        </w:tblCellMar>
      </w:tblPr>
      <w:tblGrid>
        <w:gridCol w:w="1707"/>
        <w:gridCol w:w="5586"/>
        <w:gridCol w:w="2912"/>
      </w:tblGrid>
      <w:tr>
        <w:trPr/>
        <w:tc>
          <w:tcPr>
            <w:tcW w:w="1707" w:type="dxa"/>
            <w:tcBorders/>
            <w:vAlign w:val="center"/>
          </w:tcPr>
          <w:p>
            <w:pPr>
              <w:pStyle w:val="TableContents"/>
              <w:bidi w:val="0"/>
              <w:spacing w:before="0" w:after="283"/>
              <w:jc w:val="left"/>
              <w:rPr>
                <w:sz w:val="4"/>
                <w:szCs w:val="4"/>
              </w:rPr>
            </w:pPr>
            <w:r>
              <w:rPr>
                <w:sz w:val="4"/>
                <w:szCs w:val="4"/>
              </w:rPr>
            </w:r>
          </w:p>
        </w:tc>
        <w:tc>
          <w:tcPr>
            <w:tcW w:w="5586"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ind w:left="0" w:right="0" w:firstLine="2160"/>
              <w:jc w:val="left"/>
              <w:rPr>
                <w:sz w:val="4"/>
                <w:szCs w:val="4"/>
              </w:rPr>
            </w:pPr>
            <w:r>
              <w:rPr>
                <w:sz w:val="4"/>
                <w:szCs w:val="4"/>
              </w:rPr>
            </w:r>
          </w:p>
        </w:tc>
      </w:tr>
      <w:tr>
        <w:trPr/>
        <w:tc>
          <w:tcPr>
            <w:tcW w:w="7293" w:type="dxa"/>
            <w:gridSpan w:val="2"/>
            <w:tcBorders/>
            <w:vAlign w:val="center"/>
          </w:tcPr>
          <w:p>
            <w:pPr>
              <w:pStyle w:val="TableContents"/>
              <w:pBdr/>
              <w:bidi w:val="0"/>
              <w:spacing w:before="280" w:after="120"/>
              <w:ind w:left="0" w:right="0" w:hanging="2160"/>
              <w:jc w:val="left"/>
              <w:rPr>
                <w:rFonts w:ascii="Times New Roman;serif" w:hAnsi="Times New Roman;serif"/>
                <w:b w:val="false"/>
                <w:smallCaps/>
                <w:sz w:val="24"/>
              </w:rPr>
            </w:pPr>
            <w:r>
              <w:rPr>
                <w:rFonts w:ascii="Times New Roman;serif" w:hAnsi="Times New Roman;serif"/>
                <w:b w:val="false"/>
                <w:smallCaps/>
                <w:sz w:val="24"/>
              </w:rPr>
              <w:t>Article I Definitions</w:t>
            </w:r>
          </w:p>
        </w:tc>
        <w:tc>
          <w:tcPr>
            <w:tcW w:w="2912" w:type="dxa"/>
            <w:tcBorders/>
            <w:vAlign w:val="center"/>
          </w:tcPr>
          <w:p>
            <w:pPr>
              <w:pStyle w:val="TableContents"/>
              <w:bidi w:val="0"/>
              <w:spacing w:before="0" w:after="0"/>
              <w:ind w:left="0" w:right="0" w:firstLine="2520"/>
              <w:jc w:val="right"/>
              <w:rPr>
                <w:rFonts w:ascii="Times New Roman;serif" w:hAnsi="Times New Roman;serif"/>
                <w:b w:val="false"/>
                <w:smallCaps/>
                <w:sz w:val="24"/>
              </w:rPr>
            </w:pPr>
            <w:r>
              <w:rPr>
                <w:rFonts w:ascii="Times New Roman;serif" w:hAnsi="Times New Roman;serif"/>
                <w:b w:val="false"/>
                <w:smallCaps/>
                <w:sz w:val="24"/>
              </w:rPr>
              <w:t>1</w:t>
            </w:r>
          </w:p>
        </w:tc>
      </w:tr>
      <w:tr>
        <w:trPr/>
        <w:tc>
          <w:tcPr>
            <w:tcW w:w="7293" w:type="dxa"/>
            <w:gridSpan w:val="2"/>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1.01. Certain Defined Terms</w:t>
            </w:r>
          </w:p>
        </w:tc>
        <w:tc>
          <w:tcPr>
            <w:tcW w:w="2912"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1</w:t>
            </w:r>
          </w:p>
        </w:tc>
      </w:tr>
      <w:tr>
        <w:trPr/>
        <w:tc>
          <w:tcPr>
            <w:tcW w:w="7293" w:type="dxa"/>
            <w:gridSpan w:val="2"/>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1.02. Accounting Terms and Principles</w:t>
            </w:r>
          </w:p>
        </w:tc>
        <w:tc>
          <w:tcPr>
            <w:tcW w:w="2912"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32</w:t>
            </w:r>
          </w:p>
        </w:tc>
      </w:tr>
      <w:tr>
        <w:trPr/>
        <w:tc>
          <w:tcPr>
            <w:tcW w:w="7293" w:type="dxa"/>
            <w:gridSpan w:val="2"/>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1.03. Interpretation</w:t>
            </w:r>
          </w:p>
        </w:tc>
        <w:tc>
          <w:tcPr>
            <w:tcW w:w="2912"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33</w:t>
            </w:r>
          </w:p>
        </w:tc>
      </w:tr>
      <w:tr>
        <w:trPr/>
        <w:tc>
          <w:tcPr>
            <w:tcW w:w="7293" w:type="dxa"/>
            <w:gridSpan w:val="2"/>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1.04. Divisions</w:t>
            </w:r>
          </w:p>
        </w:tc>
        <w:tc>
          <w:tcPr>
            <w:tcW w:w="2912"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33</w:t>
            </w:r>
          </w:p>
        </w:tc>
      </w:tr>
      <w:tr>
        <w:trPr/>
        <w:tc>
          <w:tcPr>
            <w:tcW w:w="7293" w:type="dxa"/>
            <w:gridSpan w:val="2"/>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1.05. Interest Rates</w:t>
            </w:r>
          </w:p>
        </w:tc>
        <w:tc>
          <w:tcPr>
            <w:tcW w:w="2912" w:type="dxa"/>
            <w:tcBorders/>
            <w:vAlign w:val="center"/>
          </w:tcPr>
          <w:p>
            <w:pPr>
              <w:pStyle w:val="TableContents"/>
              <w:bidi w:val="0"/>
              <w:spacing w:before="0" w:after="0"/>
              <w:ind w:left="0" w:right="0" w:firstLine="2160"/>
              <w:jc w:val="right"/>
              <w:rPr>
                <w:rFonts w:ascii="Times New Roman;serif" w:hAnsi="Times New Roman;serif"/>
                <w:b w:val="false"/>
                <w:sz w:val="24"/>
              </w:rPr>
            </w:pPr>
            <w:r>
              <w:rPr>
                <w:rFonts w:ascii="Times New Roman;serif" w:hAnsi="Times New Roman;serif"/>
                <w:b w:val="false"/>
                <w:sz w:val="24"/>
              </w:rPr>
              <w:t>33</w:t>
            </w:r>
          </w:p>
        </w:tc>
      </w:tr>
      <w:tr>
        <w:trPr/>
        <w:tc>
          <w:tcPr>
            <w:tcW w:w="7293" w:type="dxa"/>
            <w:gridSpan w:val="2"/>
            <w:tcBorders/>
            <w:vAlign w:val="center"/>
          </w:tcPr>
          <w:p>
            <w:pPr>
              <w:pStyle w:val="TableContents"/>
              <w:pBdr/>
              <w:bidi w:val="0"/>
              <w:spacing w:before="280" w:after="120"/>
              <w:ind w:left="0" w:right="0" w:hanging="2160"/>
              <w:jc w:val="left"/>
              <w:rPr>
                <w:rFonts w:ascii="Times New Roman;serif" w:hAnsi="Times New Roman;serif"/>
                <w:b w:val="false"/>
                <w:smallCaps/>
                <w:sz w:val="24"/>
              </w:rPr>
            </w:pPr>
            <w:r>
              <w:rPr>
                <w:rFonts w:ascii="Times New Roman;serif" w:hAnsi="Times New Roman;serif"/>
                <w:b w:val="false"/>
                <w:smallCaps/>
                <w:sz w:val="24"/>
              </w:rPr>
              <w:t>Article 2 The Commitments</w:t>
            </w:r>
          </w:p>
        </w:tc>
        <w:tc>
          <w:tcPr>
            <w:tcW w:w="2912" w:type="dxa"/>
            <w:tcBorders/>
            <w:vAlign w:val="center"/>
          </w:tcPr>
          <w:p>
            <w:pPr>
              <w:pStyle w:val="TableContents"/>
              <w:bidi w:val="0"/>
              <w:spacing w:before="0" w:after="0"/>
              <w:ind w:left="0" w:right="0" w:firstLine="2520"/>
              <w:jc w:val="right"/>
              <w:rPr>
                <w:rFonts w:ascii="Times New Roman;serif" w:hAnsi="Times New Roman;serif"/>
                <w:b w:val="false"/>
                <w:smallCaps/>
                <w:sz w:val="24"/>
              </w:rPr>
            </w:pPr>
            <w:r>
              <w:rPr>
                <w:rFonts w:ascii="Times New Roman;serif" w:hAnsi="Times New Roman;serif"/>
                <w:b w:val="false"/>
                <w:smallCaps/>
                <w:sz w:val="24"/>
              </w:rPr>
              <w:t>34</w:t>
            </w:r>
          </w:p>
        </w:tc>
      </w:tr>
      <w:tr>
        <w:trPr/>
        <w:tc>
          <w:tcPr>
            <w:tcW w:w="7293" w:type="dxa"/>
            <w:gridSpan w:val="2"/>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2.01. Term Loan</w:t>
            </w:r>
          </w:p>
        </w:tc>
        <w:tc>
          <w:tcPr>
            <w:tcW w:w="2912"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34</w:t>
            </w:r>
          </w:p>
        </w:tc>
      </w:tr>
      <w:tr>
        <w:trPr/>
        <w:tc>
          <w:tcPr>
            <w:tcW w:w="7293" w:type="dxa"/>
            <w:gridSpan w:val="2"/>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2.02. Proportionate Shares</w:t>
            </w:r>
          </w:p>
        </w:tc>
        <w:tc>
          <w:tcPr>
            <w:tcW w:w="2912"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35</w:t>
            </w:r>
          </w:p>
        </w:tc>
      </w:tr>
      <w:tr>
        <w:trPr/>
        <w:tc>
          <w:tcPr>
            <w:tcW w:w="7293" w:type="dxa"/>
            <w:gridSpan w:val="2"/>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2.03. Fees</w:t>
            </w:r>
          </w:p>
        </w:tc>
        <w:tc>
          <w:tcPr>
            <w:tcW w:w="2912"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36</w:t>
            </w:r>
          </w:p>
        </w:tc>
      </w:tr>
      <w:tr>
        <w:trPr/>
        <w:tc>
          <w:tcPr>
            <w:tcW w:w="7293" w:type="dxa"/>
            <w:gridSpan w:val="2"/>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2.04. Notes</w:t>
            </w:r>
          </w:p>
        </w:tc>
        <w:tc>
          <w:tcPr>
            <w:tcW w:w="2912"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36</w:t>
            </w:r>
          </w:p>
        </w:tc>
      </w:tr>
      <w:tr>
        <w:trPr/>
        <w:tc>
          <w:tcPr>
            <w:tcW w:w="7293" w:type="dxa"/>
            <w:gridSpan w:val="2"/>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2.05. Use of Proceeds</w:t>
            </w:r>
          </w:p>
        </w:tc>
        <w:tc>
          <w:tcPr>
            <w:tcW w:w="2912" w:type="dxa"/>
            <w:tcBorders/>
            <w:vAlign w:val="center"/>
          </w:tcPr>
          <w:p>
            <w:pPr>
              <w:pStyle w:val="TableContents"/>
              <w:bidi w:val="0"/>
              <w:spacing w:before="0" w:after="0"/>
              <w:ind w:left="0" w:right="0" w:firstLine="2160"/>
              <w:jc w:val="right"/>
              <w:rPr>
                <w:rFonts w:ascii="Times New Roman;serif" w:hAnsi="Times New Roman;serif"/>
                <w:b w:val="false"/>
                <w:sz w:val="24"/>
              </w:rPr>
            </w:pPr>
            <w:r>
              <w:rPr>
                <w:rFonts w:ascii="Times New Roman;serif" w:hAnsi="Times New Roman;serif"/>
                <w:b w:val="false"/>
                <w:sz w:val="24"/>
              </w:rPr>
              <w:t>36</w:t>
            </w:r>
          </w:p>
        </w:tc>
      </w:tr>
      <w:tr>
        <w:trPr/>
        <w:tc>
          <w:tcPr>
            <w:tcW w:w="7293" w:type="dxa"/>
            <w:gridSpan w:val="2"/>
            <w:tcBorders/>
            <w:vAlign w:val="center"/>
          </w:tcPr>
          <w:p>
            <w:pPr>
              <w:pStyle w:val="TableContents"/>
              <w:pBdr/>
              <w:bidi w:val="0"/>
              <w:spacing w:before="280" w:after="120"/>
              <w:ind w:left="0" w:right="0" w:hanging="2160"/>
              <w:jc w:val="left"/>
              <w:rPr>
                <w:rFonts w:ascii="Times New Roman;serif" w:hAnsi="Times New Roman;serif"/>
                <w:b w:val="false"/>
                <w:smallCaps/>
                <w:sz w:val="24"/>
              </w:rPr>
            </w:pPr>
            <w:r>
              <w:rPr>
                <w:rFonts w:ascii="Times New Roman;serif" w:hAnsi="Times New Roman;serif"/>
                <w:b w:val="false"/>
                <w:smallCaps/>
                <w:sz w:val="24"/>
              </w:rPr>
              <w:t>Article 3 Payments of Principal and Interest</w:t>
            </w:r>
          </w:p>
        </w:tc>
        <w:tc>
          <w:tcPr>
            <w:tcW w:w="2912" w:type="dxa"/>
            <w:tcBorders/>
            <w:vAlign w:val="center"/>
          </w:tcPr>
          <w:p>
            <w:pPr>
              <w:pStyle w:val="TableContents"/>
              <w:bidi w:val="0"/>
              <w:spacing w:before="0" w:after="0"/>
              <w:ind w:left="0" w:right="0" w:firstLine="2520"/>
              <w:jc w:val="right"/>
              <w:rPr>
                <w:rFonts w:ascii="Times New Roman;serif" w:hAnsi="Times New Roman;serif"/>
                <w:b w:val="false"/>
                <w:smallCaps/>
                <w:sz w:val="24"/>
              </w:rPr>
            </w:pPr>
            <w:r>
              <w:rPr>
                <w:rFonts w:ascii="Times New Roman;serif" w:hAnsi="Times New Roman;serif"/>
                <w:b w:val="false"/>
                <w:smallCaps/>
                <w:sz w:val="24"/>
              </w:rPr>
              <w:t>36</w:t>
            </w:r>
          </w:p>
        </w:tc>
      </w:tr>
      <w:tr>
        <w:trPr/>
        <w:tc>
          <w:tcPr>
            <w:tcW w:w="7293" w:type="dxa"/>
            <w:gridSpan w:val="2"/>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3.01. Repayment</w:t>
            </w:r>
          </w:p>
        </w:tc>
        <w:tc>
          <w:tcPr>
            <w:tcW w:w="2912"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36</w:t>
            </w:r>
          </w:p>
        </w:tc>
      </w:tr>
      <w:tr>
        <w:trPr/>
        <w:tc>
          <w:tcPr>
            <w:tcW w:w="7293" w:type="dxa"/>
            <w:gridSpan w:val="2"/>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3.02. Interest</w:t>
            </w:r>
          </w:p>
        </w:tc>
        <w:tc>
          <w:tcPr>
            <w:tcW w:w="2912"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36</w:t>
            </w:r>
          </w:p>
        </w:tc>
      </w:tr>
      <w:tr>
        <w:trPr/>
        <w:tc>
          <w:tcPr>
            <w:tcW w:w="7293" w:type="dxa"/>
            <w:gridSpan w:val="2"/>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3.03. Prepayments</w:t>
            </w:r>
          </w:p>
        </w:tc>
        <w:tc>
          <w:tcPr>
            <w:tcW w:w="2912" w:type="dxa"/>
            <w:tcBorders/>
            <w:vAlign w:val="center"/>
          </w:tcPr>
          <w:p>
            <w:pPr>
              <w:pStyle w:val="TableContents"/>
              <w:bidi w:val="0"/>
              <w:spacing w:before="0" w:after="0"/>
              <w:ind w:left="0" w:right="0" w:firstLine="2160"/>
              <w:jc w:val="right"/>
              <w:rPr>
                <w:rFonts w:ascii="Times New Roman;serif" w:hAnsi="Times New Roman;serif"/>
                <w:b w:val="false"/>
                <w:sz w:val="24"/>
              </w:rPr>
            </w:pPr>
            <w:r>
              <w:rPr>
                <w:rFonts w:ascii="Times New Roman;serif" w:hAnsi="Times New Roman;serif"/>
                <w:b w:val="false"/>
                <w:sz w:val="24"/>
              </w:rPr>
              <w:t>39</w:t>
            </w:r>
          </w:p>
        </w:tc>
      </w:tr>
      <w:tr>
        <w:trPr/>
        <w:tc>
          <w:tcPr>
            <w:tcW w:w="7293" w:type="dxa"/>
            <w:gridSpan w:val="2"/>
            <w:tcBorders/>
            <w:vAlign w:val="center"/>
          </w:tcPr>
          <w:p>
            <w:pPr>
              <w:pStyle w:val="TableContents"/>
              <w:pBdr/>
              <w:bidi w:val="0"/>
              <w:spacing w:before="280" w:after="120"/>
              <w:ind w:left="0" w:right="0" w:hanging="2160"/>
              <w:jc w:val="left"/>
              <w:rPr>
                <w:rFonts w:ascii="Times New Roman;serif" w:hAnsi="Times New Roman;serif"/>
                <w:b w:val="false"/>
                <w:smallCaps/>
                <w:sz w:val="24"/>
              </w:rPr>
            </w:pPr>
            <w:r>
              <w:rPr>
                <w:rFonts w:ascii="Times New Roman;serif" w:hAnsi="Times New Roman;serif"/>
                <w:b w:val="false"/>
                <w:smallCaps/>
                <w:sz w:val="24"/>
              </w:rPr>
              <w:t>Article 4 Payments</w:t>
            </w:r>
          </w:p>
        </w:tc>
        <w:tc>
          <w:tcPr>
            <w:tcW w:w="2912" w:type="dxa"/>
            <w:tcBorders/>
            <w:vAlign w:val="center"/>
          </w:tcPr>
          <w:p>
            <w:pPr>
              <w:pStyle w:val="TableContents"/>
              <w:bidi w:val="0"/>
              <w:spacing w:before="0" w:after="0"/>
              <w:ind w:left="0" w:right="0" w:firstLine="2520"/>
              <w:jc w:val="right"/>
              <w:rPr>
                <w:rFonts w:ascii="Times New Roman;serif" w:hAnsi="Times New Roman;serif"/>
                <w:b w:val="false"/>
                <w:smallCaps/>
                <w:sz w:val="24"/>
              </w:rPr>
            </w:pPr>
            <w:r>
              <w:rPr>
                <w:rFonts w:ascii="Times New Roman;serif" w:hAnsi="Times New Roman;serif"/>
                <w:b w:val="false"/>
                <w:smallCaps/>
                <w:sz w:val="24"/>
              </w:rPr>
              <w:t>42</w:t>
            </w:r>
          </w:p>
        </w:tc>
      </w:tr>
      <w:tr>
        <w:trPr/>
        <w:tc>
          <w:tcPr>
            <w:tcW w:w="7293" w:type="dxa"/>
            <w:gridSpan w:val="2"/>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4.01. Payments</w:t>
            </w:r>
          </w:p>
        </w:tc>
        <w:tc>
          <w:tcPr>
            <w:tcW w:w="2912"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42</w:t>
            </w:r>
          </w:p>
        </w:tc>
      </w:tr>
      <w:tr>
        <w:trPr/>
        <w:tc>
          <w:tcPr>
            <w:tcW w:w="7293" w:type="dxa"/>
            <w:gridSpan w:val="2"/>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4.02. Computations</w:t>
            </w:r>
          </w:p>
        </w:tc>
        <w:tc>
          <w:tcPr>
            <w:tcW w:w="2912"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43</w:t>
            </w:r>
          </w:p>
        </w:tc>
      </w:tr>
      <w:tr>
        <w:trPr/>
        <w:tc>
          <w:tcPr>
            <w:tcW w:w="7293" w:type="dxa"/>
            <w:gridSpan w:val="2"/>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4.03. Notices</w:t>
            </w:r>
          </w:p>
        </w:tc>
        <w:tc>
          <w:tcPr>
            <w:tcW w:w="2912"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43</w:t>
            </w:r>
          </w:p>
        </w:tc>
      </w:tr>
      <w:tr>
        <w:trPr/>
        <w:tc>
          <w:tcPr>
            <w:tcW w:w="7293" w:type="dxa"/>
            <w:gridSpan w:val="2"/>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4.04. Set</w:t>
              <w:noBreakHyphen/>
              <w:t>Off</w:t>
            </w:r>
          </w:p>
        </w:tc>
        <w:tc>
          <w:tcPr>
            <w:tcW w:w="2912" w:type="dxa"/>
            <w:tcBorders/>
            <w:vAlign w:val="center"/>
          </w:tcPr>
          <w:p>
            <w:pPr>
              <w:pStyle w:val="TableContents"/>
              <w:bidi w:val="0"/>
              <w:spacing w:before="0" w:after="0"/>
              <w:ind w:left="0" w:right="0" w:firstLine="2160"/>
              <w:jc w:val="right"/>
              <w:rPr>
                <w:rFonts w:ascii="Times New Roman;serif" w:hAnsi="Times New Roman;serif"/>
                <w:b w:val="false"/>
                <w:sz w:val="24"/>
              </w:rPr>
            </w:pPr>
            <w:r>
              <w:rPr>
                <w:rFonts w:ascii="Times New Roman;serif" w:hAnsi="Times New Roman;serif"/>
                <w:b w:val="false"/>
                <w:sz w:val="24"/>
              </w:rPr>
              <w:t>43</w:t>
            </w:r>
          </w:p>
        </w:tc>
      </w:tr>
      <w:tr>
        <w:trPr/>
        <w:tc>
          <w:tcPr>
            <w:tcW w:w="7293" w:type="dxa"/>
            <w:gridSpan w:val="2"/>
            <w:tcBorders/>
            <w:vAlign w:val="center"/>
          </w:tcPr>
          <w:p>
            <w:pPr>
              <w:pStyle w:val="TableContents"/>
              <w:pBdr/>
              <w:bidi w:val="0"/>
              <w:spacing w:before="280" w:after="120"/>
              <w:ind w:left="0" w:right="0" w:hanging="2160"/>
              <w:jc w:val="left"/>
              <w:rPr>
                <w:rFonts w:ascii="Times New Roman;serif" w:hAnsi="Times New Roman;serif"/>
                <w:b w:val="false"/>
                <w:smallCaps/>
                <w:sz w:val="24"/>
              </w:rPr>
            </w:pPr>
            <w:r>
              <w:rPr>
                <w:rFonts w:ascii="Times New Roman;serif" w:hAnsi="Times New Roman;serif"/>
                <w:b w:val="false"/>
                <w:smallCaps/>
                <w:sz w:val="24"/>
              </w:rPr>
              <w:t>Article 5 Yield Protection</w:t>
            </w:r>
          </w:p>
        </w:tc>
        <w:tc>
          <w:tcPr>
            <w:tcW w:w="2912" w:type="dxa"/>
            <w:tcBorders/>
            <w:vAlign w:val="center"/>
          </w:tcPr>
          <w:p>
            <w:pPr>
              <w:pStyle w:val="TableContents"/>
              <w:bidi w:val="0"/>
              <w:spacing w:before="0" w:after="0"/>
              <w:ind w:left="0" w:right="0" w:firstLine="2520"/>
              <w:jc w:val="right"/>
              <w:rPr>
                <w:rFonts w:ascii="Times New Roman;serif" w:hAnsi="Times New Roman;serif"/>
                <w:b w:val="false"/>
                <w:smallCaps/>
                <w:sz w:val="24"/>
              </w:rPr>
            </w:pPr>
            <w:r>
              <w:rPr>
                <w:rFonts w:ascii="Times New Roman;serif" w:hAnsi="Times New Roman;serif"/>
                <w:b w:val="false"/>
                <w:smallCaps/>
                <w:sz w:val="24"/>
              </w:rPr>
              <w:t>43</w:t>
            </w:r>
          </w:p>
        </w:tc>
      </w:tr>
      <w:tr>
        <w:trPr/>
        <w:tc>
          <w:tcPr>
            <w:tcW w:w="7293" w:type="dxa"/>
            <w:gridSpan w:val="2"/>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5.01. Additional Costs</w:t>
            </w:r>
          </w:p>
        </w:tc>
        <w:tc>
          <w:tcPr>
            <w:tcW w:w="2912"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43</w:t>
            </w:r>
          </w:p>
        </w:tc>
      </w:tr>
      <w:tr>
        <w:trPr/>
        <w:tc>
          <w:tcPr>
            <w:tcW w:w="7293" w:type="dxa"/>
            <w:gridSpan w:val="2"/>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5.02. Illegality</w:t>
            </w:r>
          </w:p>
        </w:tc>
        <w:tc>
          <w:tcPr>
            <w:tcW w:w="2912"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45</w:t>
            </w:r>
          </w:p>
        </w:tc>
      </w:tr>
      <w:tr>
        <w:trPr/>
        <w:tc>
          <w:tcPr>
            <w:tcW w:w="7293" w:type="dxa"/>
            <w:gridSpan w:val="2"/>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5.03. Taxes</w:t>
            </w:r>
          </w:p>
        </w:tc>
        <w:tc>
          <w:tcPr>
            <w:tcW w:w="2912"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45</w:t>
            </w:r>
          </w:p>
        </w:tc>
      </w:tr>
      <w:tr>
        <w:trPr/>
        <w:tc>
          <w:tcPr>
            <w:tcW w:w="7293" w:type="dxa"/>
            <w:gridSpan w:val="2"/>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5.04. Delay in Requests</w:t>
            </w:r>
          </w:p>
        </w:tc>
        <w:tc>
          <w:tcPr>
            <w:tcW w:w="2912" w:type="dxa"/>
            <w:tcBorders/>
            <w:vAlign w:val="center"/>
          </w:tcPr>
          <w:p>
            <w:pPr>
              <w:pStyle w:val="TableContents"/>
              <w:bidi w:val="0"/>
              <w:spacing w:before="0" w:after="0"/>
              <w:ind w:left="0" w:right="0" w:firstLine="2160"/>
              <w:jc w:val="right"/>
              <w:rPr>
                <w:rFonts w:ascii="Times New Roman;serif" w:hAnsi="Times New Roman;serif"/>
                <w:b w:val="false"/>
                <w:sz w:val="24"/>
              </w:rPr>
            </w:pPr>
            <w:r>
              <w:rPr>
                <w:rFonts w:ascii="Times New Roman;serif" w:hAnsi="Times New Roman;serif"/>
                <w:b w:val="false"/>
                <w:sz w:val="24"/>
              </w:rPr>
              <w:t>50</w:t>
            </w:r>
          </w:p>
        </w:tc>
      </w:tr>
      <w:tr>
        <w:trPr/>
        <w:tc>
          <w:tcPr>
            <w:tcW w:w="7293" w:type="dxa"/>
            <w:gridSpan w:val="2"/>
            <w:tcBorders/>
            <w:vAlign w:val="center"/>
          </w:tcPr>
          <w:p>
            <w:pPr>
              <w:pStyle w:val="TableContents"/>
              <w:pBdr/>
              <w:bidi w:val="0"/>
              <w:spacing w:before="280" w:after="120"/>
              <w:ind w:left="0" w:right="0" w:hanging="2160"/>
              <w:jc w:val="left"/>
              <w:rPr>
                <w:rFonts w:ascii="Times New Roman;serif" w:hAnsi="Times New Roman;serif"/>
                <w:b w:val="false"/>
                <w:smallCaps/>
                <w:sz w:val="24"/>
              </w:rPr>
            </w:pPr>
            <w:r>
              <w:rPr>
                <w:rFonts w:ascii="Times New Roman;serif" w:hAnsi="Times New Roman;serif"/>
                <w:b w:val="false"/>
                <w:smallCaps/>
                <w:sz w:val="24"/>
              </w:rPr>
              <w:t>Article 6 Conditions Precedent</w:t>
            </w:r>
          </w:p>
        </w:tc>
        <w:tc>
          <w:tcPr>
            <w:tcW w:w="2912" w:type="dxa"/>
            <w:tcBorders/>
            <w:vAlign w:val="center"/>
          </w:tcPr>
          <w:p>
            <w:pPr>
              <w:pStyle w:val="TableContents"/>
              <w:bidi w:val="0"/>
              <w:spacing w:before="0" w:after="0"/>
              <w:ind w:left="0" w:right="0" w:firstLine="2520"/>
              <w:jc w:val="right"/>
              <w:rPr>
                <w:rFonts w:ascii="Times New Roman;serif" w:hAnsi="Times New Roman;serif"/>
                <w:b w:val="false"/>
                <w:smallCaps/>
                <w:sz w:val="24"/>
              </w:rPr>
            </w:pPr>
            <w:r>
              <w:rPr>
                <w:rFonts w:ascii="Times New Roman;serif" w:hAnsi="Times New Roman;serif"/>
                <w:b w:val="false"/>
                <w:smallCaps/>
                <w:sz w:val="24"/>
              </w:rPr>
              <w:t>51</w:t>
            </w:r>
          </w:p>
        </w:tc>
      </w:tr>
      <w:tr>
        <w:trPr/>
        <w:tc>
          <w:tcPr>
            <w:tcW w:w="7293" w:type="dxa"/>
            <w:gridSpan w:val="2"/>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6.01. Conditions to Closing Date</w:t>
            </w:r>
          </w:p>
        </w:tc>
        <w:tc>
          <w:tcPr>
            <w:tcW w:w="2912"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51</w:t>
            </w:r>
          </w:p>
        </w:tc>
      </w:tr>
      <w:tr>
        <w:trPr/>
        <w:tc>
          <w:tcPr>
            <w:tcW w:w="1707"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6.02.</w:t>
            </w:r>
          </w:p>
        </w:tc>
        <w:tc>
          <w:tcPr>
            <w:tcW w:w="5586" w:type="dxa"/>
            <w:tcBorders/>
            <w:vAlign w:val="center"/>
          </w:tcPr>
          <w:p>
            <w:pPr>
              <w:pStyle w:val="TableContents"/>
              <w:bidi w:val="0"/>
              <w:spacing w:before="0" w:after="0"/>
              <w:ind w:left="0" w:right="0" w:hanging="0"/>
              <w:jc w:val="left"/>
              <w:rPr>
                <w:rFonts w:ascii="Times New Roman;serif" w:hAnsi="Times New Roman;serif"/>
                <w:b w:val="false"/>
                <w:sz w:val="24"/>
              </w:rPr>
            </w:pPr>
            <w:r>
              <w:rPr>
                <w:rFonts w:ascii="Times New Roman;serif" w:hAnsi="Times New Roman;serif"/>
                <w:b w:val="false"/>
                <w:sz w:val="24"/>
              </w:rPr>
              <w:t>Conditions to Funding Date; Tranche A Loan</w:t>
            </w:r>
          </w:p>
        </w:tc>
        <w:tc>
          <w:tcPr>
            <w:tcW w:w="2912"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53</w:t>
            </w:r>
          </w:p>
        </w:tc>
      </w:tr>
      <w:tr>
        <w:trPr/>
        <w:tc>
          <w:tcPr>
            <w:tcW w:w="7293" w:type="dxa"/>
            <w:gridSpan w:val="2"/>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6.03. Conditions to Tranche B Loan; Tranche B Loan Borrowing Date</w:t>
            </w:r>
          </w:p>
        </w:tc>
        <w:tc>
          <w:tcPr>
            <w:tcW w:w="2912"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55</w:t>
            </w:r>
          </w:p>
        </w:tc>
      </w:tr>
      <w:tr>
        <w:trPr/>
        <w:tc>
          <w:tcPr>
            <w:tcW w:w="7293" w:type="dxa"/>
            <w:gridSpan w:val="2"/>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6.04. Conditions to Tranche C Loan; Tranche C Loan Borrowing Date</w:t>
            </w:r>
          </w:p>
        </w:tc>
        <w:tc>
          <w:tcPr>
            <w:tcW w:w="2912" w:type="dxa"/>
            <w:tcBorders/>
            <w:vAlign w:val="center"/>
          </w:tcPr>
          <w:p>
            <w:pPr>
              <w:pStyle w:val="TableContents"/>
              <w:bidi w:val="0"/>
              <w:spacing w:before="0" w:after="0"/>
              <w:ind w:left="0" w:right="0" w:firstLine="2160"/>
              <w:jc w:val="right"/>
              <w:rPr>
                <w:rFonts w:ascii="Times New Roman;serif" w:hAnsi="Times New Roman;serif"/>
                <w:b w:val="false"/>
                <w:sz w:val="24"/>
              </w:rPr>
            </w:pPr>
            <w:r>
              <w:rPr>
                <w:rFonts w:ascii="Times New Roman;serif" w:hAnsi="Times New Roman;serif"/>
                <w:b w:val="false"/>
                <w:sz w:val="24"/>
              </w:rPr>
              <w:t>56</w:t>
            </w:r>
          </w:p>
        </w:tc>
      </w:tr>
      <w:tr>
        <w:trPr/>
        <w:tc>
          <w:tcPr>
            <w:tcW w:w="7293" w:type="dxa"/>
            <w:gridSpan w:val="2"/>
            <w:tcBorders/>
            <w:vAlign w:val="center"/>
          </w:tcPr>
          <w:p>
            <w:pPr>
              <w:pStyle w:val="TableContents"/>
              <w:pBdr/>
              <w:bidi w:val="0"/>
              <w:spacing w:before="280" w:after="120"/>
              <w:ind w:left="0" w:right="0" w:hanging="2160"/>
              <w:jc w:val="left"/>
              <w:rPr>
                <w:rFonts w:ascii="Times New Roman;serif" w:hAnsi="Times New Roman;serif"/>
                <w:b w:val="false"/>
                <w:smallCaps/>
                <w:sz w:val="24"/>
              </w:rPr>
            </w:pPr>
            <w:r>
              <w:rPr>
                <w:rFonts w:ascii="Times New Roman;serif" w:hAnsi="Times New Roman;serif"/>
                <w:b w:val="false"/>
                <w:smallCaps/>
                <w:sz w:val="24"/>
              </w:rPr>
              <w:t>Article 7 Representations and Warranties</w:t>
            </w:r>
          </w:p>
        </w:tc>
        <w:tc>
          <w:tcPr>
            <w:tcW w:w="2912" w:type="dxa"/>
            <w:tcBorders/>
            <w:vAlign w:val="center"/>
          </w:tcPr>
          <w:p>
            <w:pPr>
              <w:pStyle w:val="TableContents"/>
              <w:bidi w:val="0"/>
              <w:spacing w:before="0" w:after="0"/>
              <w:ind w:left="0" w:right="0" w:firstLine="2520"/>
              <w:jc w:val="right"/>
              <w:rPr>
                <w:rFonts w:ascii="Times New Roman;serif" w:hAnsi="Times New Roman;serif"/>
                <w:b w:val="false"/>
                <w:smallCaps/>
                <w:sz w:val="24"/>
              </w:rPr>
            </w:pPr>
            <w:r>
              <w:rPr>
                <w:rFonts w:ascii="Times New Roman;serif" w:hAnsi="Times New Roman;serif"/>
                <w:b w:val="false"/>
                <w:smallCaps/>
                <w:sz w:val="24"/>
              </w:rPr>
              <w:t>57</w:t>
            </w:r>
          </w:p>
        </w:tc>
      </w:tr>
      <w:tr>
        <w:trPr/>
        <w:tc>
          <w:tcPr>
            <w:tcW w:w="7293" w:type="dxa"/>
            <w:gridSpan w:val="2"/>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7.01. Power and Authority</w:t>
            </w:r>
          </w:p>
        </w:tc>
        <w:tc>
          <w:tcPr>
            <w:tcW w:w="2912" w:type="dxa"/>
            <w:tcBorders/>
            <w:vAlign w:val="center"/>
          </w:tcPr>
          <w:p>
            <w:pPr>
              <w:pStyle w:val="TableContents"/>
              <w:bidi w:val="0"/>
              <w:spacing w:before="0" w:after="0"/>
              <w:ind w:left="0" w:right="0" w:hanging="0"/>
              <w:jc w:val="right"/>
              <w:rPr>
                <w:rFonts w:ascii="Times New Roman;serif" w:hAnsi="Times New Roman;serif"/>
                <w:b w:val="false"/>
                <w:sz w:val="24"/>
              </w:rPr>
            </w:pPr>
            <w:r>
              <w:rPr>
                <w:rFonts w:ascii="Times New Roman;serif" w:hAnsi="Times New Roman;serif"/>
                <w:b w:val="false"/>
                <w:sz w:val="24"/>
              </w:rPr>
              <w:t>57</w:t>
            </w:r>
          </w:p>
        </w:tc>
      </w:tr>
    </w:tbl>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294"/>
        <w:gridCol w:w="2911"/>
      </w:tblGrid>
      <w:tr>
        <w:trPr/>
        <w:tc>
          <w:tcPr>
            <w:tcW w:w="7294"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ind w:left="0" w:right="0" w:firstLine="2520"/>
              <w:jc w:val="left"/>
              <w:rPr>
                <w:sz w:val="4"/>
                <w:szCs w:val="4"/>
              </w:rPr>
            </w:pPr>
            <w:r>
              <w:rPr>
                <w:sz w:val="4"/>
                <w:szCs w:val="4"/>
              </w:rPr>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7.02. Authorization; Enforceability</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57</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7.03. Governmental and Other Approvals; No Conflicts</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57</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7.04. Financial Statements; Projections; Material Adverse Change</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58</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7.05. Properties</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58</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7.06. No Actions or Proceedings</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61</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7.07. Compliance with Laws and Agreements</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61</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7.08. Taxes</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62</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7.09. Full Disclosure</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62</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7.10. Regulation</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63</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7.11. Solvency</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63</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7.12. Subsidiaries</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63</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7.13. Indebtedness and Liens</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63</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7.14. Material Agreements</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63</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7.15. Restrictive Agreements</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64</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7.16. Real Property</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64</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7.17. Pension and Other Benefit Plans</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64</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7.18. Collateral; Security Interest</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64</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7.19. Regulatory Approvals</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64</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7.20. Capitalization</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67</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7.21. Insurance</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67</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7.22. Certain Fees</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67</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7.23. Economic Sanctions Laws</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67</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7.24. Anti</w:t>
              <w:noBreakHyphen/>
              <w:t>Corruption Laws</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67</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7.25. Anti</w:t>
              <w:noBreakHyphen/>
              <w:t>Terrorism Laws</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67</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7.26. Royalty and Other Payments</w:t>
            </w:r>
          </w:p>
        </w:tc>
        <w:tc>
          <w:tcPr>
            <w:tcW w:w="2911" w:type="dxa"/>
            <w:tcBorders/>
            <w:vAlign w:val="center"/>
          </w:tcPr>
          <w:p>
            <w:pPr>
              <w:pStyle w:val="TableContents"/>
              <w:bidi w:val="0"/>
              <w:spacing w:before="0" w:after="0"/>
              <w:ind w:left="0" w:right="0" w:firstLine="2160"/>
              <w:jc w:val="right"/>
              <w:rPr>
                <w:rFonts w:ascii="Times New Roman;serif" w:hAnsi="Times New Roman;serif"/>
                <w:b w:val="false"/>
                <w:sz w:val="24"/>
              </w:rPr>
            </w:pPr>
            <w:r>
              <w:rPr>
                <w:rFonts w:ascii="Times New Roman;serif" w:hAnsi="Times New Roman;serif"/>
                <w:b w:val="false"/>
                <w:sz w:val="24"/>
              </w:rPr>
              <w:t>68</w:t>
            </w:r>
          </w:p>
        </w:tc>
      </w:tr>
      <w:tr>
        <w:trPr/>
        <w:tc>
          <w:tcPr>
            <w:tcW w:w="7294" w:type="dxa"/>
            <w:tcBorders/>
            <w:vAlign w:val="center"/>
          </w:tcPr>
          <w:p>
            <w:pPr>
              <w:pStyle w:val="TableContents"/>
              <w:pBdr/>
              <w:bidi w:val="0"/>
              <w:spacing w:before="280" w:after="120"/>
              <w:ind w:left="0" w:right="0" w:hanging="2160"/>
              <w:jc w:val="left"/>
              <w:rPr>
                <w:rFonts w:ascii="Times New Roman;serif" w:hAnsi="Times New Roman;serif"/>
                <w:b w:val="false"/>
                <w:smallCaps/>
                <w:sz w:val="24"/>
              </w:rPr>
            </w:pPr>
            <w:r>
              <w:rPr>
                <w:rFonts w:ascii="Times New Roman;serif" w:hAnsi="Times New Roman;serif"/>
                <w:b w:val="false"/>
                <w:smallCaps/>
                <w:sz w:val="24"/>
              </w:rPr>
              <w:t>Article 8 Affirmative Covenants and Financial Covenants</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mallCaps/>
                <w:sz w:val="24"/>
              </w:rPr>
            </w:pPr>
            <w:r>
              <w:rPr>
                <w:rFonts w:ascii="Times New Roman;serif" w:hAnsi="Times New Roman;serif"/>
                <w:b w:val="false"/>
                <w:smallCaps/>
                <w:sz w:val="24"/>
              </w:rPr>
              <w:t>68</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8.01. Financial Statements and Other Information</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68</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8.02. Notices of Material Events</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71</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8.03. Existence; Maintenance of Properties.</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74</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8.04. Payment of Obligations</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75</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8.05. Insurance</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75</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8.06. Books and Records; Inspection Rights</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76</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8.07. Compliance with Laws</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76</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8.08. Licenses</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77</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8.09. Action under Environmental Laws</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77</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8.10. Use of Proceeds</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77</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8.11. Certain Obligations Respecting Subsidiaries; Further Assurances</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78</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8.12. Termination of Non</w:t>
              <w:noBreakHyphen/>
              <w:t>Permitted Liens</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79</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8.13. Non-Consolidation</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79</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8.14. Anti</w:t>
              <w:noBreakHyphen/>
              <w:t>Terrorism and Anti</w:t>
              <w:noBreakHyphen/>
              <w:t>Corruption Laws</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79</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8.15. Financial Covenants</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79</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8.16. Maintenance of Regulatory Approvals, Contracts and Intellectual Property.</w:t>
            </w:r>
          </w:p>
        </w:tc>
        <w:tc>
          <w:tcPr>
            <w:tcW w:w="291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80</w:t>
            </w:r>
          </w:p>
        </w:tc>
      </w:tr>
      <w:tr>
        <w:trPr/>
        <w:tc>
          <w:tcPr>
            <w:tcW w:w="729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8.17. Cash Management</w:t>
            </w:r>
          </w:p>
        </w:tc>
        <w:tc>
          <w:tcPr>
            <w:tcW w:w="2911" w:type="dxa"/>
            <w:tcBorders/>
            <w:vAlign w:val="center"/>
          </w:tcPr>
          <w:p>
            <w:pPr>
              <w:pStyle w:val="TableContents"/>
              <w:bidi w:val="0"/>
              <w:spacing w:before="0" w:after="0"/>
              <w:ind w:left="0" w:right="0" w:hanging="0"/>
              <w:jc w:val="right"/>
              <w:rPr>
                <w:rFonts w:ascii="Times New Roman;serif" w:hAnsi="Times New Roman;serif"/>
                <w:b w:val="false"/>
                <w:sz w:val="24"/>
              </w:rPr>
            </w:pPr>
            <w:r>
              <w:rPr>
                <w:rFonts w:ascii="Times New Roman;serif" w:hAnsi="Times New Roman;serif"/>
                <w:b w:val="false"/>
                <w:sz w:val="24"/>
              </w:rPr>
              <w:t>80</w:t>
            </w:r>
          </w:p>
        </w:tc>
      </w:tr>
    </w:tbl>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9287" w:type="dxa"/>
        <w:jc w:val="left"/>
        <w:tblInd w:w="0" w:type="dxa"/>
        <w:tblLayout w:type="fixed"/>
        <w:tblCellMar>
          <w:top w:w="28" w:type="dxa"/>
          <w:left w:w="28" w:type="dxa"/>
          <w:bottom w:w="28" w:type="dxa"/>
          <w:right w:w="28" w:type="dxa"/>
        </w:tblCellMar>
      </w:tblPr>
      <w:tblGrid>
        <w:gridCol w:w="6256"/>
        <w:gridCol w:w="3031"/>
      </w:tblGrid>
      <w:tr>
        <w:trPr/>
        <w:tc>
          <w:tcPr>
            <w:tcW w:w="6256"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ind w:left="0" w:right="0" w:firstLine="2520"/>
              <w:jc w:val="left"/>
              <w:rPr>
                <w:sz w:val="4"/>
                <w:szCs w:val="4"/>
              </w:rPr>
            </w:pPr>
            <w:r>
              <w:rPr>
                <w:sz w:val="4"/>
                <w:szCs w:val="4"/>
              </w:rPr>
            </w:r>
          </w:p>
        </w:tc>
      </w:tr>
      <w:tr>
        <w:trPr/>
        <w:tc>
          <w:tcPr>
            <w:tcW w:w="6256"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8.18. Certain Post-Funding Obligations</w:t>
            </w:r>
          </w:p>
        </w:tc>
        <w:tc>
          <w:tcPr>
            <w:tcW w:w="3031" w:type="dxa"/>
            <w:tcBorders/>
            <w:vAlign w:val="center"/>
          </w:tcPr>
          <w:p>
            <w:pPr>
              <w:pStyle w:val="TableContents"/>
              <w:bidi w:val="0"/>
              <w:spacing w:before="0" w:after="0"/>
              <w:ind w:left="0" w:right="0" w:firstLine="2160"/>
              <w:jc w:val="right"/>
              <w:rPr>
                <w:rFonts w:ascii="Times New Roman;serif" w:hAnsi="Times New Roman;serif"/>
                <w:b w:val="false"/>
                <w:sz w:val="24"/>
              </w:rPr>
            </w:pPr>
            <w:r>
              <w:rPr>
                <w:rFonts w:ascii="Times New Roman;serif" w:hAnsi="Times New Roman;serif"/>
                <w:b w:val="false"/>
                <w:sz w:val="24"/>
              </w:rPr>
              <w:t>81</w:t>
            </w:r>
          </w:p>
        </w:tc>
      </w:tr>
      <w:tr>
        <w:trPr/>
        <w:tc>
          <w:tcPr>
            <w:tcW w:w="6256" w:type="dxa"/>
            <w:tcBorders/>
            <w:vAlign w:val="center"/>
          </w:tcPr>
          <w:p>
            <w:pPr>
              <w:pStyle w:val="TableContents"/>
              <w:pBdr/>
              <w:bidi w:val="0"/>
              <w:spacing w:before="280" w:after="120"/>
              <w:ind w:left="0" w:right="0" w:hanging="2160"/>
              <w:jc w:val="left"/>
              <w:rPr>
                <w:rFonts w:ascii="Times New Roman;serif" w:hAnsi="Times New Roman;serif"/>
                <w:b w:val="false"/>
                <w:smallCaps/>
                <w:sz w:val="24"/>
              </w:rPr>
            </w:pPr>
            <w:r>
              <w:rPr>
                <w:rFonts w:ascii="Times New Roman;serif" w:hAnsi="Times New Roman;serif"/>
                <w:b w:val="false"/>
                <w:smallCaps/>
                <w:sz w:val="24"/>
              </w:rPr>
              <w:t>Article 9 Negative Covenants</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mallCaps/>
                <w:sz w:val="24"/>
              </w:rPr>
            </w:pPr>
            <w:r>
              <w:rPr>
                <w:rFonts w:ascii="Times New Roman;serif" w:hAnsi="Times New Roman;serif"/>
                <w:b w:val="false"/>
                <w:smallCaps/>
                <w:sz w:val="24"/>
              </w:rPr>
              <w:t>81</w:t>
            </w:r>
          </w:p>
        </w:tc>
      </w:tr>
      <w:tr>
        <w:trPr/>
        <w:tc>
          <w:tcPr>
            <w:tcW w:w="6256"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9.01. Indebtedness</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81</w:t>
            </w:r>
          </w:p>
        </w:tc>
      </w:tr>
      <w:tr>
        <w:trPr/>
        <w:tc>
          <w:tcPr>
            <w:tcW w:w="6256"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9.02. Liens</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83</w:t>
            </w:r>
          </w:p>
        </w:tc>
      </w:tr>
      <w:tr>
        <w:trPr/>
        <w:tc>
          <w:tcPr>
            <w:tcW w:w="6256"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9.03. Fundamental Changes and Acquisitions</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84</w:t>
            </w:r>
          </w:p>
        </w:tc>
      </w:tr>
      <w:tr>
        <w:trPr/>
        <w:tc>
          <w:tcPr>
            <w:tcW w:w="6256"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9.04. Lines of Business</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85</w:t>
            </w:r>
          </w:p>
        </w:tc>
      </w:tr>
      <w:tr>
        <w:trPr/>
        <w:tc>
          <w:tcPr>
            <w:tcW w:w="6256"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9.05. Investments</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85</w:t>
            </w:r>
          </w:p>
        </w:tc>
      </w:tr>
      <w:tr>
        <w:trPr/>
        <w:tc>
          <w:tcPr>
            <w:tcW w:w="6256"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9.06. Restricted Payments</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87</w:t>
            </w:r>
          </w:p>
        </w:tc>
      </w:tr>
      <w:tr>
        <w:trPr/>
        <w:tc>
          <w:tcPr>
            <w:tcW w:w="6256"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9.07. Payments of Indebtedness and Milestone Payments</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87</w:t>
            </w:r>
          </w:p>
        </w:tc>
      </w:tr>
      <w:tr>
        <w:trPr/>
        <w:tc>
          <w:tcPr>
            <w:tcW w:w="6256"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9.08. Change in Fiscal Year</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88</w:t>
            </w:r>
          </w:p>
        </w:tc>
      </w:tr>
      <w:tr>
        <w:trPr/>
        <w:tc>
          <w:tcPr>
            <w:tcW w:w="6256"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9.09. Sales of Assets.</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88</w:t>
            </w:r>
          </w:p>
        </w:tc>
      </w:tr>
      <w:tr>
        <w:trPr/>
        <w:tc>
          <w:tcPr>
            <w:tcW w:w="6256"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9.10. Transactions with Affiliates</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90</w:t>
            </w:r>
          </w:p>
        </w:tc>
      </w:tr>
      <w:tr>
        <w:trPr/>
        <w:tc>
          <w:tcPr>
            <w:tcW w:w="6256"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9.11. Restrictive Agreements</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91</w:t>
            </w:r>
          </w:p>
        </w:tc>
      </w:tr>
      <w:tr>
        <w:trPr/>
        <w:tc>
          <w:tcPr>
            <w:tcW w:w="6256"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9.12. Organizational Documents, Material Agreements</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91</w:t>
            </w:r>
          </w:p>
        </w:tc>
      </w:tr>
      <w:tr>
        <w:trPr/>
        <w:tc>
          <w:tcPr>
            <w:tcW w:w="6256"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9.13. [Reserved]</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92</w:t>
            </w:r>
          </w:p>
        </w:tc>
      </w:tr>
      <w:tr>
        <w:trPr/>
        <w:tc>
          <w:tcPr>
            <w:tcW w:w="6256"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9.14. Sales and Leasebacks</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92</w:t>
            </w:r>
          </w:p>
        </w:tc>
      </w:tr>
      <w:tr>
        <w:trPr/>
        <w:tc>
          <w:tcPr>
            <w:tcW w:w="6256"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9.15. Hazardous Material</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92</w:t>
            </w:r>
          </w:p>
        </w:tc>
      </w:tr>
      <w:tr>
        <w:trPr/>
        <w:tc>
          <w:tcPr>
            <w:tcW w:w="6256"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9.16. Accounting Changes</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92</w:t>
            </w:r>
          </w:p>
        </w:tc>
      </w:tr>
      <w:tr>
        <w:trPr/>
        <w:tc>
          <w:tcPr>
            <w:tcW w:w="6256"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9.17. Compliance with ERISA</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92</w:t>
            </w:r>
          </w:p>
        </w:tc>
      </w:tr>
      <w:tr>
        <w:trPr/>
        <w:tc>
          <w:tcPr>
            <w:tcW w:w="6256"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9.18. Deposit Accounts</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92</w:t>
            </w:r>
          </w:p>
        </w:tc>
      </w:tr>
      <w:tr>
        <w:trPr/>
        <w:tc>
          <w:tcPr>
            <w:tcW w:w="6256"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9.19. Outbound Licenses</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92</w:t>
            </w:r>
          </w:p>
        </w:tc>
      </w:tr>
      <w:tr>
        <w:trPr/>
        <w:tc>
          <w:tcPr>
            <w:tcW w:w="6256"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9.20. Inbound Licenses</w:t>
            </w:r>
          </w:p>
        </w:tc>
        <w:tc>
          <w:tcPr>
            <w:tcW w:w="3031" w:type="dxa"/>
            <w:tcBorders/>
            <w:vAlign w:val="center"/>
          </w:tcPr>
          <w:p>
            <w:pPr>
              <w:pStyle w:val="TableContents"/>
              <w:bidi w:val="0"/>
              <w:spacing w:before="0" w:after="0"/>
              <w:ind w:left="0" w:right="0" w:firstLine="2160"/>
              <w:jc w:val="right"/>
              <w:rPr>
                <w:rFonts w:ascii="Times New Roman;serif" w:hAnsi="Times New Roman;serif"/>
                <w:b w:val="false"/>
                <w:sz w:val="24"/>
              </w:rPr>
            </w:pPr>
            <w:r>
              <w:rPr>
                <w:rFonts w:ascii="Times New Roman;serif" w:hAnsi="Times New Roman;serif"/>
                <w:b w:val="false"/>
                <w:sz w:val="24"/>
              </w:rPr>
              <w:t>92</w:t>
            </w:r>
          </w:p>
        </w:tc>
      </w:tr>
      <w:tr>
        <w:trPr/>
        <w:tc>
          <w:tcPr>
            <w:tcW w:w="6256" w:type="dxa"/>
            <w:tcBorders/>
            <w:vAlign w:val="center"/>
          </w:tcPr>
          <w:p>
            <w:pPr>
              <w:pStyle w:val="TableContents"/>
              <w:pBdr/>
              <w:bidi w:val="0"/>
              <w:spacing w:before="280" w:after="120"/>
              <w:ind w:left="0" w:right="0" w:hanging="2160"/>
              <w:jc w:val="left"/>
              <w:rPr>
                <w:rFonts w:ascii="Times New Roman;serif" w:hAnsi="Times New Roman;serif"/>
                <w:b w:val="false"/>
                <w:smallCaps/>
                <w:sz w:val="24"/>
              </w:rPr>
            </w:pPr>
            <w:r>
              <w:rPr>
                <w:rFonts w:ascii="Times New Roman;serif" w:hAnsi="Times New Roman;serif"/>
                <w:b w:val="false"/>
                <w:smallCaps/>
                <w:sz w:val="24"/>
              </w:rPr>
              <w:t>Article 10 Events of Default</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mallCaps/>
                <w:sz w:val="24"/>
              </w:rPr>
            </w:pPr>
            <w:r>
              <w:rPr>
                <w:rFonts w:ascii="Times New Roman;serif" w:hAnsi="Times New Roman;serif"/>
                <w:b w:val="false"/>
                <w:smallCaps/>
                <w:sz w:val="24"/>
              </w:rPr>
              <w:t>93</w:t>
            </w:r>
          </w:p>
        </w:tc>
      </w:tr>
      <w:tr>
        <w:trPr/>
        <w:tc>
          <w:tcPr>
            <w:tcW w:w="6256"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10.01. Events of Default</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93</w:t>
            </w:r>
          </w:p>
        </w:tc>
      </w:tr>
      <w:tr>
        <w:trPr/>
        <w:tc>
          <w:tcPr>
            <w:tcW w:w="6256"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10.02. Remedies</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96</w:t>
            </w:r>
          </w:p>
        </w:tc>
      </w:tr>
      <w:tr>
        <w:trPr/>
        <w:tc>
          <w:tcPr>
            <w:tcW w:w="6256"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10.03. Prepayment Premium and Redemption Price</w:t>
            </w:r>
          </w:p>
        </w:tc>
        <w:tc>
          <w:tcPr>
            <w:tcW w:w="3031" w:type="dxa"/>
            <w:tcBorders/>
            <w:vAlign w:val="center"/>
          </w:tcPr>
          <w:p>
            <w:pPr>
              <w:pStyle w:val="TableContents"/>
              <w:bidi w:val="0"/>
              <w:spacing w:before="0" w:after="0"/>
              <w:ind w:left="0" w:right="0" w:firstLine="2160"/>
              <w:jc w:val="right"/>
              <w:rPr>
                <w:rFonts w:ascii="Times New Roman;serif" w:hAnsi="Times New Roman;serif"/>
                <w:b w:val="false"/>
                <w:sz w:val="24"/>
              </w:rPr>
            </w:pPr>
            <w:r>
              <w:rPr>
                <w:rFonts w:ascii="Times New Roman;serif" w:hAnsi="Times New Roman;serif"/>
                <w:b w:val="false"/>
                <w:sz w:val="24"/>
              </w:rPr>
              <w:t>96</w:t>
            </w:r>
          </w:p>
        </w:tc>
      </w:tr>
      <w:tr>
        <w:trPr/>
        <w:tc>
          <w:tcPr>
            <w:tcW w:w="6256" w:type="dxa"/>
            <w:tcBorders/>
            <w:vAlign w:val="center"/>
          </w:tcPr>
          <w:p>
            <w:pPr>
              <w:pStyle w:val="TableContents"/>
              <w:pBdr/>
              <w:bidi w:val="0"/>
              <w:spacing w:before="280" w:after="120"/>
              <w:ind w:left="0" w:right="0" w:hanging="2160"/>
              <w:jc w:val="left"/>
              <w:rPr>
                <w:rFonts w:ascii="Times New Roman;serif" w:hAnsi="Times New Roman;serif"/>
                <w:b w:val="false"/>
                <w:smallCaps/>
                <w:sz w:val="24"/>
              </w:rPr>
            </w:pPr>
            <w:r>
              <w:rPr>
                <w:rFonts w:ascii="Times New Roman;serif" w:hAnsi="Times New Roman;serif"/>
                <w:b w:val="false"/>
                <w:smallCaps/>
                <w:sz w:val="24"/>
              </w:rPr>
              <w:t>Article 11 Guarantee</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mallCaps/>
                <w:sz w:val="24"/>
              </w:rPr>
            </w:pPr>
            <w:r>
              <w:rPr>
                <w:rFonts w:ascii="Times New Roman;serif" w:hAnsi="Times New Roman;serif"/>
                <w:b w:val="false"/>
                <w:smallCaps/>
                <w:sz w:val="24"/>
              </w:rPr>
              <w:t>97</w:t>
            </w:r>
          </w:p>
        </w:tc>
      </w:tr>
      <w:tr>
        <w:trPr/>
        <w:tc>
          <w:tcPr>
            <w:tcW w:w="6256"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11.01. The Guarantee</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97</w:t>
            </w:r>
          </w:p>
        </w:tc>
      </w:tr>
      <w:tr>
        <w:trPr/>
        <w:tc>
          <w:tcPr>
            <w:tcW w:w="6256"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11.02. Obligations Unconditional</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97</w:t>
            </w:r>
          </w:p>
        </w:tc>
      </w:tr>
      <w:tr>
        <w:trPr/>
        <w:tc>
          <w:tcPr>
            <w:tcW w:w="6256"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11.03. Reinstatement</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99</w:t>
            </w:r>
          </w:p>
        </w:tc>
      </w:tr>
      <w:tr>
        <w:trPr/>
        <w:tc>
          <w:tcPr>
            <w:tcW w:w="6256"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11.04. Subrogation</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99</w:t>
            </w:r>
          </w:p>
        </w:tc>
      </w:tr>
      <w:tr>
        <w:trPr/>
        <w:tc>
          <w:tcPr>
            <w:tcW w:w="6256"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11.05. Remedies</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99</w:t>
            </w:r>
          </w:p>
        </w:tc>
      </w:tr>
      <w:tr>
        <w:trPr/>
        <w:tc>
          <w:tcPr>
            <w:tcW w:w="6256"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11.06. Instrument for the Payment of Money</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100</w:t>
            </w:r>
          </w:p>
        </w:tc>
      </w:tr>
      <w:tr>
        <w:trPr/>
        <w:tc>
          <w:tcPr>
            <w:tcW w:w="6256"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11.07. Continuing Guarantee</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100</w:t>
            </w:r>
          </w:p>
        </w:tc>
      </w:tr>
      <w:tr>
        <w:trPr/>
        <w:tc>
          <w:tcPr>
            <w:tcW w:w="6256"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11.08. Rights of Contribution</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100</w:t>
            </w:r>
          </w:p>
        </w:tc>
      </w:tr>
      <w:tr>
        <w:trPr/>
        <w:tc>
          <w:tcPr>
            <w:tcW w:w="6256"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11.09. General Limitation on Guarantee Obligations</w:t>
            </w:r>
          </w:p>
        </w:tc>
        <w:tc>
          <w:tcPr>
            <w:tcW w:w="3031" w:type="dxa"/>
            <w:tcBorders/>
            <w:vAlign w:val="center"/>
          </w:tcPr>
          <w:p>
            <w:pPr>
              <w:pStyle w:val="TableContents"/>
              <w:bidi w:val="0"/>
              <w:spacing w:before="0" w:after="0"/>
              <w:ind w:left="0" w:right="0" w:firstLine="2160"/>
              <w:jc w:val="right"/>
              <w:rPr>
                <w:rFonts w:ascii="Times New Roman;serif" w:hAnsi="Times New Roman;serif"/>
                <w:b w:val="false"/>
                <w:sz w:val="24"/>
              </w:rPr>
            </w:pPr>
            <w:r>
              <w:rPr>
                <w:rFonts w:ascii="Times New Roman;serif" w:hAnsi="Times New Roman;serif"/>
                <w:b w:val="false"/>
                <w:sz w:val="24"/>
              </w:rPr>
              <w:t>101</w:t>
            </w:r>
          </w:p>
        </w:tc>
      </w:tr>
      <w:tr>
        <w:trPr/>
        <w:tc>
          <w:tcPr>
            <w:tcW w:w="6256" w:type="dxa"/>
            <w:tcBorders/>
            <w:vAlign w:val="center"/>
          </w:tcPr>
          <w:p>
            <w:pPr>
              <w:pStyle w:val="TableContents"/>
              <w:pBdr/>
              <w:bidi w:val="0"/>
              <w:spacing w:before="280" w:after="120"/>
              <w:ind w:left="0" w:right="0" w:hanging="2160"/>
              <w:jc w:val="left"/>
              <w:rPr>
                <w:rFonts w:ascii="Times New Roman;serif" w:hAnsi="Times New Roman;serif"/>
                <w:b w:val="false"/>
                <w:smallCaps/>
                <w:sz w:val="24"/>
              </w:rPr>
            </w:pPr>
            <w:r>
              <w:rPr>
                <w:rFonts w:ascii="Times New Roman;serif" w:hAnsi="Times New Roman;serif"/>
                <w:b w:val="false"/>
                <w:smallCaps/>
                <w:sz w:val="24"/>
              </w:rPr>
              <w:t>Article 12 Administrative Agent</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mallCaps/>
                <w:sz w:val="24"/>
              </w:rPr>
            </w:pPr>
            <w:r>
              <w:rPr>
                <w:rFonts w:ascii="Times New Roman;serif" w:hAnsi="Times New Roman;serif"/>
                <w:b w:val="false"/>
                <w:smallCaps/>
                <w:sz w:val="24"/>
              </w:rPr>
              <w:t>101</w:t>
            </w:r>
          </w:p>
        </w:tc>
      </w:tr>
      <w:tr>
        <w:trPr/>
        <w:tc>
          <w:tcPr>
            <w:tcW w:w="6256"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12.01. Appointment</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101</w:t>
            </w:r>
          </w:p>
        </w:tc>
      </w:tr>
      <w:tr>
        <w:trPr/>
        <w:tc>
          <w:tcPr>
            <w:tcW w:w="6256"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12.02. Rights as a Lender</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101</w:t>
            </w:r>
          </w:p>
        </w:tc>
      </w:tr>
      <w:tr>
        <w:trPr/>
        <w:tc>
          <w:tcPr>
            <w:tcW w:w="6256"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12.03. Exculpatory Provisions</w:t>
            </w:r>
          </w:p>
        </w:tc>
        <w:tc>
          <w:tcPr>
            <w:tcW w:w="3031" w:type="dxa"/>
            <w:tcBorders/>
            <w:vAlign w:val="center"/>
          </w:tcPr>
          <w:p>
            <w:pPr>
              <w:pStyle w:val="TableContents"/>
              <w:bidi w:val="0"/>
              <w:spacing w:before="0" w:after="0"/>
              <w:ind w:left="0" w:right="0" w:hanging="0"/>
              <w:jc w:val="right"/>
              <w:rPr>
                <w:rFonts w:ascii="Times New Roman;serif" w:hAnsi="Times New Roman;serif"/>
                <w:b w:val="false"/>
                <w:sz w:val="24"/>
              </w:rPr>
            </w:pPr>
            <w:r>
              <w:rPr>
                <w:rFonts w:ascii="Times New Roman;serif" w:hAnsi="Times New Roman;serif"/>
                <w:b w:val="false"/>
                <w:sz w:val="24"/>
              </w:rPr>
              <w:t>102</w:t>
            </w:r>
          </w:p>
        </w:tc>
      </w:tr>
    </w:tbl>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174"/>
        <w:gridCol w:w="3031"/>
      </w:tblGrid>
      <w:tr>
        <w:trPr/>
        <w:tc>
          <w:tcPr>
            <w:tcW w:w="7174"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ind w:left="0" w:right="0" w:firstLine="2520"/>
              <w:jc w:val="left"/>
              <w:rPr>
                <w:sz w:val="4"/>
                <w:szCs w:val="4"/>
              </w:rPr>
            </w:pPr>
            <w:r>
              <w:rPr>
                <w:sz w:val="4"/>
                <w:szCs w:val="4"/>
              </w:rPr>
            </w:r>
          </w:p>
        </w:tc>
      </w:tr>
      <w:tr>
        <w:trPr/>
        <w:tc>
          <w:tcPr>
            <w:tcW w:w="717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12.04. Reliance by Administrative Agent</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103</w:t>
            </w:r>
          </w:p>
        </w:tc>
      </w:tr>
      <w:tr>
        <w:trPr/>
        <w:tc>
          <w:tcPr>
            <w:tcW w:w="717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12.05. Delegation of Duties</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103</w:t>
            </w:r>
          </w:p>
        </w:tc>
      </w:tr>
      <w:tr>
        <w:trPr/>
        <w:tc>
          <w:tcPr>
            <w:tcW w:w="717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12.06. Resignation of Agent</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103</w:t>
            </w:r>
          </w:p>
        </w:tc>
      </w:tr>
      <w:tr>
        <w:trPr/>
        <w:tc>
          <w:tcPr>
            <w:tcW w:w="717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12.07. Non</w:t>
              <w:noBreakHyphen/>
              <w:t>Reliance on Administrative Agent and Other Lenders</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104</w:t>
            </w:r>
          </w:p>
        </w:tc>
      </w:tr>
      <w:tr>
        <w:trPr/>
        <w:tc>
          <w:tcPr>
            <w:tcW w:w="717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12.08. Administrative Agent May File Proofs of Claim</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104</w:t>
            </w:r>
          </w:p>
        </w:tc>
      </w:tr>
      <w:tr>
        <w:trPr/>
        <w:tc>
          <w:tcPr>
            <w:tcW w:w="717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12.09. Collateral and Guaranty Matters; Appointment of Collateral Agent</w:t>
            </w:r>
          </w:p>
        </w:tc>
        <w:tc>
          <w:tcPr>
            <w:tcW w:w="3031" w:type="dxa"/>
            <w:tcBorders/>
            <w:vAlign w:val="center"/>
          </w:tcPr>
          <w:p>
            <w:pPr>
              <w:pStyle w:val="TableContents"/>
              <w:bidi w:val="0"/>
              <w:spacing w:before="0" w:after="0"/>
              <w:ind w:left="0" w:right="0" w:firstLine="2160"/>
              <w:jc w:val="right"/>
              <w:rPr>
                <w:rFonts w:ascii="Times New Roman;serif" w:hAnsi="Times New Roman;serif"/>
                <w:b w:val="false"/>
                <w:sz w:val="24"/>
              </w:rPr>
            </w:pPr>
            <w:r>
              <w:rPr>
                <w:rFonts w:ascii="Times New Roman;serif" w:hAnsi="Times New Roman;serif"/>
                <w:b w:val="false"/>
                <w:sz w:val="24"/>
              </w:rPr>
              <w:t>105</w:t>
            </w:r>
          </w:p>
        </w:tc>
      </w:tr>
      <w:tr>
        <w:trPr/>
        <w:tc>
          <w:tcPr>
            <w:tcW w:w="7174" w:type="dxa"/>
            <w:tcBorders/>
            <w:vAlign w:val="center"/>
          </w:tcPr>
          <w:p>
            <w:pPr>
              <w:pStyle w:val="TableContents"/>
              <w:pBdr/>
              <w:bidi w:val="0"/>
              <w:spacing w:before="280" w:after="120"/>
              <w:ind w:left="0" w:right="0" w:hanging="2160"/>
              <w:jc w:val="left"/>
              <w:rPr>
                <w:rFonts w:ascii="Times New Roman;serif" w:hAnsi="Times New Roman;serif"/>
                <w:b w:val="false"/>
                <w:smallCaps/>
                <w:sz w:val="24"/>
              </w:rPr>
            </w:pPr>
            <w:r>
              <w:rPr>
                <w:rFonts w:ascii="Times New Roman;serif" w:hAnsi="Times New Roman;serif"/>
                <w:b w:val="false"/>
                <w:smallCaps/>
                <w:sz w:val="24"/>
              </w:rPr>
              <w:t>Article 13 Miscellaneous</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mallCaps/>
                <w:sz w:val="24"/>
              </w:rPr>
            </w:pPr>
            <w:r>
              <w:rPr>
                <w:rFonts w:ascii="Times New Roman;serif" w:hAnsi="Times New Roman;serif"/>
                <w:b w:val="false"/>
                <w:smallCaps/>
                <w:sz w:val="24"/>
              </w:rPr>
              <w:t>106</w:t>
            </w:r>
          </w:p>
        </w:tc>
      </w:tr>
      <w:tr>
        <w:trPr/>
        <w:tc>
          <w:tcPr>
            <w:tcW w:w="717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13.01. No Waiver</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106</w:t>
            </w:r>
          </w:p>
        </w:tc>
      </w:tr>
      <w:tr>
        <w:trPr/>
        <w:tc>
          <w:tcPr>
            <w:tcW w:w="717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13.02. Notices</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106</w:t>
            </w:r>
          </w:p>
        </w:tc>
      </w:tr>
      <w:tr>
        <w:trPr/>
        <w:tc>
          <w:tcPr>
            <w:tcW w:w="717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13.03. Expenses and Indemnification</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107</w:t>
            </w:r>
          </w:p>
        </w:tc>
      </w:tr>
      <w:tr>
        <w:trPr/>
        <w:tc>
          <w:tcPr>
            <w:tcW w:w="717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13.04. Amendments.</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108</w:t>
            </w:r>
          </w:p>
        </w:tc>
      </w:tr>
      <w:tr>
        <w:trPr/>
        <w:tc>
          <w:tcPr>
            <w:tcW w:w="717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13.05. Successors and Assigns</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109</w:t>
            </w:r>
          </w:p>
        </w:tc>
      </w:tr>
      <w:tr>
        <w:trPr/>
        <w:tc>
          <w:tcPr>
            <w:tcW w:w="717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13.06. Survival</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112</w:t>
            </w:r>
          </w:p>
        </w:tc>
      </w:tr>
      <w:tr>
        <w:trPr/>
        <w:tc>
          <w:tcPr>
            <w:tcW w:w="717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13.07. Captions</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112</w:t>
            </w:r>
          </w:p>
        </w:tc>
      </w:tr>
      <w:tr>
        <w:trPr/>
        <w:tc>
          <w:tcPr>
            <w:tcW w:w="717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13.08. Counterparts</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112</w:t>
            </w:r>
          </w:p>
        </w:tc>
      </w:tr>
      <w:tr>
        <w:trPr/>
        <w:tc>
          <w:tcPr>
            <w:tcW w:w="717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13.09. Governing Law</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112</w:t>
            </w:r>
          </w:p>
        </w:tc>
      </w:tr>
      <w:tr>
        <w:trPr/>
        <w:tc>
          <w:tcPr>
            <w:tcW w:w="717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13.10. Jurisdiction, Service of Process and Venue</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113</w:t>
            </w:r>
          </w:p>
        </w:tc>
      </w:tr>
      <w:tr>
        <w:trPr/>
        <w:tc>
          <w:tcPr>
            <w:tcW w:w="717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13.11. Waiver of Jury Trial</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113</w:t>
            </w:r>
          </w:p>
        </w:tc>
      </w:tr>
      <w:tr>
        <w:trPr/>
        <w:tc>
          <w:tcPr>
            <w:tcW w:w="717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13.12. Waiver of Immunity</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113</w:t>
            </w:r>
          </w:p>
        </w:tc>
      </w:tr>
      <w:tr>
        <w:trPr/>
        <w:tc>
          <w:tcPr>
            <w:tcW w:w="717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13.13. Entire Agreement</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114</w:t>
            </w:r>
          </w:p>
        </w:tc>
      </w:tr>
      <w:tr>
        <w:trPr/>
        <w:tc>
          <w:tcPr>
            <w:tcW w:w="717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13.14. Severability</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114</w:t>
            </w:r>
          </w:p>
        </w:tc>
      </w:tr>
      <w:tr>
        <w:trPr/>
        <w:tc>
          <w:tcPr>
            <w:tcW w:w="717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13.15. No Fiduciary Relationship</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114</w:t>
            </w:r>
          </w:p>
        </w:tc>
      </w:tr>
      <w:tr>
        <w:trPr/>
        <w:tc>
          <w:tcPr>
            <w:tcW w:w="717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13.16. USA Patriot Act</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114</w:t>
            </w:r>
          </w:p>
        </w:tc>
      </w:tr>
      <w:tr>
        <w:trPr/>
        <w:tc>
          <w:tcPr>
            <w:tcW w:w="717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13.17. Treatment of Certain Information; Confidentiality</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114</w:t>
            </w:r>
          </w:p>
        </w:tc>
      </w:tr>
      <w:tr>
        <w:trPr/>
        <w:tc>
          <w:tcPr>
            <w:tcW w:w="717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13.18. Releases of Guarantees and Liens</w:t>
            </w:r>
          </w:p>
        </w:tc>
        <w:tc>
          <w:tcPr>
            <w:tcW w:w="3031" w:type="dxa"/>
            <w:tcBorders/>
            <w:vAlign w:val="center"/>
          </w:tcPr>
          <w:p>
            <w:pPr>
              <w:pStyle w:val="TableContents"/>
              <w:bidi w:val="0"/>
              <w:spacing w:before="0" w:after="0"/>
              <w:ind w:left="0" w:right="0" w:firstLine="2520"/>
              <w:jc w:val="right"/>
              <w:rPr>
                <w:rFonts w:ascii="Times New Roman;serif" w:hAnsi="Times New Roman;serif"/>
                <w:b w:val="false"/>
                <w:sz w:val="24"/>
              </w:rPr>
            </w:pPr>
            <w:r>
              <w:rPr>
                <w:rFonts w:ascii="Times New Roman;serif" w:hAnsi="Times New Roman;serif"/>
                <w:b w:val="false"/>
                <w:sz w:val="24"/>
              </w:rPr>
              <w:t>115</w:t>
            </w:r>
          </w:p>
        </w:tc>
      </w:tr>
      <w:tr>
        <w:trPr/>
        <w:tc>
          <w:tcPr>
            <w:tcW w:w="7174" w:type="dxa"/>
            <w:tcBorders/>
            <w:vAlign w:val="center"/>
          </w:tcPr>
          <w:p>
            <w:pPr>
              <w:pStyle w:val="TableContents"/>
              <w:pBdr/>
              <w:bidi w:val="0"/>
              <w:spacing w:before="0" w:after="0"/>
              <w:ind w:left="540" w:right="0" w:hanging="1980"/>
              <w:jc w:val="left"/>
              <w:rPr>
                <w:rFonts w:ascii="Times New Roman;serif" w:hAnsi="Times New Roman;serif"/>
                <w:b w:val="false"/>
                <w:sz w:val="24"/>
              </w:rPr>
            </w:pPr>
            <w:r>
              <w:rPr>
                <w:rFonts w:ascii="Times New Roman;serif" w:hAnsi="Times New Roman;serif"/>
                <w:b w:val="false"/>
                <w:sz w:val="24"/>
              </w:rPr>
              <w:t>Section 13.19. Acknowledgement and Consent to Bail</w:t>
              <w:noBreakHyphen/>
              <w:t>In of Affected Financial Institutions</w:t>
            </w:r>
          </w:p>
        </w:tc>
        <w:tc>
          <w:tcPr>
            <w:tcW w:w="3031" w:type="dxa"/>
            <w:tcBorders/>
            <w:vAlign w:val="center"/>
          </w:tcPr>
          <w:p>
            <w:pPr>
              <w:pStyle w:val="TableContents"/>
              <w:bidi w:val="0"/>
              <w:spacing w:before="0" w:after="0"/>
              <w:ind w:left="0" w:right="0" w:hanging="0"/>
              <w:jc w:val="right"/>
              <w:rPr>
                <w:rFonts w:ascii="Times New Roman;serif" w:hAnsi="Times New Roman;serif"/>
                <w:b w:val="false"/>
                <w:sz w:val="24"/>
              </w:rPr>
            </w:pPr>
            <w:r>
              <w:rPr>
                <w:rFonts w:ascii="Times New Roman;serif" w:hAnsi="Times New Roman;serif"/>
                <w:b w:val="false"/>
                <w:sz w:val="24"/>
              </w:rPr>
              <w:t>116</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mallCaps/>
          <w:sz w:val="24"/>
        </w:rPr>
      </w:pPr>
      <w:r>
        <w:rPr>
          <w:rFonts w:ascii="Times New Roman;serif" w:hAnsi="Times New Roman;serif"/>
          <w:b w:val="false"/>
          <w:smallCaps/>
          <w:sz w:val="24"/>
        </w:rPr>
        <w:t>Schedules:</w:t>
      </w:r>
    </w:p>
    <w:p>
      <w:pPr>
        <w:pStyle w:val="TextBody"/>
        <w:bidi w:val="0"/>
        <w:spacing w:before="200" w:after="0"/>
        <w:jc w:val="left"/>
        <w:rPr>
          <w:rFonts w:ascii="Times New Roman" w:hAnsi="Times New Roman"/>
          <w:sz w:val="20"/>
        </w:rPr>
      </w:pPr>
      <w:r>
        <w:rPr>
          <w:rFonts w:ascii="Times New Roman;serif" w:hAnsi="Times New Roman;serif"/>
          <w:b w:val="false"/>
          <w:smallCaps/>
          <w:sz w:val="24"/>
        </w:rPr>
        <w:t xml:space="preserve">Schedule </w:t>
      </w:r>
      <w:r>
        <w:rPr>
          <w:rFonts w:ascii="Times New Roman;serif" w:hAnsi="Times New Roman;serif"/>
          <w:b w:val="false"/>
          <w:sz w:val="24"/>
        </w:rPr>
        <w:t>1 — Commitments and Warrant Shares</w:t>
      </w:r>
    </w:p>
    <w:p>
      <w:pPr>
        <w:pStyle w:val="TextBody"/>
        <w:bidi w:val="0"/>
        <w:spacing w:before="0" w:after="0"/>
        <w:jc w:val="left"/>
        <w:rPr>
          <w:rFonts w:ascii="Times New Roman" w:hAnsi="Times New Roman"/>
          <w:sz w:val="20"/>
        </w:rPr>
      </w:pPr>
      <w:r>
        <w:rPr>
          <w:rFonts w:ascii="Times New Roman;serif" w:hAnsi="Times New Roman;serif"/>
          <w:b w:val="false"/>
          <w:smallCaps/>
          <w:sz w:val="24"/>
        </w:rPr>
        <w:t xml:space="preserve">Schedule 2 </w:t>
      </w:r>
      <w:r>
        <w:rPr>
          <w:rFonts w:ascii="Times New Roman" w:hAnsi="Times New Roman"/>
          <w:sz w:val="20"/>
        </w:rPr>
        <w:t>—</w:t>
      </w:r>
      <w:r>
        <w:rPr>
          <w:rFonts w:ascii="Times New Roman" w:hAnsi="Times New Roman"/>
          <w:smallCaps/>
          <w:sz w:val="20"/>
        </w:rPr>
        <w:t xml:space="preserve"> </w:t>
      </w:r>
      <w:r>
        <w:rPr>
          <w:rFonts w:ascii="Times New Roman;serif" w:hAnsi="Times New Roman;serif"/>
          <w:b w:val="false"/>
          <w:sz w:val="24"/>
        </w:rPr>
        <w:t>Notice Addresses</w:t>
      </w:r>
    </w:p>
    <w:p>
      <w:pPr>
        <w:pStyle w:val="TextBody"/>
        <w:bidi w:val="0"/>
        <w:spacing w:before="0" w:after="0"/>
        <w:jc w:val="left"/>
        <w:rPr>
          <w:rFonts w:ascii="Times New Roman" w:hAnsi="Times New Roman"/>
          <w:sz w:val="20"/>
        </w:rPr>
      </w:pPr>
      <w:r>
        <w:rPr>
          <w:rFonts w:ascii="Times New Roman;serif" w:hAnsi="Times New Roman;serif"/>
          <w:b w:val="false"/>
          <w:smallCaps/>
          <w:sz w:val="24"/>
        </w:rPr>
        <w:t xml:space="preserve">Schedule 3 </w:t>
      </w:r>
      <w:r>
        <w:rPr>
          <w:rFonts w:ascii="Times New Roman" w:hAnsi="Times New Roman"/>
          <w:sz w:val="20"/>
        </w:rPr>
        <w:t>—</w:t>
      </w:r>
      <w:r>
        <w:rPr>
          <w:rFonts w:ascii="Times New Roman" w:hAnsi="Times New Roman"/>
          <w:smallCaps/>
          <w:sz w:val="20"/>
        </w:rPr>
        <w:t xml:space="preserve"> </w:t>
      </w:r>
      <w:r>
        <w:rPr>
          <w:rFonts w:ascii="Times New Roman;serif" w:hAnsi="Times New Roman;serif"/>
          <w:b w:val="false"/>
          <w:sz w:val="24"/>
        </w:rPr>
        <w:t>Products</w:t>
      </w:r>
    </w:p>
    <w:p>
      <w:pPr>
        <w:pStyle w:val="TextBody"/>
        <w:bidi w:val="0"/>
        <w:spacing w:before="0" w:after="0"/>
        <w:jc w:val="left"/>
        <w:rPr>
          <w:rFonts w:ascii="Times New Roman" w:hAnsi="Times New Roman"/>
          <w:sz w:val="20"/>
        </w:rPr>
      </w:pPr>
      <w:r>
        <w:rPr>
          <w:rFonts w:ascii="Times New Roman;serif" w:hAnsi="Times New Roman;serif"/>
          <w:b w:val="false"/>
          <w:smallCaps/>
          <w:sz w:val="24"/>
        </w:rPr>
        <w:t>Schedule 7.05(</w:t>
      </w:r>
      <w:r>
        <w:rPr>
          <w:rFonts w:ascii="Times New Roman;serif" w:hAnsi="Times New Roman;serif"/>
          <w:b w:val="false"/>
          <w:sz w:val="24"/>
        </w:rPr>
        <w:t>b</w:t>
      </w:r>
      <w:r>
        <w:rPr>
          <w:rFonts w:ascii="Times New Roman;serif" w:hAnsi="Times New Roman;serif"/>
          <w:b w:val="false"/>
          <w:smallCaps/>
          <w:sz w:val="24"/>
        </w:rPr>
        <w:t>)</w:t>
      </w:r>
      <w:r>
        <w:rPr>
          <w:rFonts w:ascii="Times New Roman" w:hAnsi="Times New Roman"/>
          <w:sz w:val="20"/>
        </w:rPr>
        <w:t xml:space="preserve"> — </w:t>
      </w:r>
      <w:r>
        <w:rPr>
          <w:rFonts w:ascii="Times New Roman;serif" w:hAnsi="Times New Roman;serif"/>
          <w:b w:val="false"/>
          <w:sz w:val="24"/>
        </w:rPr>
        <w:t>Obligor Intellectual Property</w:t>
      </w:r>
    </w:p>
    <w:p>
      <w:pPr>
        <w:pStyle w:val="TextBody"/>
        <w:bidi w:val="0"/>
        <w:spacing w:before="0" w:after="0"/>
        <w:jc w:val="left"/>
        <w:rPr>
          <w:rFonts w:ascii="Times New Roman" w:hAnsi="Times New Roman"/>
          <w:sz w:val="20"/>
        </w:rPr>
      </w:pPr>
      <w:r>
        <w:rPr>
          <w:rFonts w:ascii="Times New Roman;serif" w:hAnsi="Times New Roman;serif"/>
          <w:b w:val="false"/>
          <w:smallCaps/>
          <w:sz w:val="24"/>
        </w:rPr>
        <w:t>Schedule 7.12</w:t>
      </w:r>
      <w:r>
        <w:rPr>
          <w:rFonts w:ascii="Times New Roman" w:hAnsi="Times New Roman"/>
          <w:sz w:val="20"/>
        </w:rPr>
        <w:t xml:space="preserve"> — </w:t>
      </w:r>
      <w:r>
        <w:rPr>
          <w:rFonts w:ascii="Times New Roman;serif" w:hAnsi="Times New Roman;serif"/>
          <w:b w:val="false"/>
          <w:sz w:val="24"/>
        </w:rPr>
        <w:t>Subsidiaries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mallCaps/>
          <w:sz w:val="24"/>
        </w:rPr>
        <w:t>Schedule 7.13A</w:t>
      </w:r>
      <w:r>
        <w:rPr>
          <w:rFonts w:ascii="Times New Roman" w:hAnsi="Times New Roman"/>
          <w:sz w:val="20"/>
        </w:rPr>
        <w:t xml:space="preserve"> — </w:t>
      </w:r>
      <w:r>
        <w:rPr>
          <w:rFonts w:ascii="Times New Roman;serif" w:hAnsi="Times New Roman;serif"/>
          <w:b w:val="false"/>
          <w:sz w:val="24"/>
        </w:rPr>
        <w:t>Existing Indebtedness</w:t>
      </w:r>
    </w:p>
    <w:p>
      <w:pPr>
        <w:pStyle w:val="TextBody"/>
        <w:bidi w:val="0"/>
        <w:spacing w:before="0" w:after="0"/>
        <w:jc w:val="left"/>
        <w:rPr>
          <w:rFonts w:ascii="Times New Roman" w:hAnsi="Times New Roman"/>
          <w:sz w:val="20"/>
        </w:rPr>
      </w:pPr>
      <w:r>
        <w:rPr>
          <w:rFonts w:ascii="Times New Roman;serif" w:hAnsi="Times New Roman;serif"/>
          <w:b w:val="false"/>
          <w:smallCaps/>
          <w:sz w:val="24"/>
        </w:rPr>
        <w:t>Schedule 7.13B</w:t>
      </w:r>
      <w:r>
        <w:rPr>
          <w:rFonts w:ascii="Times New Roman" w:hAnsi="Times New Roman"/>
          <w:sz w:val="20"/>
        </w:rPr>
        <w:t xml:space="preserve"> — </w:t>
      </w:r>
      <w:r>
        <w:rPr>
          <w:rFonts w:ascii="Times New Roman;serif" w:hAnsi="Times New Roman;serif"/>
          <w:b w:val="false"/>
          <w:sz w:val="24"/>
        </w:rPr>
        <w:t>Existing Liens</w:t>
      </w:r>
    </w:p>
    <w:p>
      <w:pPr>
        <w:pStyle w:val="TextBody"/>
        <w:bidi w:val="0"/>
        <w:spacing w:before="0" w:after="0"/>
        <w:jc w:val="left"/>
        <w:rPr>
          <w:rFonts w:ascii="Times New Roman" w:hAnsi="Times New Roman"/>
          <w:sz w:val="20"/>
        </w:rPr>
      </w:pPr>
      <w:r>
        <w:rPr>
          <w:rFonts w:ascii="Times New Roman;serif" w:hAnsi="Times New Roman;serif"/>
          <w:b w:val="false"/>
          <w:smallCaps/>
          <w:sz w:val="24"/>
        </w:rPr>
        <w:t xml:space="preserve">Schedule 7.14 </w:t>
      </w:r>
      <w:r>
        <w:rPr>
          <w:rFonts w:ascii="Times New Roman" w:hAnsi="Times New Roman"/>
          <w:sz w:val="20"/>
        </w:rPr>
        <w:t xml:space="preserve">— </w:t>
      </w:r>
      <w:r>
        <w:rPr>
          <w:rFonts w:ascii="Times New Roman;serif" w:hAnsi="Times New Roman;serif"/>
          <w:b w:val="false"/>
          <w:sz w:val="24"/>
        </w:rPr>
        <w:t>Material Agreements</w:t>
      </w:r>
    </w:p>
    <w:p>
      <w:pPr>
        <w:pStyle w:val="TextBody"/>
        <w:bidi w:val="0"/>
        <w:spacing w:before="0" w:after="0"/>
        <w:jc w:val="left"/>
        <w:rPr>
          <w:rFonts w:ascii="Times New Roman" w:hAnsi="Times New Roman"/>
          <w:sz w:val="20"/>
        </w:rPr>
      </w:pPr>
      <w:r>
        <w:rPr>
          <w:rFonts w:ascii="Times New Roman;serif" w:hAnsi="Times New Roman;serif"/>
          <w:b w:val="false"/>
          <w:smallCaps/>
          <w:sz w:val="24"/>
        </w:rPr>
        <w:t xml:space="preserve">Schedule 7.15 </w:t>
      </w:r>
      <w:r>
        <w:rPr>
          <w:rFonts w:ascii="Times New Roman" w:hAnsi="Times New Roman"/>
          <w:sz w:val="20"/>
        </w:rPr>
        <w:t xml:space="preserve">— </w:t>
      </w:r>
      <w:r>
        <w:rPr>
          <w:rFonts w:ascii="Times New Roman;serif" w:hAnsi="Times New Roman;serif"/>
          <w:b w:val="false"/>
          <w:sz w:val="24"/>
        </w:rPr>
        <w:t>Restrictive Agreements</w:t>
      </w:r>
    </w:p>
    <w:p>
      <w:pPr>
        <w:pStyle w:val="TextBody"/>
        <w:bidi w:val="0"/>
        <w:spacing w:before="0" w:after="0"/>
        <w:jc w:val="left"/>
        <w:rPr>
          <w:rFonts w:ascii="Times New Roman" w:hAnsi="Times New Roman"/>
          <w:sz w:val="20"/>
        </w:rPr>
      </w:pPr>
      <w:r>
        <w:rPr>
          <w:rFonts w:ascii="Times New Roman;serif" w:hAnsi="Times New Roman;serif"/>
          <w:b w:val="false"/>
          <w:smallCaps/>
          <w:sz w:val="24"/>
        </w:rPr>
        <w:t xml:space="preserve">Schedule 7.16 </w:t>
      </w:r>
      <w:r>
        <w:rPr>
          <w:rFonts w:ascii="Times New Roman" w:hAnsi="Times New Roman"/>
          <w:sz w:val="20"/>
        </w:rPr>
        <w:t xml:space="preserve">— </w:t>
      </w:r>
      <w:r>
        <w:rPr>
          <w:rFonts w:ascii="Times New Roman;serif" w:hAnsi="Times New Roman;serif"/>
          <w:b w:val="false"/>
          <w:sz w:val="24"/>
        </w:rPr>
        <w:t>Real Property</w:t>
      </w:r>
    </w:p>
    <w:p>
      <w:pPr>
        <w:pStyle w:val="TextBody"/>
        <w:bidi w:val="0"/>
        <w:spacing w:before="0" w:after="0"/>
        <w:jc w:val="left"/>
        <w:rPr>
          <w:rFonts w:ascii="Times New Roman" w:hAnsi="Times New Roman"/>
          <w:sz w:val="20"/>
        </w:rPr>
      </w:pPr>
      <w:r>
        <w:rPr>
          <w:rFonts w:ascii="Times New Roman;serif" w:hAnsi="Times New Roman;serif"/>
          <w:b w:val="false"/>
          <w:smallCaps/>
          <w:sz w:val="24"/>
        </w:rPr>
        <w:t xml:space="preserve">Schedule 7.17 </w:t>
      </w:r>
      <w:r>
        <w:rPr>
          <w:rFonts w:ascii="Times New Roman" w:hAnsi="Times New Roman"/>
          <w:sz w:val="20"/>
        </w:rPr>
        <w:t xml:space="preserve">— </w:t>
      </w:r>
      <w:r>
        <w:rPr>
          <w:rFonts w:ascii="Times New Roman;serif" w:hAnsi="Times New Roman;serif"/>
          <w:b w:val="false"/>
          <w:sz w:val="24"/>
        </w:rPr>
        <w:t>Pension Matters</w:t>
      </w:r>
    </w:p>
    <w:p>
      <w:pPr>
        <w:pStyle w:val="TextBody"/>
        <w:bidi w:val="0"/>
        <w:spacing w:before="0" w:after="0"/>
        <w:jc w:val="left"/>
        <w:rPr>
          <w:rFonts w:ascii="Times New Roman" w:hAnsi="Times New Roman"/>
          <w:sz w:val="20"/>
        </w:rPr>
      </w:pPr>
      <w:r>
        <w:rPr>
          <w:rFonts w:ascii="Times New Roman;serif" w:hAnsi="Times New Roman;serif"/>
          <w:b w:val="false"/>
          <w:smallCaps/>
          <w:sz w:val="24"/>
        </w:rPr>
        <w:t>Schedule 7.19(</w:t>
      </w:r>
      <w:r>
        <w:rPr>
          <w:rFonts w:ascii="Times New Roman;serif" w:hAnsi="Times New Roman;serif"/>
          <w:b w:val="false"/>
          <w:sz w:val="24"/>
        </w:rPr>
        <w:t>a</w:t>
      </w:r>
      <w:r>
        <w:rPr>
          <w:rFonts w:ascii="Times New Roman;serif" w:hAnsi="Times New Roman;serif"/>
          <w:b w:val="false"/>
          <w:smallCaps/>
          <w:sz w:val="24"/>
        </w:rPr>
        <w:t>)</w:t>
      </w:r>
      <w:r>
        <w:rPr>
          <w:rFonts w:ascii="Times New Roman" w:hAnsi="Times New Roman"/>
          <w:sz w:val="20"/>
        </w:rPr>
        <w:t xml:space="preserve"> — </w:t>
      </w:r>
      <w:r>
        <w:rPr>
          <w:rFonts w:ascii="Times New Roman;serif" w:hAnsi="Times New Roman;serif"/>
          <w:b w:val="false"/>
          <w:sz w:val="24"/>
        </w:rPr>
        <w:t>Required Regulatory Approvals and Permits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mallCaps/>
          <w:sz w:val="24"/>
        </w:rPr>
        <w:t>Schedule 7.19(</w:t>
      </w:r>
      <w:r>
        <w:rPr>
          <w:rFonts w:ascii="Times New Roman;serif" w:hAnsi="Times New Roman;serif"/>
          <w:b w:val="false"/>
          <w:sz w:val="24"/>
        </w:rPr>
        <w:t>b</w:t>
      </w:r>
      <w:r>
        <w:rPr>
          <w:rFonts w:ascii="Times New Roman;serif" w:hAnsi="Times New Roman;serif"/>
          <w:b w:val="false"/>
          <w:smallCaps/>
          <w:sz w:val="24"/>
        </w:rPr>
        <w:t>)</w:t>
      </w:r>
      <w:r>
        <w:rPr>
          <w:rFonts w:ascii="Times New Roman" w:hAnsi="Times New Roman"/>
          <w:sz w:val="20"/>
        </w:rPr>
        <w:t xml:space="preserve"> — </w:t>
      </w:r>
      <w:r>
        <w:rPr>
          <w:rFonts w:ascii="Times New Roman;serif" w:hAnsi="Times New Roman;serif"/>
          <w:b w:val="false"/>
          <w:sz w:val="24"/>
        </w:rPr>
        <w:t>Regulatory Approvals</w:t>
      </w:r>
    </w:p>
    <w:p>
      <w:pPr>
        <w:pStyle w:val="TextBody"/>
        <w:bidi w:val="0"/>
        <w:spacing w:before="0" w:after="0"/>
        <w:jc w:val="left"/>
        <w:rPr>
          <w:rFonts w:ascii="Times New Roman" w:hAnsi="Times New Roman"/>
          <w:sz w:val="20"/>
        </w:rPr>
      </w:pPr>
      <w:r>
        <w:rPr>
          <w:rFonts w:ascii="Times New Roman;serif" w:hAnsi="Times New Roman;serif"/>
          <w:b w:val="false"/>
          <w:smallCaps/>
          <w:sz w:val="24"/>
        </w:rPr>
        <w:t>Schedule 7.19(</w:t>
      </w:r>
      <w:r>
        <w:rPr>
          <w:rFonts w:ascii="Times New Roman;serif" w:hAnsi="Times New Roman;serif"/>
          <w:b w:val="false"/>
          <w:sz w:val="24"/>
        </w:rPr>
        <w:t>e</w:t>
      </w:r>
      <w:r>
        <w:rPr>
          <w:rFonts w:ascii="Times New Roman;serif" w:hAnsi="Times New Roman;serif"/>
          <w:b w:val="false"/>
          <w:smallCaps/>
          <w:sz w:val="24"/>
        </w:rPr>
        <w:t>)</w:t>
      </w:r>
      <w:r>
        <w:rPr>
          <w:rFonts w:ascii="Times New Roman" w:hAnsi="Times New Roman"/>
          <w:sz w:val="20"/>
        </w:rPr>
        <w:t xml:space="preserve"> — </w:t>
      </w:r>
      <w:r>
        <w:rPr>
          <w:rFonts w:ascii="Times New Roman;serif" w:hAnsi="Times New Roman;serif"/>
          <w:b w:val="false"/>
          <w:sz w:val="24"/>
        </w:rPr>
        <w:t>Regulatory Authority Notices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mallCaps/>
          <w:sz w:val="24"/>
        </w:rPr>
        <w:t xml:space="preserve">Schedule 7.20 </w:t>
      </w:r>
      <w:r>
        <w:rPr>
          <w:rFonts w:ascii="Times New Roman" w:hAnsi="Times New Roman"/>
          <w:sz w:val="20"/>
        </w:rPr>
        <w:t xml:space="preserve">— </w:t>
      </w:r>
      <w:r>
        <w:rPr>
          <w:rFonts w:ascii="Times New Roman;serif" w:hAnsi="Times New Roman;serif"/>
          <w:b w:val="false"/>
          <w:sz w:val="24"/>
        </w:rPr>
        <w:t>Capitalization</w:t>
      </w:r>
    </w:p>
    <w:p>
      <w:pPr>
        <w:pStyle w:val="TextBody"/>
        <w:bidi w:val="0"/>
        <w:spacing w:before="0" w:after="0"/>
        <w:jc w:val="left"/>
        <w:rPr>
          <w:rFonts w:ascii="Times New Roman" w:hAnsi="Times New Roman"/>
          <w:sz w:val="20"/>
        </w:rPr>
      </w:pPr>
      <w:r>
        <w:rPr>
          <w:rFonts w:ascii="Times New Roman;serif" w:hAnsi="Times New Roman;serif"/>
          <w:b w:val="false"/>
          <w:smallCaps/>
          <w:sz w:val="24"/>
        </w:rPr>
        <w:t xml:space="preserve">Schedule 7.22 </w:t>
      </w:r>
      <w:r>
        <w:rPr>
          <w:rFonts w:ascii="Times New Roman" w:hAnsi="Times New Roman"/>
          <w:sz w:val="20"/>
        </w:rPr>
        <w:t xml:space="preserve">— </w:t>
      </w:r>
      <w:r>
        <w:rPr>
          <w:rFonts w:ascii="Times New Roman;serif" w:hAnsi="Times New Roman;serif"/>
          <w:b w:val="false"/>
          <w:sz w:val="24"/>
        </w:rPr>
        <w:t>Broker’s Fee</w:t>
      </w:r>
    </w:p>
    <w:p>
      <w:pPr>
        <w:pStyle w:val="TextBody"/>
        <w:bidi w:val="0"/>
        <w:spacing w:before="0" w:after="0"/>
        <w:jc w:val="left"/>
        <w:rPr>
          <w:rFonts w:ascii="Times New Roman" w:hAnsi="Times New Roman"/>
          <w:sz w:val="20"/>
        </w:rPr>
      </w:pPr>
      <w:r>
        <w:rPr>
          <w:rFonts w:ascii="Times New Roman;serif" w:hAnsi="Times New Roman;serif"/>
          <w:b w:val="false"/>
          <w:smallCaps/>
          <w:sz w:val="24"/>
        </w:rPr>
        <w:t xml:space="preserve">Schedule 7.26 </w:t>
      </w:r>
      <w:r>
        <w:rPr>
          <w:rFonts w:ascii="Times New Roman" w:hAnsi="Times New Roman"/>
          <w:sz w:val="20"/>
        </w:rPr>
        <w:t xml:space="preserve">— </w:t>
      </w:r>
      <w:r>
        <w:rPr>
          <w:rFonts w:ascii="Times New Roman;serif" w:hAnsi="Times New Roman;serif"/>
          <w:b w:val="false"/>
          <w:sz w:val="24"/>
        </w:rPr>
        <w:t>Royalty and Other Payments</w:t>
      </w:r>
    </w:p>
    <w:p>
      <w:pPr>
        <w:pStyle w:val="TextBody"/>
        <w:bidi w:val="0"/>
        <w:spacing w:before="0" w:after="0"/>
        <w:jc w:val="left"/>
        <w:rPr>
          <w:rFonts w:ascii="Times New Roman" w:hAnsi="Times New Roman"/>
          <w:sz w:val="20"/>
        </w:rPr>
      </w:pPr>
      <w:r>
        <w:rPr>
          <w:rFonts w:ascii="Times New Roman;serif" w:hAnsi="Times New Roman;serif"/>
          <w:b w:val="false"/>
          <w:smallCaps/>
          <w:sz w:val="24"/>
        </w:rPr>
        <w:t xml:space="preserve">Schedule 8.18 </w:t>
      </w:r>
      <w:r>
        <w:rPr>
          <w:rFonts w:ascii="Times New Roman" w:hAnsi="Times New Roman"/>
          <w:sz w:val="20"/>
        </w:rPr>
        <w:t xml:space="preserve">— </w:t>
      </w:r>
      <w:r>
        <w:rPr>
          <w:rFonts w:ascii="Times New Roman;serif" w:hAnsi="Times New Roman;serif"/>
          <w:b w:val="false"/>
          <w:sz w:val="24"/>
        </w:rPr>
        <w:t>Post-Funding Obligations</w:t>
      </w:r>
    </w:p>
    <w:p>
      <w:pPr>
        <w:pStyle w:val="TextBody"/>
        <w:bidi w:val="0"/>
        <w:spacing w:before="0" w:after="0"/>
        <w:jc w:val="left"/>
        <w:rPr>
          <w:rFonts w:ascii="Times New Roman" w:hAnsi="Times New Roman"/>
          <w:sz w:val="20"/>
        </w:rPr>
      </w:pPr>
      <w:r>
        <w:rPr>
          <w:rFonts w:ascii="Times New Roman;serif" w:hAnsi="Times New Roman;serif"/>
          <w:b w:val="false"/>
          <w:smallCaps/>
          <w:sz w:val="24"/>
        </w:rPr>
        <w:t xml:space="preserve">Schedule 9.05 </w:t>
      </w:r>
      <w:r>
        <w:rPr>
          <w:rFonts w:ascii="Times New Roman" w:hAnsi="Times New Roman"/>
          <w:sz w:val="20"/>
        </w:rPr>
        <w:t xml:space="preserve">— </w:t>
      </w:r>
      <w:r>
        <w:rPr>
          <w:rFonts w:ascii="Times New Roman;serif" w:hAnsi="Times New Roman;serif"/>
          <w:b w:val="false"/>
          <w:sz w:val="24"/>
        </w:rPr>
        <w:t>Existing Investments</w:t>
      </w:r>
    </w:p>
    <w:p>
      <w:pPr>
        <w:pStyle w:val="TextBody"/>
        <w:bidi w:val="0"/>
        <w:spacing w:before="0" w:after="0"/>
        <w:jc w:val="left"/>
        <w:rPr>
          <w:rFonts w:ascii="Times New Roman" w:hAnsi="Times New Roman"/>
          <w:sz w:val="20"/>
        </w:rPr>
      </w:pPr>
      <w:r>
        <w:rPr>
          <w:rFonts w:ascii="Times New Roman;serif" w:hAnsi="Times New Roman;serif"/>
          <w:b w:val="false"/>
          <w:smallCaps/>
          <w:sz w:val="24"/>
        </w:rPr>
        <w:t xml:space="preserve">Schedule 9.10 </w:t>
      </w:r>
      <w:r>
        <w:rPr>
          <w:rFonts w:ascii="Times New Roman" w:hAnsi="Times New Roman"/>
          <w:sz w:val="20"/>
        </w:rPr>
        <w:t xml:space="preserve">— </w:t>
      </w:r>
      <w:r>
        <w:rPr>
          <w:rFonts w:ascii="Times New Roman;serif" w:hAnsi="Times New Roman;serif"/>
          <w:b w:val="false"/>
          <w:sz w:val="24"/>
        </w:rPr>
        <w:t>Transactions with Affiliates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mallCaps/>
          <w:sz w:val="24"/>
        </w:rPr>
      </w:pPr>
      <w:r>
        <w:rPr>
          <w:rFonts w:ascii="Times New Roman;serif" w:hAnsi="Times New Roman;serif"/>
          <w:b w:val="false"/>
          <w:smallCaps/>
          <w:sz w:val="24"/>
        </w:rPr>
        <w:t>Exhibits:</w:t>
      </w:r>
    </w:p>
    <w:p>
      <w:pPr>
        <w:pStyle w:val="TextBody"/>
        <w:bidi w:val="0"/>
        <w:spacing w:before="200" w:after="0"/>
        <w:jc w:val="left"/>
        <w:rPr>
          <w:rFonts w:ascii="Times New Roman" w:hAnsi="Times New Roman"/>
          <w:sz w:val="20"/>
        </w:rPr>
      </w:pPr>
      <w:r>
        <w:rPr>
          <w:rFonts w:ascii="Times New Roman;serif" w:hAnsi="Times New Roman;serif"/>
          <w:b w:val="false"/>
          <w:smallCaps/>
          <w:sz w:val="24"/>
        </w:rPr>
        <w:t>Exhibit A</w:t>
      </w:r>
      <w:r>
        <w:rPr>
          <w:rFonts w:ascii="Times New Roman" w:hAnsi="Times New Roman"/>
          <w:sz w:val="20"/>
        </w:rPr>
        <w:t xml:space="preserve"> — </w:t>
      </w:r>
      <w:r>
        <w:rPr>
          <w:rFonts w:ascii="Times New Roman;serif" w:hAnsi="Times New Roman;serif"/>
          <w:b w:val="false"/>
          <w:sz w:val="24"/>
        </w:rPr>
        <w:t>Form of Guarantee Assumption Agreement</w:t>
      </w:r>
    </w:p>
    <w:p>
      <w:pPr>
        <w:pStyle w:val="TextBody"/>
        <w:bidi w:val="0"/>
        <w:spacing w:before="0" w:after="0"/>
        <w:jc w:val="left"/>
        <w:rPr>
          <w:rFonts w:ascii="Times New Roman" w:hAnsi="Times New Roman"/>
          <w:sz w:val="20"/>
        </w:rPr>
      </w:pPr>
      <w:r>
        <w:rPr>
          <w:rFonts w:ascii="Times New Roman;serif" w:hAnsi="Times New Roman;serif"/>
          <w:b w:val="false"/>
          <w:smallCaps/>
          <w:sz w:val="24"/>
        </w:rPr>
        <w:t>Exhibit B</w:t>
      </w:r>
      <w:r>
        <w:rPr>
          <w:rFonts w:ascii="Times New Roman" w:hAnsi="Times New Roman"/>
          <w:sz w:val="20"/>
        </w:rPr>
        <w:t xml:space="preserve"> — </w:t>
      </w:r>
      <w:r>
        <w:rPr>
          <w:rFonts w:ascii="Times New Roman;serif" w:hAnsi="Times New Roman;serif"/>
          <w:b w:val="false"/>
          <w:sz w:val="24"/>
        </w:rPr>
        <w:t>Form of Borrowing Notice</w:t>
      </w:r>
    </w:p>
    <w:p>
      <w:pPr>
        <w:pStyle w:val="TextBody"/>
        <w:bidi w:val="0"/>
        <w:spacing w:before="0" w:after="0"/>
        <w:jc w:val="left"/>
        <w:rPr>
          <w:rFonts w:ascii="Times New Roman" w:hAnsi="Times New Roman"/>
          <w:sz w:val="20"/>
        </w:rPr>
      </w:pPr>
      <w:r>
        <w:rPr>
          <w:rFonts w:ascii="Times New Roman;serif" w:hAnsi="Times New Roman;serif"/>
          <w:b w:val="false"/>
          <w:smallCaps/>
          <w:sz w:val="24"/>
        </w:rPr>
        <w:t>Exhibit C</w:t>
      </w:r>
      <w:r>
        <w:rPr>
          <w:rFonts w:ascii="Times New Roman" w:hAnsi="Times New Roman"/>
          <w:sz w:val="20"/>
        </w:rPr>
        <w:t xml:space="preserve"> — </w:t>
      </w:r>
      <w:r>
        <w:rPr>
          <w:rFonts w:ascii="Times New Roman;serif" w:hAnsi="Times New Roman;serif"/>
          <w:b w:val="false"/>
          <w:sz w:val="24"/>
        </w:rPr>
        <w:t>Form of Note</w:t>
      </w:r>
    </w:p>
    <w:p>
      <w:pPr>
        <w:pStyle w:val="TextBody"/>
        <w:bidi w:val="0"/>
        <w:spacing w:before="0" w:after="0"/>
        <w:jc w:val="left"/>
        <w:rPr>
          <w:rFonts w:ascii="Times New Roman" w:hAnsi="Times New Roman"/>
          <w:sz w:val="20"/>
        </w:rPr>
      </w:pPr>
      <w:r>
        <w:rPr>
          <w:rFonts w:ascii="Times New Roman;serif" w:hAnsi="Times New Roman;serif"/>
          <w:b w:val="false"/>
          <w:smallCaps/>
          <w:sz w:val="24"/>
        </w:rPr>
        <w:t>Exhibit D</w:t>
      </w:r>
      <w:r>
        <w:rPr>
          <w:rFonts w:ascii="Times New Roman" w:hAnsi="Times New Roman"/>
          <w:sz w:val="20"/>
        </w:rPr>
        <w:t xml:space="preserve"> — </w:t>
      </w:r>
      <w:r>
        <w:rPr>
          <w:rFonts w:ascii="Times New Roman;serif" w:hAnsi="Times New Roman;serif"/>
          <w:b w:val="false"/>
          <w:sz w:val="24"/>
        </w:rPr>
        <w:t>Form of U.S. Tax Compliance Certificate</w:t>
      </w:r>
    </w:p>
    <w:p>
      <w:pPr>
        <w:pStyle w:val="TextBody"/>
        <w:bidi w:val="0"/>
        <w:spacing w:before="0" w:after="0"/>
        <w:jc w:val="left"/>
        <w:rPr>
          <w:rFonts w:ascii="Times New Roman" w:hAnsi="Times New Roman"/>
          <w:sz w:val="20"/>
        </w:rPr>
      </w:pPr>
      <w:r>
        <w:rPr>
          <w:rFonts w:ascii="Times New Roman;serif" w:hAnsi="Times New Roman;serif"/>
          <w:b w:val="false"/>
          <w:smallCaps/>
          <w:sz w:val="24"/>
        </w:rPr>
        <w:t>Exhibit E</w:t>
      </w:r>
      <w:r>
        <w:rPr>
          <w:rFonts w:ascii="Times New Roman" w:hAnsi="Times New Roman"/>
          <w:sz w:val="20"/>
        </w:rPr>
        <w:t xml:space="preserve"> — </w:t>
      </w:r>
      <w:r>
        <w:rPr>
          <w:rFonts w:ascii="Times New Roman;serif" w:hAnsi="Times New Roman;serif"/>
          <w:b w:val="false"/>
          <w:sz w:val="24"/>
        </w:rPr>
        <w:t>Form of Compliance Certificate</w:t>
      </w:r>
    </w:p>
    <w:p>
      <w:pPr>
        <w:pStyle w:val="TextBody"/>
        <w:bidi w:val="0"/>
        <w:spacing w:before="0" w:after="0"/>
        <w:jc w:val="left"/>
        <w:rPr>
          <w:rFonts w:ascii="Times New Roman" w:hAnsi="Times New Roman"/>
          <w:sz w:val="20"/>
        </w:rPr>
      </w:pPr>
      <w:r>
        <w:rPr>
          <w:rFonts w:ascii="Times New Roman;serif" w:hAnsi="Times New Roman;serif"/>
          <w:b w:val="false"/>
          <w:smallCaps/>
          <w:sz w:val="24"/>
        </w:rPr>
        <w:t>Exhibit F</w:t>
      </w:r>
      <w:r>
        <w:rPr>
          <w:rFonts w:ascii="Times New Roman" w:hAnsi="Times New Roman"/>
          <w:sz w:val="20"/>
        </w:rPr>
        <w:t xml:space="preserve"> — </w:t>
      </w:r>
      <w:r>
        <w:rPr>
          <w:rFonts w:ascii="Times New Roman;serif" w:hAnsi="Times New Roman;serif"/>
          <w:b w:val="false"/>
          <w:sz w:val="24"/>
        </w:rPr>
        <w:t>Form of Assignment Agreement</w:t>
      </w:r>
    </w:p>
    <w:p>
      <w:pPr>
        <w:pStyle w:val="TextBody"/>
        <w:bidi w:val="0"/>
        <w:spacing w:before="0" w:after="0"/>
        <w:jc w:val="left"/>
        <w:rPr>
          <w:rFonts w:ascii="Times New Roman" w:hAnsi="Times New Roman"/>
          <w:sz w:val="20"/>
        </w:rPr>
      </w:pPr>
      <w:r>
        <w:rPr>
          <w:rFonts w:ascii="Times New Roman;serif" w:hAnsi="Times New Roman;serif"/>
          <w:b w:val="false"/>
          <w:smallCaps/>
          <w:sz w:val="24"/>
        </w:rPr>
        <w:t>Exhibit G</w:t>
      </w:r>
      <w:r>
        <w:rPr>
          <w:rFonts w:ascii="Times New Roman" w:hAnsi="Times New Roman"/>
          <w:sz w:val="20"/>
        </w:rPr>
        <w:t xml:space="preserve"> — </w:t>
      </w:r>
      <w:r>
        <w:rPr>
          <w:rFonts w:ascii="Times New Roman;serif" w:hAnsi="Times New Roman;serif"/>
          <w:b w:val="false"/>
          <w:sz w:val="24"/>
        </w:rPr>
        <w:t>Form of Security Agreement</w:t>
      </w:r>
    </w:p>
    <w:p>
      <w:pPr>
        <w:pStyle w:val="TextBody"/>
        <w:bidi w:val="0"/>
        <w:spacing w:before="0" w:after="0"/>
        <w:jc w:val="left"/>
        <w:rPr>
          <w:rFonts w:ascii="Times New Roman" w:hAnsi="Times New Roman"/>
          <w:sz w:val="20"/>
        </w:rPr>
      </w:pPr>
      <w:r>
        <w:rPr>
          <w:rFonts w:ascii="Times New Roman;serif" w:hAnsi="Times New Roman;serif"/>
          <w:b w:val="false"/>
          <w:smallCaps/>
          <w:sz w:val="24"/>
        </w:rPr>
        <w:t>Exhibit H-1</w:t>
      </w:r>
      <w:r>
        <w:rPr>
          <w:rFonts w:ascii="Times New Roman" w:hAnsi="Times New Roman"/>
          <w:sz w:val="20"/>
        </w:rPr>
        <w:t xml:space="preserve"> — </w:t>
      </w:r>
      <w:r>
        <w:rPr>
          <w:rFonts w:ascii="Times New Roman;serif" w:hAnsi="Times New Roman;serif"/>
          <w:b w:val="false"/>
          <w:sz w:val="24"/>
        </w:rPr>
        <w:t>Form of Patent &amp; Trademark Security Agreement</w:t>
      </w:r>
    </w:p>
    <w:p>
      <w:pPr>
        <w:pStyle w:val="TextBody"/>
        <w:bidi w:val="0"/>
        <w:spacing w:before="0" w:after="0"/>
        <w:jc w:val="left"/>
        <w:rPr>
          <w:rFonts w:ascii="Times New Roman" w:hAnsi="Times New Roman"/>
          <w:sz w:val="20"/>
        </w:rPr>
      </w:pPr>
      <w:r>
        <w:rPr>
          <w:rFonts w:ascii="Times New Roman;serif" w:hAnsi="Times New Roman;serif"/>
          <w:b w:val="false"/>
          <w:smallCaps/>
          <w:sz w:val="24"/>
        </w:rPr>
        <w:t>Exhibit H-2</w:t>
      </w:r>
      <w:r>
        <w:rPr>
          <w:rFonts w:ascii="Times New Roman" w:hAnsi="Times New Roman"/>
          <w:sz w:val="20"/>
        </w:rPr>
        <w:t xml:space="preserve"> — </w:t>
      </w:r>
      <w:r>
        <w:rPr>
          <w:rFonts w:ascii="Times New Roman;serif" w:hAnsi="Times New Roman;serif"/>
          <w:b w:val="false"/>
          <w:sz w:val="24"/>
        </w:rPr>
        <w:t>Form of Copyright Security Agreement</w:t>
      </w:r>
    </w:p>
    <w:p>
      <w:pPr>
        <w:pStyle w:val="TextBody"/>
        <w:bidi w:val="0"/>
        <w:spacing w:before="0" w:after="0"/>
        <w:jc w:val="left"/>
        <w:rPr>
          <w:rFonts w:ascii="Times New Roman" w:hAnsi="Times New Roman"/>
          <w:sz w:val="20"/>
        </w:rPr>
      </w:pPr>
      <w:r>
        <w:rPr>
          <w:rFonts w:ascii="Times New Roman;serif" w:hAnsi="Times New Roman;serif"/>
          <w:b w:val="false"/>
          <w:smallCaps/>
          <w:sz w:val="24"/>
        </w:rPr>
        <w:t>Exhibit I</w:t>
      </w:r>
      <w:r>
        <w:rPr>
          <w:rFonts w:ascii="Times New Roman" w:hAnsi="Times New Roman"/>
          <w:sz w:val="20"/>
        </w:rPr>
        <w:t xml:space="preserve"> — </w:t>
      </w:r>
      <w:r>
        <w:rPr>
          <w:rFonts w:ascii="Times New Roman;serif" w:hAnsi="Times New Roman;serif"/>
          <w:b w:val="false"/>
          <w:sz w:val="24"/>
        </w:rPr>
        <w:t>Form of Collateral Questionnaire</w:t>
      </w:r>
    </w:p>
    <w:p>
      <w:pPr>
        <w:pStyle w:val="TextBody"/>
        <w:bidi w:val="0"/>
        <w:spacing w:before="0" w:after="0"/>
        <w:jc w:val="left"/>
        <w:rPr>
          <w:rFonts w:ascii="Times New Roman" w:hAnsi="Times New Roman"/>
          <w:sz w:val="20"/>
        </w:rPr>
      </w:pPr>
      <w:r>
        <w:rPr>
          <w:rFonts w:ascii="Times New Roman;serif" w:hAnsi="Times New Roman;serif"/>
          <w:b w:val="false"/>
          <w:smallCaps/>
          <w:sz w:val="24"/>
        </w:rPr>
        <w:t>Exhibit J</w:t>
      </w:r>
      <w:r>
        <w:rPr>
          <w:rFonts w:ascii="Times New Roman" w:hAnsi="Times New Roman"/>
          <w:sz w:val="20"/>
        </w:rPr>
        <w:t xml:space="preserve"> — </w:t>
      </w:r>
      <w:r>
        <w:rPr>
          <w:rFonts w:ascii="Times New Roman;serif" w:hAnsi="Times New Roman;serif"/>
          <w:b w:val="false"/>
          <w:sz w:val="24"/>
        </w:rPr>
        <w:t>Form of Warrant Certificate (Funding Date)</w:t>
      </w:r>
    </w:p>
    <w:p>
      <w:pPr>
        <w:pStyle w:val="TextBody"/>
        <w:bidi w:val="0"/>
        <w:spacing w:before="0" w:after="0"/>
        <w:jc w:val="left"/>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mallCaps/>
          <w:sz w:val="20"/>
        </w:rPr>
        <w:t>Credit Agreement And Guaranty,</w:t>
      </w:r>
      <w:r>
        <w:rPr>
          <w:rFonts w:ascii="Times New Roman" w:hAnsi="Times New Roman"/>
          <w:sz w:val="20"/>
        </w:rPr>
        <w:t xml:space="preserve"> </w:t>
      </w:r>
      <w:r>
        <w:rPr>
          <w:rFonts w:ascii="Times New Roman;serif" w:hAnsi="Times New Roman;serif"/>
          <w:b w:val="false"/>
          <w:sz w:val="20"/>
        </w:rPr>
        <w:t xml:space="preserve">dated as of November 16, 2022 (this </w:t>
      </w:r>
      <w:r>
        <w:rPr>
          <w:rFonts w:ascii="Times New Roman" w:hAnsi="Times New Roman"/>
          <w:sz w:val="20"/>
        </w:rPr>
        <w:t>“</w:t>
      </w:r>
      <w:r>
        <w:rPr>
          <w:rFonts w:ascii="Times New Roman;serif" w:hAnsi="Times New Roman;serif"/>
          <w:b w:val="false"/>
          <w:i/>
          <w:sz w:val="20"/>
        </w:rPr>
        <w:t>Agreement”</w:t>
      </w:r>
      <w:r>
        <w:rPr>
          <w:rFonts w:ascii="Times New Roman;serif" w:hAnsi="Times New Roman;serif"/>
          <w:b w:val="false"/>
          <w:sz w:val="20"/>
        </w:rPr>
        <w:t xml:space="preserve">), among </w:t>
      </w:r>
      <w:r>
        <w:rPr>
          <w:rFonts w:ascii="Times New Roman;serif" w:hAnsi="Times New Roman;serif"/>
          <w:b w:val="false"/>
          <w:smallCaps/>
          <w:sz w:val="20"/>
        </w:rPr>
        <w:t xml:space="preserve">Biodesix, Inc., </w:t>
      </w:r>
      <w:r>
        <w:rPr>
          <w:rFonts w:ascii="Times New Roman;serif" w:hAnsi="Times New Roman;serif"/>
          <w:b w:val="false"/>
          <w:sz w:val="20"/>
        </w:rPr>
        <w:t xml:space="preserve">a Delaware corporation (the </w:t>
      </w:r>
      <w:r>
        <w:rPr>
          <w:rFonts w:ascii="Times New Roman" w:hAnsi="Times New Roman"/>
          <w:sz w:val="20"/>
        </w:rPr>
        <w:t>“</w:t>
      </w:r>
      <w:r>
        <w:rPr>
          <w:rFonts w:ascii="Times New Roman;serif" w:hAnsi="Times New Roman;serif"/>
          <w:b w:val="false"/>
          <w:i/>
          <w:sz w:val="20"/>
        </w:rPr>
        <w:t>Borrower”</w:t>
      </w:r>
      <w:r>
        <w:rPr>
          <w:rFonts w:ascii="Times New Roman;serif" w:hAnsi="Times New Roman;serif"/>
          <w:b w:val="false"/>
          <w:sz w:val="20"/>
        </w:rPr>
        <w:t xml:space="preserve">), certain Guarantors from time to time parties hereto, the lenders from time to time party hereto (each, as a “Lender” and collectively, the “Lenders”) and </w:t>
      </w:r>
      <w:r>
        <w:rPr>
          <w:rFonts w:ascii="Times New Roman;serif" w:hAnsi="Times New Roman;serif"/>
          <w:b w:val="false"/>
          <w:smallCaps/>
          <w:sz w:val="20"/>
        </w:rPr>
        <w:t>Perceptive Credit Holdings IV, LP,</w:t>
      </w:r>
      <w:r>
        <w:rPr>
          <w:rFonts w:ascii="Times New Roman" w:hAnsi="Times New Roman"/>
          <w:sz w:val="20"/>
        </w:rPr>
        <w:t xml:space="preserve"> </w:t>
      </w:r>
      <w:r>
        <w:rPr>
          <w:rFonts w:ascii="Times New Roman;serif" w:hAnsi="Times New Roman;serif"/>
          <w:b w:val="false"/>
          <w:sz w:val="20"/>
        </w:rPr>
        <w:t>a Delaware limited partnership (</w:t>
      </w:r>
      <w:r>
        <w:rPr>
          <w:rFonts w:ascii="Times New Roman" w:hAnsi="Times New Roman"/>
          <w:sz w:val="20"/>
        </w:rPr>
        <w:t>“</w:t>
      </w:r>
      <w:r>
        <w:rPr>
          <w:rFonts w:ascii="Times New Roman;serif" w:hAnsi="Times New Roman;serif"/>
          <w:b w:val="false"/>
          <w:i/>
          <w:sz w:val="20"/>
        </w:rPr>
        <w:t>Perceptive”</w:t>
      </w:r>
      <w:r>
        <w:rPr>
          <w:rFonts w:ascii="Times New Roman;serif" w:hAnsi="Times New Roman;serif"/>
          <w:b w:val="false"/>
          <w:sz w:val="20"/>
        </w:rPr>
        <w:t xml:space="preserve">), as administrative agent for the Lenders (in such capacity, together with its successors and assigns, the </w:t>
      </w:r>
      <w:r>
        <w:rPr>
          <w:rFonts w:ascii="Times New Roman" w:hAnsi="Times New Roman"/>
          <w:sz w:val="20"/>
        </w:rPr>
        <w:t>“</w:t>
      </w:r>
      <w:r>
        <w:rPr>
          <w:rFonts w:ascii="Times New Roman;serif" w:hAnsi="Times New Roman;serif"/>
          <w:b w:val="false"/>
          <w:i/>
          <w:sz w:val="20"/>
        </w:rPr>
        <w:t>Administrative Agent”</w:t>
      </w:r>
      <w:r>
        <w:rPr>
          <w:rFonts w:ascii="Times New Roman;serif" w:hAnsi="Times New Roman;serif"/>
          <w:b w:val="false"/>
          <w:sz w:val="20"/>
        </w:rPr>
        <w:t>).</w:t>
      </w:r>
    </w:p>
    <w:p>
      <w:pPr>
        <w:pStyle w:val="TextBody"/>
        <w:bidi w:val="0"/>
        <w:spacing w:before="360" w:after="0"/>
        <w:jc w:val="center"/>
        <w:rPr>
          <w:rFonts w:ascii="Times New Roman;serif" w:hAnsi="Times New Roman;serif"/>
          <w:b/>
          <w:smallCaps/>
          <w:sz w:val="20"/>
        </w:rPr>
      </w:pPr>
      <w:r>
        <w:rPr>
          <w:rFonts w:ascii="Times New Roman;serif" w:hAnsi="Times New Roman;serif"/>
          <w:b/>
          <w:smallCaps/>
          <w:sz w:val="20"/>
        </w:rPr>
        <w:t>Witnesseth:</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The Borrower has requested the Lenders to make term loans to the Borrower, and the Lenders are prepared to make such loans on and subject to the terms and conditions hereof. Accordingly, the parties agree as follows:</w:t>
      </w:r>
    </w:p>
    <w:p>
      <w:pPr>
        <w:pStyle w:val="TextBody"/>
        <w:bidi w:val="0"/>
        <w:spacing w:before="360" w:after="0"/>
        <w:jc w:val="center"/>
        <w:rPr>
          <w:rFonts w:ascii="Times New Roman;serif" w:hAnsi="Times New Roman;serif"/>
          <w:b/>
          <w:smallCaps/>
          <w:sz w:val="20"/>
        </w:rPr>
      </w:pPr>
      <w:r>
        <w:rPr>
          <w:rFonts w:ascii="Times New Roman;serif" w:hAnsi="Times New Roman;serif"/>
          <w:b/>
          <w:smallCaps/>
          <w:sz w:val="20"/>
        </w:rPr>
        <w:t>Article I</w:t>
        <w:br/>
        <w:br/>
        <w:t>Definitions</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1.01. Certain Defined Terms</w:t>
      </w:r>
      <w:r>
        <w:rPr>
          <w:rFonts w:ascii="Times New Roman;serif" w:hAnsi="Times New Roman;serif"/>
          <w:b w:val="false"/>
          <w:sz w:val="20"/>
        </w:rPr>
        <w:t>. As used herein, the following terms have the following respective meanings:</w:t>
      </w:r>
    </w:p>
    <w:p>
      <w:pPr>
        <w:pStyle w:val="TextBody"/>
        <w:bidi w:val="0"/>
        <w:spacing w:before="280" w:after="0"/>
        <w:jc w:val="both"/>
        <w:rPr/>
      </w:pPr>
      <w:r>
        <w:rPr/>
        <w:t>“</w:t>
      </w:r>
      <w:r>
        <w:rPr>
          <w:rFonts w:ascii="Times New Roman;serif" w:hAnsi="Times New Roman;serif"/>
          <w:b w:val="false"/>
          <w:i/>
          <w:sz w:val="20"/>
        </w:rPr>
        <w:t>Accounting Change”</w:t>
      </w:r>
      <w:r>
        <w:rPr>
          <w:rFonts w:ascii="Times New Roman" w:hAnsi="Times New Roman"/>
          <w:sz w:val="20"/>
        </w:rPr>
        <w:t xml:space="preserve"> </w:t>
      </w:r>
      <w:r>
        <w:rPr>
          <w:rFonts w:ascii="Times New Roman;serif" w:hAnsi="Times New Roman;serif"/>
          <w:b w:val="false"/>
          <w:sz w:val="20"/>
        </w:rPr>
        <w:t>has the meaning set forth in Section 1.02.</w:t>
      </w:r>
    </w:p>
    <w:p>
      <w:pPr>
        <w:pStyle w:val="TextBody"/>
        <w:bidi w:val="0"/>
        <w:spacing w:before="280" w:after="0"/>
        <w:jc w:val="both"/>
        <w:rPr/>
      </w:pPr>
      <w:r>
        <w:rPr/>
        <w:t>“</w:t>
      </w:r>
      <w:r>
        <w:rPr>
          <w:rFonts w:ascii="Times New Roman;serif" w:hAnsi="Times New Roman;serif"/>
          <w:b w:val="false"/>
          <w:i/>
          <w:sz w:val="20"/>
        </w:rPr>
        <w:t>Accounting Change Notice”</w:t>
      </w:r>
      <w:r>
        <w:rPr>
          <w:rFonts w:ascii="Times New Roman" w:hAnsi="Times New Roman"/>
          <w:sz w:val="20"/>
        </w:rPr>
        <w:t xml:space="preserve"> </w:t>
      </w:r>
      <w:r>
        <w:rPr>
          <w:rFonts w:ascii="Times New Roman;serif" w:hAnsi="Times New Roman;serif"/>
          <w:b w:val="false"/>
          <w:sz w:val="20"/>
        </w:rPr>
        <w:t>has the meaning set forth in Section 1.02.</w:t>
      </w:r>
    </w:p>
    <w:p>
      <w:pPr>
        <w:pStyle w:val="TextBody"/>
        <w:bidi w:val="0"/>
        <w:spacing w:before="280" w:after="0"/>
        <w:jc w:val="both"/>
        <w:rPr/>
      </w:pPr>
      <w:r>
        <w:rPr/>
        <w:t>“</w:t>
      </w:r>
      <w:r>
        <w:rPr>
          <w:rFonts w:ascii="Times New Roman;serif" w:hAnsi="Times New Roman;serif"/>
          <w:b w:val="false"/>
          <w:i/>
          <w:sz w:val="20"/>
        </w:rPr>
        <w:t>Acquisition”</w:t>
      </w:r>
      <w:r>
        <w:rPr>
          <w:rFonts w:ascii="Times New Roman" w:hAnsi="Times New Roman"/>
          <w:sz w:val="20"/>
        </w:rPr>
        <w:t xml:space="preserve"> </w:t>
      </w:r>
      <w:r>
        <w:rPr>
          <w:rFonts w:ascii="Times New Roman;serif" w:hAnsi="Times New Roman;serif"/>
          <w:b w:val="false"/>
          <w:sz w:val="20"/>
        </w:rPr>
        <w:t>means any transaction, or any series of related transactions, by which any Person directly or indirectly, by means of an amalgamation, plan of arrangement, merger, purchase of Equity Interests or other assets, or similar transaction having the same effect as any of the foregoing, (a) acquires all or substantially all of the assets of any other Person, (b) acquires any business or all or substantially all of a business line or unit or division of any other Person, (c) acquires Control of Equity Interests of another Person representing more than fifty (50)% of the ordinary voting power for the election of directors or other governing body if the business affairs of such Person are managed by a Board or other governing body, determined on a fully diluted basis, as if converted or exercised basis, or (d) acquires Control of more than fifty (50)% of the Equity Interests in any Person engaged in any business that is not managed by a Board or other governing body, determined on a fully diluted, as if converted or exercised basis.</w:t>
      </w:r>
    </w:p>
    <w:p>
      <w:pPr>
        <w:pStyle w:val="TextBody"/>
        <w:bidi w:val="0"/>
        <w:spacing w:before="280" w:after="0"/>
        <w:jc w:val="both"/>
        <w:rPr/>
      </w:pPr>
      <w:r>
        <w:rPr/>
        <w:t>“</w:t>
      </w:r>
      <w:r>
        <w:rPr>
          <w:rFonts w:ascii="Times New Roman;serif" w:hAnsi="Times New Roman;serif"/>
          <w:b w:val="false"/>
          <w:i/>
          <w:sz w:val="20"/>
        </w:rPr>
        <w:t>Administrative Agent”</w:t>
      </w:r>
      <w:r>
        <w:rPr>
          <w:rFonts w:ascii="Times New Roman" w:hAnsi="Times New Roman"/>
          <w:sz w:val="20"/>
        </w:rPr>
        <w:t xml:space="preserve"> </w:t>
      </w:r>
      <w:r>
        <w:rPr>
          <w:rFonts w:ascii="Times New Roman;serif" w:hAnsi="Times New Roman;serif"/>
          <w:b w:val="false"/>
          <w:sz w:val="20"/>
        </w:rPr>
        <w:t>has the meaning set forth in the introduction hereto.</w:t>
      </w:r>
    </w:p>
    <w:p>
      <w:pPr>
        <w:pStyle w:val="TextBody"/>
        <w:bidi w:val="0"/>
        <w:spacing w:before="280" w:after="0"/>
        <w:jc w:val="both"/>
        <w:rPr/>
      </w:pPr>
      <w:r>
        <w:rPr/>
        <w:t>“</w:t>
      </w:r>
      <w:r>
        <w:rPr>
          <w:rFonts w:ascii="Times New Roman;serif" w:hAnsi="Times New Roman;serif"/>
          <w:b w:val="false"/>
          <w:i/>
          <w:sz w:val="20"/>
        </w:rPr>
        <w:t>Affected Financial Institution</w:t>
      </w:r>
      <w:r>
        <w:rPr>
          <w:rFonts w:ascii="Times New Roman" w:hAnsi="Times New Roman"/>
          <w:sz w:val="20"/>
        </w:rPr>
        <w:t xml:space="preserve">” </w:t>
      </w:r>
      <w:r>
        <w:rPr>
          <w:rFonts w:ascii="Times New Roman;serif" w:hAnsi="Times New Roman;serif"/>
          <w:b w:val="false"/>
          <w:sz w:val="20"/>
        </w:rPr>
        <w:t>means (a) any EEA Financial Institution or (b) any UK Financial Institution.</w:t>
      </w:r>
    </w:p>
    <w:p>
      <w:pPr>
        <w:pStyle w:val="TextBody"/>
        <w:bidi w:val="0"/>
        <w:spacing w:before="280" w:after="0"/>
        <w:jc w:val="both"/>
        <w:rPr/>
      </w:pPr>
      <w:r>
        <w:rPr/>
        <w:t>“</w:t>
      </w:r>
      <w:r>
        <w:rPr>
          <w:rFonts w:ascii="Times New Roman;serif" w:hAnsi="Times New Roman;serif"/>
          <w:b w:val="false"/>
          <w:i/>
          <w:sz w:val="20"/>
        </w:rPr>
        <w:t>Affiliate”</w:t>
      </w:r>
      <w:r>
        <w:rPr>
          <w:rFonts w:ascii="Times New Roman" w:hAnsi="Times New Roman"/>
          <w:sz w:val="20"/>
        </w:rPr>
        <w:t xml:space="preserve"> </w:t>
      </w:r>
      <w:r>
        <w:rPr>
          <w:rFonts w:ascii="Times New Roman;serif" w:hAnsi="Times New Roman;serif"/>
          <w:b w:val="false"/>
          <w:sz w:val="20"/>
        </w:rPr>
        <w:t>means, with respect to a specified Person, another Person that directly, or indirectly through one or more intermediaries, Controls or is Controlled by or is under common Control with the Person specified.</w:t>
      </w:r>
    </w:p>
    <w:p>
      <w:pPr>
        <w:pStyle w:val="TextBody"/>
        <w:bidi w:val="0"/>
        <w:spacing w:before="280" w:after="0"/>
        <w:jc w:val="both"/>
        <w:rPr/>
      </w:pPr>
      <w:r>
        <w:rPr/>
        <w:t>“</w:t>
      </w:r>
      <w:r>
        <w:rPr>
          <w:rFonts w:ascii="Times New Roman;serif" w:hAnsi="Times New Roman;serif"/>
          <w:b w:val="false"/>
          <w:i/>
          <w:sz w:val="20"/>
        </w:rPr>
        <w:t>Agreement”</w:t>
      </w:r>
      <w:r>
        <w:rPr>
          <w:rFonts w:ascii="Times New Roman" w:hAnsi="Times New Roman"/>
          <w:sz w:val="20"/>
        </w:rPr>
        <w:t xml:space="preserve"> </w:t>
      </w:r>
      <w:r>
        <w:rPr>
          <w:rFonts w:ascii="Times New Roman;serif" w:hAnsi="Times New Roman;serif"/>
          <w:b w:val="false"/>
          <w:sz w:val="20"/>
        </w:rPr>
        <w:t>has the meaning set forth in the introduction hereto.</w:t>
      </w:r>
    </w:p>
    <w:p>
      <w:pPr>
        <w:pStyle w:val="TextBody"/>
        <w:bidi w:val="0"/>
        <w:spacing w:before="280" w:after="0"/>
        <w:jc w:val="both"/>
        <w:rPr/>
      </w:pPr>
      <w:r>
        <w:rPr/>
        <w:t>“</w:t>
      </w:r>
      <w:r>
        <w:rPr>
          <w:rFonts w:ascii="Times New Roman;serif" w:hAnsi="Times New Roman;serif"/>
          <w:b w:val="false"/>
          <w:i/>
          <w:sz w:val="20"/>
        </w:rPr>
        <w:t>Anti-Corruption Laws”</w:t>
      </w:r>
      <w:r>
        <w:rPr>
          <w:rFonts w:ascii="Times New Roman" w:hAnsi="Times New Roman"/>
          <w:sz w:val="20"/>
        </w:rPr>
        <w:t xml:space="preserve"> </w:t>
      </w:r>
      <w:r>
        <w:rPr>
          <w:rFonts w:ascii="Times New Roman;serif" w:hAnsi="Times New Roman;serif"/>
          <w:b w:val="false"/>
          <w:sz w:val="20"/>
        </w:rPr>
        <w:t xml:space="preserve">means all laws, rules and regulations of any jurisdiction applicable to the Obligors and their Affiliates concerning or relating to bribery or corruption, including, without limitation, the </w:t>
      </w:r>
      <w:r>
        <w:rPr>
          <w:rFonts w:ascii="Times New Roman;serif" w:hAnsi="Times New Roman;serif"/>
          <w:b w:val="false"/>
          <w:i/>
          <w:sz w:val="20"/>
        </w:rPr>
        <w:t>U.S. Foreign Corrupt Practices Act of 1977</w:t>
      </w:r>
      <w:r>
        <w:rPr>
          <w:rFonts w:ascii="Times New Roman;serif" w:hAnsi="Times New Roman;serif"/>
          <w:b w:val="false"/>
          <w:sz w:val="20"/>
        </w:rPr>
        <w:t>, as amended (15 U.S.C. §§78dd-1 et seq.).</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pPr>
      <w:r>
        <w:rPr/>
        <w:t>“</w:t>
      </w:r>
      <w:r>
        <w:rPr>
          <w:rFonts w:ascii="Times New Roman;serif" w:hAnsi="Times New Roman;serif"/>
          <w:b w:val="false"/>
          <w:i/>
          <w:sz w:val="20"/>
        </w:rPr>
        <w:t>Anti-Terrorism Laws”</w:t>
      </w:r>
      <w:r>
        <w:rPr>
          <w:rFonts w:ascii="Times New Roman" w:hAnsi="Times New Roman"/>
          <w:sz w:val="20"/>
        </w:rPr>
        <w:t xml:space="preserve"> </w:t>
      </w:r>
      <w:r>
        <w:rPr>
          <w:rFonts w:ascii="Times New Roman;serif" w:hAnsi="Times New Roman;serif"/>
          <w:b w:val="false"/>
          <w:sz w:val="20"/>
        </w:rPr>
        <w:t xml:space="preserve">means any laws or regulations relating to terrorist financing-related activities or money laundering, including, without limitation, the </w:t>
      </w:r>
      <w:r>
        <w:rPr>
          <w:rFonts w:ascii="Times New Roman;serif" w:hAnsi="Times New Roman;serif"/>
          <w:b w:val="false"/>
          <w:i/>
          <w:sz w:val="20"/>
        </w:rPr>
        <w:t>Bank Secrecy Act</w:t>
      </w:r>
      <w:r>
        <w:rPr>
          <w:rFonts w:ascii="Times New Roman" w:hAnsi="Times New Roman"/>
          <w:sz w:val="20"/>
        </w:rPr>
        <w:t xml:space="preserve"> </w:t>
      </w:r>
      <w:r>
        <w:rPr>
          <w:rFonts w:ascii="Times New Roman;serif" w:hAnsi="Times New Roman;serif"/>
          <w:b w:val="false"/>
          <w:sz w:val="20"/>
        </w:rPr>
        <w:t xml:space="preserve">(31 U.S.C. §§ 5311 </w:t>
      </w:r>
      <w:r>
        <w:rPr>
          <w:rFonts w:ascii="Times New Roman;serif" w:hAnsi="Times New Roman;serif"/>
          <w:b w:val="false"/>
          <w:i/>
          <w:sz w:val="20"/>
        </w:rPr>
        <w:t>et seq.</w:t>
      </w:r>
      <w:r>
        <w:rPr>
          <w:rFonts w:ascii="Times New Roman;serif" w:hAnsi="Times New Roman;serif"/>
          <w:b w:val="false"/>
          <w:sz w:val="20"/>
        </w:rPr>
        <w:t xml:space="preserve">), the </w:t>
      </w:r>
      <w:r>
        <w:rPr>
          <w:rFonts w:ascii="Times New Roman;serif" w:hAnsi="Times New Roman;serif"/>
          <w:b w:val="false"/>
          <w:i/>
          <w:sz w:val="20"/>
        </w:rPr>
        <w:t>Money Laundering Control Act of 1986</w:t>
      </w:r>
      <w:r>
        <w:rPr>
          <w:rFonts w:ascii="Times New Roman" w:hAnsi="Times New Roman"/>
          <w:sz w:val="20"/>
        </w:rPr>
        <w:t xml:space="preserve"> </w:t>
      </w:r>
      <w:r>
        <w:rPr>
          <w:rFonts w:ascii="Times New Roman;serif" w:hAnsi="Times New Roman;serif"/>
          <w:b w:val="false"/>
          <w:sz w:val="20"/>
        </w:rPr>
        <w:t xml:space="preserve">(18 U.S.C. §§ 1956 </w:t>
      </w:r>
      <w:r>
        <w:rPr>
          <w:rFonts w:ascii="Times New Roman;serif" w:hAnsi="Times New Roman;serif"/>
          <w:b w:val="false"/>
          <w:i/>
          <w:sz w:val="20"/>
        </w:rPr>
        <w:t>et seq.</w:t>
      </w:r>
      <w:r>
        <w:rPr>
          <w:rFonts w:ascii="Times New Roman;serif" w:hAnsi="Times New Roman;serif"/>
          <w:b w:val="false"/>
          <w:sz w:val="20"/>
        </w:rPr>
        <w:t>), the USA Patriot Act (Title III of Pub. L. 107-56) (the “</w:t>
      </w:r>
      <w:r>
        <w:rPr>
          <w:rFonts w:ascii="Times New Roman;serif" w:hAnsi="Times New Roman;serif"/>
          <w:b w:val="false"/>
          <w:i/>
          <w:sz w:val="20"/>
        </w:rPr>
        <w:t>Patriot Act</w:t>
      </w:r>
      <w:r>
        <w:rPr>
          <w:rFonts w:ascii="Times New Roman" w:hAnsi="Times New Roman"/>
          <w:sz w:val="20"/>
        </w:rPr>
        <w:t>”</w:t>
      </w:r>
      <w:r>
        <w:rPr>
          <w:rFonts w:ascii="Times New Roman;serif" w:hAnsi="Times New Roman;serif"/>
          <w:b w:val="false"/>
          <w:sz w:val="20"/>
        </w:rPr>
        <w:t>), and any similar law enacted in the United States after the date of this Agreement.</w:t>
      </w:r>
    </w:p>
    <w:p>
      <w:pPr>
        <w:pStyle w:val="TextBody"/>
        <w:bidi w:val="0"/>
        <w:spacing w:before="280" w:after="0"/>
        <w:jc w:val="both"/>
        <w:rPr/>
      </w:pPr>
      <w:r>
        <w:rPr/>
        <w:t>“</w:t>
      </w:r>
      <w:r>
        <w:rPr>
          <w:rFonts w:ascii="Times New Roman;serif" w:hAnsi="Times New Roman;serif"/>
          <w:b w:val="false"/>
          <w:i/>
          <w:sz w:val="20"/>
        </w:rPr>
        <w:t>Applicable Margin”</w:t>
      </w:r>
      <w:r>
        <w:rPr>
          <w:rFonts w:ascii="Times New Roman" w:hAnsi="Times New Roman"/>
          <w:sz w:val="20"/>
        </w:rPr>
        <w:t xml:space="preserve"> </w:t>
      </w:r>
      <w:r>
        <w:rPr>
          <w:rFonts w:ascii="Times New Roman;serif" w:hAnsi="Times New Roman;serif"/>
          <w:b w:val="false"/>
          <w:sz w:val="20"/>
        </w:rPr>
        <w:t>means 9.00% per annum.</w:t>
      </w:r>
    </w:p>
    <w:p>
      <w:pPr>
        <w:pStyle w:val="TextBody"/>
        <w:bidi w:val="0"/>
        <w:spacing w:before="280" w:after="0"/>
        <w:jc w:val="both"/>
        <w:rPr/>
      </w:pPr>
      <w:r>
        <w:rPr/>
        <w:t>“</w:t>
      </w:r>
      <w:r>
        <w:rPr>
          <w:rFonts w:ascii="Times New Roman;serif" w:hAnsi="Times New Roman;serif"/>
          <w:b w:val="false"/>
          <w:i/>
          <w:sz w:val="20"/>
        </w:rPr>
        <w:t xml:space="preserve">Approved Fund” </w:t>
      </w:r>
      <w:r>
        <w:rPr>
          <w:rFonts w:ascii="Times New Roman;serif" w:hAnsi="Times New Roman;serif"/>
          <w:b w:val="false"/>
          <w:sz w:val="20"/>
        </w:rPr>
        <w:t>means any Person (other than a natural person and any holding company, investment vehicle or trust for, or owned and operated for the primary benefit of, a natural person) that is engaged in making, purchasing, holding or investing in commercial loans and similar extensions of credit in the ordinary course of its activities and that is administered, advised or managed by (a) a Lender, (b) an Affiliate of a Lender or (c) an entity or an Affiliate of an entity that administers or manages a Lender.</w:t>
      </w:r>
    </w:p>
    <w:p>
      <w:pPr>
        <w:pStyle w:val="TextBody"/>
        <w:bidi w:val="0"/>
        <w:spacing w:before="280" w:after="0"/>
        <w:jc w:val="both"/>
        <w:rPr/>
      </w:pPr>
      <w:r>
        <w:rPr/>
        <w:t>“</w:t>
      </w:r>
      <w:r>
        <w:rPr>
          <w:rFonts w:ascii="Times New Roman;serif" w:hAnsi="Times New Roman;serif"/>
          <w:b w:val="false"/>
          <w:i/>
          <w:sz w:val="20"/>
        </w:rPr>
        <w:t>Asset Sale”</w:t>
      </w:r>
      <w:r>
        <w:rPr>
          <w:rFonts w:ascii="Times New Roman" w:hAnsi="Times New Roman"/>
          <w:sz w:val="20"/>
        </w:rPr>
        <w:t xml:space="preserve"> </w:t>
      </w:r>
      <w:r>
        <w:rPr>
          <w:rFonts w:ascii="Times New Roman;serif" w:hAnsi="Times New Roman;serif"/>
          <w:b w:val="false"/>
          <w:sz w:val="20"/>
        </w:rPr>
        <w:t>has the meaning set forth in Section 9.09.</w:t>
      </w:r>
    </w:p>
    <w:p>
      <w:pPr>
        <w:pStyle w:val="TextBody"/>
        <w:bidi w:val="0"/>
        <w:spacing w:before="280" w:after="0"/>
        <w:jc w:val="both"/>
        <w:rPr/>
      </w:pPr>
      <w:r>
        <w:rPr/>
        <w:t>“</w:t>
      </w:r>
      <w:r>
        <w:rPr>
          <w:rFonts w:ascii="Times New Roman;serif" w:hAnsi="Times New Roman;serif"/>
          <w:b w:val="false"/>
          <w:i/>
          <w:sz w:val="20"/>
        </w:rPr>
        <w:t xml:space="preserve">Assignment Agreement” </w:t>
      </w:r>
      <w:r>
        <w:rPr>
          <w:rFonts w:ascii="Times New Roman;serif" w:hAnsi="Times New Roman;serif"/>
          <w:b w:val="false"/>
          <w:sz w:val="20"/>
        </w:rPr>
        <w:t>means an assignment and assumption entered into by a Lender and an assignee of such Lender in substantially the form of Exhibit F.</w:t>
      </w:r>
    </w:p>
    <w:p>
      <w:pPr>
        <w:pStyle w:val="TextBody"/>
        <w:bidi w:val="0"/>
        <w:spacing w:before="280" w:after="0"/>
        <w:jc w:val="both"/>
        <w:rPr/>
      </w:pPr>
      <w:r>
        <w:rPr/>
        <w:t>“</w:t>
      </w:r>
      <w:r>
        <w:rPr>
          <w:rFonts w:ascii="Times New Roman;serif" w:hAnsi="Times New Roman;serif"/>
          <w:b w:val="false"/>
          <w:i/>
          <w:sz w:val="20"/>
        </w:rPr>
        <w:t>Available Tenor</w:t>
      </w:r>
      <w:r>
        <w:rPr>
          <w:rFonts w:ascii="Times New Roman" w:hAnsi="Times New Roman"/>
          <w:sz w:val="20"/>
        </w:rPr>
        <w:t xml:space="preserve">” </w:t>
      </w:r>
      <w:r>
        <w:rPr>
          <w:rFonts w:ascii="Times New Roman;serif" w:hAnsi="Times New Roman;serif"/>
          <w:b w:val="false"/>
          <w:sz w:val="20"/>
        </w:rPr>
        <w:t xml:space="preserve">means, as of the Closing Date, the only Available Tenor for Term SOFR is an interest period of one (1) month; </w:t>
      </w:r>
      <w:r>
        <w:rPr>
          <w:rFonts w:ascii="Times New Roman;serif" w:hAnsi="Times New Roman;serif"/>
          <w:b w:val="false"/>
          <w:i/>
          <w:sz w:val="20"/>
        </w:rPr>
        <w:t xml:space="preserve">provided </w:t>
      </w:r>
      <w:r>
        <w:rPr>
          <w:rFonts w:ascii="Times New Roman;serif" w:hAnsi="Times New Roman;serif"/>
          <w:b w:val="false"/>
          <w:sz w:val="20"/>
        </w:rPr>
        <w:t>that the Administrative Agent may select to use additional interest periods in accordance with the terms of Section 3.02(c)(iv) and such interest periods shall become Available Tenors upon such selection.</w:t>
      </w:r>
    </w:p>
    <w:p>
      <w:pPr>
        <w:pStyle w:val="TextBody"/>
        <w:bidi w:val="0"/>
        <w:spacing w:before="280" w:after="0"/>
        <w:jc w:val="both"/>
        <w:rPr/>
      </w:pPr>
      <w:r>
        <w:rPr/>
        <w:t>“</w:t>
      </w:r>
      <w:r>
        <w:rPr>
          <w:rFonts w:ascii="Times New Roman;serif" w:hAnsi="Times New Roman;serif"/>
          <w:b w:val="false"/>
          <w:i/>
          <w:sz w:val="20"/>
        </w:rPr>
        <w:t>Bail-In Action”</w:t>
      </w:r>
      <w:r>
        <w:rPr>
          <w:rFonts w:ascii="Times New Roman" w:hAnsi="Times New Roman"/>
          <w:sz w:val="20"/>
        </w:rPr>
        <w:t xml:space="preserve"> </w:t>
      </w:r>
      <w:r>
        <w:rPr>
          <w:rFonts w:ascii="Times New Roman;serif" w:hAnsi="Times New Roman;serif"/>
          <w:b w:val="false"/>
          <w:sz w:val="20"/>
        </w:rPr>
        <w:t>means the exercise of any Write</w:t>
        <w:noBreakHyphen/>
        <w:t>Down and Conversion Powers by the applicable Resolution Authority in respect of any liability of an Affected Financial Institution.</w:t>
      </w:r>
    </w:p>
    <w:p>
      <w:pPr>
        <w:pStyle w:val="TextBody"/>
        <w:bidi w:val="0"/>
        <w:spacing w:before="280" w:after="0"/>
        <w:jc w:val="both"/>
        <w:rPr/>
      </w:pPr>
      <w:r>
        <w:rPr/>
        <w:t>“</w:t>
      </w:r>
      <w:r>
        <w:rPr>
          <w:rFonts w:ascii="Times New Roman;serif" w:hAnsi="Times New Roman;serif"/>
          <w:b w:val="false"/>
          <w:i/>
          <w:sz w:val="20"/>
        </w:rPr>
        <w:t>Bail-In Legislation”</w:t>
      </w:r>
      <w:r>
        <w:rPr>
          <w:rFonts w:ascii="Times New Roman" w:hAnsi="Times New Roman"/>
          <w:sz w:val="20"/>
        </w:rPr>
        <w:t xml:space="preserve"> </w:t>
      </w:r>
      <w:r>
        <w:rPr>
          <w:rFonts w:ascii="Times New Roman;serif" w:hAnsi="Times New Roman;serif"/>
          <w:b w:val="false"/>
          <w:sz w:val="20"/>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rule or requirement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280" w:after="0"/>
        <w:jc w:val="both"/>
        <w:rPr/>
      </w:pPr>
      <w:r>
        <w:rPr/>
        <w:t>“</w:t>
      </w:r>
      <w:r>
        <w:rPr>
          <w:rFonts w:ascii="Times New Roman;serif" w:hAnsi="Times New Roman;serif"/>
          <w:b w:val="false"/>
          <w:i/>
          <w:sz w:val="20"/>
        </w:rPr>
        <w:t>Bankruptcy Code”</w:t>
      </w:r>
      <w:r>
        <w:rPr>
          <w:rFonts w:ascii="Times New Roman" w:hAnsi="Times New Roman"/>
          <w:sz w:val="20"/>
        </w:rPr>
        <w:t xml:space="preserve"> </w:t>
      </w:r>
      <w:r>
        <w:rPr>
          <w:rFonts w:ascii="Times New Roman;serif" w:hAnsi="Times New Roman;serif"/>
          <w:b w:val="false"/>
          <w:sz w:val="20"/>
        </w:rPr>
        <w:t>means Title 11 of the United States Code entitled “Bankruptcy”.</w:t>
      </w:r>
    </w:p>
    <w:p>
      <w:pPr>
        <w:pStyle w:val="TextBody"/>
        <w:bidi w:val="0"/>
        <w:spacing w:before="280" w:after="0"/>
        <w:jc w:val="both"/>
        <w:rPr/>
      </w:pPr>
      <w:r>
        <w:rPr/>
        <w:t>“</w:t>
      </w:r>
      <w:r>
        <w:rPr>
          <w:rFonts w:ascii="Times New Roman;serif" w:hAnsi="Times New Roman;serif"/>
          <w:b w:val="false"/>
          <w:i/>
          <w:sz w:val="20"/>
        </w:rPr>
        <w:t>Benchmark</w:t>
      </w:r>
      <w:r>
        <w:rPr>
          <w:rFonts w:ascii="Times New Roman" w:hAnsi="Times New Roman"/>
          <w:sz w:val="20"/>
        </w:rPr>
        <w:t xml:space="preserve">” </w:t>
      </w:r>
      <w:r>
        <w:rPr>
          <w:rFonts w:ascii="Times New Roman;serif" w:hAnsi="Times New Roman;serif"/>
          <w:b w:val="false"/>
          <w:sz w:val="20"/>
        </w:rPr>
        <w:t xml:space="preserve">means, initially Term SOFR;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 if a Benchmark Transition Event has occurred with respect to the then-current Benchmark, then “Benchmark” means the applicable Benchmark Replacement to the extent that such Benchmark Replacement has replaced such prior benchmark rate pursuant to Section 3.02(c).</w:t>
      </w:r>
    </w:p>
    <w:p>
      <w:pPr>
        <w:pStyle w:val="TextBody"/>
        <w:bidi w:val="0"/>
        <w:spacing w:before="280" w:after="0"/>
        <w:jc w:val="both"/>
        <w:rPr/>
      </w:pPr>
      <w:r>
        <w:rPr/>
        <w:t>“</w:t>
      </w:r>
      <w:r>
        <w:rPr>
          <w:rFonts w:ascii="Times New Roman;serif" w:hAnsi="Times New Roman;serif"/>
          <w:b w:val="false"/>
          <w:i/>
          <w:sz w:val="20"/>
        </w:rPr>
        <w:t>Benchmark Replacement</w:t>
      </w:r>
      <w:r>
        <w:rPr>
          <w:rFonts w:ascii="Times New Roman" w:hAnsi="Times New Roman"/>
          <w:sz w:val="20"/>
        </w:rPr>
        <w:t xml:space="preserve">” </w:t>
      </w:r>
      <w:r>
        <w:rPr>
          <w:rFonts w:ascii="Times New Roman;serif" w:hAnsi="Times New Roman;serif"/>
          <w:b w:val="false"/>
          <w:sz w:val="20"/>
        </w:rPr>
        <w:t>means the first alternative set forth in the order below that can be determined by the Administrative Agent for the applicable Benchmark Replacement Date:</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(a) Daily Simple SOFR; or</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z w:val="20"/>
        </w:rPr>
        <w:t>(b) the sum of: (i) the alternate benchmark rate that has been selected by the Administrative Agent and the Borrower as the replacement for such Benchmark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at such time and (ii) the related Benchmark Replacement Adjustment;</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i/>
          <w:sz w:val="20"/>
        </w:rPr>
        <w:t>provided</w:t>
      </w:r>
      <w:r>
        <w:rPr>
          <w:rFonts w:ascii="Times New Roman;serif" w:hAnsi="Times New Roman;serif"/>
          <w:b w:val="false"/>
          <w:sz w:val="20"/>
        </w:rPr>
        <w:t>, that, until such alternate rate of interest is agreed upon by the Administrative Agent and the Borrower, the rate of interest for purposes hereof and of each other Loan Document shall be Term SOFR (or subsequent Benchmark, as applicable), as of the end of the Interest Period ending immediately prior to the applicable Benchmark Transition Event.</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If the Benchmark Replacement as determined pursuant to clause (a) or (b) above would be less than the Floor, the Benchmark Replacement will be deemed to be the Floor for the purposes of this Agreement and the other Loan Documents.</w:t>
      </w:r>
    </w:p>
    <w:p>
      <w:pPr>
        <w:pStyle w:val="TextBody"/>
        <w:bidi w:val="0"/>
        <w:spacing w:before="280" w:after="0"/>
        <w:jc w:val="both"/>
        <w:rPr/>
      </w:pPr>
      <w:r>
        <w:rPr/>
        <w:t>“</w:t>
      </w:r>
      <w:r>
        <w:rPr>
          <w:rFonts w:ascii="Times New Roman;serif" w:hAnsi="Times New Roman;serif"/>
          <w:b w:val="false"/>
          <w:i/>
          <w:sz w:val="20"/>
        </w:rPr>
        <w:t>Benchmark Replacement Adjustment”</w:t>
      </w:r>
      <w:r>
        <w:rPr>
          <w:rFonts w:ascii="Times New Roman" w:hAnsi="Times New Roman"/>
          <w:sz w:val="20"/>
        </w:rPr>
        <w:t xml:space="preserve"> </w:t>
      </w:r>
      <w:r>
        <w:rPr>
          <w:rFonts w:ascii="Times New Roman;serif" w:hAnsi="Times New Roman;serif"/>
          <w:b w:val="false"/>
          <w:sz w:val="20"/>
        </w:rPr>
        <w:t>means,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before="280" w:after="0"/>
        <w:jc w:val="both"/>
        <w:rPr/>
      </w:pPr>
      <w:r>
        <w:rPr/>
        <w:t>“</w:t>
      </w:r>
      <w:r>
        <w:rPr>
          <w:rFonts w:ascii="Times New Roman;serif" w:hAnsi="Times New Roman;serif"/>
          <w:b w:val="false"/>
          <w:i/>
          <w:sz w:val="20"/>
        </w:rPr>
        <w:t>Benchmark Replacement Date</w:t>
      </w:r>
      <w:r>
        <w:rPr>
          <w:rFonts w:ascii="Times New Roman" w:hAnsi="Times New Roman"/>
          <w:sz w:val="20"/>
        </w:rPr>
        <w:t xml:space="preserve">” </w:t>
      </w:r>
      <w:r>
        <w:rPr>
          <w:rFonts w:ascii="Times New Roman;serif" w:hAnsi="Times New Roman;serif"/>
          <w:b w:val="false"/>
          <w:sz w:val="20"/>
        </w:rPr>
        <w:t>means a date and time determined by the Administrative Agent, which date shall be no later than the earliest to occur of the following events with respect to the then-current Benchmark:</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 such non-representativeness will be determined by reference to the most recent statement or publication referenced in such clause (c) and even if any Available Tenor of such Benchmark (or such component thereof) continues to be provided on such date.</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280" w:after="0"/>
        <w:jc w:val="both"/>
        <w:rPr/>
      </w:pPr>
      <w:r>
        <w:rPr/>
        <w:t>“</w:t>
      </w:r>
      <w:r>
        <w:rPr>
          <w:rFonts w:ascii="Times New Roman;serif" w:hAnsi="Times New Roman;serif"/>
          <w:b w:val="false"/>
          <w:i/>
          <w:sz w:val="20"/>
        </w:rPr>
        <w:t>Benchmark Transition Event</w:t>
      </w:r>
      <w:r>
        <w:rPr>
          <w:rFonts w:ascii="Times New Roman" w:hAnsi="Times New Roman"/>
          <w:sz w:val="20"/>
        </w:rPr>
        <w:t xml:space="preserve">” </w:t>
      </w:r>
      <w:r>
        <w:rPr>
          <w:rFonts w:ascii="Times New Roman;serif" w:hAnsi="Times New Roman;serif"/>
          <w:b w:val="false"/>
          <w:sz w:val="20"/>
        </w:rPr>
        <w:t>means the occurrence of one or more of the following events with respect to the then-current Benchmark:</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serif" w:hAnsi="Times New Roman;serif"/>
          <w:b w:val="false"/>
          <w:i/>
          <w:sz w:val="20"/>
        </w:rPr>
        <w:t xml:space="preserve">provided </w:t>
      </w:r>
      <w:r>
        <w:rPr>
          <w:rFonts w:ascii="Times New Roman;serif" w:hAnsi="Times New Roman;serif"/>
          <w:b w:val="false"/>
          <w:sz w:val="20"/>
        </w:rPr>
        <w:t>that, at the time of such statement or publication, there is no successor administrator that will continue to provide any Available Tenor of such Benchmark (or such component thereof);</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serif" w:hAnsi="Times New Roman;serif"/>
          <w:b w:val="false"/>
          <w:i/>
          <w:sz w:val="20"/>
        </w:rPr>
        <w:t xml:space="preserve">provided </w:t>
      </w:r>
      <w:r>
        <w:rPr>
          <w:rFonts w:ascii="Times New Roman;serif" w:hAnsi="Times New Roman;serif"/>
          <w:b w:val="false"/>
          <w:sz w:val="20"/>
        </w:rPr>
        <w:t>that, at the time of such statement or publication, there is no successor administrator that will continue to provide any Available Tenor of such Benchmark (or such component thereof); or</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280" w:after="0"/>
        <w:jc w:val="both"/>
        <w:rPr/>
      </w:pPr>
      <w:r>
        <w:rPr/>
        <w:t>“</w:t>
      </w:r>
      <w:r>
        <w:rPr>
          <w:rFonts w:ascii="Times New Roman;serif" w:hAnsi="Times New Roman;serif"/>
          <w:b w:val="false"/>
          <w:i/>
          <w:sz w:val="20"/>
        </w:rPr>
        <w:t xml:space="preserve">Benchmark Unavailability Period” </w:t>
      </w:r>
      <w:r>
        <w:rPr>
          <w:rFonts w:ascii="Times New Roman;serif" w:hAnsi="Times New Roman;serif"/>
          <w:b w:val="false"/>
          <w:sz w:val="20"/>
        </w:rPr>
        <w:t>means, the period (if any) (a) beginning at the time that a Benchmark Replacement Date has occurred if, at such time, no Benchmark Replacement has replaced the then-current Benchmark for all purposes hereunder and under any Loan Document in accordance with Section 3.02(c) and (b) ending at the time that a Benchmark Replacement has replaced the then-current Benchmark for all purposes hereunder and under any Loan Document in accordance with Section 3.02(c).</w:t>
      </w:r>
    </w:p>
    <w:p>
      <w:pPr>
        <w:pStyle w:val="TextBody"/>
        <w:bidi w:val="0"/>
        <w:spacing w:before="280" w:after="0"/>
        <w:jc w:val="both"/>
        <w:rPr/>
      </w:pPr>
      <w:r>
        <w:rPr/>
        <w:t>“</w:t>
      </w:r>
      <w:r>
        <w:rPr>
          <w:rFonts w:ascii="Times New Roman;serif" w:hAnsi="Times New Roman;serif"/>
          <w:b w:val="false"/>
          <w:i/>
          <w:sz w:val="20"/>
        </w:rPr>
        <w:t>Beneficial Ownership Regulation</w:t>
      </w:r>
      <w:r>
        <w:rPr>
          <w:rFonts w:ascii="Times New Roman" w:hAnsi="Times New Roman"/>
          <w:sz w:val="20"/>
        </w:rPr>
        <w:t xml:space="preserve">” </w:t>
      </w:r>
      <w:r>
        <w:rPr>
          <w:rFonts w:ascii="Times New Roman;serif" w:hAnsi="Times New Roman;serif"/>
          <w:b w:val="false"/>
          <w:sz w:val="20"/>
        </w:rPr>
        <w:t>has the meaning set forth in Section 13.16.</w:t>
      </w:r>
    </w:p>
    <w:p>
      <w:pPr>
        <w:pStyle w:val="TextBody"/>
        <w:bidi w:val="0"/>
        <w:spacing w:before="280" w:after="0"/>
        <w:jc w:val="both"/>
        <w:rPr/>
      </w:pPr>
      <w:r>
        <w:rPr/>
        <w:t>“</w:t>
      </w:r>
      <w:r>
        <w:rPr>
          <w:rFonts w:ascii="Times New Roman;serif" w:hAnsi="Times New Roman;serif"/>
          <w:b w:val="false"/>
          <w:i/>
          <w:sz w:val="20"/>
        </w:rPr>
        <w:t>Benefit Plan”</w:t>
      </w:r>
      <w:r>
        <w:rPr>
          <w:rFonts w:ascii="Times New Roman" w:hAnsi="Times New Roman"/>
          <w:sz w:val="20"/>
        </w:rPr>
        <w:t xml:space="preserve"> </w:t>
      </w:r>
      <w:r>
        <w:rPr>
          <w:rFonts w:ascii="Times New Roman;serif" w:hAnsi="Times New Roman;serif"/>
          <w:b w:val="false"/>
          <w:sz w:val="20"/>
        </w:rPr>
        <w:t>means any “employee benefit plan” as defined in Section 3(3) of ERISA (other than a Multiemployer Plan) to which any Obligor or Subsidiary thereof incurs, or otherwise has, any obligation or liability, contingent or otherwise.</w:t>
      </w:r>
    </w:p>
    <w:p>
      <w:pPr>
        <w:pStyle w:val="TextBody"/>
        <w:bidi w:val="0"/>
        <w:spacing w:before="280" w:after="0"/>
        <w:jc w:val="both"/>
        <w:rPr/>
      </w:pPr>
      <w:r>
        <w:rPr/>
        <w:t>“</w:t>
      </w:r>
      <w:r>
        <w:rPr>
          <w:rFonts w:ascii="Times New Roman;serif" w:hAnsi="Times New Roman;serif"/>
          <w:b w:val="false"/>
          <w:i/>
          <w:sz w:val="20"/>
        </w:rPr>
        <w:t>Board</w:t>
      </w:r>
      <w:r>
        <w:rPr>
          <w:rFonts w:ascii="Times New Roman" w:hAnsi="Times New Roman"/>
          <w:sz w:val="20"/>
        </w:rPr>
        <w:t xml:space="preserve">” </w:t>
      </w:r>
      <w:r>
        <w:rPr>
          <w:rFonts w:ascii="Times New Roman;serif" w:hAnsi="Times New Roman;serif"/>
          <w:b w:val="false"/>
          <w:sz w:val="20"/>
        </w:rPr>
        <w:t>means, with respect to any Person, the board of managers or directors (as applicable) (or equivalent governing body) of such Person or any committee thereof.</w:t>
      </w:r>
    </w:p>
    <w:p>
      <w:pPr>
        <w:pStyle w:val="TextBody"/>
        <w:bidi w:val="0"/>
        <w:spacing w:before="280" w:after="0"/>
        <w:jc w:val="both"/>
        <w:rPr/>
      </w:pPr>
      <w:r>
        <w:rPr/>
        <w:t>“</w:t>
      </w:r>
      <w:r>
        <w:rPr>
          <w:rFonts w:ascii="Times New Roman;serif" w:hAnsi="Times New Roman;serif"/>
          <w:b w:val="false"/>
          <w:i/>
          <w:sz w:val="20"/>
        </w:rPr>
        <w:t xml:space="preserve">Borrower” </w:t>
      </w:r>
      <w:r>
        <w:rPr>
          <w:rFonts w:ascii="Times New Roman;serif" w:hAnsi="Times New Roman;serif"/>
          <w:b w:val="false"/>
          <w:sz w:val="20"/>
        </w:rPr>
        <w:t>has the meaning set forth in the introduction hereto.</w:t>
      </w:r>
    </w:p>
    <w:p>
      <w:pPr>
        <w:pStyle w:val="TextBody"/>
        <w:bidi w:val="0"/>
        <w:spacing w:before="280" w:after="0"/>
        <w:jc w:val="both"/>
        <w:rPr/>
      </w:pPr>
      <w:r>
        <w:rPr/>
        <w:t>“</w:t>
      </w:r>
      <w:r>
        <w:rPr>
          <w:rFonts w:ascii="Times New Roman;serif" w:hAnsi="Times New Roman;serif"/>
          <w:b w:val="false"/>
          <w:i/>
          <w:sz w:val="20"/>
        </w:rPr>
        <w:t>Borrowing</w:t>
      </w:r>
      <w:r>
        <w:rPr>
          <w:rFonts w:ascii="Times New Roman" w:hAnsi="Times New Roman"/>
          <w:sz w:val="20"/>
        </w:rPr>
        <w:t xml:space="preserve">” </w:t>
      </w:r>
      <w:r>
        <w:rPr>
          <w:rFonts w:ascii="Times New Roman;serif" w:hAnsi="Times New Roman;serif"/>
          <w:b w:val="false"/>
          <w:sz w:val="20"/>
        </w:rPr>
        <w:t>means a borrowing consisting of a Tranche A Loan made by the Lenders on the Funding Date, a Tranche B Loan made by the Lenders on the Tranche B Loan Borrowing Date, or a Tranche C Loan made by the Lenders on the Tranche C Loan Borrowing Date, as applicable.</w:t>
      </w:r>
    </w:p>
    <w:p>
      <w:pPr>
        <w:pStyle w:val="TextBody"/>
        <w:bidi w:val="0"/>
        <w:spacing w:before="280" w:after="0"/>
        <w:jc w:val="both"/>
        <w:rPr/>
      </w:pPr>
      <w:r>
        <w:rPr/>
        <w:t>“</w:t>
      </w:r>
      <w:r>
        <w:rPr>
          <w:rFonts w:ascii="Times New Roman;serif" w:hAnsi="Times New Roman;serif"/>
          <w:b w:val="false"/>
          <w:i/>
          <w:sz w:val="20"/>
        </w:rPr>
        <w:t>Borrowing Notice”</w:t>
      </w:r>
      <w:r>
        <w:rPr>
          <w:rFonts w:ascii="Times New Roman" w:hAnsi="Times New Roman"/>
          <w:sz w:val="20"/>
        </w:rPr>
        <w:t xml:space="preserve"> </w:t>
      </w:r>
      <w:r>
        <w:rPr>
          <w:rFonts w:ascii="Times New Roman;serif" w:hAnsi="Times New Roman;serif"/>
          <w:b w:val="false"/>
          <w:sz w:val="20"/>
        </w:rPr>
        <w:t>means a notice substantially in the form attached hereto as Exhibit B.</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pPr>
      <w:r>
        <w:rPr/>
        <w:t>“</w:t>
      </w:r>
      <w:r>
        <w:rPr>
          <w:rFonts w:ascii="Times New Roman;serif" w:hAnsi="Times New Roman;serif"/>
          <w:b w:val="false"/>
          <w:i/>
          <w:sz w:val="20"/>
        </w:rPr>
        <w:t>Business Day”</w:t>
      </w:r>
      <w:r>
        <w:rPr>
          <w:rFonts w:ascii="Times New Roman" w:hAnsi="Times New Roman"/>
          <w:sz w:val="20"/>
        </w:rPr>
        <w:t xml:space="preserve"> </w:t>
      </w:r>
      <w:r>
        <w:rPr>
          <w:rFonts w:ascii="Times New Roman;serif" w:hAnsi="Times New Roman;serif"/>
          <w:b w:val="false"/>
          <w:sz w:val="20"/>
        </w:rPr>
        <w:t>means (a) a day (other than a Saturday or Sunday) on which commercial banks are not authorized or required to close in New York City or (b) with respect to any matters relating to SOFR Loans, a U.S. Government Securities Business Day.</w:t>
      </w:r>
      <w:r>
        <w:rPr>
          <w:rFonts w:ascii="Times New Roman" w:hAnsi="Times New Roman"/>
          <w:sz w:val="20"/>
        </w:rPr>
        <w:t xml:space="preserve"> </w:t>
      </w:r>
    </w:p>
    <w:p>
      <w:pPr>
        <w:pStyle w:val="TextBody"/>
        <w:bidi w:val="0"/>
        <w:spacing w:before="280" w:after="0"/>
        <w:jc w:val="both"/>
        <w:rPr/>
      </w:pPr>
      <w:r>
        <w:rPr/>
        <w:t>“</w:t>
      </w:r>
      <w:r>
        <w:rPr>
          <w:rFonts w:ascii="Times New Roman;serif" w:hAnsi="Times New Roman;serif"/>
          <w:b w:val="false"/>
          <w:i/>
          <w:sz w:val="20"/>
        </w:rPr>
        <w:t>Capital Lease Obligations”</w:t>
      </w:r>
      <w:r>
        <w:rPr>
          <w:rFonts w:ascii="Times New Roman" w:hAnsi="Times New Roman"/>
          <w:sz w:val="20"/>
        </w:rPr>
        <w:t xml:space="preserve"> </w:t>
      </w:r>
      <w:r>
        <w:rPr>
          <w:rFonts w:ascii="Times New Roman;serif" w:hAnsi="Times New Roman;serif"/>
          <w:b w:val="false"/>
          <w:sz w:val="20"/>
        </w:rPr>
        <w:t xml:space="preserve">means, as to any Person, the obligations of such Person to pay rent or other amounts under a lease of (or other agreement conveying the right to use) real and/or personal Property which obligations are required to be classified and accounted for as a capital lease on a balance sheet of such Person under GAAP and, for purposes of this Agreement, the amount of such obligations shall be the capitalized amount thereof, determined substantially in accordance with GAAP;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 any lease that would be characterized as an operating lease in accordance with GAAP on December 31, 2018 (whether or not such operating lease was in effect on such date) shall continue to be accounted for as an operating lease (and not as a capital lease) for purposes of this Agreement regardless of any change in GAAP following December 31, 2018 that would otherwise require such lease to be recharacterized (on a prospective or retroactive basis or otherwise) as a capital lease.</w:t>
      </w:r>
    </w:p>
    <w:p>
      <w:pPr>
        <w:pStyle w:val="TextBody"/>
        <w:bidi w:val="0"/>
        <w:spacing w:before="280" w:after="0"/>
        <w:jc w:val="both"/>
        <w:rPr/>
      </w:pPr>
      <w:r>
        <w:rPr/>
        <w:t>“</w:t>
      </w:r>
      <w:r>
        <w:rPr>
          <w:rFonts w:ascii="Times New Roman;serif" w:hAnsi="Times New Roman;serif"/>
          <w:b w:val="false"/>
          <w:i/>
          <w:sz w:val="20"/>
        </w:rPr>
        <w:t>Caprion License</w:t>
      </w:r>
      <w:r>
        <w:rPr>
          <w:rFonts w:ascii="Times New Roman" w:hAnsi="Times New Roman"/>
          <w:sz w:val="20"/>
        </w:rPr>
        <w:t xml:space="preserve">” </w:t>
      </w:r>
      <w:r>
        <w:rPr>
          <w:rFonts w:ascii="Times New Roman;serif" w:hAnsi="Times New Roman;serif"/>
          <w:b w:val="false"/>
          <w:sz w:val="20"/>
        </w:rPr>
        <w:t>means that certain Know How License Agreement, dated as of May 13, 2021 by and between the Borrower and Cellcarta Biosciences Inc. (formerly known as Caprion Biosciences, Inc.), as in effect on the Closing Date.</w:t>
      </w:r>
      <w:r>
        <w:rPr>
          <w:rFonts w:ascii="Times New Roman" w:hAnsi="Times New Roman"/>
          <w:sz w:val="20"/>
        </w:rPr>
        <w:t xml:space="preserve"> </w:t>
      </w:r>
    </w:p>
    <w:p>
      <w:pPr>
        <w:pStyle w:val="TextBody"/>
        <w:bidi w:val="0"/>
        <w:spacing w:before="280" w:after="0"/>
        <w:jc w:val="both"/>
        <w:rPr/>
      </w:pPr>
      <w:r>
        <w:rPr/>
        <w:t>“</w:t>
      </w:r>
      <w:r>
        <w:rPr>
          <w:rFonts w:ascii="Times New Roman;serif" w:hAnsi="Times New Roman;serif"/>
          <w:b w:val="false"/>
          <w:i/>
          <w:sz w:val="20"/>
        </w:rPr>
        <w:t>Casualty Event”</w:t>
      </w:r>
      <w:r>
        <w:rPr>
          <w:rFonts w:ascii="Times New Roman" w:hAnsi="Times New Roman"/>
          <w:sz w:val="20"/>
        </w:rPr>
        <w:t xml:space="preserve"> </w:t>
      </w:r>
      <w:r>
        <w:rPr>
          <w:rFonts w:ascii="Times New Roman;serif" w:hAnsi="Times New Roman;serif"/>
          <w:b w:val="false"/>
          <w:sz w:val="20"/>
        </w:rPr>
        <w:t>means any actual or constructive loss, condemnation, destruction, confiscation, requisition, seizure or forfeiture of all or any material portion of the assets of the Borrower or any other Obligor, excluding only those assets, individually or in the aggregate, subject to any such event during any calendar year with a fair market value as of the date thereof equal to or less than $500,000.</w:t>
      </w:r>
    </w:p>
    <w:p>
      <w:pPr>
        <w:pStyle w:val="TextBody"/>
        <w:bidi w:val="0"/>
        <w:spacing w:before="280" w:after="0"/>
        <w:jc w:val="both"/>
        <w:rPr/>
      </w:pPr>
      <w:r>
        <w:rPr/>
        <w:t>“</w:t>
      </w:r>
      <w:r>
        <w:rPr>
          <w:rFonts w:ascii="Times New Roman;serif" w:hAnsi="Times New Roman;serif"/>
          <w:b w:val="false"/>
          <w:i/>
          <w:sz w:val="20"/>
        </w:rPr>
        <w:t xml:space="preserve">Change of Control” </w:t>
      </w:r>
      <w:r>
        <w:rPr>
          <w:rFonts w:ascii="Times New Roman;serif" w:hAnsi="Times New Roman;serif"/>
          <w:b w:val="false"/>
          <w:sz w:val="20"/>
        </w:rPr>
        <w:t>means and shall be deemed to have occurred if:</w:t>
      </w:r>
    </w:p>
    <w:p>
      <w:pPr>
        <w:pStyle w:val="TextBody"/>
        <w:bidi w:val="0"/>
        <w:spacing w:before="280" w:after="0"/>
        <w:jc w:val="both"/>
        <w:rPr>
          <w:rFonts w:ascii="Times New Roman" w:hAnsi="Times New Roman"/>
          <w:sz w:val="20"/>
        </w:rPr>
      </w:pPr>
      <w:r>
        <w:rPr>
          <w:rFonts w:ascii="Times New Roman;serif" w:hAnsi="Times New Roman;serif"/>
          <w:b w:val="false"/>
          <w:sz w:val="20"/>
        </w:rPr>
        <w:t>(a) any “person” or “group” (within the meaning of Rule 13d-5 of the Exchange Act as in effect on the date hereof) shall own, directly or indirectly, beneficially or of record, shares representing 40% or more of the aggregate ordinary voting power represented by the issued and outstanding Equity Interests of Borrower;</w:t>
      </w:r>
      <w:r>
        <w:rPr>
          <w:rFonts w:ascii="Times New Roman" w:hAnsi="Times New Roman"/>
          <w:sz w:val="20"/>
        </w:rPr>
        <w:t xml:space="preserve">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(b) during any period of twelve (12) consecutive calendar months, the occupation of a majority of the seats (other than vacant seats) on the Board of Borrower by Persons who were neither (i) nominated or approved by the Board of Borrower, nor (ii) appointed by directors on the Board of the Borrower on the Closing Date; and</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(c) the Borrower shall cease to own directly or indirectly, determined on a fully diluted basis, 100% of the issued and outstanding Equity Interests of any other Obligor.</w:t>
      </w:r>
    </w:p>
    <w:p>
      <w:pPr>
        <w:pStyle w:val="TextBody"/>
        <w:bidi w:val="0"/>
        <w:spacing w:before="280" w:after="0"/>
        <w:jc w:val="both"/>
        <w:rPr/>
      </w:pPr>
      <w:r>
        <w:rPr/>
        <w:t>“</w:t>
      </w:r>
      <w:r>
        <w:rPr>
          <w:rFonts w:ascii="Times New Roman;serif" w:hAnsi="Times New Roman;serif"/>
          <w:b w:val="false"/>
          <w:i/>
          <w:sz w:val="20"/>
        </w:rPr>
        <w:t>Claims”</w:t>
      </w:r>
      <w:r>
        <w:rPr>
          <w:rFonts w:ascii="Times New Roman" w:hAnsi="Times New Roman"/>
          <w:sz w:val="20"/>
        </w:rPr>
        <w:t xml:space="preserve"> </w:t>
      </w:r>
      <w:r>
        <w:rPr>
          <w:rFonts w:ascii="Times New Roman;serif" w:hAnsi="Times New Roman;serif"/>
          <w:b w:val="false"/>
          <w:sz w:val="20"/>
        </w:rPr>
        <w:t>includes claims, litigation, demands, complaints, grievances, actions, applications, suits, causes of action, orders, charges, indictments, prosecutions, information (brought by a public prosecutor without grand jury indictment) or other similar processes, assessments or reassessments.</w:t>
      </w:r>
    </w:p>
    <w:p>
      <w:pPr>
        <w:pStyle w:val="TextBody"/>
        <w:bidi w:val="0"/>
        <w:spacing w:before="280" w:after="0"/>
        <w:jc w:val="both"/>
        <w:rPr/>
      </w:pPr>
      <w:r>
        <w:rPr/>
        <w:t>“</w:t>
      </w:r>
      <w:r>
        <w:rPr>
          <w:rFonts w:ascii="Times New Roman;serif" w:hAnsi="Times New Roman;serif"/>
          <w:b w:val="false"/>
          <w:i/>
          <w:sz w:val="20"/>
        </w:rPr>
        <w:t>CLIA”</w:t>
      </w:r>
      <w:r>
        <w:rPr>
          <w:rFonts w:ascii="Times New Roman" w:hAnsi="Times New Roman"/>
          <w:sz w:val="20"/>
        </w:rPr>
        <w:t xml:space="preserve"> </w:t>
      </w:r>
      <w:r>
        <w:rPr>
          <w:rFonts w:ascii="Times New Roman;serif" w:hAnsi="Times New Roman;serif"/>
          <w:b w:val="false"/>
          <w:sz w:val="20"/>
        </w:rPr>
        <w:t>means the Clinical Laboratory Improvement Amendments of 1988 (CLIA), as amended from time to time, and the rules and regulations promulgated thereunder.</w:t>
      </w:r>
    </w:p>
    <w:p>
      <w:pPr>
        <w:pStyle w:val="TextBody"/>
        <w:bidi w:val="0"/>
        <w:spacing w:before="280" w:after="0"/>
        <w:jc w:val="both"/>
        <w:rPr/>
      </w:pPr>
      <w:r>
        <w:rPr/>
        <w:t>“</w:t>
      </w:r>
      <w:r>
        <w:rPr>
          <w:rFonts w:ascii="Times New Roman;serif" w:hAnsi="Times New Roman;serif"/>
          <w:b w:val="false"/>
          <w:i/>
          <w:sz w:val="20"/>
        </w:rPr>
        <w:t>Closing Date”</w:t>
      </w:r>
      <w:r>
        <w:rPr>
          <w:rFonts w:ascii="Times New Roman" w:hAnsi="Times New Roman"/>
          <w:sz w:val="20"/>
        </w:rPr>
        <w:t xml:space="preserve"> </w:t>
      </w:r>
      <w:r>
        <w:rPr>
          <w:rFonts w:ascii="Times New Roman;serif" w:hAnsi="Times New Roman;serif"/>
          <w:b w:val="false"/>
          <w:sz w:val="20"/>
        </w:rPr>
        <w:t>means the Business Day on which all of the conditions set forth in Section 6.01 have been satisfied or waived by the Administrative Agent.</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pPr>
      <w:r>
        <w:rPr/>
        <w:t>“</w:t>
      </w:r>
      <w:r>
        <w:rPr>
          <w:rFonts w:ascii="Times New Roman;serif" w:hAnsi="Times New Roman;serif"/>
          <w:b w:val="false"/>
          <w:i/>
          <w:sz w:val="20"/>
        </w:rPr>
        <w:t>Code”</w:t>
      </w:r>
      <w:r>
        <w:rPr>
          <w:rFonts w:ascii="Times New Roman" w:hAnsi="Times New Roman"/>
          <w:sz w:val="20"/>
        </w:rPr>
        <w:t xml:space="preserve"> </w:t>
      </w:r>
      <w:r>
        <w:rPr>
          <w:rFonts w:ascii="Times New Roman;serif" w:hAnsi="Times New Roman;serif"/>
          <w:b w:val="false"/>
          <w:sz w:val="20"/>
        </w:rPr>
        <w:t>means the Internal Revenue Code of 1986, as amended from time to time, and the rules and regulations promulgated thereunder from time to time.</w:t>
      </w:r>
    </w:p>
    <w:p>
      <w:pPr>
        <w:pStyle w:val="TextBody"/>
        <w:bidi w:val="0"/>
        <w:spacing w:before="280" w:after="0"/>
        <w:jc w:val="both"/>
        <w:rPr/>
      </w:pPr>
      <w:r>
        <w:rPr/>
        <w:t>“</w:t>
      </w:r>
      <w:r>
        <w:rPr>
          <w:rFonts w:ascii="Times New Roman;serif" w:hAnsi="Times New Roman;serif"/>
          <w:b w:val="false"/>
          <w:i/>
          <w:sz w:val="20"/>
        </w:rPr>
        <w:t>Collateral”</w:t>
      </w:r>
      <w:r>
        <w:rPr>
          <w:rFonts w:ascii="Times New Roman" w:hAnsi="Times New Roman"/>
          <w:sz w:val="20"/>
        </w:rPr>
        <w:t xml:space="preserve"> </w:t>
      </w:r>
      <w:r>
        <w:rPr>
          <w:rFonts w:ascii="Times New Roman;serif" w:hAnsi="Times New Roman;serif"/>
          <w:b w:val="false"/>
          <w:sz w:val="20"/>
        </w:rPr>
        <w:t>means any Property in which a Lien is purported to be granted under any of the Security Documents (or all such Property, as the context may require).</w:t>
      </w:r>
    </w:p>
    <w:p>
      <w:pPr>
        <w:pStyle w:val="TextBody"/>
        <w:bidi w:val="0"/>
        <w:spacing w:before="280" w:after="0"/>
        <w:jc w:val="both"/>
        <w:rPr/>
      </w:pPr>
      <w:r>
        <w:rPr/>
        <w:t>“</w:t>
      </w:r>
      <w:r>
        <w:rPr>
          <w:rFonts w:ascii="Times New Roman;serif" w:hAnsi="Times New Roman;serif"/>
          <w:b w:val="false"/>
          <w:i/>
          <w:sz w:val="20"/>
        </w:rPr>
        <w:t>Collateral Access Agreement</w:t>
      </w:r>
      <w:r>
        <w:rPr>
          <w:rFonts w:ascii="Times New Roman" w:hAnsi="Times New Roman"/>
          <w:sz w:val="20"/>
        </w:rPr>
        <w:t xml:space="preserve">” </w:t>
      </w:r>
      <w:r>
        <w:rPr>
          <w:rFonts w:ascii="Times New Roman;serif" w:hAnsi="Times New Roman;serif"/>
          <w:b w:val="false"/>
          <w:sz w:val="20"/>
        </w:rPr>
        <w:t>means any landlord waiver or similar agreement, in form and substance reasonably satisfactory to the Administrative Agent, between the Administrative Agent and any third party (including any bailee, consignee, customs broker, or other similar Person) in possession of any Collateral, any landlord of any real property where any Collateral is located or any landlord of the real property which is the chief executive office.</w:t>
      </w:r>
      <w:r>
        <w:rPr>
          <w:rFonts w:ascii="Times New Roman" w:hAnsi="Times New Roman"/>
          <w:sz w:val="20"/>
        </w:rPr>
        <w:t xml:space="preserve"> </w:t>
      </w:r>
    </w:p>
    <w:p>
      <w:pPr>
        <w:pStyle w:val="TextBody"/>
        <w:bidi w:val="0"/>
        <w:spacing w:before="280" w:after="0"/>
        <w:jc w:val="both"/>
        <w:rPr/>
      </w:pPr>
      <w:r>
        <w:rPr/>
        <w:t>“</w:t>
      </w:r>
      <w:r>
        <w:rPr>
          <w:rFonts w:ascii="Times New Roman;serif" w:hAnsi="Times New Roman;serif"/>
          <w:b w:val="false"/>
          <w:i/>
          <w:sz w:val="20"/>
        </w:rPr>
        <w:t>Collateral Questionnaire”</w:t>
      </w:r>
      <w:r>
        <w:rPr>
          <w:rFonts w:ascii="Times New Roman" w:hAnsi="Times New Roman"/>
          <w:sz w:val="20"/>
        </w:rPr>
        <w:t xml:space="preserve"> </w:t>
      </w:r>
      <w:r>
        <w:rPr>
          <w:rFonts w:ascii="Times New Roman;serif" w:hAnsi="Times New Roman;serif"/>
          <w:b w:val="false"/>
          <w:sz w:val="20"/>
        </w:rPr>
        <w:t>means that certain Collateral Questionnaire and certification by a Responsible Officer of the Borrower substantially in the form of attached hereto as Exhibit I and otherwise in form and substance reasonably satisfactory to the Administrative Agent.</w:t>
      </w:r>
    </w:p>
    <w:p>
      <w:pPr>
        <w:pStyle w:val="TextBody"/>
        <w:bidi w:val="0"/>
        <w:spacing w:before="280" w:after="0"/>
        <w:jc w:val="both"/>
        <w:rPr/>
      </w:pPr>
      <w:r>
        <w:rPr/>
        <w:t>“</w:t>
      </w:r>
      <w:r>
        <w:rPr>
          <w:rFonts w:ascii="Times New Roman;serif" w:hAnsi="Times New Roman;serif"/>
          <w:b w:val="false"/>
          <w:i/>
          <w:sz w:val="20"/>
        </w:rPr>
        <w:t>Commitment”</w:t>
      </w:r>
      <w:r>
        <w:rPr>
          <w:rFonts w:ascii="Times New Roman" w:hAnsi="Times New Roman"/>
          <w:sz w:val="20"/>
        </w:rPr>
        <w:t xml:space="preserve"> </w:t>
      </w:r>
      <w:r>
        <w:rPr>
          <w:rFonts w:ascii="Times New Roman;serif" w:hAnsi="Times New Roman;serif"/>
          <w:b w:val="false"/>
          <w:sz w:val="20"/>
        </w:rPr>
        <w:t>means, with respect to each Lender, such Lender’s (a) Tranche A Loan Commitment, (b) Tranche B Loan Commitment and (c) Tranche C Loan Commitment and “Commitments” means all such commitments of all Lenders. The amount of each Lender’s Commitments is set forth on Schedule 1. The aggregate Commitments of all Lenders as of the Closing Date is $50,000,000.</w:t>
      </w:r>
    </w:p>
    <w:p>
      <w:pPr>
        <w:pStyle w:val="TextBody"/>
        <w:bidi w:val="0"/>
        <w:spacing w:before="280" w:after="0"/>
        <w:jc w:val="both"/>
        <w:rPr/>
      </w:pPr>
      <w:r>
        <w:rPr/>
        <w:t>“</w:t>
      </w:r>
      <w:r>
        <w:rPr>
          <w:rFonts w:ascii="Times New Roman;serif" w:hAnsi="Times New Roman;serif"/>
          <w:b w:val="false"/>
          <w:i/>
          <w:sz w:val="20"/>
        </w:rPr>
        <w:t>Commodity Account”</w:t>
      </w:r>
      <w:r>
        <w:rPr>
          <w:rFonts w:ascii="Times New Roman" w:hAnsi="Times New Roman"/>
          <w:sz w:val="20"/>
        </w:rPr>
        <w:t xml:space="preserve"> </w:t>
      </w:r>
      <w:r>
        <w:rPr>
          <w:rFonts w:ascii="Times New Roman;serif" w:hAnsi="Times New Roman;serif"/>
          <w:b w:val="false"/>
          <w:sz w:val="20"/>
        </w:rPr>
        <w:t>has the meaning set forth in the Security Agreement.</w:t>
      </w:r>
    </w:p>
    <w:p>
      <w:pPr>
        <w:pStyle w:val="TextBody"/>
        <w:bidi w:val="0"/>
        <w:spacing w:before="280" w:after="0"/>
        <w:jc w:val="both"/>
        <w:rPr/>
      </w:pPr>
      <w:r>
        <w:rPr/>
        <w:t>“</w:t>
      </w:r>
      <w:r>
        <w:rPr>
          <w:rFonts w:ascii="Times New Roman;serif" w:hAnsi="Times New Roman;serif"/>
          <w:b w:val="false"/>
          <w:i/>
          <w:sz w:val="20"/>
        </w:rPr>
        <w:t>Compliance Certificate”</w:t>
      </w:r>
      <w:r>
        <w:rPr>
          <w:rFonts w:ascii="Times New Roman" w:hAnsi="Times New Roman"/>
          <w:sz w:val="20"/>
        </w:rPr>
        <w:t xml:space="preserve"> </w:t>
      </w:r>
      <w:r>
        <w:rPr>
          <w:rFonts w:ascii="Times New Roman;serif" w:hAnsi="Times New Roman;serif"/>
          <w:b w:val="false"/>
          <w:sz w:val="20"/>
        </w:rPr>
        <w:t>has the meaning set forth in Section 8.01(c).</w:t>
      </w:r>
    </w:p>
    <w:p>
      <w:pPr>
        <w:pStyle w:val="TextBody"/>
        <w:bidi w:val="0"/>
        <w:spacing w:before="280" w:after="0"/>
        <w:jc w:val="both"/>
        <w:rPr/>
      </w:pPr>
      <w:r>
        <w:rPr/>
        <w:t>“</w:t>
      </w:r>
      <w:r>
        <w:rPr>
          <w:rFonts w:ascii="Times New Roman;serif" w:hAnsi="Times New Roman;serif"/>
          <w:b w:val="false"/>
          <w:i/>
          <w:sz w:val="20"/>
        </w:rPr>
        <w:t>Confidential Healthcare Information”</w:t>
      </w:r>
      <w:r>
        <w:rPr>
          <w:rFonts w:ascii="Times New Roman" w:hAnsi="Times New Roman"/>
          <w:sz w:val="20"/>
        </w:rPr>
        <w:t xml:space="preserve"> </w:t>
      </w:r>
      <w:r>
        <w:rPr>
          <w:rFonts w:ascii="Times New Roman;serif" w:hAnsi="Times New Roman;serif"/>
          <w:b w:val="false"/>
          <w:sz w:val="20"/>
        </w:rPr>
        <w:t>has the meaning set forth in Section 8.06.</w:t>
      </w:r>
    </w:p>
    <w:p>
      <w:pPr>
        <w:pStyle w:val="TextBody"/>
        <w:bidi w:val="0"/>
        <w:spacing w:before="280" w:after="0"/>
        <w:jc w:val="both"/>
        <w:rPr/>
      </w:pPr>
      <w:r>
        <w:rPr/>
        <w:t>“</w:t>
      </w:r>
      <w:r>
        <w:rPr>
          <w:rFonts w:ascii="Times New Roman;serif" w:hAnsi="Times New Roman;serif"/>
          <w:b w:val="false"/>
          <w:i/>
          <w:sz w:val="20"/>
        </w:rPr>
        <w:t>Conforming Changes</w:t>
      </w:r>
      <w:r>
        <w:rPr>
          <w:rFonts w:ascii="Times New Roman" w:hAnsi="Times New Roman"/>
          <w:sz w:val="20"/>
        </w:rPr>
        <w:t xml:space="preserve">” </w:t>
      </w:r>
      <w:r>
        <w:rPr>
          <w:rFonts w:ascii="Times New Roman;serif" w:hAnsi="Times New Roman;serif"/>
          <w:b w:val="false"/>
          <w:sz w:val="20"/>
        </w:rPr>
        <w:t>means, with respect to either the use or administration of Term SOFR or the use, administration, adoption or implementation of any Benchmark Replacement, any technical, administrative or operational changes (including changes to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and other technical, administrative or operational matters) that the Administrative Agent reasonably determines (in consultation with the Borrower) may be appropriate to reflect the adoption and implementation of any such rate or to permit the use and administration thereof by the Administrative Agent in a manner substantially consistent with market practice (or, if the Administrative Agent reasonably determines (in consultation with the Borrower that adoption of any portion of such market practice is not administratively feasible or if the Administrative Agent determines that no market practice for the administration of any such rate exists, in such other manner of administration as the Administrative Agent reasonably determines (in consultation with the Borrower) is reasonably necessary in connection with the administration of this Agreement and the other Loan Documents).</w:t>
      </w:r>
    </w:p>
    <w:p>
      <w:pPr>
        <w:pStyle w:val="TextBody"/>
        <w:bidi w:val="0"/>
        <w:spacing w:before="280" w:after="0"/>
        <w:jc w:val="both"/>
        <w:rPr/>
      </w:pPr>
      <w:r>
        <w:rPr/>
        <w:t>“</w:t>
      </w:r>
      <w:r>
        <w:rPr>
          <w:rFonts w:ascii="Times New Roman;serif" w:hAnsi="Times New Roman;serif"/>
          <w:b w:val="false"/>
          <w:i/>
          <w:sz w:val="20"/>
        </w:rPr>
        <w:t xml:space="preserve">Connection Income Taxes” </w:t>
      </w:r>
      <w:r>
        <w:rPr>
          <w:rFonts w:ascii="Times New Roman;serif" w:hAnsi="Times New Roman;serif"/>
          <w:b w:val="false"/>
          <w:sz w:val="20"/>
        </w:rPr>
        <w:t>means Other Connection Taxes that are imposed on or measured by net income (however denominated) or that are franchise Taxes or branch profits Taxes.</w:t>
      </w:r>
    </w:p>
    <w:p>
      <w:pPr>
        <w:pStyle w:val="TextBody"/>
        <w:bidi w:val="0"/>
        <w:spacing w:before="280" w:after="0"/>
        <w:jc w:val="both"/>
        <w:rPr/>
      </w:pPr>
      <w:r>
        <w:rPr/>
        <w:t>“</w:t>
      </w:r>
      <w:r>
        <w:rPr>
          <w:rFonts w:ascii="Times New Roman;serif" w:hAnsi="Times New Roman;serif"/>
          <w:b w:val="false"/>
          <w:i/>
          <w:sz w:val="20"/>
        </w:rPr>
        <w:t>Contracts”</w:t>
      </w:r>
      <w:r>
        <w:rPr>
          <w:rFonts w:ascii="Times New Roman" w:hAnsi="Times New Roman"/>
          <w:sz w:val="20"/>
        </w:rPr>
        <w:t xml:space="preserve"> </w:t>
      </w:r>
      <w:r>
        <w:rPr>
          <w:rFonts w:ascii="Times New Roman;serif" w:hAnsi="Times New Roman;serif"/>
          <w:b w:val="false"/>
          <w:sz w:val="20"/>
        </w:rPr>
        <w:t>means any contract, license, instrument, lease, agreement, obligation, promise, undertaking, understanding, arrangement, document, commitment, entitlement or engagement under which a Person has, or will</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have, any liability or contingent liability (in each case, whether written or oral, express or implied, and whether in respect of monetary or payment obligations, performance obligations or otherwise), excluding the Loan Documents.</w:t>
      </w:r>
    </w:p>
    <w:p>
      <w:pPr>
        <w:pStyle w:val="TextBody"/>
        <w:bidi w:val="0"/>
        <w:spacing w:before="280" w:after="0"/>
        <w:jc w:val="both"/>
        <w:rPr/>
      </w:pPr>
      <w:r>
        <w:rPr/>
        <w:t>“</w:t>
      </w:r>
      <w:r>
        <w:rPr>
          <w:rFonts w:ascii="Times New Roman;serif" w:hAnsi="Times New Roman;serif"/>
          <w:b w:val="false"/>
          <w:i/>
          <w:sz w:val="20"/>
        </w:rPr>
        <w:t>Control”</w:t>
      </w:r>
      <w:r>
        <w:rPr>
          <w:rFonts w:ascii="Times New Roman" w:hAnsi="Times New Roman"/>
          <w:sz w:val="20"/>
        </w:rPr>
        <w:t xml:space="preserve"> </w:t>
      </w:r>
      <w:r>
        <w:rPr>
          <w:rFonts w:ascii="Times New Roman;serif" w:hAnsi="Times New Roman;serif"/>
          <w:b w:val="false"/>
          <w:sz w:val="20"/>
        </w:rPr>
        <w:t>means, in respect of a particular Person, the possession, directly or indirectly, of the power to direct or cause the direction of the management or policies of such Person, whether through the ability to exercise voting power, by contract or otherwise. “</w:t>
      </w:r>
      <w:r>
        <w:rPr>
          <w:rFonts w:ascii="Times New Roman;serif" w:hAnsi="Times New Roman;serif"/>
          <w:b w:val="false"/>
          <w:i/>
          <w:sz w:val="20"/>
        </w:rPr>
        <w:t>Controlling</w:t>
      </w:r>
      <w:r>
        <w:rPr>
          <w:rFonts w:ascii="Times New Roman" w:hAnsi="Times New Roman"/>
          <w:sz w:val="20"/>
        </w:rPr>
        <w:t xml:space="preserve">” </w:t>
      </w:r>
      <w:r>
        <w:rPr>
          <w:rFonts w:ascii="Times New Roman;serif" w:hAnsi="Times New Roman;serif"/>
          <w:b w:val="false"/>
          <w:sz w:val="20"/>
        </w:rPr>
        <w:t>and “</w:t>
      </w:r>
      <w:r>
        <w:rPr>
          <w:rFonts w:ascii="Times New Roman;serif" w:hAnsi="Times New Roman;serif"/>
          <w:b w:val="false"/>
          <w:i/>
          <w:sz w:val="20"/>
        </w:rPr>
        <w:t>Controlled</w:t>
      </w:r>
      <w:r>
        <w:rPr>
          <w:rFonts w:ascii="Times New Roman" w:hAnsi="Times New Roman"/>
          <w:sz w:val="20"/>
        </w:rPr>
        <w:t xml:space="preserve">” </w:t>
      </w:r>
      <w:r>
        <w:rPr>
          <w:rFonts w:ascii="Times New Roman;serif" w:hAnsi="Times New Roman;serif"/>
          <w:b w:val="false"/>
          <w:sz w:val="20"/>
        </w:rPr>
        <w:t>have meanings correlative thereto.</w:t>
      </w:r>
    </w:p>
    <w:p>
      <w:pPr>
        <w:pStyle w:val="TextBody"/>
        <w:bidi w:val="0"/>
        <w:spacing w:before="280" w:after="0"/>
        <w:jc w:val="both"/>
        <w:rPr/>
      </w:pPr>
      <w:r>
        <w:rPr/>
        <w:t>“</w:t>
      </w:r>
      <w:r>
        <w:rPr>
          <w:rFonts w:ascii="Times New Roman;serif" w:hAnsi="Times New Roman;serif"/>
          <w:b w:val="false"/>
          <w:i/>
          <w:sz w:val="20"/>
        </w:rPr>
        <w:t>Controlled Account”</w:t>
      </w:r>
      <w:r>
        <w:rPr>
          <w:rFonts w:ascii="Times New Roman" w:hAnsi="Times New Roman"/>
          <w:sz w:val="20"/>
        </w:rPr>
        <w:t xml:space="preserve"> </w:t>
      </w:r>
      <w:r>
        <w:rPr>
          <w:rFonts w:ascii="Times New Roman;serif" w:hAnsi="Times New Roman;serif"/>
          <w:b w:val="false"/>
          <w:sz w:val="20"/>
        </w:rPr>
        <w:t>has the meaning set forth in Section 8.17(a).</w:t>
      </w:r>
    </w:p>
    <w:p>
      <w:pPr>
        <w:pStyle w:val="TextBody"/>
        <w:bidi w:val="0"/>
        <w:spacing w:before="280" w:after="0"/>
        <w:jc w:val="both"/>
        <w:rPr/>
      </w:pPr>
      <w:r>
        <w:rPr/>
        <w:t>“</w:t>
      </w:r>
      <w:r>
        <w:rPr>
          <w:rFonts w:ascii="Times New Roman;serif" w:hAnsi="Times New Roman;serif"/>
          <w:b w:val="false"/>
          <w:i/>
          <w:sz w:val="20"/>
        </w:rPr>
        <w:t>Copyrights”</w:t>
      </w:r>
      <w:r>
        <w:rPr>
          <w:rFonts w:ascii="Times New Roman" w:hAnsi="Times New Roman"/>
          <w:sz w:val="20"/>
        </w:rPr>
        <w:t xml:space="preserve"> </w:t>
      </w:r>
      <w:r>
        <w:rPr>
          <w:rFonts w:ascii="Times New Roman;serif" w:hAnsi="Times New Roman;serif"/>
          <w:b w:val="false"/>
          <w:sz w:val="20"/>
        </w:rPr>
        <w:t>has the meaning set forth in the Security Agreement.</w:t>
      </w:r>
    </w:p>
    <w:p>
      <w:pPr>
        <w:pStyle w:val="TextBody"/>
        <w:bidi w:val="0"/>
        <w:spacing w:before="280" w:after="0"/>
        <w:jc w:val="both"/>
        <w:rPr/>
      </w:pPr>
      <w:r>
        <w:rPr/>
        <w:t>“</w:t>
      </w:r>
      <w:r>
        <w:rPr>
          <w:rFonts w:ascii="Times New Roman;serif" w:hAnsi="Times New Roman;serif"/>
          <w:b w:val="false"/>
          <w:i/>
          <w:sz w:val="20"/>
        </w:rPr>
        <w:t>Daily Simple SOFR</w:t>
      </w:r>
      <w:r>
        <w:rPr>
          <w:rFonts w:ascii="Times New Roman" w:hAnsi="Times New Roman"/>
          <w:sz w:val="20"/>
        </w:rPr>
        <w:t xml:space="preserve">” </w:t>
      </w:r>
      <w:r>
        <w:rPr>
          <w:rFonts w:ascii="Times New Roman;serif" w:hAnsi="Times New Roman;serif"/>
          <w:b w:val="false"/>
          <w:sz w:val="20"/>
        </w:rPr>
        <w:t xml:space="preserve">means, for any day (a “SOFR Rate Day”), a rate per annum equal to the greater of (a) SOFR for the day (such day, a “SOFR Determination Day”) that is two (2)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and (b) the Floor. If by 5:00 p.m. (New York City time) on the second (2nd) U.S. Government Securities Business Day immediately following any SOFR Determination Day, SOFR in respect of such SOFR Determination Day has not been published on the SOFR Administrator’s Website and a Benchmark Replacement Date with respect to the Daily Simple SOFR has not occurred, then SOFR for such SOFR Determination Day will be SOFR as published in respect of the first preceding U.S. Government Securities Business Day for which such SOFR was published on the SOFR Administrator’s Website;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 xml:space="preserve">that, any SOFR determined pursuant to this sentence shall be utilized for purposes of calculation of Daily Simple SOFR for no more than three (3) consecutive SOFR Rate Days; </w:t>
      </w:r>
      <w:r>
        <w:rPr>
          <w:rFonts w:ascii="Times New Roman;serif" w:hAnsi="Times New Roman;serif"/>
          <w:b w:val="false"/>
          <w:i/>
          <w:sz w:val="20"/>
        </w:rPr>
        <w:t>provided further</w:t>
      </w:r>
      <w:r>
        <w:rPr>
          <w:rFonts w:ascii="Times New Roman;serif" w:hAnsi="Times New Roman;serif"/>
          <w:b w:val="false"/>
          <w:sz w:val="20"/>
        </w:rPr>
        <w:t>, Daily Simple SOFR shall be rounded upwards to the next 1/100% (if necessary). Any change in Daily Simple SOFR due to a change in SOFR shall be effective from and including the effective date of such change in SOFR without notice to the Borrower.</w:t>
      </w:r>
    </w:p>
    <w:p>
      <w:pPr>
        <w:pStyle w:val="TextBody"/>
        <w:bidi w:val="0"/>
        <w:spacing w:before="280" w:after="0"/>
        <w:jc w:val="both"/>
        <w:rPr/>
      </w:pPr>
      <w:r>
        <w:rPr/>
        <w:t>“</w:t>
      </w:r>
      <w:r>
        <w:rPr>
          <w:rFonts w:ascii="Times New Roman;serif" w:hAnsi="Times New Roman;serif"/>
          <w:b w:val="false"/>
          <w:i/>
          <w:sz w:val="20"/>
        </w:rPr>
        <w:t>Default”</w:t>
      </w:r>
      <w:r>
        <w:rPr>
          <w:rFonts w:ascii="Times New Roman" w:hAnsi="Times New Roman"/>
          <w:sz w:val="20"/>
        </w:rPr>
        <w:t xml:space="preserve"> </w:t>
      </w:r>
      <w:r>
        <w:rPr>
          <w:rFonts w:ascii="Times New Roman;serif" w:hAnsi="Times New Roman;serif"/>
          <w:b w:val="false"/>
          <w:sz w:val="20"/>
        </w:rPr>
        <w:t>means any Event of Default and any event that, upon the giving of notice, the lapse of time or both, would constitute an Event of Default.</w:t>
      </w:r>
    </w:p>
    <w:p>
      <w:pPr>
        <w:pStyle w:val="TextBody"/>
        <w:bidi w:val="0"/>
        <w:spacing w:before="280" w:after="0"/>
        <w:jc w:val="both"/>
        <w:rPr/>
      </w:pPr>
      <w:r>
        <w:rPr/>
        <w:t>“</w:t>
      </w:r>
      <w:r>
        <w:rPr>
          <w:rFonts w:ascii="Times New Roman;serif" w:hAnsi="Times New Roman;serif"/>
          <w:b w:val="false"/>
          <w:i/>
          <w:sz w:val="20"/>
        </w:rPr>
        <w:t>Default Rate”</w:t>
      </w:r>
      <w:r>
        <w:rPr>
          <w:rFonts w:ascii="Times New Roman" w:hAnsi="Times New Roman"/>
          <w:sz w:val="20"/>
        </w:rPr>
        <w:t xml:space="preserve"> </w:t>
      </w:r>
      <w:r>
        <w:rPr>
          <w:rFonts w:ascii="Times New Roman;serif" w:hAnsi="Times New Roman;serif"/>
          <w:b w:val="false"/>
          <w:sz w:val="20"/>
        </w:rPr>
        <w:t>has the meaning set forth in Section 3.02(d).</w:t>
      </w:r>
    </w:p>
    <w:p>
      <w:pPr>
        <w:pStyle w:val="TextBody"/>
        <w:bidi w:val="0"/>
        <w:spacing w:before="280" w:after="0"/>
        <w:jc w:val="both"/>
        <w:rPr/>
      </w:pPr>
      <w:r>
        <w:rPr/>
        <w:t>“</w:t>
      </w:r>
      <w:r>
        <w:rPr>
          <w:rFonts w:ascii="Times New Roman;serif" w:hAnsi="Times New Roman;serif"/>
          <w:b w:val="false"/>
          <w:i/>
          <w:sz w:val="20"/>
        </w:rPr>
        <w:t>Deposit Account”</w:t>
      </w:r>
      <w:r>
        <w:rPr>
          <w:rFonts w:ascii="Times New Roman" w:hAnsi="Times New Roman"/>
          <w:sz w:val="20"/>
        </w:rPr>
        <w:t xml:space="preserve"> </w:t>
      </w:r>
      <w:r>
        <w:rPr>
          <w:rFonts w:ascii="Times New Roman;serif" w:hAnsi="Times New Roman;serif"/>
          <w:b w:val="false"/>
          <w:sz w:val="20"/>
        </w:rPr>
        <w:t>has the meaning set forth in the Security Agreement.</w:t>
      </w:r>
    </w:p>
    <w:p>
      <w:pPr>
        <w:pStyle w:val="TextBody"/>
        <w:bidi w:val="0"/>
        <w:spacing w:before="280" w:after="0"/>
        <w:jc w:val="both"/>
        <w:rPr/>
      </w:pPr>
      <w:r>
        <w:rPr/>
        <w:t>“</w:t>
      </w:r>
      <w:r>
        <w:rPr>
          <w:rFonts w:ascii="Times New Roman;serif" w:hAnsi="Times New Roman;serif"/>
          <w:b w:val="false"/>
          <w:i/>
          <w:sz w:val="20"/>
        </w:rPr>
        <w:t>Designated Person”</w:t>
      </w:r>
      <w:r>
        <w:rPr>
          <w:rFonts w:ascii="Times New Roman" w:hAnsi="Times New Roman"/>
          <w:sz w:val="20"/>
        </w:rPr>
        <w:t xml:space="preserve"> </w:t>
      </w:r>
      <w:r>
        <w:rPr>
          <w:rFonts w:ascii="Times New Roman;serif" w:hAnsi="Times New Roman;serif"/>
          <w:b w:val="false"/>
          <w:sz w:val="20"/>
        </w:rPr>
        <w:t>means a person or entity:</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(a) listed in the annex to, or otherwise targeted by the provisions of, the Executive Order;</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(b) named as a “Specially Designated National and Blocked Person” on the most current list published by OFAC at its official website or any replacement website or other replacement official publication of such list; or</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(c) with which the Lenders are prohibited from dealing or otherwise engaging in any transaction by any Economic Sanctions Laws.</w:t>
      </w:r>
    </w:p>
    <w:p>
      <w:pPr>
        <w:pStyle w:val="TextBody"/>
        <w:bidi w:val="0"/>
        <w:spacing w:before="280" w:after="0"/>
        <w:jc w:val="both"/>
        <w:rPr/>
      </w:pPr>
      <w:r>
        <w:rPr/>
        <w:t>“</w:t>
      </w:r>
      <w:r>
        <w:rPr>
          <w:rFonts w:ascii="Times New Roman;serif" w:hAnsi="Times New Roman;serif"/>
          <w:b w:val="false"/>
          <w:i/>
          <w:sz w:val="20"/>
        </w:rPr>
        <w:t>Device”</w:t>
      </w:r>
      <w:r>
        <w:rPr>
          <w:rFonts w:ascii="Times New Roman" w:hAnsi="Times New Roman"/>
          <w:sz w:val="20"/>
        </w:rPr>
        <w:t xml:space="preserve"> </w:t>
      </w:r>
      <w:r>
        <w:rPr>
          <w:rFonts w:ascii="Times New Roman;serif" w:hAnsi="Times New Roman;serif"/>
          <w:b w:val="false"/>
          <w:sz w:val="20"/>
        </w:rPr>
        <w:t>means any instrument, apparatus, implement, machine, contrivance, implant, in vitro reagent or other similar or related article, including any component, part or accessory that meets the definition of “device” as set</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forth in Section 201 of the FD&amp;C Act, as limited by other provisions therein, including but not limited to Section 520 of the FD&amp;C Act, developed by the Obligors.</w:t>
      </w:r>
    </w:p>
    <w:p>
      <w:pPr>
        <w:pStyle w:val="TextBody"/>
        <w:bidi w:val="0"/>
        <w:spacing w:before="280" w:after="0"/>
        <w:jc w:val="both"/>
        <w:rPr/>
      </w:pPr>
      <w:r>
        <w:rPr/>
        <w:t>“</w:t>
      </w:r>
      <w:r>
        <w:rPr>
          <w:rFonts w:ascii="Times New Roman;serif" w:hAnsi="Times New Roman;serif"/>
          <w:b w:val="false"/>
          <w:i/>
          <w:sz w:val="20"/>
        </w:rPr>
        <w:t>Device Clearance Application”</w:t>
      </w:r>
      <w:r>
        <w:rPr>
          <w:rFonts w:ascii="Times New Roman" w:hAnsi="Times New Roman"/>
          <w:sz w:val="20"/>
        </w:rPr>
        <w:t xml:space="preserve"> </w:t>
      </w:r>
      <w:r>
        <w:rPr>
          <w:rFonts w:ascii="Times New Roman;serif" w:hAnsi="Times New Roman;serif"/>
          <w:b w:val="false"/>
          <w:sz w:val="20"/>
        </w:rPr>
        <w:t xml:space="preserve">means (i) any premarket approval application submitted under Section 515 of the FD&amp;C Act (21 U.S.C. § 360e) (a </w:t>
      </w:r>
      <w:r>
        <w:rPr>
          <w:rFonts w:ascii="Times New Roman" w:hAnsi="Times New Roman"/>
          <w:sz w:val="20"/>
        </w:rPr>
        <w:t>“</w:t>
      </w:r>
      <w:r>
        <w:rPr>
          <w:rFonts w:ascii="Times New Roman;serif" w:hAnsi="Times New Roman;serif"/>
          <w:b w:val="false"/>
          <w:i/>
          <w:sz w:val="20"/>
        </w:rPr>
        <w:t>PMA”</w:t>
      </w:r>
      <w:r>
        <w:rPr>
          <w:rFonts w:ascii="Times New Roman;serif" w:hAnsi="Times New Roman;serif"/>
          <w:b w:val="false"/>
          <w:sz w:val="20"/>
        </w:rPr>
        <w:t xml:space="preserve">), (ii) any de novo request submitted under Section 513(f) of the FD&amp;C Act (21 U.S.C. § 360c(f)), (iii) any 510(k) submitted under Section 510(k) of the FD&amp;C Act (21 U.S.C. § 360(k)) seeking clearance from the FDA for a Device that is substantially equivalent to a legally marketed predicate Device, as defined in the FD&amp;C Act (a </w:t>
      </w:r>
      <w:r>
        <w:rPr>
          <w:rFonts w:ascii="Times New Roman" w:hAnsi="Times New Roman"/>
          <w:sz w:val="20"/>
        </w:rPr>
        <w:t>“</w:t>
      </w:r>
      <w:r>
        <w:rPr>
          <w:rFonts w:ascii="Times New Roman;serif" w:hAnsi="Times New Roman;serif"/>
          <w:b w:val="false"/>
          <w:i/>
          <w:sz w:val="20"/>
        </w:rPr>
        <w:t>510(k)”</w:t>
      </w:r>
      <w:r>
        <w:rPr>
          <w:rFonts w:ascii="Times New Roman;serif" w:hAnsi="Times New Roman;serif"/>
          <w:b w:val="false"/>
          <w:sz w:val="20"/>
        </w:rPr>
        <w:t>), (iv) any corresponding or substantially equivalent notification, application or clearance of a non</w:t>
        <w:noBreakHyphen/>
        <w:t>U.S. Regulatory Authority including, with respect to the European Union, any equivalent submission to a Standard Body pursuant to an applicable directive of the European Council with respect to CE marking (or, if applicable, a self</w:t>
        <w:noBreakHyphen/>
        <w:t>certification of conformity with respect to any such directive through a “declaration of conformity”), and (v) all amendments, variations, extension and renewals of any of the foregoing.</w:t>
      </w:r>
    </w:p>
    <w:p>
      <w:pPr>
        <w:pStyle w:val="TextBody"/>
        <w:bidi w:val="0"/>
        <w:spacing w:before="280" w:after="0"/>
        <w:jc w:val="both"/>
        <w:rPr/>
      </w:pPr>
      <w:r>
        <w:rPr/>
        <w:t>“</w:t>
      </w:r>
      <w:r>
        <w:rPr>
          <w:rFonts w:ascii="Times New Roman;serif" w:hAnsi="Times New Roman;serif"/>
          <w:b w:val="false"/>
          <w:i/>
          <w:sz w:val="20"/>
        </w:rPr>
        <w:t>Disqualified Equity Interests”</w:t>
      </w:r>
      <w:r>
        <w:rPr>
          <w:rFonts w:ascii="Times New Roman" w:hAnsi="Times New Roman"/>
          <w:sz w:val="20"/>
        </w:rPr>
        <w:t xml:space="preserve"> </w:t>
      </w:r>
      <w:r>
        <w:rPr>
          <w:rFonts w:ascii="Times New Roman;serif" w:hAnsi="Times New Roman;serif"/>
          <w:b w:val="false"/>
          <w:sz w:val="20"/>
        </w:rPr>
        <w:t xml:space="preserve">means, with respect to any Person, any Equity Interest of such Person that, by its terms (or by the terms of any security or other Equity Interest into which it is convertible or for which it is exchangeable upon exercise or otherwise), or upon the happening of any event or condition (i) matures or is mandatorily redeemable (other than solely for Qualified Equity Interests), including pursuant to a sinking fund obligation or otherwise, (ii) is redeemable at the option of the holder thereof (other than solely for Qualified Equity Interests), in whole or in part, (iii) provides for the scheduled payments of dividends or other distributions in cash or other securities that would constitute Disqualified Equity Interests, or (iv) is or becomes convertible into or exchangeable for Indebtedness or any other Equity Interests that would constitute Disqualified Equity Interests, in each case, prior to the date that is one hundred and eighty (180) days after the Stated Maturity Date;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 if such Equity Interests are issued pursuant to any plan for the benefit of directors, officers, employees or consultants of such Person or by any such plan to such directors, officers, employees or consultants, such Equity Interests shall not constitute Disqualified Equity Interests solely because they may be required to be repurchased by such Person upon the death, disability, retirement or termination of employment or service of such director, officer, employee or consultant.</w:t>
      </w:r>
    </w:p>
    <w:p>
      <w:pPr>
        <w:pStyle w:val="TextBody"/>
        <w:bidi w:val="0"/>
        <w:spacing w:before="280" w:after="0"/>
        <w:jc w:val="both"/>
        <w:rPr/>
      </w:pPr>
      <w:r>
        <w:rPr/>
        <w:t>“</w:t>
      </w:r>
      <w:r>
        <w:rPr>
          <w:rFonts w:ascii="Times New Roman;serif" w:hAnsi="Times New Roman;serif"/>
          <w:b w:val="false"/>
          <w:i/>
          <w:sz w:val="20"/>
        </w:rPr>
        <w:t>Disqualified Lender</w:t>
      </w:r>
      <w:r>
        <w:rPr>
          <w:rFonts w:ascii="Times New Roman" w:hAnsi="Times New Roman"/>
          <w:sz w:val="20"/>
        </w:rPr>
        <w:t xml:space="preserve">” </w:t>
      </w:r>
      <w:r>
        <w:rPr>
          <w:rFonts w:ascii="Times New Roman;serif" w:hAnsi="Times New Roman;serif"/>
          <w:b w:val="false"/>
          <w:sz w:val="20"/>
        </w:rPr>
        <w:t>means (a) any Person identified to the Administrative Agent in writing on or prior to the Closing Date who in the reasonable estimation of the Borrower are (i) direct competitors of the Borrower, (ii) vulture funds or (iii) distressed debt funds, (b) any other Person identified by name in writing to the Administrative Agent after the Closing Date to the extent such Person is or becomes a competitor of Borrower or its Subsidiaries, (c) any other Person identified by name in writing to the Administrative Agent after the Closing Date to extent the Borrower reasonably determines in consultation with the Administrative Agent that such Person is a (i) vulture fund or (ii) distressed fund, and (d) any Affiliate of any Person referred to in clauses (a) through (c) above (other than bona fide fixed income investors or debt funds that are Affiliates of competitors, vulture funds or distressed debt funds).</w:t>
      </w:r>
    </w:p>
    <w:p>
      <w:pPr>
        <w:pStyle w:val="TextBody"/>
        <w:bidi w:val="0"/>
        <w:spacing w:before="280" w:after="0"/>
        <w:jc w:val="both"/>
        <w:rPr/>
      </w:pPr>
      <w:r>
        <w:rPr/>
        <w:t>“</w:t>
      </w:r>
      <w:r>
        <w:rPr>
          <w:rFonts w:ascii="Times New Roman;serif" w:hAnsi="Times New Roman;serif"/>
          <w:b w:val="false"/>
          <w:i/>
          <w:sz w:val="20"/>
        </w:rPr>
        <w:t>Dollars”</w:t>
      </w:r>
      <w:r>
        <w:rPr>
          <w:rFonts w:ascii="Times New Roman" w:hAnsi="Times New Roman"/>
          <w:sz w:val="20"/>
        </w:rPr>
        <w:t xml:space="preserve"> </w:t>
      </w:r>
      <w:r>
        <w:rPr>
          <w:rFonts w:ascii="Times New Roman;serif" w:hAnsi="Times New Roman;serif"/>
          <w:b w:val="false"/>
          <w:sz w:val="20"/>
        </w:rPr>
        <w:t xml:space="preserve">and </w:t>
      </w:r>
      <w:r>
        <w:rPr>
          <w:rFonts w:ascii="Times New Roman" w:hAnsi="Times New Roman"/>
          <w:sz w:val="20"/>
        </w:rPr>
        <w:t>“</w:t>
      </w:r>
      <w:r>
        <w:rPr>
          <w:rFonts w:ascii="Times New Roman;serif" w:hAnsi="Times New Roman;serif"/>
          <w:b w:val="false"/>
          <w:i/>
          <w:sz w:val="20"/>
        </w:rPr>
        <w:t>$”</w:t>
      </w:r>
      <w:r>
        <w:rPr>
          <w:rFonts w:ascii="Times New Roman" w:hAnsi="Times New Roman"/>
          <w:sz w:val="20"/>
        </w:rPr>
        <w:t xml:space="preserve"> </w:t>
      </w:r>
      <w:r>
        <w:rPr>
          <w:rFonts w:ascii="Times New Roman;serif" w:hAnsi="Times New Roman;serif"/>
          <w:b w:val="false"/>
          <w:sz w:val="20"/>
        </w:rPr>
        <w:t>means lawful money of the United States of America.</w:t>
      </w:r>
    </w:p>
    <w:p>
      <w:pPr>
        <w:pStyle w:val="TextBody"/>
        <w:bidi w:val="0"/>
        <w:spacing w:before="280" w:after="0"/>
        <w:jc w:val="both"/>
        <w:rPr/>
      </w:pPr>
      <w:r>
        <w:rPr/>
        <w:t>“</w:t>
      </w:r>
      <w:r>
        <w:rPr>
          <w:rFonts w:ascii="Times New Roman;serif" w:hAnsi="Times New Roman;serif"/>
          <w:b w:val="false"/>
          <w:i/>
          <w:sz w:val="20"/>
        </w:rPr>
        <w:t>Economic Sanctions Laws”</w:t>
      </w:r>
      <w:r>
        <w:rPr>
          <w:rFonts w:ascii="Times New Roman" w:hAnsi="Times New Roman"/>
          <w:sz w:val="20"/>
        </w:rPr>
        <w:t xml:space="preserve"> </w:t>
      </w:r>
      <w:r>
        <w:rPr>
          <w:rFonts w:ascii="Times New Roman;serif" w:hAnsi="Times New Roman;serif"/>
          <w:b w:val="false"/>
          <w:sz w:val="20"/>
        </w:rPr>
        <w:t xml:space="preserve">means: (a) the Executive Order, the </w:t>
      </w:r>
      <w:r>
        <w:rPr>
          <w:rFonts w:ascii="Times New Roman;serif" w:hAnsi="Times New Roman;serif"/>
          <w:b w:val="false"/>
          <w:i/>
          <w:sz w:val="20"/>
        </w:rPr>
        <w:t>International Emergency Economic Powers Act</w:t>
      </w:r>
      <w:r>
        <w:rPr>
          <w:rFonts w:ascii="Times New Roman" w:hAnsi="Times New Roman"/>
          <w:sz w:val="20"/>
        </w:rPr>
        <w:t xml:space="preserve"> </w:t>
      </w:r>
      <w:r>
        <w:rPr>
          <w:rFonts w:ascii="Times New Roman;serif" w:hAnsi="Times New Roman;serif"/>
          <w:b w:val="false"/>
          <w:sz w:val="20"/>
        </w:rPr>
        <w:t xml:space="preserve">(50 U.S.C. §§ 1701 </w:t>
      </w:r>
      <w:r>
        <w:rPr>
          <w:rFonts w:ascii="Times New Roman;serif" w:hAnsi="Times New Roman;serif"/>
          <w:b w:val="false"/>
          <w:i/>
          <w:sz w:val="20"/>
        </w:rPr>
        <w:t>et seq.</w:t>
      </w:r>
      <w:r>
        <w:rPr>
          <w:rFonts w:ascii="Times New Roman;serif" w:hAnsi="Times New Roman;serif"/>
          <w:b w:val="false"/>
          <w:sz w:val="20"/>
        </w:rPr>
        <w:t xml:space="preserve">), the </w:t>
      </w:r>
      <w:r>
        <w:rPr>
          <w:rFonts w:ascii="Times New Roman;serif" w:hAnsi="Times New Roman;serif"/>
          <w:b w:val="false"/>
          <w:i/>
          <w:sz w:val="20"/>
        </w:rPr>
        <w:t>Trading with the Enemy Act</w:t>
      </w:r>
      <w:r>
        <w:rPr>
          <w:rFonts w:ascii="Times New Roman" w:hAnsi="Times New Roman"/>
          <w:sz w:val="20"/>
        </w:rPr>
        <w:t xml:space="preserve"> </w:t>
      </w:r>
      <w:r>
        <w:rPr>
          <w:rFonts w:ascii="Times New Roman;serif" w:hAnsi="Times New Roman;serif"/>
          <w:b w:val="false"/>
          <w:sz w:val="20"/>
        </w:rPr>
        <w:t xml:space="preserve">(50 U.S.C. App. §§ 1 </w:t>
      </w:r>
      <w:r>
        <w:rPr>
          <w:rFonts w:ascii="Times New Roman;serif" w:hAnsi="Times New Roman;serif"/>
          <w:b w:val="false"/>
          <w:i/>
          <w:sz w:val="20"/>
        </w:rPr>
        <w:t>et seq.</w:t>
      </w:r>
      <w:r>
        <w:rPr>
          <w:rFonts w:ascii="Times New Roman;serif" w:hAnsi="Times New Roman;serif"/>
          <w:b w:val="false"/>
          <w:sz w:val="20"/>
        </w:rPr>
        <w:t>), any other law or regulation promulgated thereunder from time to time and administered by OFAC and any similar law enacted in the</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United States after the date of this Agreement; and (b) any other similar applicable law now or hereafter enacted in any other applicable jurisdiction.</w:t>
      </w:r>
    </w:p>
    <w:p>
      <w:pPr>
        <w:pStyle w:val="TextBody"/>
        <w:bidi w:val="0"/>
        <w:spacing w:before="280" w:after="0"/>
        <w:jc w:val="both"/>
        <w:rPr/>
      </w:pPr>
      <w:r>
        <w:rPr/>
        <w:t>“</w:t>
      </w:r>
      <w:r>
        <w:rPr>
          <w:rFonts w:ascii="Times New Roman;serif" w:hAnsi="Times New Roman;serif"/>
          <w:b w:val="false"/>
          <w:i/>
          <w:sz w:val="20"/>
        </w:rPr>
        <w:t xml:space="preserve">EEA Financial Institution” </w:t>
      </w:r>
      <w:r>
        <w:rPr>
          <w:rFonts w:ascii="Times New Roman;serif" w:hAnsi="Times New Roman;serif"/>
          <w:b w:val="false"/>
          <w:sz w:val="20"/>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280" w:after="0"/>
        <w:jc w:val="both"/>
        <w:rPr/>
      </w:pPr>
      <w:r>
        <w:rPr/>
        <w:t>“</w:t>
      </w:r>
      <w:r>
        <w:rPr>
          <w:rFonts w:ascii="Times New Roman;serif" w:hAnsi="Times New Roman;serif"/>
          <w:b w:val="false"/>
          <w:i/>
          <w:sz w:val="20"/>
        </w:rPr>
        <w:t xml:space="preserve">EEA Member Country” </w:t>
      </w:r>
      <w:r>
        <w:rPr>
          <w:rFonts w:ascii="Times New Roman;serif" w:hAnsi="Times New Roman;serif"/>
          <w:b w:val="false"/>
          <w:sz w:val="20"/>
        </w:rPr>
        <w:t>means any of the member states of the European Union, Iceland, Liechtenstein, and Norway.</w:t>
      </w:r>
    </w:p>
    <w:p>
      <w:pPr>
        <w:pStyle w:val="TextBody"/>
        <w:bidi w:val="0"/>
        <w:spacing w:before="280" w:after="0"/>
        <w:jc w:val="both"/>
        <w:rPr/>
      </w:pPr>
      <w:r>
        <w:rPr/>
        <w:t>“</w:t>
      </w:r>
      <w:r>
        <w:rPr>
          <w:rFonts w:ascii="Times New Roman;serif" w:hAnsi="Times New Roman;serif"/>
          <w:b w:val="false"/>
          <w:i/>
          <w:sz w:val="20"/>
        </w:rPr>
        <w:t>EEA Resolution Authority”</w:t>
      </w:r>
      <w:r>
        <w:rPr>
          <w:rFonts w:ascii="Times New Roman" w:hAnsi="Times New Roman"/>
          <w:sz w:val="20"/>
        </w:rPr>
        <w:t xml:space="preserve"> </w:t>
      </w:r>
      <w:r>
        <w:rPr>
          <w:rFonts w:ascii="Times New Roman;serif" w:hAnsi="Times New Roman;serif"/>
          <w:b w:val="false"/>
          <w:sz w:val="20"/>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280" w:after="0"/>
        <w:jc w:val="both"/>
        <w:rPr/>
      </w:pPr>
      <w:r>
        <w:rPr/>
        <w:t>“</w:t>
      </w:r>
      <w:r>
        <w:rPr>
          <w:rFonts w:ascii="Times New Roman;serif" w:hAnsi="Times New Roman;serif"/>
          <w:b w:val="false"/>
          <w:i/>
          <w:sz w:val="20"/>
        </w:rPr>
        <w:t>Environmental Law”</w:t>
      </w:r>
      <w:r>
        <w:rPr>
          <w:rFonts w:ascii="Times New Roman" w:hAnsi="Times New Roman"/>
          <w:sz w:val="20"/>
        </w:rPr>
        <w:t xml:space="preserve"> </w:t>
      </w:r>
      <w:r>
        <w:rPr>
          <w:rFonts w:ascii="Times New Roman;serif" w:hAnsi="Times New Roman;serif"/>
          <w:b w:val="false"/>
          <w:sz w:val="20"/>
        </w:rPr>
        <w:t>means any federal, state, provincial or local governmental law, rule, regulation, order, writ, judgment, injunction or decree relating to pollution or protection of the environment or the treatment, storage, disposal, release, threatened release or handling of Hazardous Materials, and all local laws and regulations related to environmental matters and any specific agreements entered into with any Governmental Authorities which include commitments related to environmental matters.</w:t>
      </w:r>
    </w:p>
    <w:p>
      <w:pPr>
        <w:pStyle w:val="TextBody"/>
        <w:bidi w:val="0"/>
        <w:spacing w:before="280" w:after="0"/>
        <w:jc w:val="both"/>
        <w:rPr/>
      </w:pPr>
      <w:r>
        <w:rPr/>
        <w:t>“</w:t>
      </w:r>
      <w:r>
        <w:rPr>
          <w:rFonts w:ascii="Times New Roman;serif" w:hAnsi="Times New Roman;serif"/>
          <w:b w:val="false"/>
          <w:i/>
          <w:sz w:val="20"/>
        </w:rPr>
        <w:t>Equity Interest”</w:t>
      </w:r>
      <w:r>
        <w:rPr>
          <w:rFonts w:ascii="Times New Roman" w:hAnsi="Times New Roman"/>
          <w:sz w:val="20"/>
        </w:rPr>
        <w:t xml:space="preserve"> </w:t>
      </w:r>
      <w:r>
        <w:rPr>
          <w:rFonts w:ascii="Times New Roman;serif" w:hAnsi="Times New Roman;serif"/>
          <w:b w:val="false"/>
          <w:sz w:val="20"/>
        </w:rPr>
        <w:t>means, with respect to any Person, any and all shares, interests, participations or other equivalents, including membership interests (however designated, whether voting or nonvoting), of equity of such Person, including, if such Person is a partnership, partnership interests (whether general or limited) and any other interest or participation that confers on a Person the right to receive a share of the profits and losses of, or distributions of property of, such partnership, but excluding debt securities convertible or exchangeable into such equity.</w:t>
      </w:r>
    </w:p>
    <w:p>
      <w:pPr>
        <w:pStyle w:val="TextBody"/>
        <w:bidi w:val="0"/>
        <w:spacing w:before="280" w:after="0"/>
        <w:jc w:val="both"/>
        <w:rPr/>
      </w:pPr>
      <w:r>
        <w:rPr/>
        <w:t>“</w:t>
      </w:r>
      <w:r>
        <w:rPr>
          <w:rFonts w:ascii="Times New Roman;serif" w:hAnsi="Times New Roman;serif"/>
          <w:b w:val="false"/>
          <w:i/>
          <w:sz w:val="20"/>
        </w:rPr>
        <w:t>ERISA”</w:t>
      </w:r>
      <w:r>
        <w:rPr>
          <w:rFonts w:ascii="Times New Roman" w:hAnsi="Times New Roman"/>
          <w:sz w:val="20"/>
        </w:rPr>
        <w:t xml:space="preserve"> </w:t>
      </w:r>
      <w:r>
        <w:rPr>
          <w:rFonts w:ascii="Times New Roman;serif" w:hAnsi="Times New Roman;serif"/>
          <w:b w:val="false"/>
          <w:sz w:val="20"/>
        </w:rPr>
        <w:t>means the United States Employee Retirement Income Security Act of 1974, as amended.</w:t>
      </w:r>
    </w:p>
    <w:p>
      <w:pPr>
        <w:pStyle w:val="TextBody"/>
        <w:bidi w:val="0"/>
        <w:spacing w:before="280" w:after="0"/>
        <w:jc w:val="both"/>
        <w:rPr/>
      </w:pPr>
      <w:r>
        <w:rPr/>
        <w:t>“</w:t>
      </w:r>
      <w:r>
        <w:rPr>
          <w:rFonts w:ascii="Times New Roman;serif" w:hAnsi="Times New Roman;serif"/>
          <w:b w:val="false"/>
          <w:i/>
          <w:sz w:val="20"/>
        </w:rPr>
        <w:t>ERISA Affiliate”</w:t>
      </w:r>
      <w:r>
        <w:rPr>
          <w:rFonts w:ascii="Times New Roman" w:hAnsi="Times New Roman"/>
          <w:sz w:val="20"/>
        </w:rPr>
        <w:t xml:space="preserve"> </w:t>
      </w:r>
      <w:r>
        <w:rPr>
          <w:rFonts w:ascii="Times New Roman;serif" w:hAnsi="Times New Roman;serif"/>
          <w:b w:val="false"/>
          <w:sz w:val="20"/>
        </w:rPr>
        <w:t>means any Person that, as of the relevant time, would be considered a single employer with an Obligor pursuant to Section 414(b), (c), (m) or (o) of the Code.</w:t>
      </w:r>
    </w:p>
    <w:p>
      <w:pPr>
        <w:pStyle w:val="TextBody"/>
        <w:bidi w:val="0"/>
        <w:spacing w:before="280" w:after="0"/>
        <w:jc w:val="both"/>
        <w:rPr/>
      </w:pPr>
      <w:r>
        <w:rPr/>
        <w:t>“</w:t>
      </w:r>
      <w:r>
        <w:rPr>
          <w:rFonts w:ascii="Times New Roman;serif" w:hAnsi="Times New Roman;serif"/>
          <w:b w:val="false"/>
          <w:i/>
          <w:sz w:val="20"/>
        </w:rPr>
        <w:t>ERISA Event”</w:t>
      </w:r>
      <w:r>
        <w:rPr>
          <w:rFonts w:ascii="Times New Roman" w:hAnsi="Times New Roman"/>
          <w:sz w:val="20"/>
        </w:rPr>
        <w:t xml:space="preserve"> </w:t>
      </w:r>
      <w:r>
        <w:rPr>
          <w:rFonts w:ascii="Times New Roman;serif" w:hAnsi="Times New Roman;serif"/>
          <w:b w:val="false"/>
          <w:sz w:val="20"/>
        </w:rPr>
        <w:t>means (a) a “reportable event” as defined in Section 4043 of ERISA with respect to a Title IV Plan, excluding, however, such events as to which the PBGC by regulation has waived the requirement of Section 4043(a) of ERISA that it be notified within thirty (30) days of the occurrence of such event; (b) a withdrawal by any Obligor or any ERISA Affiliate thereof from a Title IV Plan or the termination of any Title IV Plan resulting in liability under Sections 4063 or 4064 of ERISA; (c) the withdrawal of any Obligor or any ERISA Affiliate thereof in a complete or partial withdrawal (within the meaning of Section 4203 and 4205 of ERISA) from any Multiemployer Plan if there is any liability therefore, or the receipt by any Obligor or any ERISA Affiliate thereof of notice from any Multiemployer Plan that it is insolvent pursuant to Section 4245 of ERISA; (d) with respect to a Title IV Plan or Multiemployer Plan, as applicable, the filing of a notice of intent to terminate, the treatment of a plan amendment as a termination under Section 4041 or 4041A of ERISA, or the commencement of proceedings by the PBGC to terminate such plan; (e) the failure by any Obligor (including a failure related to contingent liability on account of an ERISA Affiliate thereof) to make any required contribution to a Multiemployer Plan, or to meet the minimum funding standard of Section 412 of the Code with respect to any Title IV Plan or the failure to make by its due date a required installment</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under Section 430 of the Code with respect to any Title IV Plan; (f) the determination that any Title IV Plan is in “at</w:t>
        <w:noBreakHyphen/>
        <w:t>risk” status within the meaning of Sections 430 of the Code or Section 303 of ERISA; (g) the determination that any Multiemployer Plan is in “critical” or “endangered” status within the meaning of Section 432 of the Code or Section 305 of ERISA; (h) the imposition on any Obligor of fines, penalties, Taxes or related charges under Section 4975 of the Code, Chapter 43 of the Code or under Sections 409, 502(c), (i) or (1) or 4071 of ERISA; (i) the imposition of any Lien on any of the rights, properties or assets of any Obligor pursuant to Title I or IV of ERISA or to Section 430(k) of the Code with respect to a Title IV Plan.</w:t>
      </w:r>
    </w:p>
    <w:p>
      <w:pPr>
        <w:pStyle w:val="TextBody"/>
        <w:bidi w:val="0"/>
        <w:spacing w:before="280" w:after="0"/>
        <w:jc w:val="both"/>
        <w:rPr/>
      </w:pPr>
      <w:r>
        <w:rPr/>
        <w:t>“</w:t>
      </w:r>
      <w:r>
        <w:rPr>
          <w:rFonts w:ascii="Times New Roman;serif" w:hAnsi="Times New Roman;serif"/>
          <w:b w:val="false"/>
          <w:i/>
          <w:sz w:val="20"/>
        </w:rPr>
        <w:t xml:space="preserve">EU Bail-In Legislation Schedule” </w:t>
      </w:r>
      <w:r>
        <w:rPr>
          <w:rFonts w:ascii="Times New Roman;serif" w:hAnsi="Times New Roman;serif"/>
          <w:b w:val="false"/>
          <w:sz w:val="20"/>
        </w:rPr>
        <w:t>means the EU Bail</w:t>
        <w:noBreakHyphen/>
        <w:t>In Legislation Schedule published by the Loan Market Association (or any successor Person), as in effect from time to time.</w:t>
      </w:r>
    </w:p>
    <w:p>
      <w:pPr>
        <w:pStyle w:val="TextBody"/>
        <w:bidi w:val="0"/>
        <w:spacing w:before="280" w:after="0"/>
        <w:jc w:val="both"/>
        <w:rPr/>
      </w:pPr>
      <w:r>
        <w:rPr/>
        <w:t>“</w:t>
      </w:r>
      <w:r>
        <w:rPr>
          <w:rFonts w:ascii="Times New Roman;serif" w:hAnsi="Times New Roman;serif"/>
          <w:b w:val="false"/>
          <w:i/>
          <w:sz w:val="20"/>
        </w:rPr>
        <w:t>Event of Default”</w:t>
      </w:r>
      <w:r>
        <w:rPr>
          <w:rFonts w:ascii="Times New Roman" w:hAnsi="Times New Roman"/>
          <w:sz w:val="20"/>
        </w:rPr>
        <w:t xml:space="preserve"> </w:t>
      </w:r>
      <w:r>
        <w:rPr>
          <w:rFonts w:ascii="Times New Roman;serif" w:hAnsi="Times New Roman;serif"/>
          <w:b w:val="false"/>
          <w:sz w:val="20"/>
        </w:rPr>
        <w:t>has the meaning set forth in Section 10.01.</w:t>
      </w:r>
    </w:p>
    <w:p>
      <w:pPr>
        <w:pStyle w:val="TextBody"/>
        <w:bidi w:val="0"/>
        <w:spacing w:before="280" w:after="0"/>
        <w:jc w:val="both"/>
        <w:rPr/>
      </w:pPr>
      <w:r>
        <w:rPr/>
        <w:t>“</w:t>
      </w:r>
      <w:r>
        <w:rPr>
          <w:rFonts w:ascii="Times New Roman;serif" w:hAnsi="Times New Roman;serif"/>
          <w:b w:val="false"/>
          <w:i/>
          <w:sz w:val="20"/>
        </w:rPr>
        <w:t>Excess Funding Guarantor”</w:t>
      </w:r>
      <w:r>
        <w:rPr>
          <w:rFonts w:ascii="Times New Roman" w:hAnsi="Times New Roman"/>
          <w:sz w:val="20"/>
        </w:rPr>
        <w:t xml:space="preserve"> </w:t>
      </w:r>
      <w:r>
        <w:rPr>
          <w:rFonts w:ascii="Times New Roman;serif" w:hAnsi="Times New Roman;serif"/>
          <w:b w:val="false"/>
          <w:sz w:val="20"/>
        </w:rPr>
        <w:t>has the meaning set forth in Section 11.08.</w:t>
      </w:r>
    </w:p>
    <w:p>
      <w:pPr>
        <w:pStyle w:val="TextBody"/>
        <w:bidi w:val="0"/>
        <w:spacing w:before="280" w:after="0"/>
        <w:jc w:val="both"/>
        <w:rPr/>
      </w:pPr>
      <w:r>
        <w:rPr/>
        <w:t>“</w:t>
      </w:r>
      <w:r>
        <w:rPr>
          <w:rFonts w:ascii="Times New Roman;serif" w:hAnsi="Times New Roman;serif"/>
          <w:b w:val="false"/>
          <w:i/>
          <w:sz w:val="20"/>
        </w:rPr>
        <w:t>Excess Payment”</w:t>
      </w:r>
      <w:r>
        <w:rPr>
          <w:rFonts w:ascii="Times New Roman" w:hAnsi="Times New Roman"/>
          <w:sz w:val="20"/>
        </w:rPr>
        <w:t xml:space="preserve"> </w:t>
      </w:r>
      <w:r>
        <w:rPr>
          <w:rFonts w:ascii="Times New Roman;serif" w:hAnsi="Times New Roman;serif"/>
          <w:b w:val="false"/>
          <w:sz w:val="20"/>
        </w:rPr>
        <w:t>has the meaning set forth in Section 11.08.</w:t>
      </w:r>
    </w:p>
    <w:p>
      <w:pPr>
        <w:pStyle w:val="TextBody"/>
        <w:bidi w:val="0"/>
        <w:spacing w:before="280" w:after="0"/>
        <w:jc w:val="both"/>
        <w:rPr/>
      </w:pPr>
      <w:r>
        <w:rPr/>
        <w:t>“</w:t>
      </w:r>
      <w:r>
        <w:rPr>
          <w:rFonts w:ascii="Times New Roman;serif" w:hAnsi="Times New Roman;serif"/>
          <w:b w:val="false"/>
          <w:i/>
          <w:sz w:val="20"/>
        </w:rPr>
        <w:t>Exchange Act”</w:t>
      </w:r>
      <w:r>
        <w:rPr>
          <w:rFonts w:ascii="Times New Roman" w:hAnsi="Times New Roman"/>
          <w:sz w:val="20"/>
        </w:rPr>
        <w:t xml:space="preserve"> </w:t>
      </w:r>
      <w:r>
        <w:rPr>
          <w:rFonts w:ascii="Times New Roman;serif" w:hAnsi="Times New Roman;serif"/>
          <w:b w:val="false"/>
          <w:sz w:val="20"/>
        </w:rPr>
        <w:t>means the Securities Exchange Act of 1934, as amended, and the rules and regulations promulgated thereunder.</w:t>
      </w:r>
    </w:p>
    <w:p>
      <w:pPr>
        <w:pStyle w:val="TextBody"/>
        <w:bidi w:val="0"/>
        <w:spacing w:before="280" w:after="0"/>
        <w:jc w:val="both"/>
        <w:rPr/>
      </w:pPr>
      <w:r>
        <w:rPr/>
        <w:t>“</w:t>
      </w:r>
      <w:r>
        <w:rPr>
          <w:rFonts w:ascii="Times New Roman;serif" w:hAnsi="Times New Roman;serif"/>
          <w:b w:val="false"/>
          <w:i/>
          <w:sz w:val="20"/>
        </w:rPr>
        <w:t>Excluded Accounts”</w:t>
      </w:r>
      <w:r>
        <w:rPr>
          <w:rFonts w:ascii="Times New Roman" w:hAnsi="Times New Roman"/>
          <w:sz w:val="20"/>
        </w:rPr>
        <w:t xml:space="preserve"> </w:t>
      </w:r>
      <w:r>
        <w:rPr>
          <w:rFonts w:ascii="Times New Roman;serif" w:hAnsi="Times New Roman;serif"/>
          <w:b w:val="false"/>
          <w:sz w:val="20"/>
        </w:rPr>
        <w:t>means (a) Deposit Accounts exclusively used for payroll, payroll Taxes, other employee wage and benefit payments to or for the benefit of the employees of the Borrower and its Subsidiaries, (b) Deposit Accounts with aggregate balances of $250,000 or less at any time, (c) zero balance accounts, (d) any escrow account, trust account, or deposit account otherwise maintained solely for the benefit of third parties as cash collateral for obligations owing to such third parties or to establish or maintain escrow amounts for third-parties with aggregate balances of $100,000 or less at any time and (e) Segregated Health Care Accounts.</w:t>
      </w:r>
    </w:p>
    <w:p>
      <w:pPr>
        <w:pStyle w:val="TextBody"/>
        <w:bidi w:val="0"/>
        <w:spacing w:before="280" w:after="0"/>
        <w:jc w:val="both"/>
        <w:rPr/>
      </w:pPr>
      <w:r>
        <w:rPr/>
        <w:t>“</w:t>
      </w:r>
      <w:r>
        <w:rPr>
          <w:rFonts w:ascii="Times New Roman;serif" w:hAnsi="Times New Roman;serif"/>
          <w:b w:val="false"/>
          <w:i/>
          <w:sz w:val="20"/>
        </w:rPr>
        <w:t>Excluded Taxes”</w:t>
      </w:r>
      <w:r>
        <w:rPr>
          <w:rFonts w:ascii="Times New Roman" w:hAnsi="Times New Roman"/>
          <w:sz w:val="20"/>
        </w:rPr>
        <w:t xml:space="preserve"> </w:t>
      </w:r>
      <w:r>
        <w:rPr>
          <w:rFonts w:ascii="Times New Roman;serif" w:hAnsi="Times New Roman;serif"/>
          <w:b w:val="false"/>
          <w:sz w:val="20"/>
        </w:rPr>
        <w:t>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 Lender, its applicable lending office located in, the jurisdiction imposing such Tax or (ii) that are Other Connection Taxes, (b) any U.S. federal withholding Taxes that are imposed on amounts payable to Lender to the extent that the obligation to withhold amounts existed on the date that (i) Lender became a “Lender” under this Agreement or (ii) Lender changes its lending office, except in each case to the extent Lender is a direct or indirect assignee of any other Lender that was entitled, at the time the assignment of such other Lender became effective, to receive additional amounts under Section 5.03 or Lender was entitled to receive additional amounts under Section 5.03 immediately before it changed its lending office, (c) any Taxes imposed in connection with FATCA, and (d) Taxes attributable to such Recipient’s failure to comply with Section 5.03(f).</w:t>
      </w:r>
    </w:p>
    <w:p>
      <w:pPr>
        <w:pStyle w:val="TextBody"/>
        <w:bidi w:val="0"/>
        <w:spacing w:before="280" w:after="0"/>
        <w:jc w:val="both"/>
        <w:rPr/>
      </w:pPr>
      <w:r>
        <w:rPr/>
        <w:t>“</w:t>
      </w:r>
      <w:r>
        <w:rPr>
          <w:rFonts w:ascii="Times New Roman;serif" w:hAnsi="Times New Roman;serif"/>
          <w:b w:val="false"/>
          <w:i/>
          <w:sz w:val="20"/>
        </w:rPr>
        <w:t>Executive Order”</w:t>
      </w:r>
      <w:r>
        <w:rPr>
          <w:rFonts w:ascii="Times New Roman" w:hAnsi="Times New Roman"/>
          <w:sz w:val="20"/>
        </w:rPr>
        <w:t xml:space="preserve"> </w:t>
      </w:r>
      <w:r>
        <w:rPr>
          <w:rFonts w:ascii="Times New Roman;serif" w:hAnsi="Times New Roman;serif"/>
          <w:b w:val="false"/>
          <w:sz w:val="20"/>
        </w:rPr>
        <w:t>means the US Executive Order No. 13224 on Blocking Property and Prohibiting Transactions with Persons who commit, Threaten to Commit, or Support Terrorism.</w:t>
      </w:r>
    </w:p>
    <w:p>
      <w:pPr>
        <w:pStyle w:val="TextBody"/>
        <w:bidi w:val="0"/>
        <w:spacing w:before="280" w:after="0"/>
        <w:jc w:val="both"/>
        <w:rPr/>
      </w:pPr>
      <w:r>
        <w:rPr/>
        <w:t>“</w:t>
      </w:r>
      <w:r>
        <w:rPr>
          <w:rFonts w:ascii="Times New Roman;serif" w:hAnsi="Times New Roman;serif"/>
          <w:b w:val="false"/>
          <w:i/>
          <w:sz w:val="20"/>
        </w:rPr>
        <w:t>Existing Credit Agreements</w:t>
      </w:r>
      <w:r>
        <w:rPr>
          <w:rFonts w:ascii="Times New Roman" w:hAnsi="Times New Roman"/>
          <w:sz w:val="20"/>
        </w:rPr>
        <w:t xml:space="preserve">” </w:t>
      </w:r>
      <w:r>
        <w:rPr>
          <w:rFonts w:ascii="Times New Roman;serif" w:hAnsi="Times New Roman;serif"/>
          <w:b w:val="false"/>
          <w:sz w:val="20"/>
        </w:rPr>
        <w:t>means (a) that certain Loan and Security Agreement, dated as of March 19, 2021, by and between Silicon Valley Bank and the Borrower and (b) that certain Securities Purchase Agreement, dated</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as of May 9, 2022, by and between the Borrower and Streeterville Capital, LLC, in each case, as may be amended, restated, amended and restated, supplemented or otherwise modified prior to the Funding Date.</w:t>
      </w:r>
    </w:p>
    <w:p>
      <w:pPr>
        <w:pStyle w:val="TextBody"/>
        <w:bidi w:val="0"/>
        <w:spacing w:before="280" w:after="0"/>
        <w:jc w:val="both"/>
        <w:rPr/>
      </w:pPr>
      <w:r>
        <w:rPr/>
        <w:t>“</w:t>
      </w:r>
      <w:r>
        <w:rPr>
          <w:rFonts w:ascii="Times New Roman;serif" w:hAnsi="Times New Roman;serif"/>
          <w:b w:val="false"/>
          <w:i/>
          <w:sz w:val="20"/>
        </w:rPr>
        <w:t>Expense Deposit”</w:t>
      </w:r>
      <w:r>
        <w:rPr>
          <w:rFonts w:ascii="Times New Roman" w:hAnsi="Times New Roman"/>
          <w:sz w:val="20"/>
        </w:rPr>
        <w:t xml:space="preserve"> </w:t>
      </w:r>
      <w:r>
        <w:rPr>
          <w:rFonts w:ascii="Times New Roman;serif" w:hAnsi="Times New Roman;serif"/>
          <w:b w:val="false"/>
          <w:sz w:val="20"/>
        </w:rPr>
        <w:t>means a cash deposit in the amount of $50,000 made by the Borrower to an Affiliate of Perceptive Advisors LLC pursuant to the Proposal Letter for the prepayment of the Lenders’ costs and expenses (payable pursuant to Section 13.03(a) and/or the Proposal Letter) incurred prior to the Closing Date.</w:t>
      </w:r>
    </w:p>
    <w:p>
      <w:pPr>
        <w:pStyle w:val="TextBody"/>
        <w:bidi w:val="0"/>
        <w:spacing w:before="280" w:after="0"/>
        <w:jc w:val="both"/>
        <w:rPr/>
      </w:pPr>
      <w:r>
        <w:rPr/>
        <w:t>“</w:t>
      </w:r>
      <w:r>
        <w:rPr>
          <w:rFonts w:ascii="Times New Roman;serif" w:hAnsi="Times New Roman;serif"/>
          <w:b w:val="false"/>
          <w:i/>
          <w:sz w:val="20"/>
        </w:rPr>
        <w:t>FATCA”</w:t>
      </w:r>
      <w:r>
        <w:rPr>
          <w:rFonts w:ascii="Times New Roman" w:hAnsi="Times New Roman"/>
          <w:sz w:val="20"/>
        </w:rPr>
        <w:t xml:space="preserve"> </w:t>
      </w:r>
      <w:r>
        <w:rPr>
          <w:rFonts w:ascii="Times New Roman;serif" w:hAnsi="Times New Roman;serif"/>
          <w:b w:val="false"/>
          <w:sz w:val="20"/>
        </w:rPr>
        <w:t>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pStyle w:val="TextBody"/>
        <w:bidi w:val="0"/>
        <w:spacing w:before="280" w:after="0"/>
        <w:jc w:val="both"/>
        <w:rPr/>
      </w:pPr>
      <w:r>
        <w:rPr/>
        <w:t>“</w:t>
      </w:r>
      <w:r>
        <w:rPr>
          <w:rFonts w:ascii="Times New Roman;serif" w:hAnsi="Times New Roman;serif"/>
          <w:b w:val="false"/>
          <w:i/>
          <w:sz w:val="20"/>
        </w:rPr>
        <w:t>FD&amp;C Act”</w:t>
      </w:r>
      <w:r>
        <w:rPr>
          <w:rFonts w:ascii="Times New Roman" w:hAnsi="Times New Roman"/>
          <w:sz w:val="20"/>
        </w:rPr>
        <w:t xml:space="preserve"> </w:t>
      </w:r>
      <w:r>
        <w:rPr>
          <w:rFonts w:ascii="Times New Roman;serif" w:hAnsi="Times New Roman;serif"/>
          <w:b w:val="false"/>
          <w:sz w:val="20"/>
        </w:rPr>
        <w:t>means the Federal Food, Drug and Cosmetic Act of 1938 (or any successor thereto), as amended from time to time, and the rules and regulations issued or promulgated thereunder.</w:t>
      </w:r>
    </w:p>
    <w:p>
      <w:pPr>
        <w:pStyle w:val="TextBody"/>
        <w:bidi w:val="0"/>
        <w:spacing w:before="280" w:after="0"/>
        <w:jc w:val="both"/>
        <w:rPr/>
      </w:pPr>
      <w:r>
        <w:rPr/>
        <w:t>“</w:t>
      </w:r>
      <w:r>
        <w:rPr>
          <w:rFonts w:ascii="Times New Roman;serif" w:hAnsi="Times New Roman;serif"/>
          <w:b w:val="false"/>
          <w:i/>
          <w:sz w:val="20"/>
        </w:rPr>
        <w:t>FDA”</w:t>
      </w:r>
      <w:r>
        <w:rPr>
          <w:rFonts w:ascii="Times New Roman" w:hAnsi="Times New Roman"/>
          <w:sz w:val="20"/>
        </w:rPr>
        <w:t xml:space="preserve"> </w:t>
      </w:r>
      <w:r>
        <w:rPr>
          <w:rFonts w:ascii="Times New Roman;serif" w:hAnsi="Times New Roman;serif"/>
          <w:b w:val="false"/>
          <w:sz w:val="20"/>
        </w:rPr>
        <w:t>means the U.S. Food and Drug Administration and any successor entity.</w:t>
      </w:r>
    </w:p>
    <w:p>
      <w:pPr>
        <w:pStyle w:val="TextBody"/>
        <w:bidi w:val="0"/>
        <w:spacing w:before="280" w:after="0"/>
        <w:jc w:val="both"/>
        <w:rPr/>
      </w:pPr>
      <w:r>
        <w:rPr/>
        <w:t>“</w:t>
      </w:r>
      <w:r>
        <w:rPr>
          <w:rFonts w:ascii="Times New Roman;serif" w:hAnsi="Times New Roman;serif"/>
          <w:b w:val="false"/>
          <w:i/>
          <w:sz w:val="20"/>
        </w:rPr>
        <w:t>FDA Laws”</w:t>
      </w:r>
      <w:r>
        <w:rPr>
          <w:rFonts w:ascii="Times New Roman" w:hAnsi="Times New Roman"/>
          <w:sz w:val="20"/>
        </w:rPr>
        <w:t xml:space="preserve"> </w:t>
      </w:r>
      <w:r>
        <w:rPr>
          <w:rFonts w:ascii="Times New Roman;serif" w:hAnsi="Times New Roman;serif"/>
          <w:b w:val="false"/>
          <w:sz w:val="20"/>
        </w:rPr>
        <w:t>means all applicable statutes, rules, regulations and orders administered or issued by the FDA, including without limitation, the FD&amp;C Act and its implementing regulations.</w:t>
      </w:r>
    </w:p>
    <w:p>
      <w:pPr>
        <w:pStyle w:val="TextBody"/>
        <w:bidi w:val="0"/>
        <w:spacing w:before="280" w:after="0"/>
        <w:jc w:val="both"/>
        <w:rPr/>
      </w:pPr>
      <w:r>
        <w:rPr/>
        <w:t>“</w:t>
      </w:r>
      <w:r>
        <w:rPr>
          <w:rFonts w:ascii="Times New Roman;serif" w:hAnsi="Times New Roman;serif"/>
          <w:b w:val="false"/>
          <w:i/>
          <w:sz w:val="20"/>
        </w:rPr>
        <w:t xml:space="preserve">Federal Health Care Program” </w:t>
      </w:r>
      <w:r>
        <w:rPr>
          <w:rFonts w:ascii="Times New Roman;serif" w:hAnsi="Times New Roman;serif"/>
          <w:b w:val="false"/>
          <w:sz w:val="20"/>
        </w:rPr>
        <w:t>has the meaning specified in Section 1128B(f) of the Social Security Act and includes the programs commonly known as Medicare, Medicaid, TRICARE and CHAMPVA.</w:t>
      </w:r>
    </w:p>
    <w:p>
      <w:pPr>
        <w:pStyle w:val="TextBody"/>
        <w:bidi w:val="0"/>
        <w:spacing w:before="280" w:after="0"/>
        <w:jc w:val="both"/>
        <w:rPr/>
      </w:pPr>
      <w:r>
        <w:rPr/>
        <w:t>“</w:t>
      </w:r>
      <w:r>
        <w:rPr>
          <w:rFonts w:ascii="Times New Roman;serif" w:hAnsi="Times New Roman;serif"/>
          <w:b w:val="false"/>
          <w:i/>
          <w:sz w:val="20"/>
        </w:rPr>
        <w:t>Fee Letter</w:t>
      </w:r>
      <w:r>
        <w:rPr>
          <w:rFonts w:ascii="Times New Roman" w:hAnsi="Times New Roman"/>
          <w:sz w:val="20"/>
        </w:rPr>
        <w:t xml:space="preserve">” </w:t>
      </w:r>
      <w:r>
        <w:rPr>
          <w:rFonts w:ascii="Times New Roman;serif" w:hAnsi="Times New Roman;serif"/>
          <w:b w:val="false"/>
          <w:sz w:val="20"/>
        </w:rPr>
        <w:t>means that certain Fee Letter, originally dated as of the Closing Date, among the Obligors, the Lenders and the Administrative Agent as amended and restated on the First Amendment Effective Date, as amended and restated on the Second Amendment Effective Date, and as may be further amended from time to time.</w:t>
      </w:r>
      <w:r>
        <w:rPr>
          <w:rFonts w:ascii="Times New Roman" w:hAnsi="Times New Roman"/>
          <w:sz w:val="20"/>
        </w:rPr>
        <w:t xml:space="preserve"> </w:t>
      </w:r>
    </w:p>
    <w:p>
      <w:pPr>
        <w:pStyle w:val="TextBody"/>
        <w:bidi w:val="0"/>
        <w:spacing w:before="280" w:after="0"/>
        <w:jc w:val="both"/>
        <w:rPr/>
      </w:pPr>
      <w:r>
        <w:rPr/>
        <w:t>“</w:t>
      </w:r>
      <w:r>
        <w:rPr>
          <w:rFonts w:ascii="Times New Roman;serif" w:hAnsi="Times New Roman;serif"/>
          <w:b w:val="false"/>
          <w:i/>
          <w:sz w:val="20"/>
        </w:rPr>
        <w:t>Financial Plan</w:t>
      </w:r>
      <w:r>
        <w:rPr>
          <w:rFonts w:ascii="Times New Roman" w:hAnsi="Times New Roman"/>
          <w:sz w:val="20"/>
        </w:rPr>
        <w:t xml:space="preserve">” </w:t>
      </w:r>
      <w:r>
        <w:rPr>
          <w:rFonts w:ascii="Times New Roman;serif" w:hAnsi="Times New Roman;serif"/>
          <w:b w:val="false"/>
          <w:sz w:val="20"/>
        </w:rPr>
        <w:t>has the meaning set forth in Section 8.01(h).</w:t>
      </w:r>
      <w:r>
        <w:rPr>
          <w:rFonts w:ascii="Times New Roman" w:hAnsi="Times New Roman"/>
          <w:sz w:val="20"/>
        </w:rPr>
        <w:t xml:space="preserve"> </w:t>
      </w:r>
    </w:p>
    <w:p>
      <w:pPr>
        <w:pStyle w:val="TextBody"/>
        <w:bidi w:val="0"/>
        <w:spacing w:before="280" w:after="0"/>
        <w:jc w:val="both"/>
        <w:rPr/>
      </w:pPr>
      <w:r>
        <w:rPr/>
        <w:t>“</w:t>
      </w:r>
      <w:r>
        <w:rPr>
          <w:rFonts w:ascii="Times New Roman;serif" w:hAnsi="Times New Roman;serif"/>
          <w:b w:val="false"/>
          <w:i/>
          <w:sz w:val="20"/>
        </w:rPr>
        <w:t>First Amendment</w:t>
      </w:r>
      <w:r>
        <w:rPr>
          <w:rFonts w:ascii="Times New Roman" w:hAnsi="Times New Roman"/>
          <w:sz w:val="20"/>
        </w:rPr>
        <w:t xml:space="preserve">” </w:t>
      </w:r>
      <w:r>
        <w:rPr>
          <w:rFonts w:ascii="Times New Roman;serif" w:hAnsi="Times New Roman;serif"/>
          <w:b w:val="false"/>
          <w:sz w:val="20"/>
        </w:rPr>
        <w:t>means the First Amendment to Credit Agreement and Guaranty, dated as of May 10, 2023, among the Borrower, the Lenders and the Administrative Agent.</w:t>
      </w:r>
    </w:p>
    <w:p>
      <w:pPr>
        <w:pStyle w:val="TextBody"/>
        <w:bidi w:val="0"/>
        <w:spacing w:before="280" w:after="0"/>
        <w:jc w:val="both"/>
        <w:rPr/>
      </w:pPr>
      <w:r>
        <w:rPr/>
        <w:t>“</w:t>
      </w:r>
      <w:r>
        <w:rPr>
          <w:rFonts w:ascii="Times New Roman;serif" w:hAnsi="Times New Roman;serif"/>
          <w:b w:val="false"/>
          <w:i/>
          <w:sz w:val="20"/>
        </w:rPr>
        <w:t>First Amendment Effective Date</w:t>
      </w:r>
      <w:r>
        <w:rPr>
          <w:rFonts w:ascii="Times New Roman" w:hAnsi="Times New Roman"/>
          <w:sz w:val="20"/>
        </w:rPr>
        <w:t xml:space="preserve">” </w:t>
      </w:r>
      <w:r>
        <w:rPr>
          <w:rFonts w:ascii="Times New Roman;serif" w:hAnsi="Times New Roman;serif"/>
          <w:b w:val="false"/>
          <w:sz w:val="20"/>
        </w:rPr>
        <w:t>means May 10, 2023.</w:t>
      </w:r>
    </w:p>
    <w:p>
      <w:pPr>
        <w:pStyle w:val="TextBody"/>
        <w:bidi w:val="0"/>
        <w:spacing w:before="280" w:after="0"/>
        <w:jc w:val="both"/>
        <w:rPr/>
      </w:pPr>
      <w:r>
        <w:rPr/>
        <w:t>“</w:t>
      </w:r>
      <w:r>
        <w:rPr>
          <w:rFonts w:ascii="Times New Roman;serif" w:hAnsi="Times New Roman;serif"/>
          <w:b w:val="false"/>
          <w:i/>
          <w:sz w:val="20"/>
        </w:rPr>
        <w:t xml:space="preserve">Floor” </w:t>
      </w:r>
      <w:r>
        <w:rPr>
          <w:rFonts w:ascii="Times New Roman;serif" w:hAnsi="Times New Roman;serif"/>
          <w:b w:val="false"/>
          <w:sz w:val="20"/>
        </w:rPr>
        <w:t>means a rate of interest equal to 3.00%.</w:t>
      </w:r>
    </w:p>
    <w:p>
      <w:pPr>
        <w:pStyle w:val="TextBody"/>
        <w:bidi w:val="0"/>
        <w:spacing w:before="280" w:after="0"/>
        <w:jc w:val="both"/>
        <w:rPr/>
      </w:pPr>
      <w:r>
        <w:rPr/>
        <w:t>“</w:t>
      </w:r>
      <w:r>
        <w:rPr>
          <w:rFonts w:ascii="Times New Roman;serif" w:hAnsi="Times New Roman;serif"/>
          <w:b w:val="false"/>
          <w:i/>
          <w:sz w:val="20"/>
        </w:rPr>
        <w:t>Foreign Lender”</w:t>
      </w:r>
      <w:r>
        <w:rPr>
          <w:rFonts w:ascii="Times New Roman" w:hAnsi="Times New Roman"/>
          <w:sz w:val="20"/>
        </w:rPr>
        <w:t xml:space="preserve"> </w:t>
      </w:r>
      <w:r>
        <w:rPr>
          <w:rFonts w:ascii="Times New Roman;serif" w:hAnsi="Times New Roman;serif"/>
          <w:b w:val="false"/>
          <w:sz w:val="20"/>
        </w:rPr>
        <w:t>means a Lender that is not a U.S. Person.</w:t>
      </w:r>
    </w:p>
    <w:p>
      <w:pPr>
        <w:pStyle w:val="TextBody"/>
        <w:bidi w:val="0"/>
        <w:spacing w:before="280" w:after="0"/>
        <w:jc w:val="both"/>
        <w:rPr/>
      </w:pPr>
      <w:r>
        <w:rPr/>
        <w:t>“</w:t>
      </w:r>
      <w:r>
        <w:rPr>
          <w:rFonts w:ascii="Times New Roman;serif" w:hAnsi="Times New Roman;serif"/>
          <w:b w:val="false"/>
          <w:i/>
          <w:sz w:val="20"/>
        </w:rPr>
        <w:t>Funding Date”</w:t>
      </w:r>
      <w:r>
        <w:rPr>
          <w:rFonts w:ascii="Times New Roman" w:hAnsi="Times New Roman"/>
          <w:sz w:val="20"/>
        </w:rPr>
        <w:t xml:space="preserve"> </w:t>
      </w:r>
      <w:r>
        <w:rPr>
          <w:rFonts w:ascii="Times New Roman;serif" w:hAnsi="Times New Roman;serif"/>
          <w:b w:val="false"/>
          <w:sz w:val="20"/>
        </w:rPr>
        <w:t>means the Business Day on which all of the conditions set forth in Section 6.02 have been satisfied or waived by the Administrative Agent and the Tranche A Loan is made.</w:t>
      </w:r>
    </w:p>
    <w:p>
      <w:pPr>
        <w:pStyle w:val="TextBody"/>
        <w:bidi w:val="0"/>
        <w:spacing w:before="280" w:after="0"/>
        <w:jc w:val="both"/>
        <w:rPr/>
      </w:pPr>
      <w:r>
        <w:rPr/>
        <w:t>“</w:t>
      </w:r>
      <w:r>
        <w:rPr>
          <w:rFonts w:ascii="Times New Roman;serif" w:hAnsi="Times New Roman;serif"/>
          <w:b w:val="false"/>
          <w:i/>
          <w:sz w:val="20"/>
        </w:rPr>
        <w:t>Funding Fee</w:t>
      </w:r>
      <w:r>
        <w:rPr>
          <w:rFonts w:ascii="Times New Roman" w:hAnsi="Times New Roman"/>
          <w:sz w:val="20"/>
        </w:rPr>
        <w:t xml:space="preserve">” </w:t>
      </w:r>
      <w:r>
        <w:rPr>
          <w:rFonts w:ascii="Times New Roman;serif" w:hAnsi="Times New Roman;serif"/>
          <w:b w:val="false"/>
          <w:sz w:val="20"/>
        </w:rPr>
        <w:t>has the meaning set forth in the Fee Letter.</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pPr>
      <w:r>
        <w:rPr/>
        <w:t>“</w:t>
      </w:r>
      <w:r>
        <w:rPr>
          <w:rFonts w:ascii="Times New Roman;serif" w:hAnsi="Times New Roman;serif"/>
          <w:b w:val="false"/>
          <w:i/>
          <w:sz w:val="20"/>
        </w:rPr>
        <w:t>GAAP”</w:t>
      </w:r>
      <w:r>
        <w:rPr>
          <w:rFonts w:ascii="Times New Roman" w:hAnsi="Times New Roman"/>
          <w:sz w:val="20"/>
        </w:rPr>
        <w:t xml:space="preserve"> </w:t>
      </w:r>
      <w:r>
        <w:rPr>
          <w:rFonts w:ascii="Times New Roman;serif" w:hAnsi="Times New Roman;serif"/>
          <w:b w:val="false"/>
          <w:sz w:val="20"/>
        </w:rPr>
        <w:t>means generally accepted accounting principles in the United States of America, as in effect from time to time, set forth in the opinions and pronouncements of the Accounting Principles Board and the American Institute of Certified Public Accountants, in the statements and pronouncements of the Financial Accounting Standards Board and in such other statements by such other entity as may be in general use by significant segments of the accounting profession that are applicable to the circumstances as of the date of determination. Subject to Section 1.02, all references to “GAAP” shall be to GAAP applied consistently with the principles used in the preparation of the financial statements described in Section 7.04(a).</w:t>
      </w:r>
    </w:p>
    <w:p>
      <w:pPr>
        <w:pStyle w:val="TextBody"/>
        <w:bidi w:val="0"/>
        <w:spacing w:before="280" w:after="0"/>
        <w:jc w:val="both"/>
        <w:rPr/>
      </w:pPr>
      <w:r>
        <w:rPr/>
        <w:t>“</w:t>
      </w:r>
      <w:r>
        <w:rPr>
          <w:rFonts w:ascii="Times New Roman;serif" w:hAnsi="Times New Roman;serif"/>
          <w:b w:val="false"/>
          <w:i/>
          <w:sz w:val="20"/>
        </w:rPr>
        <w:t>Governmental Approval”</w:t>
      </w:r>
      <w:r>
        <w:rPr>
          <w:rFonts w:ascii="Times New Roman" w:hAnsi="Times New Roman"/>
          <w:sz w:val="20"/>
        </w:rPr>
        <w:t xml:space="preserve"> </w:t>
      </w:r>
      <w:r>
        <w:rPr>
          <w:rFonts w:ascii="Times New Roman;serif" w:hAnsi="Times New Roman;serif"/>
          <w:b w:val="false"/>
          <w:sz w:val="20"/>
        </w:rPr>
        <w:t>means any consent, authorization, approval, order, license, franchise, permit, certification, accreditation, registration, clearance, exemption, filing or notice that is issued or granted by or from (or pursuant to any act of) any Governmental Authority, including any application or submission related to any of the foregoing.</w:t>
      </w:r>
    </w:p>
    <w:p>
      <w:pPr>
        <w:pStyle w:val="TextBody"/>
        <w:bidi w:val="0"/>
        <w:spacing w:before="280" w:after="0"/>
        <w:jc w:val="both"/>
        <w:rPr/>
      </w:pPr>
      <w:r>
        <w:rPr/>
        <w:t>“</w:t>
      </w:r>
      <w:r>
        <w:rPr>
          <w:rFonts w:ascii="Times New Roman;serif" w:hAnsi="Times New Roman;serif"/>
          <w:b w:val="false"/>
          <w:i/>
          <w:sz w:val="20"/>
        </w:rPr>
        <w:t>Governmental Authority”</w:t>
      </w:r>
      <w:r>
        <w:rPr>
          <w:rFonts w:ascii="Times New Roman" w:hAnsi="Times New Roman"/>
          <w:sz w:val="20"/>
        </w:rPr>
        <w:t xml:space="preserve"> </w:t>
      </w:r>
      <w:r>
        <w:rPr>
          <w:rFonts w:ascii="Times New Roman;serif" w:hAnsi="Times New Roman;serif"/>
          <w:b w:val="false"/>
          <w:sz w:val="20"/>
        </w:rPr>
        <w:t>means any nation, government, branch of power (whether executive, legislative or judicial), state, municipality or other political subdivision thereof and any entity exercising executive, legislative, judicial, monetary, regulatory or administrative functions of or pertaining to government, including without limitation regulatory authorities, governmental departments, agencies, commissions, bureaus, officials, ministers, courts, bodies, boards, tribunals and dispute settlement panels, and other law</w:t>
        <w:noBreakHyphen/>
        <w:t>, rule</w:t>
        <w:noBreakHyphen/>
        <w:t xml:space="preserve"> or regulation</w:t>
        <w:noBreakHyphen/>
        <w:t>making organizations or entities of any State, territory, county, city or other political subdivision of the United States or any foreign country.</w:t>
      </w:r>
    </w:p>
    <w:p>
      <w:pPr>
        <w:pStyle w:val="TextBody"/>
        <w:bidi w:val="0"/>
        <w:spacing w:before="280" w:after="0"/>
        <w:jc w:val="both"/>
        <w:rPr/>
      </w:pPr>
      <w:r>
        <w:rPr/>
        <w:t>“</w:t>
      </w:r>
      <w:r>
        <w:rPr>
          <w:rFonts w:ascii="Times New Roman;serif" w:hAnsi="Times New Roman;serif"/>
          <w:b w:val="false"/>
          <w:i/>
          <w:sz w:val="20"/>
        </w:rPr>
        <w:t>Guarantee”</w:t>
      </w:r>
      <w:r>
        <w:rPr>
          <w:rFonts w:ascii="Times New Roman" w:hAnsi="Times New Roman"/>
          <w:sz w:val="20"/>
        </w:rPr>
        <w:t xml:space="preserve"> </w:t>
      </w:r>
      <w:r>
        <w:rPr>
          <w:rFonts w:ascii="Times New Roman;serif" w:hAnsi="Times New Roman;serif"/>
          <w:b w:val="false"/>
          <w:sz w:val="20"/>
        </w:rPr>
        <w:t xml:space="preserve">of or by any Person (the </w:t>
      </w:r>
      <w:r>
        <w:rPr>
          <w:rFonts w:ascii="Times New Roman" w:hAnsi="Times New Roman"/>
          <w:sz w:val="20"/>
        </w:rPr>
        <w:t>“</w:t>
      </w:r>
      <w:r>
        <w:rPr>
          <w:rFonts w:ascii="Times New Roman;serif" w:hAnsi="Times New Roman;serif"/>
          <w:b w:val="false"/>
          <w:i/>
          <w:sz w:val="20"/>
        </w:rPr>
        <w:t>guarantor”</w:t>
      </w:r>
      <w:r>
        <w:rPr>
          <w:rFonts w:ascii="Times New Roman;serif" w:hAnsi="Times New Roman;serif"/>
          <w:b w:val="false"/>
          <w:sz w:val="20"/>
        </w:rPr>
        <w:t xml:space="preserve">) means any obligation, contingent or otherwise, of the guarantor guaranteeing or having the economic effect of guaranteeing any Indebtedness or other monetary obligation of any other Person (the </w:t>
      </w:r>
      <w:r>
        <w:rPr>
          <w:rFonts w:ascii="Times New Roman" w:hAnsi="Times New Roman"/>
          <w:sz w:val="20"/>
        </w:rPr>
        <w:t>“</w:t>
      </w:r>
      <w:r>
        <w:rPr>
          <w:rFonts w:ascii="Times New Roman;serif" w:hAnsi="Times New Roman;serif"/>
          <w:b w:val="false"/>
          <w:i/>
          <w:sz w:val="20"/>
        </w:rPr>
        <w:t>primary obligor”</w:t>
      </w:r>
      <w:r>
        <w:rPr>
          <w:rFonts w:ascii="Times New Roman;serif" w:hAnsi="Times New Roman;serif"/>
          <w:b w:val="false"/>
          <w:sz w:val="20"/>
        </w:rPr>
        <w:t xml:space="preserve">) in any manner, whether directly or indirectly, and including any obligation of the guarantor, direct or indirect, (a) to purchase or pay (or advance or supply funds for the purchase or payment of) such Indebtedness or other monetary obligation or to purchase (or to advance or supply funds for the purchase of) any security for the payment thereof, (b) to purchase or lease property, securities or services for the purpose of assuring the owner of such Indebtedness or other monetary obligation of the payment thereof, (c) to maintain working capital, equity capital or any other financial statement condition or liquidity of the primary obligor so as to enable the primary obligor to pay such Indebtedness or other monetary obligation or (d) as an account party in respect of any letter of credit or letter of guaranty issued to support such Indebtedness or monetary obligation;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 the term Guarantee shall not include endorsements for collection or deposit in the Ordinary Course of Business.</w:t>
      </w:r>
    </w:p>
    <w:p>
      <w:pPr>
        <w:pStyle w:val="TextBody"/>
        <w:bidi w:val="0"/>
        <w:spacing w:before="280" w:after="0"/>
        <w:jc w:val="both"/>
        <w:rPr/>
      </w:pPr>
      <w:r>
        <w:rPr/>
        <w:t>“</w:t>
      </w:r>
      <w:r>
        <w:rPr>
          <w:rFonts w:ascii="Times New Roman;serif" w:hAnsi="Times New Roman;serif"/>
          <w:b w:val="false"/>
          <w:i/>
          <w:sz w:val="20"/>
        </w:rPr>
        <w:t>Guarantee Assumption Agreement”</w:t>
      </w:r>
      <w:r>
        <w:rPr>
          <w:rFonts w:ascii="Times New Roman" w:hAnsi="Times New Roman"/>
          <w:sz w:val="20"/>
        </w:rPr>
        <w:t xml:space="preserve"> </w:t>
      </w:r>
      <w:r>
        <w:rPr>
          <w:rFonts w:ascii="Times New Roman;serif" w:hAnsi="Times New Roman;serif"/>
          <w:b w:val="false"/>
          <w:sz w:val="20"/>
        </w:rPr>
        <w:t>means a Guarantee Assumption Agreement substantially in the form of Exhibit A by an entity that, pursuant to Section 8.11(a), is required to become a “Guarantor”.</w:t>
      </w:r>
    </w:p>
    <w:p>
      <w:pPr>
        <w:pStyle w:val="TextBody"/>
        <w:bidi w:val="0"/>
        <w:spacing w:before="280" w:after="0"/>
        <w:jc w:val="both"/>
        <w:rPr/>
      </w:pPr>
      <w:r>
        <w:rPr/>
        <w:t>“</w:t>
      </w:r>
      <w:r>
        <w:rPr>
          <w:rFonts w:ascii="Times New Roman;serif" w:hAnsi="Times New Roman;serif"/>
          <w:b w:val="false"/>
          <w:i/>
          <w:sz w:val="20"/>
        </w:rPr>
        <w:t>Guaranteed Obligations”</w:t>
      </w:r>
      <w:r>
        <w:rPr>
          <w:rFonts w:ascii="Times New Roman" w:hAnsi="Times New Roman"/>
          <w:sz w:val="20"/>
        </w:rPr>
        <w:t xml:space="preserve"> </w:t>
      </w:r>
      <w:r>
        <w:rPr>
          <w:rFonts w:ascii="Times New Roman;serif" w:hAnsi="Times New Roman;serif"/>
          <w:b w:val="false"/>
          <w:sz w:val="20"/>
        </w:rPr>
        <w:t>has the meaning set forth in Section 11.01.</w:t>
      </w:r>
    </w:p>
    <w:p>
      <w:pPr>
        <w:pStyle w:val="TextBody"/>
        <w:bidi w:val="0"/>
        <w:spacing w:before="280" w:after="0"/>
        <w:jc w:val="both"/>
        <w:rPr/>
      </w:pPr>
      <w:r>
        <w:rPr/>
        <w:t>“</w:t>
      </w:r>
      <w:r>
        <w:rPr>
          <w:rFonts w:ascii="Times New Roman;serif" w:hAnsi="Times New Roman;serif"/>
          <w:b w:val="false"/>
          <w:i/>
          <w:sz w:val="20"/>
        </w:rPr>
        <w:t>Guarantor”</w:t>
      </w:r>
      <w:r>
        <w:rPr>
          <w:rFonts w:ascii="Times New Roman" w:hAnsi="Times New Roman"/>
          <w:sz w:val="20"/>
        </w:rPr>
        <w:t xml:space="preserve"> </w:t>
      </w:r>
      <w:r>
        <w:rPr>
          <w:rFonts w:ascii="Times New Roman;serif" w:hAnsi="Times New Roman;serif"/>
          <w:b w:val="false"/>
          <w:sz w:val="20"/>
        </w:rPr>
        <w:t>means, each Subsidiary of the Borrower joined as a Guarantor from time to time pursuant to Section 8.11(a). For the avoidance of doubt, there are no Guarantors as of the Closing Date and the Funding Date.</w:t>
      </w:r>
    </w:p>
    <w:p>
      <w:pPr>
        <w:pStyle w:val="TextBody"/>
        <w:bidi w:val="0"/>
        <w:spacing w:before="280" w:after="0"/>
        <w:jc w:val="both"/>
        <w:rPr/>
      </w:pPr>
      <w:r>
        <w:rPr/>
        <w:t>“</w:t>
      </w:r>
      <w:r>
        <w:rPr>
          <w:rFonts w:ascii="Times New Roman;serif" w:hAnsi="Times New Roman;serif"/>
          <w:b w:val="false"/>
          <w:i/>
          <w:sz w:val="20"/>
        </w:rPr>
        <w:t>Hazardous Material”</w:t>
      </w:r>
      <w:r>
        <w:rPr>
          <w:rFonts w:ascii="Times New Roman" w:hAnsi="Times New Roman"/>
          <w:sz w:val="20"/>
        </w:rPr>
        <w:t xml:space="preserve"> </w:t>
      </w:r>
      <w:r>
        <w:rPr>
          <w:rFonts w:ascii="Times New Roman;serif" w:hAnsi="Times New Roman;serif"/>
          <w:b w:val="false"/>
          <w:sz w:val="20"/>
        </w:rPr>
        <w:t>means any substance, element, chemical, compound, product, solid, gas, liquid, waste, by</w:t>
        <w:noBreakHyphen/>
        <w:t>product, pollutant, contaminant or material which is hazardous or toxic, and includes, without limitation, (a) asbestos, polychlorinated biphenyls and petroleum (including crude oil or any fraction thereof) and (b) any material classified or regulated as “hazardous” or “toxic” or words of like import pursuant to an Environmental Law.</w:t>
      </w:r>
    </w:p>
    <w:p>
      <w:pPr>
        <w:pStyle w:val="TextBody"/>
        <w:bidi w:val="0"/>
        <w:spacing w:before="280" w:after="0"/>
        <w:jc w:val="both"/>
        <w:rPr/>
      </w:pPr>
      <w:r>
        <w:rPr/>
        <w:t>“</w:t>
      </w:r>
      <w:r>
        <w:rPr>
          <w:rFonts w:ascii="Times New Roman;serif" w:hAnsi="Times New Roman;serif"/>
          <w:b w:val="false"/>
          <w:i/>
          <w:sz w:val="20"/>
        </w:rPr>
        <w:t>Health Care Compliance Program”</w:t>
      </w:r>
      <w:r>
        <w:rPr>
          <w:rFonts w:ascii="Times New Roman" w:hAnsi="Times New Roman"/>
          <w:sz w:val="20"/>
        </w:rPr>
        <w:t xml:space="preserve"> </w:t>
      </w:r>
      <w:r>
        <w:rPr>
          <w:rFonts w:ascii="Times New Roman;serif" w:hAnsi="Times New Roman;serif"/>
          <w:b w:val="false"/>
          <w:sz w:val="20"/>
        </w:rPr>
        <w:t>has the meaning set forth in Section 7.07(b)(v).</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pPr>
      <w:r>
        <w:rPr/>
        <w:t>“</w:t>
      </w:r>
      <w:r>
        <w:rPr>
          <w:rFonts w:ascii="Times New Roman;serif" w:hAnsi="Times New Roman;serif"/>
          <w:b w:val="false"/>
          <w:i/>
          <w:sz w:val="20"/>
        </w:rPr>
        <w:t>Healthcare Laws”</w:t>
      </w:r>
      <w:r>
        <w:rPr>
          <w:rFonts w:ascii="Times New Roman" w:hAnsi="Times New Roman"/>
          <w:sz w:val="20"/>
        </w:rPr>
        <w:t xml:space="preserve"> </w:t>
      </w:r>
      <w:r>
        <w:rPr>
          <w:rFonts w:ascii="Times New Roman;serif" w:hAnsi="Times New Roman;serif"/>
          <w:b w:val="false"/>
          <w:sz w:val="20"/>
        </w:rPr>
        <w:t>means, collectively, all Laws applicable to the business of any Obligor regulating the manufacturing, sale, distribution, labeling, marketing, or promotion, the export, or the provision of and payment for, health care products (including diagnostic products) or healthcare items and services, including (a) all applicable laws relating to the privacy or security of consumer information, including but not limited to the Health Insurance Portability and Accountability Act of 1996 (Pub. L. No. 104</w:t>
        <w:noBreakHyphen/>
        <w:t>191) (</w:t>
      </w:r>
      <w:r>
        <w:rPr>
          <w:rFonts w:ascii="Times New Roman" w:hAnsi="Times New Roman"/>
          <w:sz w:val="20"/>
        </w:rPr>
        <w:t>“</w:t>
      </w:r>
      <w:r>
        <w:rPr>
          <w:rFonts w:ascii="Times New Roman;serif" w:hAnsi="Times New Roman;serif"/>
          <w:b w:val="false"/>
          <w:i/>
          <w:sz w:val="20"/>
        </w:rPr>
        <w:t>HIPAA”</w:t>
      </w:r>
      <w:r>
        <w:rPr>
          <w:rFonts w:ascii="Times New Roman;serif" w:hAnsi="Times New Roman;serif"/>
          <w:b w:val="false"/>
          <w:sz w:val="20"/>
        </w:rPr>
        <w:t>) and any similar state laws; (b) all applicable federal and state healthcare fraud and abuse laws, including but not limited to the federal Anti</w:t>
        <w:noBreakHyphen/>
        <w:t>Kickback Statute (42 U.S.C. §1320a</w:t>
        <w:noBreakHyphen/>
        <w:t>7b(b)) and any similar state laws, the Eliminating Kickbacks in Recovery Act (18 U.S.C. § 220), the federal Physician Self</w:t>
        <w:noBreakHyphen/>
        <w:t xml:space="preserve">Referral Prohibition (commonly referred to as the </w:t>
      </w:r>
      <w:r>
        <w:rPr>
          <w:rFonts w:ascii="Times New Roman" w:hAnsi="Times New Roman"/>
          <w:sz w:val="20"/>
        </w:rPr>
        <w:t>“</w:t>
      </w:r>
      <w:r>
        <w:rPr>
          <w:rFonts w:ascii="Times New Roman;serif" w:hAnsi="Times New Roman;serif"/>
          <w:b w:val="false"/>
          <w:i/>
          <w:sz w:val="20"/>
        </w:rPr>
        <w:t>Stark Law”</w:t>
      </w:r>
      <w:r>
        <w:rPr>
          <w:rFonts w:ascii="Times New Roman;serif" w:hAnsi="Times New Roman;serif"/>
          <w:b w:val="false"/>
          <w:sz w:val="20"/>
        </w:rPr>
        <w:t>) (42 U.S.C. § 1395nn) and any similar state laws, the Civil Monetary Penalties Act (42 U.S.C. §1320a</w:t>
        <w:noBreakHyphen/>
        <w:t xml:space="preserve">7a), and the civil False Claims Act (31 U.S.C. §3729 </w:t>
      </w:r>
      <w:r>
        <w:rPr>
          <w:rFonts w:ascii="Times New Roman;serif" w:hAnsi="Times New Roman;serif"/>
          <w:b w:val="false"/>
          <w:i/>
          <w:sz w:val="20"/>
        </w:rPr>
        <w:t>et seq.</w:t>
      </w:r>
      <w:r>
        <w:rPr>
          <w:rFonts w:ascii="Times New Roman" w:hAnsi="Times New Roman"/>
          <w:sz w:val="20"/>
        </w:rPr>
        <w:t xml:space="preserve"> </w:t>
      </w:r>
      <w:r>
        <w:rPr>
          <w:rFonts w:ascii="Times New Roman;serif" w:hAnsi="Times New Roman;serif"/>
          <w:b w:val="false"/>
          <w:sz w:val="20"/>
        </w:rPr>
        <w:t>and any similar state laws); (c) all applicable FDA Laws; (d) CLIA and other applicable laws relating to clinical laboratory operations; (e) all applicable laws regarding the provision of health care supplies, items or services to Federal Health Care Program beneficiaries or the billing of the Federal Health Care Programs; and (f) all rules and regulations promulgated under or pursuant to any of the foregoing.</w:t>
      </w:r>
    </w:p>
    <w:p>
      <w:pPr>
        <w:pStyle w:val="TextBody"/>
        <w:bidi w:val="0"/>
        <w:spacing w:before="280" w:after="0"/>
        <w:jc w:val="both"/>
        <w:rPr/>
      </w:pPr>
      <w:r>
        <w:rPr/>
        <w:t>“</w:t>
      </w:r>
      <w:r>
        <w:rPr>
          <w:rFonts w:ascii="Times New Roman;serif" w:hAnsi="Times New Roman;serif"/>
          <w:b w:val="false"/>
          <w:i/>
          <w:sz w:val="20"/>
        </w:rPr>
        <w:t>Hedging Agreement”</w:t>
      </w:r>
      <w:r>
        <w:rPr>
          <w:rFonts w:ascii="Times New Roman" w:hAnsi="Times New Roman"/>
          <w:sz w:val="20"/>
        </w:rPr>
        <w:t xml:space="preserve"> </w:t>
      </w:r>
      <w:r>
        <w:rPr>
          <w:rFonts w:ascii="Times New Roman;serif" w:hAnsi="Times New Roman;serif"/>
          <w:b w:val="false"/>
          <w:sz w:val="20"/>
        </w:rPr>
        <w:t>means any interest rate exchange agreement, foreign currency exchange agreement, commodity price protection agreement or other interest or currency exchange rate or commodity price hedging arrangement.</w:t>
      </w:r>
    </w:p>
    <w:p>
      <w:pPr>
        <w:pStyle w:val="TextBody"/>
        <w:bidi w:val="0"/>
        <w:spacing w:before="280" w:after="0"/>
        <w:jc w:val="both"/>
        <w:rPr/>
      </w:pPr>
      <w:r>
        <w:rPr/>
        <w:t>“</w:t>
      </w:r>
      <w:r>
        <w:rPr>
          <w:rFonts w:ascii="Times New Roman;serif" w:hAnsi="Times New Roman;serif"/>
          <w:b w:val="false"/>
          <w:i/>
          <w:sz w:val="20"/>
        </w:rPr>
        <w:t>HIPAA”</w:t>
      </w:r>
      <w:r>
        <w:rPr>
          <w:rFonts w:ascii="Times New Roman" w:hAnsi="Times New Roman"/>
          <w:sz w:val="20"/>
        </w:rPr>
        <w:t xml:space="preserve"> </w:t>
      </w:r>
      <w:r>
        <w:rPr>
          <w:rFonts w:ascii="Times New Roman;serif" w:hAnsi="Times New Roman;serif"/>
          <w:b w:val="false"/>
          <w:sz w:val="20"/>
        </w:rPr>
        <w:t>has the meaning set forth in the definition of “Healthcare Laws”.</w:t>
      </w:r>
    </w:p>
    <w:p>
      <w:pPr>
        <w:pStyle w:val="TextBody"/>
        <w:bidi w:val="0"/>
        <w:spacing w:before="280" w:after="0"/>
        <w:jc w:val="both"/>
        <w:rPr/>
      </w:pPr>
      <w:r>
        <w:rPr/>
        <w:t>“</w:t>
      </w:r>
      <w:r>
        <w:rPr>
          <w:rFonts w:ascii="Times New Roman;serif" w:hAnsi="Times New Roman;serif"/>
          <w:b w:val="false"/>
          <w:i/>
          <w:sz w:val="20"/>
        </w:rPr>
        <w:t xml:space="preserve">Indebtedness” </w:t>
      </w:r>
      <w:r>
        <w:rPr>
          <w:rFonts w:ascii="Times New Roman;serif" w:hAnsi="Times New Roman;serif"/>
          <w:b w:val="false"/>
          <w:sz w:val="20"/>
        </w:rPr>
        <w:t>of any Person means, without duplication, (a) all obligations of such Person for borrowed money, (b) all obligations of such Person evidenced by bonds, debentures, notes, loan agreements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not overdue by more than one hundred twenty (120) days),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(j) obligations under any Hedging Agreement, currency swaps, forwards, futures or derivatives transactions, (k) all obligations, contingent or otherwise, of such Person in respect of bankers’ acceptances, (l) any Disqualified Equity Interests of such Person, (m) any earnout obligation at the time such obligation is both required to be reflected as a liability on the balance sheet of such Person in accordance with GAAP and not paid after becoming due and payable and (n) all other obligations required to be classified as indebtedness of such Person under GAAP. The Indebtedness of any Person shall, without duplication,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pStyle w:val="TextBody"/>
        <w:bidi w:val="0"/>
        <w:spacing w:before="280" w:after="0"/>
        <w:jc w:val="both"/>
        <w:rPr/>
      </w:pPr>
      <w:r>
        <w:rPr/>
        <w:t>“</w:t>
      </w:r>
      <w:r>
        <w:rPr>
          <w:rFonts w:ascii="Times New Roman;serif" w:hAnsi="Times New Roman;serif"/>
          <w:b w:val="false"/>
          <w:i/>
          <w:sz w:val="20"/>
        </w:rPr>
        <w:t>Indemnified Party”</w:t>
      </w:r>
      <w:r>
        <w:rPr>
          <w:rFonts w:ascii="Times New Roman" w:hAnsi="Times New Roman"/>
          <w:sz w:val="20"/>
        </w:rPr>
        <w:t xml:space="preserve"> </w:t>
      </w:r>
      <w:r>
        <w:rPr>
          <w:rFonts w:ascii="Times New Roman;serif" w:hAnsi="Times New Roman;serif"/>
          <w:b w:val="false"/>
          <w:sz w:val="20"/>
        </w:rPr>
        <w:t>has the meaning set forth in Section 13.03(b).</w:t>
      </w:r>
    </w:p>
    <w:p>
      <w:pPr>
        <w:pStyle w:val="TextBody"/>
        <w:bidi w:val="0"/>
        <w:spacing w:before="280" w:after="0"/>
        <w:jc w:val="both"/>
        <w:rPr/>
      </w:pPr>
      <w:r>
        <w:rPr/>
        <w:t>“</w:t>
      </w:r>
      <w:r>
        <w:rPr>
          <w:rFonts w:ascii="Times New Roman;serif" w:hAnsi="Times New Roman;serif"/>
          <w:b w:val="false"/>
          <w:i/>
          <w:sz w:val="20"/>
        </w:rPr>
        <w:t>Indemnified Taxes”</w:t>
      </w:r>
      <w:r>
        <w:rPr>
          <w:rFonts w:ascii="Times New Roman" w:hAnsi="Times New Roman"/>
          <w:sz w:val="20"/>
        </w:rPr>
        <w:t xml:space="preserve"> </w:t>
      </w:r>
      <w:r>
        <w:rPr>
          <w:rFonts w:ascii="Times New Roman;serif" w:hAnsi="Times New Roman;serif"/>
          <w:b w:val="false"/>
          <w:sz w:val="20"/>
        </w:rPr>
        <w:t>means (a) Taxes, other than Excluded Taxes, imposed on or with respect to any payment made by or on account of any Obligation and (b) to the extent not otherwise described in clause (a), Other Taxes.</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pPr>
      <w:r>
        <w:rPr/>
        <w:t>“</w:t>
      </w:r>
      <w:r>
        <w:rPr>
          <w:rFonts w:ascii="Times New Roman;serif" w:hAnsi="Times New Roman;serif"/>
          <w:b w:val="false"/>
          <w:i/>
          <w:sz w:val="20"/>
        </w:rPr>
        <w:t>Indi Purchase Agreement</w:t>
      </w:r>
      <w:r>
        <w:rPr>
          <w:rFonts w:ascii="Times New Roman" w:hAnsi="Times New Roman"/>
          <w:sz w:val="20"/>
        </w:rPr>
        <w:t xml:space="preserve">” </w:t>
      </w:r>
      <w:r>
        <w:rPr>
          <w:rFonts w:ascii="Times New Roman;serif" w:hAnsi="Times New Roman;serif"/>
          <w:b w:val="false"/>
          <w:sz w:val="20"/>
        </w:rPr>
        <w:t>means that certain Asset Purchase Agreement and Plan of Reorganization, dated as of June 30, 2018, by and among the Borrower, Integrated Diagnostics, Inc. and IND Funding LLC, as amended by that certain Amendment No. 1 to Asset Purchase Agreement and Plan of Reorganization dated as of July 29, 2021, that certain Amendment No. 2 to Asset Purchase Agreement and Plan of Reorganization dated as of August 9, 2021, that certain Amendment No. 3 to Asset Purchase Agreement and Plan of Reorganization dated as of April 7, 2022 and as may be further amended, amended and restated or otherwise modified to the extent permitted by Section 9.12.</w:t>
      </w:r>
      <w:r>
        <w:rPr>
          <w:rFonts w:ascii="Times New Roman" w:hAnsi="Times New Roman"/>
          <w:sz w:val="20"/>
        </w:rPr>
        <w:t xml:space="preserve"> </w:t>
      </w:r>
    </w:p>
    <w:p>
      <w:pPr>
        <w:pStyle w:val="TextBody"/>
        <w:bidi w:val="0"/>
        <w:spacing w:before="280" w:after="0"/>
        <w:jc w:val="both"/>
        <w:rPr/>
      </w:pPr>
      <w:r>
        <w:rPr/>
        <w:t>“</w:t>
      </w:r>
      <w:r>
        <w:rPr>
          <w:rFonts w:ascii="Times New Roman;serif" w:hAnsi="Times New Roman;serif"/>
          <w:b w:val="false"/>
          <w:i/>
          <w:sz w:val="20"/>
        </w:rPr>
        <w:t>Industrial Designs”</w:t>
      </w:r>
      <w:r>
        <w:rPr>
          <w:rFonts w:ascii="Times New Roman" w:hAnsi="Times New Roman"/>
          <w:sz w:val="20"/>
        </w:rPr>
        <w:t xml:space="preserve"> </w:t>
      </w:r>
      <w:r>
        <w:rPr>
          <w:rFonts w:ascii="Times New Roman;serif" w:hAnsi="Times New Roman;serif"/>
          <w:b w:val="false"/>
          <w:sz w:val="20"/>
        </w:rPr>
        <w:t>means all right, title and interests arising under any Laws in or relating to all industrial designs, intangibles of like nature, and any work subject to the design laws of any country or any political subdivision thereof.</w:t>
      </w:r>
    </w:p>
    <w:p>
      <w:pPr>
        <w:pStyle w:val="TextBody"/>
        <w:bidi w:val="0"/>
        <w:spacing w:before="280" w:after="0"/>
        <w:jc w:val="both"/>
        <w:rPr/>
      </w:pPr>
      <w:r>
        <w:rPr/>
        <w:t>“</w:t>
      </w:r>
      <w:r>
        <w:rPr>
          <w:rFonts w:ascii="Times New Roman;serif" w:hAnsi="Times New Roman;serif"/>
          <w:b w:val="false"/>
          <w:i/>
          <w:sz w:val="20"/>
        </w:rPr>
        <w:t xml:space="preserve">Ineligible Assignee” </w:t>
      </w:r>
      <w:r>
        <w:rPr>
          <w:rFonts w:ascii="Times New Roman;serif" w:hAnsi="Times New Roman;serif"/>
          <w:b w:val="false"/>
          <w:sz w:val="20"/>
        </w:rPr>
        <w:t>means (a) a natural person, (b) the Obligors or any of their respective Affiliates and (c) so long as no Event of Default shall have occurred and is continuing, to any Person who is a Disqualified Lender.</w:t>
      </w:r>
    </w:p>
    <w:p>
      <w:pPr>
        <w:pStyle w:val="TextBody"/>
        <w:bidi w:val="0"/>
        <w:spacing w:before="280" w:after="0"/>
        <w:jc w:val="both"/>
        <w:rPr/>
      </w:pPr>
      <w:r>
        <w:rPr/>
        <w:t>“</w:t>
      </w:r>
      <w:r>
        <w:rPr>
          <w:rFonts w:ascii="Times New Roman;serif" w:hAnsi="Times New Roman;serif"/>
          <w:b w:val="false"/>
          <w:i/>
          <w:sz w:val="20"/>
        </w:rPr>
        <w:t>Information”</w:t>
      </w:r>
      <w:r>
        <w:rPr>
          <w:rFonts w:ascii="Times New Roman" w:hAnsi="Times New Roman"/>
          <w:sz w:val="20"/>
        </w:rPr>
        <w:t xml:space="preserve"> </w:t>
      </w:r>
      <w:r>
        <w:rPr>
          <w:rFonts w:ascii="Times New Roman;serif" w:hAnsi="Times New Roman;serif"/>
          <w:b w:val="false"/>
          <w:sz w:val="20"/>
        </w:rPr>
        <w:t>has the meaning set forth in Section 13.17.</w:t>
      </w:r>
    </w:p>
    <w:p>
      <w:pPr>
        <w:pStyle w:val="TextBody"/>
        <w:bidi w:val="0"/>
        <w:spacing w:before="280" w:after="0"/>
        <w:jc w:val="both"/>
        <w:rPr/>
      </w:pPr>
      <w:r>
        <w:rPr/>
        <w:t>“</w:t>
      </w:r>
      <w:r>
        <w:rPr>
          <w:rFonts w:ascii="Times New Roman;serif" w:hAnsi="Times New Roman;serif"/>
          <w:b w:val="false"/>
          <w:i/>
          <w:sz w:val="20"/>
        </w:rPr>
        <w:t>Insolvency Proceeding”</w:t>
      </w:r>
      <w:r>
        <w:rPr>
          <w:rFonts w:ascii="Times New Roman" w:hAnsi="Times New Roman"/>
          <w:sz w:val="20"/>
        </w:rPr>
        <w:t xml:space="preserve"> </w:t>
      </w:r>
      <w:r>
        <w:rPr>
          <w:rFonts w:ascii="Times New Roman;serif" w:hAnsi="Times New Roman;serif"/>
          <w:b w:val="false"/>
          <w:sz w:val="20"/>
        </w:rPr>
        <w:t>means (a) any case, action or proceeding before any court or other Governmental Authority relating to bankruptcy, reorganization, insolvency, liquidation, receivership, dissolution, winding</w:t>
        <w:noBreakHyphen/>
        <w:t>up or relief of debtors, or (b) any general assignment for the benefit of creditors, composition, marshaling of assets for creditors, or other, similar arrangement in respect of any Person’s creditors generally or any substantial portion of such Person’s creditors, in each case undertaken under U.S. Federal, state or foreign law, including the Bankruptcy Code.</w:t>
      </w:r>
    </w:p>
    <w:p>
      <w:pPr>
        <w:pStyle w:val="TextBody"/>
        <w:bidi w:val="0"/>
        <w:spacing w:before="280" w:after="0"/>
        <w:jc w:val="both"/>
        <w:rPr/>
      </w:pPr>
      <w:r>
        <w:rPr/>
        <w:t>“</w:t>
      </w:r>
      <w:r>
        <w:rPr>
          <w:rFonts w:ascii="Times New Roman;serif" w:hAnsi="Times New Roman;serif"/>
          <w:b w:val="false"/>
          <w:i/>
          <w:sz w:val="20"/>
        </w:rPr>
        <w:t>Intellectual Property”</w:t>
      </w:r>
      <w:r>
        <w:rPr>
          <w:rFonts w:ascii="Times New Roman" w:hAnsi="Times New Roman"/>
          <w:sz w:val="20"/>
        </w:rPr>
        <w:t xml:space="preserve"> </w:t>
      </w:r>
      <w:r>
        <w:rPr>
          <w:rFonts w:ascii="Times New Roman;serif" w:hAnsi="Times New Roman;serif"/>
          <w:b w:val="false"/>
          <w:sz w:val="20"/>
        </w:rPr>
        <w:t>means, with respect to any Person, all of such Person’s rights, title and interest in and to all Patents, Trademarks, Copyrights, industrial designs, Technical Information, whether registered or not and whether existing under U.S. or non-U.S. Law or jurisdiction, including, without limitation, all:</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(a) applications, registrations, amendments and extensions relating to such Intellectual Property;</w:t>
      </w:r>
    </w:p>
    <w:p>
      <w:pPr>
        <w:pStyle w:val="TextBody"/>
        <w:bidi w:val="0"/>
        <w:spacing w:before="280" w:after="0"/>
        <w:jc w:val="both"/>
        <w:rPr>
          <w:rFonts w:ascii="Times New Roman" w:hAnsi="Times New Roman"/>
          <w:sz w:val="20"/>
        </w:rPr>
      </w:pPr>
      <w:r>
        <w:rPr>
          <w:rFonts w:ascii="Times New Roman;serif" w:hAnsi="Times New Roman;serif"/>
          <w:b w:val="false"/>
          <w:sz w:val="20"/>
        </w:rPr>
        <w:t>(b) rights and privileges arising under any applicable Laws with respect to any Intellectual Property;</w:t>
      </w:r>
      <w:r>
        <w:rPr>
          <w:rFonts w:ascii="Times New Roman" w:hAnsi="Times New Roman"/>
          <w:sz w:val="20"/>
        </w:rPr>
        <w:t xml:space="preserve">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(c) rights to sue for or collect any damages for any past, present or future infringements of any Intellectual Property; and</w:t>
      </w:r>
    </w:p>
    <w:p>
      <w:pPr>
        <w:pStyle w:val="TextBody"/>
        <w:bidi w:val="0"/>
        <w:spacing w:before="280" w:after="0"/>
        <w:jc w:val="both"/>
        <w:rPr>
          <w:rFonts w:ascii="Times New Roman" w:hAnsi="Times New Roman"/>
          <w:sz w:val="20"/>
        </w:rPr>
      </w:pPr>
      <w:r>
        <w:rPr>
          <w:rFonts w:ascii="Times New Roman;serif" w:hAnsi="Times New Roman;serif"/>
          <w:b w:val="false"/>
          <w:sz w:val="20"/>
        </w:rPr>
        <w:t>(d) rights of the same or similar effect or nature as described above in any jurisdiction corresponding to any Intellectual Property throughout the world.</w:t>
      </w:r>
      <w:r>
        <w:rPr>
          <w:rFonts w:ascii="Times New Roman" w:hAnsi="Times New Roman"/>
          <w:sz w:val="20"/>
        </w:rPr>
        <w:t xml:space="preserve"> </w:t>
      </w:r>
    </w:p>
    <w:p>
      <w:pPr>
        <w:pStyle w:val="TextBody"/>
        <w:bidi w:val="0"/>
        <w:spacing w:before="280" w:after="0"/>
        <w:jc w:val="both"/>
        <w:rPr/>
      </w:pPr>
      <w:r>
        <w:rPr/>
        <w:t>“</w:t>
      </w:r>
      <w:r>
        <w:rPr>
          <w:rFonts w:ascii="Times New Roman;serif" w:hAnsi="Times New Roman;serif"/>
          <w:b w:val="false"/>
          <w:i/>
          <w:sz w:val="20"/>
        </w:rPr>
        <w:t>Interest Period”</w:t>
      </w:r>
      <w:r>
        <w:rPr>
          <w:rFonts w:ascii="Times New Roman" w:hAnsi="Times New Roman"/>
          <w:sz w:val="20"/>
        </w:rPr>
        <w:t xml:space="preserve"> </w:t>
      </w:r>
      <w:r>
        <w:rPr>
          <w:rFonts w:ascii="Times New Roman;serif" w:hAnsi="Times New Roman;serif"/>
          <w:b w:val="false"/>
          <w:sz w:val="20"/>
        </w:rPr>
        <w:t>means, (a) as to the Tranche A Loan, (i) initially, the period beginning on (and including) the Funding Date and ending on (and including) the last day of the calendar month in which the Funding Date occurs, and (ii) thereafter, the period beginning on (and including) the first day of each succeeding calendar month and ending on the earlier of (and including) (x) the last day of such calendar month and (y) the Maturity Date, (b) as to the Tranche B Loan, (i) the period commencing on (and including) the Tranche B Loan Borrowing Date and ending on (and including) the last day of the calendar month in which the Tranche B Loan Borrowing Date occurs, and (ii) thereafter, the period beginning on (and including) the first day of each succeeding calendar month and ending on the earlier of (and including) (x) the last day of such calendar month and (y) the Maturity Date and (c) as to the Tranche C Loan,</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 the period commencing on (and including) the Tranche C Loan Borrowing Date and ending on (and including) the last day of the calendar month in which the Tranche C Loan Borrowing Date occurs, and (ii) thereafter, the period beginning on (and including) the first day of each succeeding calendar month and ending on the earlier of (and including) (x) the last day of such calendar month and (y) the Maturity Date.</w:t>
      </w:r>
    </w:p>
    <w:p>
      <w:pPr>
        <w:pStyle w:val="TextBody"/>
        <w:bidi w:val="0"/>
        <w:spacing w:before="280" w:after="0"/>
        <w:jc w:val="both"/>
        <w:rPr/>
      </w:pPr>
      <w:r>
        <w:rPr/>
        <w:t>“</w:t>
      </w:r>
      <w:r>
        <w:rPr>
          <w:rFonts w:ascii="Times New Roman;serif" w:hAnsi="Times New Roman;serif"/>
          <w:b w:val="false"/>
          <w:i/>
          <w:sz w:val="20"/>
        </w:rPr>
        <w:t>Invention”</w:t>
      </w:r>
      <w:r>
        <w:rPr>
          <w:rFonts w:ascii="Times New Roman" w:hAnsi="Times New Roman"/>
          <w:sz w:val="20"/>
        </w:rPr>
        <w:t xml:space="preserve"> </w:t>
      </w:r>
      <w:r>
        <w:rPr>
          <w:rFonts w:ascii="Times New Roman;serif" w:hAnsi="Times New Roman;serif"/>
          <w:b w:val="false"/>
          <w:sz w:val="20"/>
        </w:rPr>
        <w:t>means any novel, inventive or useful art, apparatus, method, process, machine (including any article or Device), manufacture or composition of matter, or any novel, inventive and useful improvement in any art, method, process, machine (including any article or Device), manufacture or composition of matter.</w:t>
      </w:r>
    </w:p>
    <w:p>
      <w:pPr>
        <w:pStyle w:val="TextBody"/>
        <w:bidi w:val="0"/>
        <w:spacing w:before="280" w:after="0"/>
        <w:jc w:val="both"/>
        <w:rPr/>
      </w:pPr>
      <w:r>
        <w:rPr/>
        <w:t>“</w:t>
      </w:r>
      <w:r>
        <w:rPr>
          <w:rFonts w:ascii="Times New Roman;serif" w:hAnsi="Times New Roman;serif"/>
          <w:b w:val="false"/>
          <w:i/>
          <w:sz w:val="20"/>
        </w:rPr>
        <w:t>Investment”</w:t>
      </w:r>
      <w:r>
        <w:rPr>
          <w:rFonts w:ascii="Times New Roman" w:hAnsi="Times New Roman"/>
          <w:sz w:val="20"/>
        </w:rPr>
        <w:t xml:space="preserve"> </w:t>
      </w:r>
      <w:r>
        <w:rPr>
          <w:rFonts w:ascii="Times New Roman;serif" w:hAnsi="Times New Roman;serif"/>
          <w:b w:val="false"/>
          <w:sz w:val="20"/>
        </w:rPr>
        <w:t>means, for any Person: (a) the acquisition (whether for cash, Property, services or securities or otherwise) of Equity Interests, bonds, notes, debentures, partnership or other ownership interests or other securities of any other Person (including any “short sale” or any sale of any securities at a time when such securities are not owned by the Person entering into such sale); (b) the making of any deposit with, or advance, loan, assumption of debt or other extension of credit to, any other Person (including the purchase of Property from another Person subject to an understanding or agreement, contingent or otherwise, to resell such Property to such Person), but excluding any such advance, loan or extension of credit in the nature of an ordinary course trade receivable having a term not exceeding one hundred and twenty (120) days arising in connection with the sale of services, inventory or supplies by such Person in the Ordinary Course of Business; (c) the entering into of any Guarantee of, or other contingent obligation with respect to, Indebtedness of any other Person and (without duplication) any amount committed to be advanced, lent or extended to such Person; (d) entering into any joint venture; or (e) the entering into of any Hedging Agreement. The amount of an Investment will be determined at the time the Investment is made without giving effect to any subsequent changes in value.</w:t>
      </w:r>
    </w:p>
    <w:p>
      <w:pPr>
        <w:pStyle w:val="TextBody"/>
        <w:bidi w:val="0"/>
        <w:spacing w:before="280" w:after="0"/>
        <w:jc w:val="both"/>
        <w:rPr/>
      </w:pPr>
      <w:r>
        <w:rPr/>
        <w:t>“</w:t>
      </w:r>
      <w:r>
        <w:rPr>
          <w:rFonts w:ascii="Times New Roman;serif" w:hAnsi="Times New Roman;serif"/>
          <w:b w:val="false"/>
          <w:i/>
          <w:sz w:val="20"/>
        </w:rPr>
        <w:t>IRS”</w:t>
      </w:r>
      <w:r>
        <w:rPr>
          <w:rFonts w:ascii="Times New Roman" w:hAnsi="Times New Roman"/>
          <w:sz w:val="20"/>
        </w:rPr>
        <w:t xml:space="preserve"> </w:t>
      </w:r>
      <w:r>
        <w:rPr>
          <w:rFonts w:ascii="Times New Roman;serif" w:hAnsi="Times New Roman;serif"/>
          <w:b w:val="false"/>
          <w:sz w:val="20"/>
        </w:rPr>
        <w:t>means the U.S. Internal Revenue Service or any successor agency, and to the extent relevant, the U.S. Department of the Treasury.</w:t>
      </w:r>
    </w:p>
    <w:p>
      <w:pPr>
        <w:pStyle w:val="TextBody"/>
        <w:bidi w:val="0"/>
        <w:spacing w:before="280" w:after="0"/>
        <w:jc w:val="both"/>
        <w:rPr/>
      </w:pPr>
      <w:r>
        <w:rPr/>
        <w:t>“</w:t>
      </w:r>
      <w:r>
        <w:rPr>
          <w:rFonts w:ascii="Times New Roman;serif" w:hAnsi="Times New Roman;serif"/>
          <w:b w:val="false"/>
          <w:i/>
          <w:sz w:val="20"/>
        </w:rPr>
        <w:t>Laws”</w:t>
      </w:r>
      <w:r>
        <w:rPr>
          <w:rFonts w:ascii="Times New Roman" w:hAnsi="Times New Roman"/>
          <w:sz w:val="20"/>
        </w:rPr>
        <w:t xml:space="preserve"> </w:t>
      </w:r>
      <w:r>
        <w:rPr>
          <w:rFonts w:ascii="Times New Roman;serif" w:hAnsi="Times New Roman;serif"/>
          <w:b w:val="false"/>
          <w:sz w:val="20"/>
        </w:rPr>
        <w:t>means, collectively, all international, foreign, federal, state, provincial, territorial, municipal and local statutes, treaties, rules,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pStyle w:val="TextBody"/>
        <w:bidi w:val="0"/>
        <w:spacing w:before="280" w:after="0"/>
        <w:jc w:val="both"/>
        <w:rPr/>
      </w:pPr>
      <w:r>
        <w:rPr/>
        <w:t>“</w:t>
      </w:r>
      <w:r>
        <w:rPr>
          <w:rFonts w:ascii="Times New Roman;serif" w:hAnsi="Times New Roman;serif"/>
          <w:b w:val="false"/>
          <w:i/>
          <w:sz w:val="20"/>
        </w:rPr>
        <w:t>Lenders”</w:t>
      </w:r>
      <w:r>
        <w:rPr>
          <w:rFonts w:ascii="Times New Roman" w:hAnsi="Times New Roman"/>
          <w:sz w:val="20"/>
        </w:rPr>
        <w:t xml:space="preserve"> </w:t>
      </w:r>
      <w:r>
        <w:rPr>
          <w:rFonts w:ascii="Times New Roman;serif" w:hAnsi="Times New Roman;serif"/>
          <w:b w:val="false"/>
          <w:sz w:val="20"/>
        </w:rPr>
        <w:t>has the meaning set forth in the introduction hereto.</w:t>
      </w:r>
    </w:p>
    <w:p>
      <w:pPr>
        <w:pStyle w:val="TextBody"/>
        <w:bidi w:val="0"/>
        <w:spacing w:before="280" w:after="0"/>
        <w:jc w:val="both"/>
        <w:rPr/>
      </w:pPr>
      <w:r>
        <w:rPr/>
        <w:t>“</w:t>
      </w:r>
      <w:r>
        <w:rPr>
          <w:rFonts w:ascii="Times New Roman;serif" w:hAnsi="Times New Roman;serif"/>
          <w:b w:val="false"/>
          <w:i/>
          <w:sz w:val="20"/>
        </w:rPr>
        <w:t>Lien”</w:t>
      </w:r>
      <w:r>
        <w:rPr>
          <w:rFonts w:ascii="Times New Roman" w:hAnsi="Times New Roman"/>
          <w:sz w:val="20"/>
        </w:rPr>
        <w:t xml:space="preserve"> </w:t>
      </w:r>
      <w:r>
        <w:rPr>
          <w:rFonts w:ascii="Times New Roman;serif" w:hAnsi="Times New Roman;serif"/>
          <w:b w:val="false"/>
          <w:sz w:val="20"/>
        </w:rPr>
        <w:t>means any mortgage, lien, pledge, charge or other security interest, or any lease, title retention agreement, mortgage, restriction, easement, right</w:t>
        <w:noBreakHyphen/>
        <w:t>of</w:t>
        <w:noBreakHyphen/>
        <w:t>way, option or adverse Claim (of ownership or possession) or other encumbrance of any kind or character whatsoever or any preferential arrangement that has the practical effect of creating a security interest.</w:t>
      </w:r>
    </w:p>
    <w:p>
      <w:pPr>
        <w:pStyle w:val="TextBody"/>
        <w:bidi w:val="0"/>
        <w:spacing w:before="280" w:after="0"/>
        <w:jc w:val="both"/>
        <w:rPr/>
      </w:pPr>
      <w:r>
        <w:rPr/>
        <w:t>“</w:t>
      </w:r>
      <w:r>
        <w:rPr>
          <w:rFonts w:ascii="Times New Roman;serif" w:hAnsi="Times New Roman;serif"/>
          <w:b w:val="false"/>
          <w:i/>
          <w:sz w:val="20"/>
        </w:rPr>
        <w:t>Loan Documents”</w:t>
      </w:r>
      <w:r>
        <w:rPr>
          <w:rFonts w:ascii="Times New Roman" w:hAnsi="Times New Roman"/>
          <w:sz w:val="20"/>
        </w:rPr>
        <w:t xml:space="preserve"> </w:t>
      </w:r>
      <w:r>
        <w:rPr>
          <w:rFonts w:ascii="Times New Roman;serif" w:hAnsi="Times New Roman;serif"/>
          <w:b w:val="false"/>
          <w:sz w:val="20"/>
        </w:rPr>
        <w:t>means, collectively, this Agreement, any Notes, the Security Documents, any Collateral Access Agreement, the Fee Letter, any Guarantee Assumption Agreement, any Warrant Certificate and any subordination agreement, intercreditor agreement or other present or future document, instrument, agreement or certificate delivered to any Lender in connection with this Agreement or any of the other Loan Documents, in each case, as amended, restated, supplemented or otherwise modified.</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pPr>
      <w:r>
        <w:rPr/>
        <w:t>“</w:t>
      </w:r>
      <w:r>
        <w:rPr>
          <w:rFonts w:ascii="Times New Roman;serif" w:hAnsi="Times New Roman;serif"/>
          <w:b w:val="false"/>
          <w:i/>
          <w:sz w:val="20"/>
        </w:rPr>
        <w:t>Loan Exposure”</w:t>
      </w:r>
      <w:r>
        <w:rPr>
          <w:rFonts w:ascii="Times New Roman" w:hAnsi="Times New Roman"/>
          <w:sz w:val="20"/>
        </w:rPr>
        <w:t xml:space="preserve"> </w:t>
      </w:r>
      <w:r>
        <w:rPr>
          <w:rFonts w:ascii="Times New Roman;serif" w:hAnsi="Times New Roman;serif"/>
          <w:b w:val="false"/>
          <w:sz w:val="20"/>
        </w:rPr>
        <w:t xml:space="preserve">means, with respect to any Lender, as of any date of determination, the outstanding principal amount of such Lender’s portion of the Term Loans;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at any time prior to the making of the Term Loans, the Loan Exposure of any Lender shall be equal to such Lender’s Commitment.</w:t>
      </w:r>
    </w:p>
    <w:p>
      <w:pPr>
        <w:pStyle w:val="TextBody"/>
        <w:bidi w:val="0"/>
        <w:spacing w:before="280" w:after="0"/>
        <w:jc w:val="both"/>
        <w:rPr/>
      </w:pPr>
      <w:r>
        <w:rPr/>
        <w:t>“</w:t>
      </w:r>
      <w:r>
        <w:rPr>
          <w:rFonts w:ascii="Times New Roman;serif" w:hAnsi="Times New Roman;serif"/>
          <w:b w:val="false"/>
          <w:i/>
          <w:sz w:val="20"/>
        </w:rPr>
        <w:t>Loss”</w:t>
      </w:r>
      <w:r>
        <w:rPr>
          <w:rFonts w:ascii="Times New Roman" w:hAnsi="Times New Roman"/>
          <w:sz w:val="20"/>
        </w:rPr>
        <w:t xml:space="preserve"> </w:t>
      </w:r>
      <w:r>
        <w:rPr>
          <w:rFonts w:ascii="Times New Roman;serif" w:hAnsi="Times New Roman;serif"/>
          <w:b w:val="false"/>
          <w:sz w:val="20"/>
        </w:rPr>
        <w:t>means judgments, debts, liabilities, expenses, costs, damages or losses, contingent or otherwise, whether liquidated or unliquidated, matured or unmatured, disputed or undisputed, contractual, legal or equitable, including loss of value, reasonable professional fees, including the reasonable and documented out-of-pocket fees and disbursements of legal counsel on a full indemnity basis, and all reasonable costs incurred in investigating or pursuing any Claim or any proceeding relating to any Claim.</w:t>
      </w:r>
    </w:p>
    <w:p>
      <w:pPr>
        <w:pStyle w:val="TextBody"/>
        <w:bidi w:val="0"/>
        <w:spacing w:before="280" w:after="0"/>
        <w:jc w:val="both"/>
        <w:rPr/>
      </w:pPr>
      <w:r>
        <w:rPr/>
        <w:t>“</w:t>
      </w:r>
      <w:r>
        <w:rPr>
          <w:rFonts w:ascii="Times New Roman;serif" w:hAnsi="Times New Roman;serif"/>
          <w:b w:val="false"/>
          <w:i/>
          <w:sz w:val="20"/>
        </w:rPr>
        <w:t>Majority Lenders”</w:t>
      </w:r>
      <w:r>
        <w:rPr>
          <w:rFonts w:ascii="Times New Roman" w:hAnsi="Times New Roman"/>
          <w:sz w:val="20"/>
        </w:rPr>
        <w:t xml:space="preserve"> </w:t>
      </w:r>
      <w:r>
        <w:rPr>
          <w:rFonts w:ascii="Times New Roman;serif" w:hAnsi="Times New Roman;serif"/>
          <w:b w:val="false"/>
          <w:sz w:val="20"/>
        </w:rPr>
        <w:t>means, at any time, one or more Lenders having or holding Loan Exposure and representing more than 50% of the aggregate Loan Exposure of all Lenders.</w:t>
      </w:r>
    </w:p>
    <w:p>
      <w:pPr>
        <w:pStyle w:val="TextBody"/>
        <w:bidi w:val="0"/>
        <w:spacing w:before="280" w:after="0"/>
        <w:jc w:val="both"/>
        <w:rPr/>
      </w:pPr>
      <w:r>
        <w:rPr/>
        <w:t>“</w:t>
      </w:r>
      <w:r>
        <w:rPr>
          <w:rFonts w:ascii="Times New Roman;serif" w:hAnsi="Times New Roman;serif"/>
          <w:b w:val="false"/>
          <w:i/>
          <w:sz w:val="20"/>
        </w:rPr>
        <w:t>Margin Stock”</w:t>
      </w:r>
      <w:r>
        <w:rPr>
          <w:rFonts w:ascii="Times New Roman" w:hAnsi="Times New Roman"/>
          <w:sz w:val="20"/>
        </w:rPr>
        <w:t xml:space="preserve"> </w:t>
      </w:r>
      <w:r>
        <w:rPr>
          <w:rFonts w:ascii="Times New Roman;serif" w:hAnsi="Times New Roman;serif"/>
          <w:b w:val="false"/>
          <w:sz w:val="20"/>
        </w:rPr>
        <w:t>means “margin stock” within the meaning of Regulations U and X.</w:t>
      </w:r>
    </w:p>
    <w:p>
      <w:pPr>
        <w:pStyle w:val="TextBody"/>
        <w:bidi w:val="0"/>
        <w:spacing w:before="280" w:after="0"/>
        <w:jc w:val="both"/>
        <w:rPr/>
      </w:pPr>
      <w:r>
        <w:rPr/>
        <w:t>“</w:t>
      </w:r>
      <w:r>
        <w:rPr>
          <w:rFonts w:ascii="Times New Roman;serif" w:hAnsi="Times New Roman;serif"/>
          <w:b w:val="false"/>
          <w:i/>
          <w:sz w:val="20"/>
        </w:rPr>
        <w:t>Material Adverse Change”</w:t>
      </w:r>
      <w:r>
        <w:rPr>
          <w:rFonts w:ascii="Times New Roman" w:hAnsi="Times New Roman"/>
          <w:sz w:val="20"/>
        </w:rPr>
        <w:t xml:space="preserve"> </w:t>
      </w:r>
      <w:r>
        <w:rPr>
          <w:rFonts w:ascii="Times New Roman;serif" w:hAnsi="Times New Roman;serif"/>
          <w:b w:val="false"/>
          <w:sz w:val="20"/>
        </w:rPr>
        <w:t xml:space="preserve">and </w:t>
      </w:r>
      <w:r>
        <w:rPr>
          <w:rFonts w:ascii="Times New Roman" w:hAnsi="Times New Roman"/>
          <w:sz w:val="20"/>
        </w:rPr>
        <w:t>“</w:t>
      </w:r>
      <w:r>
        <w:rPr>
          <w:rFonts w:ascii="Times New Roman;serif" w:hAnsi="Times New Roman;serif"/>
          <w:b w:val="false"/>
          <w:i/>
          <w:sz w:val="20"/>
        </w:rPr>
        <w:t>Material Adverse Effect”</w:t>
      </w:r>
      <w:r>
        <w:rPr>
          <w:rFonts w:ascii="Times New Roman" w:hAnsi="Times New Roman"/>
          <w:sz w:val="20"/>
        </w:rPr>
        <w:t xml:space="preserve"> </w:t>
      </w:r>
      <w:r>
        <w:rPr>
          <w:rFonts w:ascii="Times New Roman;serif" w:hAnsi="Times New Roman;serif"/>
          <w:b w:val="false"/>
          <w:sz w:val="20"/>
        </w:rPr>
        <w:t>means (a) a material adverse change in, or a material adverse effect on, the operations, business, properties, liabilities (actual or contingent) or condition (financial or otherwise) of the Borrower and its Subsidiaries taken as a whole; or (b) a material adverse effect on (i) the ability of the Borrower to perform its Obligations when they become due, (ii) the legality, validity, binding effect or enforceability against the Borrower of any Loan Document to which it is a party or (iii) the rights, remedies and benefits available to, or conferred upon, the Administrative Agent or any Lender under any Loan Document.</w:t>
      </w:r>
    </w:p>
    <w:p>
      <w:pPr>
        <w:pStyle w:val="TextBody"/>
        <w:bidi w:val="0"/>
        <w:spacing w:before="280" w:after="0"/>
        <w:jc w:val="both"/>
        <w:rPr/>
      </w:pPr>
      <w:r>
        <w:rPr/>
        <w:t>“</w:t>
      </w:r>
      <w:r>
        <w:rPr>
          <w:rFonts w:ascii="Times New Roman;serif" w:hAnsi="Times New Roman;serif"/>
          <w:b w:val="false"/>
          <w:i/>
          <w:sz w:val="20"/>
        </w:rPr>
        <w:t>Material Agreement”</w:t>
      </w:r>
      <w:r>
        <w:rPr>
          <w:rFonts w:ascii="Times New Roman" w:hAnsi="Times New Roman"/>
          <w:sz w:val="20"/>
        </w:rPr>
        <w:t xml:space="preserve"> </w:t>
      </w:r>
      <w:r>
        <w:rPr>
          <w:rFonts w:ascii="Times New Roman;serif" w:hAnsi="Times New Roman;serif"/>
          <w:b w:val="false"/>
          <w:sz w:val="20"/>
        </w:rPr>
        <w:t xml:space="preserve">means (a) any Contract which is listed in Schedule 7.14, (b) any other Contract to which any Obligor is a party or a beneficiary from time to time, or to which any assets or properties of any Obligor is bound, the loss or termination of which would reasonably be expected to result in a Material Adverse Effect, (c) the Indi Purchase Agreement and (d) any other Contract to which any Obligor is a party or a guarantor (or equivalent) whether existing as of the date hereof or in the future that during any period of twelve (12) consecutive months is reasonably expected to (i) result in payments or receipts (including royalty, licensing or similar payments) made to any Obligor in an aggregate amount in excess of $2,000,000 or (ii) require payments or expenditures (including royalty, licensing or similar payments) made by any Obligor in an aggregate amount in excess of $2,000,000;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 for the avoidance of doubt routine purchase orders entered into in the Ordinary Course of Business shall not be deemed to be Material Agreements.</w:t>
      </w:r>
    </w:p>
    <w:p>
      <w:pPr>
        <w:pStyle w:val="TextBody"/>
        <w:bidi w:val="0"/>
        <w:spacing w:before="280" w:after="0"/>
        <w:jc w:val="both"/>
        <w:rPr/>
      </w:pPr>
      <w:r>
        <w:rPr/>
        <w:t>“</w:t>
      </w:r>
      <w:r>
        <w:rPr>
          <w:rFonts w:ascii="Times New Roman;serif" w:hAnsi="Times New Roman;serif"/>
          <w:b w:val="false"/>
          <w:i/>
          <w:sz w:val="20"/>
        </w:rPr>
        <w:t>Material Indebtedness”</w:t>
      </w:r>
      <w:r>
        <w:rPr>
          <w:rFonts w:ascii="Times New Roman" w:hAnsi="Times New Roman"/>
          <w:sz w:val="20"/>
        </w:rPr>
        <w:t xml:space="preserve"> </w:t>
      </w:r>
      <w:r>
        <w:rPr>
          <w:rFonts w:ascii="Times New Roman;serif" w:hAnsi="Times New Roman;serif"/>
          <w:b w:val="false"/>
          <w:sz w:val="20"/>
        </w:rPr>
        <w:t>means, at any time, any Indebtedness of any Obligor, the outstanding principal amount of which, individually or in the aggregate, exceeds $500,000.</w:t>
      </w:r>
    </w:p>
    <w:p>
      <w:pPr>
        <w:pStyle w:val="TextBody"/>
        <w:bidi w:val="0"/>
        <w:spacing w:before="280" w:after="0"/>
        <w:jc w:val="both"/>
        <w:rPr/>
      </w:pPr>
      <w:r>
        <w:rPr/>
        <w:t>“</w:t>
      </w:r>
      <w:r>
        <w:rPr>
          <w:rFonts w:ascii="Times New Roman;serif" w:hAnsi="Times New Roman;serif"/>
          <w:b w:val="false"/>
          <w:i/>
          <w:sz w:val="20"/>
        </w:rPr>
        <w:t>Material Intellectual Property”</w:t>
      </w:r>
      <w:r>
        <w:rPr>
          <w:rFonts w:ascii="Times New Roman" w:hAnsi="Times New Roman"/>
          <w:sz w:val="20"/>
        </w:rPr>
        <w:t xml:space="preserve"> </w:t>
      </w:r>
      <w:r>
        <w:rPr>
          <w:rFonts w:ascii="Times New Roman;serif" w:hAnsi="Times New Roman;serif"/>
          <w:b w:val="false"/>
          <w:sz w:val="20"/>
        </w:rPr>
        <w:t>means all Obligor Intellectual Property, including those described in Schedule 7.05(b), whether currently owned or licensed, or acquired, developed or otherwise licensed or obtained after the date hereof (a) necessary for the operation of the business of any Obligor as currently conducted or as currently contemplated to be conducted, (b) the loss of which would reasonably be expected to have or result in a Material Adverse Effect or (c) that has a fair market value in excess of $1,000,000 (as such fair market value is determined in the reasonable judgment of the Obligors).</w:t>
      </w:r>
    </w:p>
    <w:p>
      <w:pPr>
        <w:pStyle w:val="TextBody"/>
        <w:bidi w:val="0"/>
        <w:spacing w:before="280" w:after="0"/>
        <w:jc w:val="both"/>
        <w:rPr/>
      </w:pPr>
      <w:r>
        <w:rPr/>
        <w:t>“</w:t>
      </w:r>
      <w:r>
        <w:rPr>
          <w:rFonts w:ascii="Times New Roman;serif" w:hAnsi="Times New Roman;serif"/>
          <w:b w:val="false"/>
          <w:i/>
          <w:sz w:val="20"/>
        </w:rPr>
        <w:t>Maturity Date”</w:t>
      </w:r>
      <w:r>
        <w:rPr>
          <w:rFonts w:ascii="Times New Roman" w:hAnsi="Times New Roman"/>
          <w:sz w:val="20"/>
        </w:rPr>
        <w:t xml:space="preserve"> </w:t>
      </w:r>
      <w:r>
        <w:rPr>
          <w:rFonts w:ascii="Times New Roman;serif" w:hAnsi="Times New Roman;serif"/>
          <w:b w:val="false"/>
          <w:sz w:val="20"/>
        </w:rPr>
        <w:t>means the earlier to occur of (a) the Stated Maturity Date, and (b) the date on which the Term Loans are accelerated pursuant to Section 10.02.</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pPr>
      <w:r>
        <w:rPr/>
        <w:t>“</w:t>
      </w:r>
      <w:r>
        <w:rPr>
          <w:rFonts w:ascii="Times New Roman;serif" w:hAnsi="Times New Roman;serif"/>
          <w:b w:val="false"/>
          <w:i/>
          <w:sz w:val="20"/>
        </w:rPr>
        <w:t>Milestone Payment</w:t>
      </w:r>
      <w:r>
        <w:rPr>
          <w:rFonts w:ascii="Times New Roman" w:hAnsi="Times New Roman"/>
          <w:sz w:val="20"/>
        </w:rPr>
        <w:t xml:space="preserve">” </w:t>
      </w:r>
      <w:r>
        <w:rPr>
          <w:rFonts w:ascii="Times New Roman;serif" w:hAnsi="Times New Roman;serif"/>
          <w:b w:val="false"/>
          <w:sz w:val="20"/>
        </w:rPr>
        <w:t>has the meaning assigned to such term in Section 1.9 of the Indi Purchase Agreement as in effect on the Closing Date.</w:t>
      </w:r>
      <w:r>
        <w:rPr>
          <w:rFonts w:ascii="Times New Roman" w:hAnsi="Times New Roman"/>
          <w:sz w:val="20"/>
        </w:rPr>
        <w:t xml:space="preserve"> </w:t>
      </w:r>
    </w:p>
    <w:p>
      <w:pPr>
        <w:pStyle w:val="TextBody"/>
        <w:bidi w:val="0"/>
        <w:spacing w:before="280" w:after="0"/>
        <w:jc w:val="both"/>
        <w:rPr/>
      </w:pPr>
      <w:r>
        <w:rPr/>
        <w:t>“</w:t>
      </w:r>
      <w:r>
        <w:rPr>
          <w:rFonts w:ascii="Times New Roman;serif" w:hAnsi="Times New Roman;serif"/>
          <w:b w:val="false"/>
          <w:i/>
          <w:sz w:val="20"/>
        </w:rPr>
        <w:t>Multiemployer Plan”</w:t>
      </w:r>
      <w:r>
        <w:rPr>
          <w:rFonts w:ascii="Times New Roman" w:hAnsi="Times New Roman"/>
          <w:sz w:val="20"/>
        </w:rPr>
        <w:t xml:space="preserve"> </w:t>
      </w:r>
      <w:r>
        <w:rPr>
          <w:rFonts w:ascii="Times New Roman;serif" w:hAnsi="Times New Roman;serif"/>
          <w:b w:val="false"/>
          <w:sz w:val="20"/>
        </w:rPr>
        <w:t>means any “multiemployer plan” as defined in Section 400l(a)(3) of ERISA, with respect to which any Obligor incurs, or otherwise has, any obligation or liability, contingent or otherwise (including on account of an ERISA Affiliate).</w:t>
      </w:r>
    </w:p>
    <w:p>
      <w:pPr>
        <w:pStyle w:val="TextBody"/>
        <w:bidi w:val="0"/>
        <w:spacing w:before="280" w:after="0"/>
        <w:jc w:val="both"/>
        <w:rPr/>
      </w:pPr>
      <w:r>
        <w:rPr/>
        <w:t>“</w:t>
      </w:r>
      <w:r>
        <w:rPr>
          <w:rFonts w:ascii="Times New Roman;serif" w:hAnsi="Times New Roman;serif"/>
          <w:b w:val="false"/>
          <w:i/>
          <w:sz w:val="20"/>
        </w:rPr>
        <w:t>Net Cash Proceeds”</w:t>
      </w:r>
      <w:r>
        <w:rPr>
          <w:rFonts w:ascii="Times New Roman" w:hAnsi="Times New Roman"/>
          <w:sz w:val="20"/>
        </w:rPr>
        <w:t xml:space="preserve"> </w:t>
      </w:r>
      <w:r>
        <w:rPr>
          <w:rFonts w:ascii="Times New Roman;serif" w:hAnsi="Times New Roman;serif"/>
          <w:b w:val="false"/>
          <w:sz w:val="20"/>
        </w:rPr>
        <w:t>means,</w:t>
      </w:r>
    </w:p>
    <w:p>
      <w:pPr>
        <w:pStyle w:val="TextBody"/>
        <w:bidi w:val="0"/>
        <w:spacing w:before="280" w:after="0"/>
        <w:jc w:val="both"/>
        <w:rPr>
          <w:rFonts w:ascii="Times New Roman" w:hAnsi="Times New Roman"/>
          <w:sz w:val="20"/>
        </w:rPr>
      </w:pPr>
      <w:r>
        <w:rPr>
          <w:rFonts w:ascii="Times New Roman;serif" w:hAnsi="Times New Roman;serif"/>
          <w:b w:val="false"/>
          <w:sz w:val="20"/>
        </w:rPr>
        <w:t>(a) with respect to the incurrence or issuance of any Indebtedness incurred by an Obligor not permitted under Section 9.01, the excess, if any, of (i) the sum of the cash received in connection with such incurrence or issuance over (ii) the investment banking fees, underwriting discounts, commissions, costs and other reasonable expenses and other customary expenses (including reasonable attorney’s accountant’s and other similar professional advisor’s fees), incurred by such obligor in connection with such incurrence or issuance to third parties (other than any other Obligor or any of their respective Affiliates);</w:t>
      </w:r>
      <w:r>
        <w:rPr>
          <w:rFonts w:ascii="Times New Roman" w:hAnsi="Times New Roman"/>
          <w:sz w:val="20"/>
        </w:rPr>
        <w:t xml:space="preserve">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(b) with respect to any Casualty Event, the amount of cash proceeds actually received in the form of insurance proceeds or condemnation awards in respect of such Casualty Event from time to time by or on behalf of such Obligor after deducting therefrom only (i) actual costs and expenses related thereto incurred by such Obligor and (ii) Taxes paid or payable in each case, in connection therewith or as a result thereof; and</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(c) with respect to any Asset Sale (other than transfers or sales of assets permitted pursuant to Section 9.09 (other than 9.09(i)), the excess, if any, of (i) cash proceeds received in respect of such Asset Sale (including cash proceeds subsequently received (as and when received)) over (ii) the sum of (A) the direct costs of such Asset Sale then payable by the recipient of such proceeds excluding amounts payable to any Obligor or any of its Subsidiaries, (B) Taxes paid or payable by such recipient in connection therewith or as a result thereof, (C) amounts required to be applied to repay principal, interest and prepayment premiums and penalties on Indebtedness secured by a Permitted Lien on the properties subject to such Asset Sale and (D) amounts reserved or deposited in escrow with respect to indemnity payments or price adjustments until such amounts are released to the applicable Obligor or any of its Subsidiaries.</w:t>
      </w:r>
    </w:p>
    <w:p>
      <w:pPr>
        <w:pStyle w:val="TextBody"/>
        <w:bidi w:val="0"/>
        <w:spacing w:before="280" w:after="0"/>
        <w:jc w:val="both"/>
        <w:rPr/>
      </w:pPr>
      <w:r>
        <w:rPr/>
        <w:t>“</w:t>
      </w:r>
      <w:r>
        <w:rPr>
          <w:rFonts w:ascii="Times New Roman;serif" w:hAnsi="Times New Roman;serif"/>
          <w:b w:val="false"/>
          <w:i/>
          <w:sz w:val="20"/>
        </w:rPr>
        <w:t>Net Revenue”</w:t>
      </w:r>
      <w:r>
        <w:rPr>
          <w:rFonts w:ascii="Times New Roman" w:hAnsi="Times New Roman"/>
          <w:sz w:val="20"/>
        </w:rPr>
        <w:t xml:space="preserve"> </w:t>
      </w:r>
      <w:r>
        <w:rPr>
          <w:rFonts w:ascii="Times New Roman;serif" w:hAnsi="Times New Roman;serif"/>
          <w:b w:val="false"/>
          <w:sz w:val="20"/>
        </w:rPr>
        <w:t>means, with respect to the Obligors, all amounts paid to and received by such Person in the Ordinary Course of Business that, in accordance with GAAP, would be classified as net revenue.</w:t>
      </w:r>
    </w:p>
    <w:p>
      <w:pPr>
        <w:pStyle w:val="TextBody"/>
        <w:bidi w:val="0"/>
        <w:spacing w:before="280" w:after="0"/>
        <w:jc w:val="both"/>
        <w:rPr/>
      </w:pPr>
      <w:r>
        <w:rPr/>
        <w:t>“</w:t>
      </w:r>
      <w:r>
        <w:rPr>
          <w:rFonts w:ascii="Times New Roman;serif" w:hAnsi="Times New Roman;serif"/>
          <w:b w:val="false"/>
          <w:i/>
          <w:sz w:val="20"/>
        </w:rPr>
        <w:t>Note”</w:t>
      </w:r>
      <w:r>
        <w:rPr>
          <w:rFonts w:ascii="Times New Roman" w:hAnsi="Times New Roman"/>
          <w:sz w:val="20"/>
        </w:rPr>
        <w:t xml:space="preserve"> </w:t>
      </w:r>
      <w:r>
        <w:rPr>
          <w:rFonts w:ascii="Times New Roman;serif" w:hAnsi="Times New Roman;serif"/>
          <w:b w:val="false"/>
          <w:sz w:val="20"/>
        </w:rPr>
        <w:t>means a promissory note executed and delivered by the Borrower to any Lender in the form attached hereto as Exhibit C.</w:t>
      </w:r>
    </w:p>
    <w:p>
      <w:pPr>
        <w:pStyle w:val="TextBody"/>
        <w:bidi w:val="0"/>
        <w:spacing w:before="280" w:after="0"/>
        <w:jc w:val="both"/>
        <w:rPr/>
      </w:pPr>
      <w:r>
        <w:rPr/>
        <w:t>“</w:t>
      </w:r>
      <w:r>
        <w:rPr>
          <w:rFonts w:ascii="Times New Roman;serif" w:hAnsi="Times New Roman;serif"/>
          <w:b w:val="false"/>
          <w:i/>
          <w:sz w:val="20"/>
        </w:rPr>
        <w:t>Obligations”</w:t>
      </w:r>
      <w:r>
        <w:rPr>
          <w:rFonts w:ascii="Times New Roman" w:hAnsi="Times New Roman"/>
          <w:sz w:val="20"/>
        </w:rPr>
        <w:t xml:space="preserve"> </w:t>
      </w:r>
      <w:r>
        <w:rPr>
          <w:rFonts w:ascii="Times New Roman;serif" w:hAnsi="Times New Roman;serif"/>
          <w:b w:val="false"/>
          <w:sz w:val="20"/>
        </w:rPr>
        <w:t>means, with respect to any Obligor, all amounts, obligations (including, without limitation, all Warrant Obligations), liabilities, covenants and duties of every type and description owing by such Obligor to any Lender or any other Indemnified Party hereunder, arising out of, under, or in connection with, any Loan Document, whether direct or indirect (regardless of whether acquired by assignment), absolute or contingent, due or to become due, whether liquidated or not, now existing or hereafter arising and however acquired, and whether or not evidenced by any instrument for the payment of money, including, without duplication, (a) the principal amount of the Term Loans, (b) all interest on the Term Loans (including interest at the Default Rate), whether or not accruing after the filing of any petition in bankruptcy or after the commencement of any insolvency, reorganization or similar proceeding, and whether or not a Claim for post</w:t>
        <w:noBreakHyphen/>
        <w:t>filing or post</w:t>
        <w:noBreakHyphen/>
        <w:t>petition interest is allowed in any such proceeding, (c) any Prepayment Premium and (d) all other fees, expenses (including fees, charges and disbursement of counsel),</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interest, commissions, charges, costs, disbursements, indemnities and reimbursement of amounts paid and other sums chargeable to such Obligor under any Loan Document.</w:t>
      </w:r>
    </w:p>
    <w:p>
      <w:pPr>
        <w:pStyle w:val="TextBody"/>
        <w:bidi w:val="0"/>
        <w:spacing w:before="280" w:after="0"/>
        <w:jc w:val="both"/>
        <w:rPr/>
      </w:pPr>
      <w:r>
        <w:rPr/>
        <w:t>“</w:t>
      </w:r>
      <w:r>
        <w:rPr>
          <w:rFonts w:ascii="Times New Roman;serif" w:hAnsi="Times New Roman;serif"/>
          <w:b w:val="false"/>
          <w:i/>
          <w:sz w:val="20"/>
        </w:rPr>
        <w:t>Obligor Intellectual Property”</w:t>
      </w:r>
      <w:r>
        <w:rPr>
          <w:rFonts w:ascii="Times New Roman" w:hAnsi="Times New Roman"/>
          <w:sz w:val="20"/>
        </w:rPr>
        <w:t xml:space="preserve"> </w:t>
      </w:r>
      <w:r>
        <w:rPr>
          <w:rFonts w:ascii="Times New Roman;serif" w:hAnsi="Times New Roman;serif"/>
          <w:b w:val="false"/>
          <w:sz w:val="20"/>
        </w:rPr>
        <w:t>means, at any time of determination, Intellectual Property owned by or licensed to any Obligor at such time.</w:t>
      </w:r>
    </w:p>
    <w:p>
      <w:pPr>
        <w:pStyle w:val="TextBody"/>
        <w:bidi w:val="0"/>
        <w:spacing w:before="280" w:after="0"/>
        <w:jc w:val="both"/>
        <w:rPr/>
      </w:pPr>
      <w:r>
        <w:rPr/>
        <w:t>“</w:t>
      </w:r>
      <w:r>
        <w:rPr>
          <w:rFonts w:ascii="Times New Roman;serif" w:hAnsi="Times New Roman;serif"/>
          <w:b w:val="false"/>
          <w:i/>
          <w:sz w:val="20"/>
        </w:rPr>
        <w:t>Obligors”</w:t>
      </w:r>
      <w:r>
        <w:rPr>
          <w:rFonts w:ascii="Times New Roman" w:hAnsi="Times New Roman"/>
          <w:sz w:val="20"/>
        </w:rPr>
        <w:t xml:space="preserve"> </w:t>
      </w:r>
      <w:r>
        <w:rPr>
          <w:rFonts w:ascii="Times New Roman;serif" w:hAnsi="Times New Roman;serif"/>
          <w:b w:val="false"/>
          <w:sz w:val="20"/>
        </w:rPr>
        <w:t>means, collectively, the Borrower, each Guarantor and each of their respective successors and permitted assigns.</w:t>
      </w:r>
    </w:p>
    <w:p>
      <w:pPr>
        <w:pStyle w:val="TextBody"/>
        <w:bidi w:val="0"/>
        <w:spacing w:before="280" w:after="0"/>
        <w:jc w:val="both"/>
        <w:rPr/>
      </w:pPr>
      <w:r>
        <w:rPr/>
        <w:t>“</w:t>
      </w:r>
      <w:r>
        <w:rPr>
          <w:rFonts w:ascii="Times New Roman;serif" w:hAnsi="Times New Roman;serif"/>
          <w:b w:val="false"/>
          <w:i/>
          <w:sz w:val="20"/>
        </w:rPr>
        <w:t>OFAC”</w:t>
      </w:r>
      <w:r>
        <w:rPr>
          <w:rFonts w:ascii="Times New Roman" w:hAnsi="Times New Roman"/>
          <w:sz w:val="20"/>
        </w:rPr>
        <w:t xml:space="preserve"> </w:t>
      </w:r>
      <w:r>
        <w:rPr>
          <w:rFonts w:ascii="Times New Roman;serif" w:hAnsi="Times New Roman;serif"/>
          <w:b w:val="false"/>
          <w:sz w:val="20"/>
        </w:rPr>
        <w:t>means the Office of Foreign Assets Control of the U.S. Department of the Treasury (or any successor thereto).</w:t>
      </w:r>
    </w:p>
    <w:p>
      <w:pPr>
        <w:pStyle w:val="TextBody"/>
        <w:bidi w:val="0"/>
        <w:spacing w:before="280" w:after="0"/>
        <w:jc w:val="both"/>
        <w:rPr/>
      </w:pPr>
      <w:r>
        <w:rPr/>
        <w:t>“</w:t>
      </w:r>
      <w:r>
        <w:rPr>
          <w:rFonts w:ascii="Times New Roman;serif" w:hAnsi="Times New Roman;serif"/>
          <w:b w:val="false"/>
          <w:i/>
          <w:sz w:val="20"/>
        </w:rPr>
        <w:t>Ordinary Course of Business”</w:t>
      </w:r>
      <w:r>
        <w:rPr>
          <w:rFonts w:ascii="Times New Roman" w:hAnsi="Times New Roman"/>
          <w:sz w:val="20"/>
        </w:rPr>
        <w:t xml:space="preserve"> </w:t>
      </w:r>
      <w:r>
        <w:rPr>
          <w:rFonts w:ascii="Times New Roman;serif" w:hAnsi="Times New Roman;serif"/>
          <w:b w:val="false"/>
          <w:sz w:val="20"/>
        </w:rPr>
        <w:t>means, with respect to the Obligors, the ordinary course of business generally consistent with past custom and practice (including with respect to nature, scope, magnitude, quantity and frequency).</w:t>
      </w:r>
    </w:p>
    <w:p>
      <w:pPr>
        <w:pStyle w:val="TextBody"/>
        <w:bidi w:val="0"/>
        <w:spacing w:before="280" w:after="0"/>
        <w:jc w:val="both"/>
        <w:rPr/>
      </w:pPr>
      <w:r>
        <w:rPr/>
        <w:t>“</w:t>
      </w:r>
      <w:r>
        <w:rPr>
          <w:rFonts w:ascii="Times New Roman;serif" w:hAnsi="Times New Roman;serif"/>
          <w:b w:val="false"/>
          <w:i/>
          <w:sz w:val="20"/>
        </w:rPr>
        <w:t>Organizational Documents”</w:t>
      </w:r>
      <w:r>
        <w:rPr>
          <w:rFonts w:ascii="Times New Roman" w:hAnsi="Times New Roman"/>
          <w:sz w:val="20"/>
        </w:rPr>
        <w:t xml:space="preserve"> </w:t>
      </w:r>
      <w:r>
        <w:rPr>
          <w:rFonts w:ascii="Times New Roman;serif" w:hAnsi="Times New Roman;serif"/>
          <w:b w:val="false"/>
          <w:sz w:val="20"/>
        </w:rPr>
        <w:t>means (a) with respect to any corporation, its certificate or articles of incorporation or organization, as amended, and its bylaws, as amended, (b) with respect to any limited partnership, its certificate of limited partnership, as amended, and its partnership agreement, as amended, (c) with respect to any general partnership, its partnership agreement, as amended, and (d) with respect to any limited liability company, its certificate of formation or articles of organization, as amended, and its operating agreement, as amended. In the event any term or condition of this Agreement or any other Loan Document requires any Organizational Document to be certified by a secretary of state or similar government official, the reference to any such “Organizational Document” shall only be to a document of a type customarily certified by such government official.</w:t>
      </w:r>
    </w:p>
    <w:p>
      <w:pPr>
        <w:pStyle w:val="TextBody"/>
        <w:bidi w:val="0"/>
        <w:spacing w:before="280" w:after="0"/>
        <w:jc w:val="both"/>
        <w:rPr/>
      </w:pPr>
      <w:r>
        <w:rPr/>
        <w:t>“</w:t>
      </w:r>
      <w:r>
        <w:rPr>
          <w:rFonts w:ascii="Times New Roman;serif" w:hAnsi="Times New Roman;serif"/>
          <w:b w:val="false"/>
          <w:i/>
          <w:sz w:val="20"/>
        </w:rPr>
        <w:t>Other Connection Taxes”</w:t>
      </w:r>
      <w:r>
        <w:rPr>
          <w:rFonts w:ascii="Times New Roman" w:hAnsi="Times New Roman"/>
          <w:sz w:val="20"/>
        </w:rPr>
        <w:t xml:space="preserve"> </w:t>
      </w:r>
      <w:r>
        <w:rPr>
          <w:rFonts w:ascii="Times New Roman;serif" w:hAnsi="Times New Roman;serif"/>
          <w:b w:val="false"/>
          <w:sz w:val="20"/>
        </w:rPr>
        <w:t>means, with respect to any Recipient, Taxes imposed as a result of a present or former connection between such Recipient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Term Loan or Loan Document).</w:t>
      </w:r>
    </w:p>
    <w:p>
      <w:pPr>
        <w:pStyle w:val="TextBody"/>
        <w:bidi w:val="0"/>
        <w:spacing w:before="280" w:after="0"/>
        <w:jc w:val="both"/>
        <w:rPr/>
      </w:pPr>
      <w:r>
        <w:rPr/>
        <w:t>“</w:t>
      </w:r>
      <w:r>
        <w:rPr>
          <w:rFonts w:ascii="Times New Roman;serif" w:hAnsi="Times New Roman;serif"/>
          <w:b w:val="false"/>
          <w:i/>
          <w:sz w:val="20"/>
        </w:rPr>
        <w:t>Other Taxes”</w:t>
      </w:r>
      <w:r>
        <w:rPr>
          <w:rFonts w:ascii="Times New Roman" w:hAnsi="Times New Roman"/>
          <w:sz w:val="20"/>
        </w:rPr>
        <w:t xml:space="preserve"> </w:t>
      </w:r>
      <w:r>
        <w:rPr>
          <w:rFonts w:ascii="Times New Roman;serif" w:hAnsi="Times New Roman;serif"/>
          <w:b w:val="false"/>
          <w:sz w:val="20"/>
        </w:rPr>
        <w:t>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5.03(h)).</w:t>
      </w:r>
    </w:p>
    <w:p>
      <w:pPr>
        <w:pStyle w:val="TextBody"/>
        <w:bidi w:val="0"/>
        <w:spacing w:before="280" w:after="0"/>
        <w:jc w:val="both"/>
        <w:rPr/>
      </w:pPr>
      <w:r>
        <w:rPr/>
        <w:t>“</w:t>
      </w:r>
      <w:r>
        <w:rPr>
          <w:rFonts w:ascii="Times New Roman;serif" w:hAnsi="Times New Roman;serif"/>
          <w:b w:val="false"/>
          <w:i/>
          <w:sz w:val="20"/>
        </w:rPr>
        <w:t>Participant”</w:t>
      </w:r>
      <w:r>
        <w:rPr>
          <w:rFonts w:ascii="Times New Roman" w:hAnsi="Times New Roman"/>
          <w:sz w:val="20"/>
        </w:rPr>
        <w:t xml:space="preserve"> </w:t>
      </w:r>
      <w:r>
        <w:rPr>
          <w:rFonts w:ascii="Times New Roman;serif" w:hAnsi="Times New Roman;serif"/>
          <w:b w:val="false"/>
          <w:sz w:val="20"/>
        </w:rPr>
        <w:t>has the meaning set forth in Section 13.05(e).</w:t>
      </w:r>
    </w:p>
    <w:p>
      <w:pPr>
        <w:pStyle w:val="TextBody"/>
        <w:bidi w:val="0"/>
        <w:spacing w:before="280" w:after="0"/>
        <w:jc w:val="both"/>
        <w:rPr/>
      </w:pPr>
      <w:r>
        <w:rPr/>
        <w:t>“</w:t>
      </w:r>
      <w:r>
        <w:rPr>
          <w:rFonts w:ascii="Times New Roman;serif" w:hAnsi="Times New Roman;serif"/>
          <w:b w:val="false"/>
          <w:i/>
          <w:sz w:val="20"/>
        </w:rPr>
        <w:t>Participant Register”</w:t>
      </w:r>
      <w:r>
        <w:rPr>
          <w:rFonts w:ascii="Times New Roman" w:hAnsi="Times New Roman"/>
          <w:sz w:val="20"/>
        </w:rPr>
        <w:t xml:space="preserve"> </w:t>
      </w:r>
      <w:r>
        <w:rPr>
          <w:rFonts w:ascii="Times New Roman;serif" w:hAnsi="Times New Roman;serif"/>
          <w:b w:val="false"/>
          <w:sz w:val="20"/>
        </w:rPr>
        <w:t>has the meaning set forth in Section 13.05(f).</w:t>
      </w:r>
    </w:p>
    <w:p>
      <w:pPr>
        <w:pStyle w:val="TextBody"/>
        <w:bidi w:val="0"/>
        <w:spacing w:before="280" w:after="0"/>
        <w:jc w:val="both"/>
        <w:rPr/>
      </w:pPr>
      <w:r>
        <w:rPr/>
        <w:t>“</w:t>
      </w:r>
      <w:r>
        <w:rPr>
          <w:rFonts w:ascii="Times New Roman;serif" w:hAnsi="Times New Roman;serif"/>
          <w:b w:val="false"/>
          <w:i/>
          <w:sz w:val="20"/>
        </w:rPr>
        <w:t>Patents”</w:t>
      </w:r>
      <w:r>
        <w:rPr>
          <w:rFonts w:ascii="Times New Roman" w:hAnsi="Times New Roman"/>
          <w:sz w:val="20"/>
        </w:rPr>
        <w:t xml:space="preserve"> </w:t>
      </w:r>
      <w:r>
        <w:rPr>
          <w:rFonts w:ascii="Times New Roman;serif" w:hAnsi="Times New Roman;serif"/>
          <w:b w:val="false"/>
          <w:sz w:val="20"/>
        </w:rPr>
        <w:t>has the meaning set forth in the Security Documents.</w:t>
      </w:r>
    </w:p>
    <w:p>
      <w:pPr>
        <w:pStyle w:val="TextBody"/>
        <w:bidi w:val="0"/>
        <w:spacing w:before="280" w:after="0"/>
        <w:jc w:val="both"/>
        <w:rPr/>
      </w:pPr>
      <w:r>
        <w:rPr/>
        <w:t>“</w:t>
      </w:r>
      <w:r>
        <w:rPr>
          <w:rFonts w:ascii="Times New Roman;serif" w:hAnsi="Times New Roman;serif"/>
          <w:b w:val="false"/>
          <w:i/>
          <w:sz w:val="20"/>
        </w:rPr>
        <w:t>Payment Date”</w:t>
      </w:r>
      <w:r>
        <w:rPr>
          <w:rFonts w:ascii="Times New Roman" w:hAnsi="Times New Roman"/>
          <w:sz w:val="20"/>
        </w:rPr>
        <w:t xml:space="preserve"> </w:t>
      </w:r>
      <w:r>
        <w:rPr>
          <w:rFonts w:ascii="Times New Roman;serif" w:hAnsi="Times New Roman;serif"/>
          <w:b w:val="false"/>
          <w:sz w:val="20"/>
        </w:rPr>
        <w:t xml:space="preserve">means the last day of each Interest Period;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 if such last day of such Interest Period is not a Business Day, then the Payment Date for such Interest Period will be the next succeeding Business Day.</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pPr>
      <w:r>
        <w:rPr/>
        <w:t>“</w:t>
      </w:r>
      <w:r>
        <w:rPr>
          <w:rFonts w:ascii="Times New Roman;serif" w:hAnsi="Times New Roman;serif"/>
          <w:b w:val="false"/>
          <w:i/>
          <w:sz w:val="20"/>
        </w:rPr>
        <w:t>PBGC”</w:t>
      </w:r>
      <w:r>
        <w:rPr>
          <w:rFonts w:ascii="Times New Roman" w:hAnsi="Times New Roman"/>
          <w:sz w:val="20"/>
        </w:rPr>
        <w:t xml:space="preserve"> </w:t>
      </w:r>
      <w:r>
        <w:rPr>
          <w:rFonts w:ascii="Times New Roman;serif" w:hAnsi="Times New Roman;serif"/>
          <w:b w:val="false"/>
          <w:sz w:val="20"/>
        </w:rPr>
        <w:t>means the United States Pension Benefit Guaranty Corporation referred to and defined in ERISA and any successor entity performing similar functions.</w:t>
      </w:r>
    </w:p>
    <w:p>
      <w:pPr>
        <w:pStyle w:val="TextBody"/>
        <w:bidi w:val="0"/>
        <w:spacing w:before="280" w:after="0"/>
        <w:jc w:val="both"/>
        <w:rPr/>
      </w:pPr>
      <w:r>
        <w:rPr/>
        <w:t>“</w:t>
      </w:r>
      <w:r>
        <w:rPr>
          <w:rFonts w:ascii="Times New Roman;serif" w:hAnsi="Times New Roman;serif"/>
          <w:b w:val="false"/>
          <w:i/>
          <w:sz w:val="20"/>
        </w:rPr>
        <w:t>Perceptive</w:t>
      </w:r>
      <w:r>
        <w:rPr>
          <w:rFonts w:ascii="Times New Roman" w:hAnsi="Times New Roman"/>
          <w:sz w:val="20"/>
        </w:rPr>
        <w:t xml:space="preserve">” </w:t>
      </w:r>
      <w:r>
        <w:rPr>
          <w:rFonts w:ascii="Times New Roman;serif" w:hAnsi="Times New Roman;serif"/>
          <w:b w:val="false"/>
          <w:sz w:val="20"/>
        </w:rPr>
        <w:t>has the meaning set forth in the introduction hereto.</w:t>
      </w:r>
    </w:p>
    <w:p>
      <w:pPr>
        <w:pStyle w:val="TextBody"/>
        <w:bidi w:val="0"/>
        <w:spacing w:before="280" w:after="0"/>
        <w:jc w:val="both"/>
        <w:rPr/>
      </w:pPr>
      <w:r>
        <w:rPr/>
        <w:t>“</w:t>
      </w:r>
      <w:r>
        <w:rPr>
          <w:rFonts w:ascii="Times New Roman;serif" w:hAnsi="Times New Roman;serif"/>
          <w:b w:val="false"/>
          <w:i/>
          <w:sz w:val="20"/>
        </w:rPr>
        <w:t xml:space="preserve">Periodic Term SOFR Determination Day” </w:t>
      </w:r>
      <w:r>
        <w:rPr>
          <w:rFonts w:ascii="Times New Roman;serif" w:hAnsi="Times New Roman;serif"/>
          <w:b w:val="false"/>
          <w:sz w:val="20"/>
        </w:rPr>
        <w:t>has the meaning specified in the definition of “Term SOFR.”</w:t>
      </w:r>
    </w:p>
    <w:p>
      <w:pPr>
        <w:pStyle w:val="TextBody"/>
        <w:bidi w:val="0"/>
        <w:spacing w:before="280" w:after="0"/>
        <w:jc w:val="both"/>
        <w:rPr/>
      </w:pPr>
      <w:r>
        <w:rPr/>
        <w:t>“</w:t>
      </w:r>
      <w:r>
        <w:rPr>
          <w:rFonts w:ascii="Times New Roman;serif" w:hAnsi="Times New Roman;serif"/>
          <w:b w:val="false"/>
          <w:i/>
          <w:sz w:val="20"/>
        </w:rPr>
        <w:t>Permits”</w:t>
      </w:r>
      <w:r>
        <w:rPr>
          <w:rFonts w:ascii="Times New Roman" w:hAnsi="Times New Roman"/>
          <w:sz w:val="20"/>
        </w:rPr>
        <w:t xml:space="preserve"> </w:t>
      </w:r>
      <w:r>
        <w:rPr>
          <w:rFonts w:ascii="Times New Roman;serif" w:hAnsi="Times New Roman;serif"/>
          <w:b w:val="false"/>
          <w:sz w:val="20"/>
        </w:rPr>
        <w:t>means all permits, licenses, registrations, certificates, orders, approvals, authorizations, consents, waivers, franchises, variances and similar rights issued by or obtained from any Governmental Authority or accreditation organization approved by a Governmental Authority, including, without limitation, those issued pursuant to Environmental Laws and Healthcare Laws.</w:t>
      </w:r>
    </w:p>
    <w:p>
      <w:pPr>
        <w:pStyle w:val="TextBody"/>
        <w:bidi w:val="0"/>
        <w:spacing w:before="280" w:after="0"/>
        <w:jc w:val="both"/>
        <w:rPr/>
      </w:pPr>
      <w:r>
        <w:rPr/>
        <w:t>“</w:t>
      </w:r>
      <w:r>
        <w:rPr>
          <w:rFonts w:ascii="Times New Roman;serif" w:hAnsi="Times New Roman;serif"/>
          <w:b w:val="false"/>
          <w:i/>
          <w:sz w:val="20"/>
        </w:rPr>
        <w:t>Permitted Acquisition”</w:t>
      </w:r>
      <w:r>
        <w:rPr>
          <w:rFonts w:ascii="Times New Roman" w:hAnsi="Times New Roman"/>
          <w:sz w:val="20"/>
        </w:rPr>
        <w:t xml:space="preserve"> </w:t>
      </w:r>
      <w:r>
        <w:rPr>
          <w:rFonts w:ascii="Times New Roman;serif" w:hAnsi="Times New Roman;serif"/>
          <w:b w:val="false"/>
          <w:sz w:val="20"/>
        </w:rPr>
        <w:t xml:space="preserve">means any Acquisition by any Obligor or any of their wholly-owned Subsidiaries, by (a) purchase, merger, amalgamation, plan of arrangement, license or otherwise, of all or substantially all of the assets of, all of the Equity Interests of, or a business line or unit or a division of, any Person or (b) license arrangement for the rights to use, develop, market or otherwise commercialize any Patents, Trademarks, Copyrights or other Intellectual Property (other than ordinary course, off-the-shelf or over the counter software license arrangements);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w:t>
      </w:r>
    </w:p>
    <w:p>
      <w:pPr>
        <w:pStyle w:val="TextBody"/>
        <w:bidi w:val="0"/>
        <w:spacing w:before="320" w:after="0"/>
        <w:jc w:val="both"/>
        <w:rPr>
          <w:rFonts w:ascii="Times New Roman;serif" w:hAnsi="Times New Roman;serif"/>
          <w:b w:val="false"/>
          <w:sz w:val="20"/>
        </w:rPr>
      </w:pPr>
      <w:r>
        <w:rPr>
          <w:rFonts w:ascii="Times New Roman;serif" w:hAnsi="Times New Roman;serif"/>
          <w:b w:val="false"/>
          <w:sz w:val="20"/>
        </w:rPr>
        <w:t>(i) immediately prior to, and immediately after giving effect thereto, no Default or Event of Default shall have occurred and be continuing or would result therefrom;</w:t>
      </w:r>
    </w:p>
    <w:p>
      <w:pPr>
        <w:pStyle w:val="TextBody"/>
        <w:bidi w:val="0"/>
        <w:spacing w:before="320" w:after="0"/>
        <w:jc w:val="both"/>
        <w:rPr>
          <w:rFonts w:ascii="Times New Roman;serif" w:hAnsi="Times New Roman;serif"/>
          <w:b w:val="false"/>
          <w:sz w:val="20"/>
        </w:rPr>
      </w:pPr>
      <w:r>
        <w:rPr>
          <w:rFonts w:ascii="Times New Roman;serif" w:hAnsi="Times New Roman;serif"/>
          <w:b w:val="false"/>
          <w:sz w:val="20"/>
        </w:rPr>
        <w:t>(ii) all transactions in connection therewith shall be consummated, in all material respects, in accordance with all applicable Laws and in conformity in all material respects with all applicable Governmental Approvals;</w:t>
      </w:r>
    </w:p>
    <w:p>
      <w:pPr>
        <w:pStyle w:val="TextBody"/>
        <w:bidi w:val="0"/>
        <w:spacing w:before="320" w:after="0"/>
        <w:jc w:val="both"/>
        <w:rPr>
          <w:rFonts w:ascii="Times New Roman" w:hAnsi="Times New Roman"/>
          <w:sz w:val="20"/>
        </w:rPr>
      </w:pPr>
      <w:r>
        <w:rPr>
          <w:rFonts w:ascii="Times New Roman;serif" w:hAnsi="Times New Roman;serif"/>
          <w:b w:val="false"/>
          <w:sz w:val="20"/>
        </w:rPr>
        <w:t>(iii) in the case of the Acquisition of all of the Equity Interests of such Person, all of the Equity Interests (except for any such securities in the nature of directors’ qualifying shares required pursuant to applicable Law) acquired, or otherwise issued by such Person or any newly formed Subsidiary of such Obligor in connection with such Acquisition, shall be owned 100% by an Obligor and Borrower shall have taken, or caused to be taken, as of the date such Person becomes a Subsidiary of an Obligor, each of the actions set forth in Section 8.11, if applicable;</w:t>
      </w:r>
      <w:r>
        <w:rPr>
          <w:rFonts w:ascii="Times New Roman" w:hAnsi="Times New Roman"/>
          <w:sz w:val="20"/>
        </w:rPr>
        <w:t xml:space="preserve"> </w:t>
      </w:r>
    </w:p>
    <w:p>
      <w:pPr>
        <w:pStyle w:val="TextBody"/>
        <w:bidi w:val="0"/>
        <w:spacing w:before="320" w:after="0"/>
        <w:jc w:val="both"/>
        <w:rPr>
          <w:rFonts w:ascii="Times New Roman" w:hAnsi="Times New Roman"/>
          <w:sz w:val="20"/>
        </w:rPr>
      </w:pPr>
      <w:r>
        <w:rPr>
          <w:rFonts w:ascii="Times New Roman;serif" w:hAnsi="Times New Roman;serif"/>
          <w:b w:val="false"/>
          <w:sz w:val="20"/>
        </w:rPr>
        <w:t>(iv) such Person (in the case of an Acquisition of Equity Interests) or assets (in the case of an Acquisition of assets or a division) (A) shall be engaged or used, as the case may be, in the same business or lines of business in which Borrower and/or its Subsidiaries are engaged or a business reasonably and substantially related thereto or (B) shall have a similar customer base as Borrower and/or its Subsidiaries;</w:t>
      </w:r>
      <w:r>
        <w:rPr>
          <w:rFonts w:ascii="Times New Roman" w:hAnsi="Times New Roman"/>
          <w:sz w:val="20"/>
        </w:rPr>
        <w:t xml:space="preserve"> </w:t>
      </w:r>
    </w:p>
    <w:p>
      <w:pPr>
        <w:pStyle w:val="TextBody"/>
        <w:bidi w:val="0"/>
        <w:spacing w:before="320" w:after="0"/>
        <w:jc w:val="both"/>
        <w:rPr>
          <w:rFonts w:ascii="Times New Roman;serif" w:hAnsi="Times New Roman;serif"/>
          <w:b w:val="false"/>
          <w:sz w:val="20"/>
        </w:rPr>
      </w:pPr>
      <w:r>
        <w:rPr>
          <w:rFonts w:ascii="Times New Roman;serif" w:hAnsi="Times New Roman;serif"/>
          <w:b w:val="false"/>
          <w:sz w:val="20"/>
        </w:rPr>
        <w:t>(v) Borrower shall have provided the Administrative Agent with at least ten (10) Business Days’ prior written notice of any such Acquisition, together with summaries, prepared in reasonable detail, of all due diligence conducted by or on behalf of Borrower or the applicable Subsidiary prior to such Acquisition;</w:t>
      </w:r>
    </w:p>
    <w:p>
      <w:pPr>
        <w:pStyle w:val="TextBody"/>
        <w:bidi w:val="0"/>
        <w:spacing w:before="320" w:after="0"/>
        <w:jc w:val="both"/>
        <w:rPr>
          <w:rFonts w:ascii="Times New Roman" w:hAnsi="Times New Roman"/>
          <w:sz w:val="20"/>
        </w:rPr>
      </w:pPr>
      <w:r>
        <w:rPr>
          <w:rFonts w:ascii="Times New Roman;serif" w:hAnsi="Times New Roman;serif"/>
          <w:b w:val="false"/>
          <w:sz w:val="20"/>
        </w:rPr>
        <w:t>(vi) the Acquisition shall have been approved by the Board or other governing body or controlling Person of the Person acquired or the Person from whom such assets or division is acquired;</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20" w:after="0"/>
        <w:jc w:val="both"/>
        <w:rPr>
          <w:rFonts w:ascii="Times New Roman;serif" w:hAnsi="Times New Roman;serif"/>
          <w:b w:val="false"/>
          <w:sz w:val="20"/>
        </w:rPr>
      </w:pPr>
      <w:r>
        <w:rPr>
          <w:rFonts w:ascii="Times New Roman;serif" w:hAnsi="Times New Roman;serif"/>
          <w:b w:val="false"/>
          <w:sz w:val="20"/>
        </w:rPr>
        <w:t>(vii) all of the assets or Equity Interests acquired in connection with such Acquisition shall be of a U.S. Person; and</w:t>
      </w:r>
    </w:p>
    <w:p>
      <w:pPr>
        <w:pStyle w:val="TextBody"/>
        <w:bidi w:val="0"/>
        <w:spacing w:before="320" w:after="0"/>
        <w:jc w:val="both"/>
        <w:rPr>
          <w:rFonts w:ascii="Times New Roman" w:hAnsi="Times New Roman"/>
          <w:sz w:val="20"/>
        </w:rPr>
      </w:pPr>
      <w:r>
        <w:rPr>
          <w:rFonts w:ascii="Times New Roman;serif" w:hAnsi="Times New Roman;serif"/>
          <w:b w:val="false"/>
          <w:sz w:val="20"/>
        </w:rPr>
        <w:t xml:space="preserve">(viii) on a </w:t>
      </w:r>
      <w:r>
        <w:rPr>
          <w:rFonts w:ascii="Times New Roman;serif" w:hAnsi="Times New Roman;serif"/>
          <w:b w:val="false"/>
          <w:i/>
          <w:sz w:val="20"/>
        </w:rPr>
        <w:t>pro forma</w:t>
      </w:r>
      <w:r>
        <w:rPr>
          <w:rFonts w:ascii="Times New Roman" w:hAnsi="Times New Roman"/>
          <w:sz w:val="20"/>
        </w:rPr>
        <w:t xml:space="preserve"> </w:t>
      </w:r>
      <w:r>
        <w:rPr>
          <w:rFonts w:ascii="Times New Roman;serif" w:hAnsi="Times New Roman;serif"/>
          <w:b w:val="false"/>
          <w:sz w:val="20"/>
        </w:rPr>
        <w:t>basis after giving effect to such Acquisition, the Obligors shall be in compliance with Section 8.15.</w:t>
      </w:r>
      <w:r>
        <w:rPr>
          <w:rFonts w:ascii="Times New Roman" w:hAnsi="Times New Roman"/>
          <w:sz w:val="20"/>
        </w:rPr>
        <w:t xml:space="preserve"> </w:t>
      </w:r>
    </w:p>
    <w:p>
      <w:pPr>
        <w:pStyle w:val="TextBody"/>
        <w:bidi w:val="0"/>
        <w:spacing w:before="280" w:after="0"/>
        <w:jc w:val="both"/>
        <w:rPr/>
      </w:pPr>
      <w:r>
        <w:rPr/>
        <w:t>“</w:t>
      </w:r>
      <w:r>
        <w:rPr>
          <w:rFonts w:ascii="Times New Roman;serif" w:hAnsi="Times New Roman;serif"/>
          <w:b w:val="false"/>
          <w:i/>
          <w:sz w:val="20"/>
        </w:rPr>
        <w:t>Permitted Cash Equivalent Investments”</w:t>
      </w:r>
      <w:r>
        <w:rPr>
          <w:rFonts w:ascii="Times New Roman" w:hAnsi="Times New Roman"/>
          <w:sz w:val="20"/>
        </w:rPr>
        <w:t xml:space="preserve"> </w:t>
      </w:r>
      <w:r>
        <w:rPr>
          <w:rFonts w:ascii="Times New Roman;serif" w:hAnsi="Times New Roman;serif"/>
          <w:b w:val="false"/>
          <w:sz w:val="20"/>
        </w:rPr>
        <w:t>means (a) marketable direct obligations issued or unconditionally guaranteed by the United States or any agency or any state thereof, or by an instrumentality or agency of them with an equivalent credit rating having maturities of not more than two (2) years from the date of acquisition, (b) commercial paper with an average maturity of no more than one (1) year and having the highest rating from either Standard &amp; Poor’s Ratings Group or Moody’s Investors Service, Inc., (c) any money market funds or other investment vehicles whose principal investments are in investments described in clauses (a) or (b) above, (d) certificates of deposit maturing no more than one (1) year after issue, and (e) other similar Investments permitted by the Borrower’s investment policy delivered to the Administrative Agent prior to the Closing Date, as amended from time to time, so long as such investment policy and any such amounts have been approved by the Administrative Agent in advance in its sole discretion.</w:t>
      </w:r>
    </w:p>
    <w:p>
      <w:pPr>
        <w:pStyle w:val="TextBody"/>
        <w:bidi w:val="0"/>
        <w:spacing w:before="280" w:after="0"/>
        <w:jc w:val="both"/>
        <w:rPr/>
      </w:pPr>
      <w:r>
        <w:rPr/>
        <w:t>“</w:t>
      </w:r>
      <w:r>
        <w:rPr>
          <w:rFonts w:ascii="Times New Roman;serif" w:hAnsi="Times New Roman;serif"/>
          <w:b w:val="false"/>
          <w:i/>
          <w:sz w:val="20"/>
        </w:rPr>
        <w:t>Permitted Indebtedness”</w:t>
      </w:r>
      <w:r>
        <w:rPr>
          <w:rFonts w:ascii="Times New Roman" w:hAnsi="Times New Roman"/>
          <w:sz w:val="20"/>
        </w:rPr>
        <w:t xml:space="preserve"> </w:t>
      </w:r>
      <w:r>
        <w:rPr>
          <w:rFonts w:ascii="Times New Roman;serif" w:hAnsi="Times New Roman;serif"/>
          <w:b w:val="false"/>
          <w:sz w:val="20"/>
        </w:rPr>
        <w:t>means any Indebtedness permitted under Section 9.01.</w:t>
      </w:r>
    </w:p>
    <w:p>
      <w:pPr>
        <w:pStyle w:val="TextBody"/>
        <w:bidi w:val="0"/>
        <w:spacing w:before="280" w:after="0"/>
        <w:jc w:val="both"/>
        <w:rPr/>
      </w:pPr>
      <w:r>
        <w:rPr/>
        <w:t>“</w:t>
      </w:r>
      <w:r>
        <w:rPr>
          <w:rFonts w:ascii="Times New Roman;serif" w:hAnsi="Times New Roman;serif"/>
          <w:b w:val="false"/>
          <w:i/>
          <w:sz w:val="20"/>
        </w:rPr>
        <w:t>Permitted Licenses”</w:t>
      </w:r>
      <w:r>
        <w:rPr>
          <w:rFonts w:ascii="Times New Roman" w:hAnsi="Times New Roman"/>
          <w:sz w:val="20"/>
        </w:rPr>
        <w:t xml:space="preserve"> </w:t>
      </w:r>
      <w:r>
        <w:rPr>
          <w:rFonts w:ascii="Times New Roman;serif" w:hAnsi="Times New Roman;serif"/>
          <w:b w:val="false"/>
          <w:sz w:val="20"/>
        </w:rPr>
        <w:t>means (a)(i) licenses of off-the-shelf or over-the-counter or open-source software that is commercially available to the public, (ii) inbound licenses for the use of any Patents, Trademarks, Copyrights, Industrial Designs and Technical Information of any third party, (iii) non-exclusive licenses for the use of Obligor Intellectual Property and (iv) immaterial Intellectual Property licensed to Borrower or any of its Subsidiaries, in each case, entered into in the Ordinary Course of Business or as otherwise may be approved by the applicable Obligor’s Board and so long as such license does not materially impair the Lenders from exercising their rights under any of the Loan Documents and (b) the Caprion License.</w:t>
      </w:r>
    </w:p>
    <w:p>
      <w:pPr>
        <w:pStyle w:val="TextBody"/>
        <w:bidi w:val="0"/>
        <w:spacing w:before="280" w:after="0"/>
        <w:jc w:val="both"/>
        <w:rPr/>
      </w:pPr>
      <w:r>
        <w:rPr/>
        <w:t>“</w:t>
      </w:r>
      <w:r>
        <w:rPr>
          <w:rFonts w:ascii="Times New Roman;serif" w:hAnsi="Times New Roman;serif"/>
          <w:b w:val="false"/>
          <w:i/>
          <w:sz w:val="20"/>
        </w:rPr>
        <w:t>Permitted Liens”</w:t>
      </w:r>
      <w:r>
        <w:rPr>
          <w:rFonts w:ascii="Times New Roman" w:hAnsi="Times New Roman"/>
          <w:sz w:val="20"/>
        </w:rPr>
        <w:t xml:space="preserve"> </w:t>
      </w:r>
      <w:r>
        <w:rPr>
          <w:rFonts w:ascii="Times New Roman;serif" w:hAnsi="Times New Roman;serif"/>
          <w:b w:val="false"/>
          <w:sz w:val="20"/>
        </w:rPr>
        <w:t>means any Liens permitted under Section 9.02.</w:t>
      </w:r>
    </w:p>
    <w:p>
      <w:pPr>
        <w:pStyle w:val="TextBody"/>
        <w:bidi w:val="0"/>
        <w:spacing w:before="280" w:after="0"/>
        <w:jc w:val="both"/>
        <w:rPr/>
      </w:pPr>
      <w:r>
        <w:rPr/>
        <w:t>“</w:t>
      </w:r>
      <w:r>
        <w:rPr>
          <w:rFonts w:ascii="Times New Roman;serif" w:hAnsi="Times New Roman;serif"/>
          <w:b w:val="false"/>
          <w:i/>
          <w:sz w:val="20"/>
        </w:rPr>
        <w:t>Permitted Refinancing”</w:t>
      </w:r>
      <w:r>
        <w:rPr>
          <w:rFonts w:ascii="Times New Roman" w:hAnsi="Times New Roman"/>
          <w:sz w:val="20"/>
        </w:rPr>
        <w:t xml:space="preserve"> </w:t>
      </w:r>
      <w:r>
        <w:rPr>
          <w:rFonts w:ascii="Times New Roman;serif" w:hAnsi="Times New Roman;serif"/>
          <w:b w:val="false"/>
          <w:sz w:val="20"/>
        </w:rPr>
        <w:t xml:space="preserve">means, with respect to any Indebtedness permitted to be refinanced, extended, renewed or replaced hereunder, any refinancings, extensions, renewals and replacements of such Indebtedness;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 such refinancing, extension, renewal or replacement shall not (a) increase the outstanding principal amount of the Indebtedness being refinanced, extended, renewed or replaced (except in the amount of accrued interest, reasonable and documented upfront and other fees and transaction costs), (b) contain terms relating to outstanding principal amount, amortization, interest rate or equivalent yield, maturity, collateral security (if any) or subordination (if any), or other material terms that, taken as a whole, are less favorable in any material respect to any Obligor or the Lenders than the terms of any agreement or instrument governing the Indebtedness being refinanced, (c) contain any new requirement to grant any Lien or to give any Guarantee that was not an existing requirement of the Indebtedness being refinanced and (d) at the time of and immediately after giving effect to the refinancing, extension, renewal or replacement, no Default shall have occurred and be continuing.</w:t>
      </w:r>
      <w:r>
        <w:rPr>
          <w:rFonts w:ascii="Times New Roman" w:hAnsi="Times New Roman"/>
          <w:sz w:val="20"/>
        </w:rPr>
        <w:t xml:space="preserve"> </w:t>
      </w:r>
    </w:p>
    <w:p>
      <w:pPr>
        <w:pStyle w:val="TextBody"/>
        <w:bidi w:val="0"/>
        <w:spacing w:before="280" w:after="0"/>
        <w:jc w:val="both"/>
        <w:rPr/>
      </w:pPr>
      <w:r>
        <w:rPr/>
        <w:t>“</w:t>
      </w:r>
      <w:r>
        <w:rPr>
          <w:rFonts w:ascii="Times New Roman;serif" w:hAnsi="Times New Roman;serif"/>
          <w:b w:val="false"/>
          <w:i/>
          <w:sz w:val="20"/>
        </w:rPr>
        <w:t>Person”</w:t>
      </w:r>
      <w:r>
        <w:rPr>
          <w:rFonts w:ascii="Times New Roman" w:hAnsi="Times New Roman"/>
          <w:sz w:val="20"/>
        </w:rPr>
        <w:t xml:space="preserve"> </w:t>
      </w:r>
      <w:r>
        <w:rPr>
          <w:rFonts w:ascii="Times New Roman;serif" w:hAnsi="Times New Roman;serif"/>
          <w:b w:val="false"/>
          <w:sz w:val="20"/>
        </w:rPr>
        <w:t>means any individual, corporation, company, voluntary association, partnership, limited liability company, joint venture, trust, unincorporated organization or Governmental Authority or other entity of whatever nature.</w:t>
      </w:r>
    </w:p>
    <w:p>
      <w:pPr>
        <w:pStyle w:val="TextBody"/>
        <w:bidi w:val="0"/>
        <w:spacing w:before="280" w:after="0"/>
        <w:jc w:val="both"/>
        <w:rPr/>
      </w:pPr>
      <w:r>
        <w:rPr/>
        <w:t>“</w:t>
      </w:r>
      <w:r>
        <w:rPr>
          <w:rFonts w:ascii="Times New Roman;serif" w:hAnsi="Times New Roman;serif"/>
          <w:b w:val="false"/>
          <w:i/>
          <w:sz w:val="20"/>
        </w:rPr>
        <w:t>PFIC”</w:t>
      </w:r>
      <w:r>
        <w:rPr>
          <w:rFonts w:ascii="Times New Roman" w:hAnsi="Times New Roman"/>
          <w:sz w:val="20"/>
        </w:rPr>
        <w:t xml:space="preserve"> </w:t>
      </w:r>
      <w:r>
        <w:rPr>
          <w:rFonts w:ascii="Times New Roman;serif" w:hAnsi="Times New Roman;serif"/>
          <w:b w:val="false"/>
          <w:sz w:val="20"/>
        </w:rPr>
        <w:t>has the meaning set forth in Section 8.01(i).</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pPr>
      <w:r>
        <w:rPr/>
        <w:t>“</w:t>
      </w:r>
      <w:r>
        <w:rPr>
          <w:rFonts w:ascii="Times New Roman;serif" w:hAnsi="Times New Roman;serif"/>
          <w:b w:val="false"/>
          <w:i/>
          <w:sz w:val="20"/>
        </w:rPr>
        <w:t>Prepayment Premium”</w:t>
      </w:r>
      <w:r>
        <w:rPr>
          <w:rFonts w:ascii="Times New Roman" w:hAnsi="Times New Roman"/>
          <w:sz w:val="20"/>
        </w:rPr>
        <w:t xml:space="preserve"> </w:t>
      </w:r>
      <w:r>
        <w:rPr>
          <w:rFonts w:ascii="Times New Roman;serif" w:hAnsi="Times New Roman;serif"/>
          <w:b w:val="false"/>
          <w:sz w:val="20"/>
        </w:rPr>
        <w:t>has the meaning set forth in Section 3.03(a).</w:t>
      </w:r>
    </w:p>
    <w:p>
      <w:pPr>
        <w:pStyle w:val="TextBody"/>
        <w:bidi w:val="0"/>
        <w:spacing w:before="280" w:after="0"/>
        <w:jc w:val="both"/>
        <w:rPr/>
      </w:pPr>
      <w:r>
        <w:rPr/>
        <w:t>“</w:t>
      </w:r>
      <w:r>
        <w:rPr>
          <w:rFonts w:ascii="Times New Roman;serif" w:hAnsi="Times New Roman;serif"/>
          <w:b w:val="false"/>
          <w:i/>
          <w:sz w:val="20"/>
        </w:rPr>
        <w:t>Pro Rata Share”</w:t>
      </w:r>
      <w:r>
        <w:rPr>
          <w:rFonts w:ascii="Times New Roman" w:hAnsi="Times New Roman"/>
          <w:sz w:val="20"/>
        </w:rPr>
        <w:t xml:space="preserve"> </w:t>
      </w:r>
      <w:r>
        <w:rPr>
          <w:rFonts w:ascii="Times New Roman;serif" w:hAnsi="Times New Roman;serif"/>
          <w:b w:val="false"/>
          <w:sz w:val="20"/>
        </w:rPr>
        <w:t>has the meaning set forth in Section 11.08.</w:t>
      </w:r>
    </w:p>
    <w:p>
      <w:pPr>
        <w:pStyle w:val="TextBody"/>
        <w:bidi w:val="0"/>
        <w:spacing w:before="280" w:after="0"/>
        <w:jc w:val="both"/>
        <w:rPr/>
      </w:pPr>
      <w:r>
        <w:rPr/>
        <w:t>“</w:t>
      </w:r>
      <w:r>
        <w:rPr>
          <w:rFonts w:ascii="Times New Roman;serif" w:hAnsi="Times New Roman;serif"/>
          <w:b w:val="false"/>
          <w:i/>
          <w:sz w:val="20"/>
        </w:rPr>
        <w:t>Product”</w:t>
      </w:r>
      <w:r>
        <w:rPr>
          <w:rFonts w:ascii="Times New Roman" w:hAnsi="Times New Roman"/>
          <w:sz w:val="20"/>
        </w:rPr>
        <w:t xml:space="preserve"> </w:t>
      </w:r>
      <w:r>
        <w:rPr>
          <w:rFonts w:ascii="Times New Roman;serif" w:hAnsi="Times New Roman;serif"/>
          <w:b w:val="false"/>
          <w:sz w:val="20"/>
        </w:rPr>
        <w:t>means (a) those Devices set forth (and described in reasonable detail) on Schedule 3 attached hereto and (b) any current or future Device subject to any Product Development and Commercialization Activities by any Obligor, including any such Device currently in development.</w:t>
      </w:r>
    </w:p>
    <w:p>
      <w:pPr>
        <w:pStyle w:val="TextBody"/>
        <w:bidi w:val="0"/>
        <w:spacing w:before="280" w:after="0"/>
        <w:jc w:val="both"/>
        <w:rPr/>
      </w:pPr>
      <w:r>
        <w:rPr/>
        <w:t>“</w:t>
      </w:r>
      <w:r>
        <w:rPr>
          <w:rFonts w:ascii="Times New Roman;serif" w:hAnsi="Times New Roman;serif"/>
          <w:b w:val="false"/>
          <w:i/>
          <w:sz w:val="20"/>
        </w:rPr>
        <w:t>Product Agreement”</w:t>
      </w:r>
      <w:r>
        <w:rPr>
          <w:rFonts w:ascii="Times New Roman" w:hAnsi="Times New Roman"/>
          <w:sz w:val="20"/>
        </w:rPr>
        <w:t xml:space="preserve"> </w:t>
      </w:r>
      <w:r>
        <w:rPr>
          <w:rFonts w:ascii="Times New Roman;serif" w:hAnsi="Times New Roman;serif"/>
          <w:b w:val="false"/>
          <w:sz w:val="20"/>
        </w:rPr>
        <w:t>means, with respect to any Product, any Contract, license, document, instrument, interest (equity or otherwise) or the like under which one or more Persons grants or receives (a) any right, title or interest with respect to any Product Development and Commercialization Activities of such Product or (b) any right to exclude any other Person from engaging in, or otherwise restricting any right, title or interest as to, any Product Development and Commercialization Activities with respect to such Product, including any Contract with suppliers, manufacturers, distributors, clinical research organizations, hospitals, group purchasing organizations, wholesalers, pharmacies or any other Person related to such entity.</w:t>
      </w:r>
    </w:p>
    <w:p>
      <w:pPr>
        <w:pStyle w:val="TextBody"/>
        <w:bidi w:val="0"/>
        <w:spacing w:before="280" w:after="0"/>
        <w:jc w:val="both"/>
        <w:rPr/>
      </w:pPr>
      <w:r>
        <w:rPr/>
        <w:t>“</w:t>
      </w:r>
      <w:r>
        <w:rPr>
          <w:rFonts w:ascii="Times New Roman;serif" w:hAnsi="Times New Roman;serif"/>
          <w:b w:val="false"/>
          <w:i/>
          <w:sz w:val="20"/>
        </w:rPr>
        <w:t>Product Assets”</w:t>
      </w:r>
      <w:r>
        <w:rPr>
          <w:rFonts w:ascii="Times New Roman" w:hAnsi="Times New Roman"/>
          <w:sz w:val="20"/>
        </w:rPr>
        <w:t xml:space="preserve"> </w:t>
      </w:r>
      <w:r>
        <w:rPr>
          <w:rFonts w:ascii="Times New Roman;serif" w:hAnsi="Times New Roman;serif"/>
          <w:b w:val="false"/>
          <w:sz w:val="20"/>
        </w:rPr>
        <w:t>means, with respect to any Product, (a) any and all rights, title and interest of the Obligors in any assets relating to such Product or any Product Development and Commercialization Activities with respect to such Product, (b) all Product Related Information with respect to such Product or any related Product Development and Commercialization Activities, (c) any rights, title and interest of the Obligors under any Product Agreement related to such Product or any such Product Development and Commercialization Activities, (d) any rights, title and interest of the Obligors to Intellectual Property, Regulatory Approvals and similar assets with respect to such Product or any such Product Development and Commercialization Activities, and (e) all rights, title and interests of the Obligors in any other property, tangible or intangible manifesting or otherwise in respect of such Product or any such Product Development and Commercialization Activities, including, without limitation, inventory, accounts receivable or similar rights to receive money or payment pertaining thereto and all proceeds of the foregoing.</w:t>
      </w:r>
    </w:p>
    <w:p>
      <w:pPr>
        <w:pStyle w:val="TextBody"/>
        <w:bidi w:val="0"/>
        <w:spacing w:before="280" w:after="0"/>
        <w:jc w:val="both"/>
        <w:rPr/>
      </w:pPr>
      <w:r>
        <w:rPr/>
        <w:t>“</w:t>
      </w:r>
      <w:r>
        <w:rPr>
          <w:rFonts w:ascii="Times New Roman;serif" w:hAnsi="Times New Roman;serif"/>
          <w:b w:val="false"/>
          <w:i/>
          <w:sz w:val="20"/>
        </w:rPr>
        <w:t>Product Authorizations”</w:t>
      </w:r>
      <w:r>
        <w:rPr>
          <w:rFonts w:ascii="Times New Roman" w:hAnsi="Times New Roman"/>
          <w:sz w:val="20"/>
        </w:rPr>
        <w:t xml:space="preserve"> </w:t>
      </w:r>
      <w:r>
        <w:rPr>
          <w:rFonts w:ascii="Times New Roman;serif" w:hAnsi="Times New Roman;serif"/>
          <w:b w:val="false"/>
          <w:sz w:val="20"/>
        </w:rPr>
        <w:t>means any and all Regulatory Approvals (including all applicable Device Clearance Applications, supplements, amendments, governmental price and reimbursement approvals and approvals of applications for regulatory exclusivity), clearances, licenses, notifications, registrations, safety or quality specifications and standards, or any other authorizations of any applicable Regulatory Authority in each case necessary for the manufacturing, development, distribution, ownership, use, storage, import, export, transport, promotion, marketing, sale or other commercialization of any Product or for any Product Development and Commercialization Activities with respect thereto in any country or jurisdiction, whether U.S. or non</w:t>
        <w:noBreakHyphen/>
        <w:t>U.S.</w:t>
      </w:r>
    </w:p>
    <w:p>
      <w:pPr>
        <w:pStyle w:val="TextBody"/>
        <w:bidi w:val="0"/>
        <w:spacing w:before="280" w:after="0"/>
        <w:jc w:val="both"/>
        <w:rPr/>
      </w:pPr>
      <w:r>
        <w:rPr/>
        <w:t>“</w:t>
      </w:r>
      <w:r>
        <w:rPr>
          <w:rFonts w:ascii="Times New Roman;serif" w:hAnsi="Times New Roman;serif"/>
          <w:b w:val="false"/>
          <w:i/>
          <w:sz w:val="20"/>
        </w:rPr>
        <w:t>Product Development and Commercialization Activities”</w:t>
      </w:r>
      <w:r>
        <w:rPr>
          <w:rFonts w:ascii="Times New Roman" w:hAnsi="Times New Roman"/>
          <w:sz w:val="20"/>
        </w:rPr>
        <w:t xml:space="preserve"> </w:t>
      </w:r>
      <w:r>
        <w:rPr>
          <w:rFonts w:ascii="Times New Roman;serif" w:hAnsi="Times New Roman;serif"/>
          <w:b w:val="false"/>
          <w:sz w:val="20"/>
        </w:rPr>
        <w:t>means, with respect to any Product, any combination of research, development, manufacture, import, use, sale, licensing, importation, storage, design, labeling, marketing, promotion, supply, distribution, testing, packaging, purchasing or other commercialization activities, receipt of payment in respect of any of the foregoing (including, without limitation, in respect of licensing, royalty or similar payments), or any similar or other activities the purpose of which is to commercially exploit such Product.</w:t>
      </w:r>
    </w:p>
    <w:p>
      <w:pPr>
        <w:pStyle w:val="TextBody"/>
        <w:bidi w:val="0"/>
        <w:spacing w:before="280" w:after="0"/>
        <w:jc w:val="both"/>
        <w:rPr/>
      </w:pPr>
      <w:r>
        <w:rPr/>
        <w:t>“</w:t>
      </w:r>
      <w:r>
        <w:rPr>
          <w:rFonts w:ascii="Times New Roman;serif" w:hAnsi="Times New Roman;serif"/>
          <w:b w:val="false"/>
          <w:i/>
          <w:sz w:val="20"/>
        </w:rPr>
        <w:t xml:space="preserve">Product Related Information” </w:t>
      </w:r>
      <w:r>
        <w:rPr>
          <w:rFonts w:ascii="Times New Roman;serif" w:hAnsi="Times New Roman;serif"/>
          <w:b w:val="false"/>
          <w:sz w:val="20"/>
        </w:rPr>
        <w:t>means, with respect to any Product, all books, records, lists, ledgers, files, manuals, Contracts, correspondence, reports, plans, drawings and data (in any form or medium), and all techniques and other know</w:t>
        <w:noBreakHyphen/>
        <w:t>how, owned or possessed by the Borrower or any of its Subsidiaries that are necessary or required for any Product Development and Commercialization Activities by any Obligor relating to such Product, including (a)</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brand materials, packaging and other trade dress, customer targeting and other marketing, promotion and sales materials and information, referral, customer, supplier and other contact lists and information, product, business, marketing and sales plans, research, studies and reports, sales, maintenance and production records, training materials and other marketing, sales and promotional information, (b) clinical data, information included or supporting any Product Authorization or other Regulatory Approval, any regulatory filings, updates, notices and correspondence (including adverse event and other pharmacovigilance and other post</w:t>
        <w:noBreakHyphen/>
        <w:t>marketing reports and information, etc.), technical information, product development and operational data and records, and all other documents, records, files, data and other information relating to product development, manufacture and use, (c) litigation and dispute records, and accounting records, (d) all documents, records and files relating to Intellectual Property, including all correspondence from and to third parties (including Intellectual Property counsel and patent, trademark and other intellectual property registries, including the United States Patent and Trademark Office) and (e) all other information, techniques and know</w:t>
        <w:noBreakHyphen/>
        <w:t>how necessary or required in connection with the Product Development and Commercialization Activities by any Obligor for any Product.</w:t>
      </w:r>
    </w:p>
    <w:p>
      <w:pPr>
        <w:pStyle w:val="TextBody"/>
        <w:bidi w:val="0"/>
        <w:spacing w:before="280" w:after="0"/>
        <w:jc w:val="both"/>
        <w:rPr/>
      </w:pPr>
      <w:r>
        <w:rPr/>
        <w:t>“</w:t>
      </w:r>
      <w:r>
        <w:rPr>
          <w:rFonts w:ascii="Times New Roman;serif" w:hAnsi="Times New Roman;serif"/>
          <w:b w:val="false"/>
          <w:i/>
          <w:sz w:val="20"/>
        </w:rPr>
        <w:t>Prohibited Payment”</w:t>
      </w:r>
      <w:r>
        <w:rPr>
          <w:rFonts w:ascii="Times New Roman" w:hAnsi="Times New Roman"/>
          <w:sz w:val="20"/>
        </w:rPr>
        <w:t xml:space="preserve"> </w:t>
      </w:r>
      <w:r>
        <w:rPr>
          <w:rFonts w:ascii="Times New Roman;serif" w:hAnsi="Times New Roman;serif"/>
          <w:b w:val="false"/>
          <w:sz w:val="20"/>
        </w:rPr>
        <w:t>means any bribe, rebate, payoff, influence payment, kickback or other payment or gift of money or anything of value (including meals or entertainment) to any officer, employee or ceremonial office holder of any government or instrumentality thereof, political party or supra</w:t>
        <w:noBreakHyphen/>
        <w:t>national organization (such as the United Nations), any political candidate, any royal family member or any other person who is connected or associated personally with any of the foregoing that is prohibited under any Requirement of Law.</w:t>
      </w:r>
    </w:p>
    <w:p>
      <w:pPr>
        <w:pStyle w:val="TextBody"/>
        <w:bidi w:val="0"/>
        <w:spacing w:before="280" w:after="0"/>
        <w:jc w:val="both"/>
        <w:rPr/>
      </w:pPr>
      <w:r>
        <w:rPr/>
        <w:t>“</w:t>
      </w:r>
      <w:r>
        <w:rPr>
          <w:rFonts w:ascii="Times New Roman;serif" w:hAnsi="Times New Roman;serif"/>
          <w:b w:val="false"/>
          <w:i/>
          <w:sz w:val="20"/>
        </w:rPr>
        <w:t>Projections”</w:t>
      </w:r>
      <w:r>
        <w:rPr>
          <w:rFonts w:ascii="Times New Roman" w:hAnsi="Times New Roman"/>
          <w:sz w:val="20"/>
        </w:rPr>
        <w:t xml:space="preserve"> </w:t>
      </w:r>
      <w:r>
        <w:rPr>
          <w:rFonts w:ascii="Times New Roman;serif" w:hAnsi="Times New Roman;serif"/>
          <w:b w:val="false"/>
          <w:sz w:val="20"/>
        </w:rPr>
        <w:t>has the meaning set forth in Section 7.04(b).</w:t>
      </w:r>
    </w:p>
    <w:p>
      <w:pPr>
        <w:pStyle w:val="TextBody"/>
        <w:bidi w:val="0"/>
        <w:spacing w:before="280" w:after="0"/>
        <w:jc w:val="both"/>
        <w:rPr/>
      </w:pPr>
      <w:r>
        <w:rPr/>
        <w:t>“</w:t>
      </w:r>
      <w:r>
        <w:rPr>
          <w:rFonts w:ascii="Times New Roman;serif" w:hAnsi="Times New Roman;serif"/>
          <w:b w:val="false"/>
          <w:i/>
          <w:sz w:val="20"/>
        </w:rPr>
        <w:t>Property”</w:t>
      </w:r>
      <w:r>
        <w:rPr>
          <w:rFonts w:ascii="Times New Roman" w:hAnsi="Times New Roman"/>
          <w:sz w:val="20"/>
        </w:rPr>
        <w:t xml:space="preserve"> </w:t>
      </w:r>
      <w:r>
        <w:rPr>
          <w:rFonts w:ascii="Times New Roman;serif" w:hAnsi="Times New Roman;serif"/>
          <w:b w:val="false"/>
          <w:sz w:val="20"/>
        </w:rPr>
        <w:t>of any Person means any property or assets, or interest therein, of such Person.</w:t>
      </w:r>
    </w:p>
    <w:p>
      <w:pPr>
        <w:pStyle w:val="TextBody"/>
        <w:bidi w:val="0"/>
        <w:spacing w:before="280" w:after="0"/>
        <w:jc w:val="both"/>
        <w:rPr/>
      </w:pPr>
      <w:r>
        <w:rPr/>
        <w:t>“</w:t>
      </w:r>
      <w:r>
        <w:rPr>
          <w:rFonts w:ascii="Times New Roman;serif" w:hAnsi="Times New Roman;serif"/>
          <w:b w:val="false"/>
          <w:i/>
          <w:sz w:val="20"/>
        </w:rPr>
        <w:t>Proportionate Share”</w:t>
      </w:r>
      <w:r>
        <w:rPr>
          <w:rFonts w:ascii="Times New Roman" w:hAnsi="Times New Roman"/>
          <w:sz w:val="20"/>
        </w:rPr>
        <w:t xml:space="preserve"> </w:t>
      </w:r>
      <w:r>
        <w:rPr>
          <w:rFonts w:ascii="Times New Roman;serif" w:hAnsi="Times New Roman;serif"/>
          <w:b w:val="false"/>
          <w:sz w:val="20"/>
        </w:rPr>
        <w:t>means, with respect to any Lender, the percentage obtained by dividing (a) the Loan Exposure of such Lender then in effect by (b) the aggregate Loan Exposure of all Lenders then in effect.</w:t>
      </w:r>
    </w:p>
    <w:p>
      <w:pPr>
        <w:pStyle w:val="TextBody"/>
        <w:bidi w:val="0"/>
        <w:spacing w:before="280" w:after="0"/>
        <w:jc w:val="both"/>
        <w:rPr/>
      </w:pPr>
      <w:r>
        <w:rPr/>
        <w:t>“</w:t>
      </w:r>
      <w:r>
        <w:rPr>
          <w:rFonts w:ascii="Times New Roman;serif" w:hAnsi="Times New Roman;serif"/>
          <w:b w:val="false"/>
          <w:i/>
          <w:sz w:val="20"/>
        </w:rPr>
        <w:t>Proposal Letter”</w:t>
      </w:r>
      <w:r>
        <w:rPr>
          <w:rFonts w:ascii="Times New Roman" w:hAnsi="Times New Roman"/>
          <w:sz w:val="20"/>
        </w:rPr>
        <w:t xml:space="preserve"> </w:t>
      </w:r>
      <w:r>
        <w:rPr>
          <w:rFonts w:ascii="Times New Roman;serif" w:hAnsi="Times New Roman;serif"/>
          <w:b w:val="false"/>
          <w:sz w:val="20"/>
        </w:rPr>
        <w:t>means the letter agreement, dated October 17, 2022, among the Borrower and Perceptive Advisors LLC, regarding the transactions contemplated hereby and the outline of proposed terms and conditions attached thereto.</w:t>
      </w:r>
    </w:p>
    <w:p>
      <w:pPr>
        <w:pStyle w:val="TextBody"/>
        <w:bidi w:val="0"/>
        <w:spacing w:before="280" w:after="0"/>
        <w:jc w:val="both"/>
        <w:rPr/>
      </w:pPr>
      <w:r>
        <w:rPr/>
        <w:t>“</w:t>
      </w:r>
      <w:r>
        <w:rPr>
          <w:rFonts w:ascii="Times New Roman;serif" w:hAnsi="Times New Roman;serif"/>
          <w:b w:val="false"/>
          <w:i/>
          <w:sz w:val="20"/>
        </w:rPr>
        <w:t>Publicly Reporting Company”</w:t>
      </w:r>
      <w:r>
        <w:rPr>
          <w:rFonts w:ascii="Times New Roman" w:hAnsi="Times New Roman"/>
          <w:sz w:val="20"/>
        </w:rPr>
        <w:t xml:space="preserve"> </w:t>
      </w:r>
      <w:r>
        <w:rPr>
          <w:rFonts w:ascii="Times New Roman;serif" w:hAnsi="Times New Roman;serif"/>
          <w:b w:val="false"/>
          <w:sz w:val="20"/>
        </w:rPr>
        <w:t>means an issuer generally subject to the public reporting requirements of the Exchange Act.</w:t>
      </w:r>
    </w:p>
    <w:p>
      <w:pPr>
        <w:pStyle w:val="TextBody"/>
        <w:bidi w:val="0"/>
        <w:spacing w:before="280" w:after="0"/>
        <w:jc w:val="both"/>
        <w:rPr/>
      </w:pPr>
      <w:r>
        <w:rPr/>
        <w:t>“</w:t>
      </w:r>
      <w:r>
        <w:rPr>
          <w:rFonts w:ascii="Times New Roman;serif" w:hAnsi="Times New Roman;serif"/>
          <w:b w:val="false"/>
          <w:i/>
          <w:sz w:val="20"/>
        </w:rPr>
        <w:t>Qualified Equity Interest”</w:t>
      </w:r>
      <w:r>
        <w:rPr>
          <w:rFonts w:ascii="Times New Roman" w:hAnsi="Times New Roman"/>
          <w:sz w:val="20"/>
        </w:rPr>
        <w:t xml:space="preserve"> </w:t>
      </w:r>
      <w:r>
        <w:rPr>
          <w:rFonts w:ascii="Times New Roman;serif" w:hAnsi="Times New Roman;serif"/>
          <w:b w:val="false"/>
          <w:sz w:val="20"/>
        </w:rPr>
        <w:t>means, with respect to any Person, any Equity Interest of such Person that is not a Disqualified Equity Interest.</w:t>
      </w:r>
    </w:p>
    <w:p>
      <w:pPr>
        <w:pStyle w:val="TextBody"/>
        <w:bidi w:val="0"/>
        <w:spacing w:before="280" w:after="0"/>
        <w:jc w:val="both"/>
        <w:rPr/>
      </w:pPr>
      <w:r>
        <w:rPr/>
        <w:t>“</w:t>
      </w:r>
      <w:r>
        <w:rPr>
          <w:rFonts w:ascii="Times New Roman;serif" w:hAnsi="Times New Roman;serif"/>
          <w:b w:val="false"/>
          <w:i/>
          <w:sz w:val="20"/>
        </w:rPr>
        <w:t>Recipient”</w:t>
      </w:r>
      <w:r>
        <w:rPr>
          <w:rFonts w:ascii="Times New Roman" w:hAnsi="Times New Roman"/>
          <w:sz w:val="20"/>
        </w:rPr>
        <w:t xml:space="preserve"> </w:t>
      </w:r>
      <w:r>
        <w:rPr>
          <w:rFonts w:ascii="Times New Roman;serif" w:hAnsi="Times New Roman;serif"/>
          <w:b w:val="false"/>
          <w:sz w:val="20"/>
        </w:rPr>
        <w:t>means any Lender or the Administrative Agent.</w:t>
      </w:r>
    </w:p>
    <w:p>
      <w:pPr>
        <w:pStyle w:val="TextBody"/>
        <w:bidi w:val="0"/>
        <w:spacing w:before="280" w:after="0"/>
        <w:jc w:val="both"/>
        <w:rPr/>
      </w:pPr>
      <w:r>
        <w:rPr/>
        <w:t>“</w:t>
      </w:r>
      <w:r>
        <w:rPr>
          <w:rFonts w:ascii="Times New Roman;serif" w:hAnsi="Times New Roman;serif"/>
          <w:b w:val="false"/>
          <w:i/>
          <w:sz w:val="20"/>
        </w:rPr>
        <w:t>Redemption Date”</w:t>
      </w:r>
      <w:r>
        <w:rPr>
          <w:rFonts w:ascii="Times New Roman" w:hAnsi="Times New Roman"/>
          <w:sz w:val="20"/>
        </w:rPr>
        <w:t xml:space="preserve"> </w:t>
      </w:r>
      <w:r>
        <w:rPr>
          <w:rFonts w:ascii="Times New Roman;serif" w:hAnsi="Times New Roman;serif"/>
          <w:b w:val="false"/>
          <w:sz w:val="20"/>
        </w:rPr>
        <w:t>has the meaning set forth in Section 3.03(a).</w:t>
      </w:r>
    </w:p>
    <w:p>
      <w:pPr>
        <w:pStyle w:val="TextBody"/>
        <w:bidi w:val="0"/>
        <w:spacing w:before="280" w:after="0"/>
        <w:jc w:val="both"/>
        <w:rPr/>
      </w:pPr>
      <w:r>
        <w:rPr/>
        <w:t>“</w:t>
      </w:r>
      <w:r>
        <w:rPr>
          <w:rFonts w:ascii="Times New Roman;serif" w:hAnsi="Times New Roman;serif"/>
          <w:b w:val="false"/>
          <w:i/>
          <w:sz w:val="20"/>
        </w:rPr>
        <w:t>Redemption Price”</w:t>
      </w:r>
      <w:r>
        <w:rPr>
          <w:rFonts w:ascii="Times New Roman" w:hAnsi="Times New Roman"/>
          <w:sz w:val="20"/>
        </w:rPr>
        <w:t xml:space="preserve"> </w:t>
      </w:r>
      <w:r>
        <w:rPr>
          <w:rFonts w:ascii="Times New Roman;serif" w:hAnsi="Times New Roman;serif"/>
          <w:b w:val="false"/>
          <w:sz w:val="20"/>
        </w:rPr>
        <w:t>has the meaning set forth in Section 3.03(a).</w:t>
      </w:r>
      <w:r>
        <w:rPr>
          <w:rFonts w:ascii="Times New Roman" w:hAnsi="Times New Roman"/>
          <w:sz w:val="20"/>
        </w:rPr>
        <w:t xml:space="preserve"> </w:t>
      </w:r>
    </w:p>
    <w:p>
      <w:pPr>
        <w:pStyle w:val="TextBody"/>
        <w:bidi w:val="0"/>
        <w:spacing w:before="280" w:after="0"/>
        <w:jc w:val="both"/>
        <w:rPr/>
      </w:pPr>
      <w:r>
        <w:rPr/>
        <w:t>“</w:t>
      </w:r>
      <w:r>
        <w:rPr>
          <w:rFonts w:ascii="Times New Roman;serif" w:hAnsi="Times New Roman;serif"/>
          <w:b w:val="false"/>
          <w:i/>
          <w:sz w:val="20"/>
        </w:rPr>
        <w:t xml:space="preserve">Referral Source” </w:t>
      </w:r>
      <w:r>
        <w:rPr>
          <w:rFonts w:ascii="Times New Roman;serif" w:hAnsi="Times New Roman;serif"/>
          <w:b w:val="false"/>
          <w:sz w:val="20"/>
        </w:rPr>
        <w:t>has the meaning set forth in Section 7.07(b)(i).</w:t>
      </w:r>
    </w:p>
    <w:p>
      <w:pPr>
        <w:pStyle w:val="TextBody"/>
        <w:bidi w:val="0"/>
        <w:spacing w:before="280" w:after="0"/>
        <w:jc w:val="both"/>
        <w:rPr/>
      </w:pPr>
      <w:r>
        <w:rPr/>
        <w:t>“</w:t>
      </w:r>
      <w:r>
        <w:rPr>
          <w:rFonts w:ascii="Times New Roman;serif" w:hAnsi="Times New Roman;serif"/>
          <w:b w:val="false"/>
          <w:i/>
          <w:sz w:val="20"/>
        </w:rPr>
        <w:t>Refinancing</w:t>
      </w:r>
      <w:r>
        <w:rPr>
          <w:rFonts w:ascii="Times New Roman" w:hAnsi="Times New Roman"/>
          <w:sz w:val="20"/>
        </w:rPr>
        <w:t xml:space="preserve">” </w:t>
      </w:r>
      <w:r>
        <w:rPr>
          <w:rFonts w:ascii="Times New Roman;serif" w:hAnsi="Times New Roman;serif"/>
          <w:b w:val="false"/>
          <w:sz w:val="20"/>
        </w:rPr>
        <w:t>has the meaning set forth in Section 2.05(b).</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pPr>
      <w:r>
        <w:rPr/>
        <w:t>“</w:t>
      </w:r>
      <w:r>
        <w:rPr>
          <w:rFonts w:ascii="Times New Roman;serif" w:hAnsi="Times New Roman;serif"/>
          <w:b w:val="false"/>
          <w:i/>
          <w:sz w:val="20"/>
        </w:rPr>
        <w:t>Register”</w:t>
      </w:r>
      <w:r>
        <w:rPr>
          <w:rFonts w:ascii="Times New Roman" w:hAnsi="Times New Roman"/>
          <w:sz w:val="20"/>
        </w:rPr>
        <w:t xml:space="preserve"> </w:t>
      </w:r>
      <w:r>
        <w:rPr>
          <w:rFonts w:ascii="Times New Roman;serif" w:hAnsi="Times New Roman;serif"/>
          <w:b w:val="false"/>
          <w:sz w:val="20"/>
        </w:rPr>
        <w:t>has the meaning set forth in Section 13.05(d).</w:t>
      </w:r>
    </w:p>
    <w:p>
      <w:pPr>
        <w:pStyle w:val="TextBody"/>
        <w:bidi w:val="0"/>
        <w:spacing w:before="280" w:after="0"/>
        <w:jc w:val="both"/>
        <w:rPr/>
      </w:pPr>
      <w:r>
        <w:rPr/>
        <w:t>“</w:t>
      </w:r>
      <w:r>
        <w:rPr>
          <w:rFonts w:ascii="Times New Roman;serif" w:hAnsi="Times New Roman;serif"/>
          <w:b w:val="false"/>
          <w:i/>
          <w:sz w:val="20"/>
        </w:rPr>
        <w:t>Regulation T”</w:t>
      </w:r>
      <w:r>
        <w:rPr>
          <w:rFonts w:ascii="Times New Roman" w:hAnsi="Times New Roman"/>
          <w:sz w:val="20"/>
        </w:rPr>
        <w:t xml:space="preserve"> </w:t>
      </w:r>
      <w:r>
        <w:rPr>
          <w:rFonts w:ascii="Times New Roman;serif" w:hAnsi="Times New Roman;serif"/>
          <w:b w:val="false"/>
          <w:sz w:val="20"/>
        </w:rPr>
        <w:t>means Regulation T of the Board of Governors of the Federal Reserve System, as amended.</w:t>
      </w:r>
    </w:p>
    <w:p>
      <w:pPr>
        <w:pStyle w:val="TextBody"/>
        <w:bidi w:val="0"/>
        <w:spacing w:before="280" w:after="0"/>
        <w:jc w:val="both"/>
        <w:rPr/>
      </w:pPr>
      <w:r>
        <w:rPr/>
        <w:t>“</w:t>
      </w:r>
      <w:r>
        <w:rPr>
          <w:rFonts w:ascii="Times New Roman;serif" w:hAnsi="Times New Roman;serif"/>
          <w:b w:val="false"/>
          <w:i/>
          <w:sz w:val="20"/>
        </w:rPr>
        <w:t>Regulation U”</w:t>
      </w:r>
      <w:r>
        <w:rPr>
          <w:rFonts w:ascii="Times New Roman" w:hAnsi="Times New Roman"/>
          <w:sz w:val="20"/>
        </w:rPr>
        <w:t xml:space="preserve"> </w:t>
      </w:r>
      <w:r>
        <w:rPr>
          <w:rFonts w:ascii="Times New Roman;serif" w:hAnsi="Times New Roman;serif"/>
          <w:b w:val="false"/>
          <w:sz w:val="20"/>
        </w:rPr>
        <w:t>means Regulation U of the Board of Governors of the Federal Reserve System, as amended.</w:t>
      </w:r>
    </w:p>
    <w:p>
      <w:pPr>
        <w:pStyle w:val="TextBody"/>
        <w:bidi w:val="0"/>
        <w:spacing w:before="280" w:after="0"/>
        <w:jc w:val="both"/>
        <w:rPr/>
      </w:pPr>
      <w:r>
        <w:rPr/>
        <w:t>“</w:t>
      </w:r>
      <w:r>
        <w:rPr>
          <w:rFonts w:ascii="Times New Roman;serif" w:hAnsi="Times New Roman;serif"/>
          <w:b w:val="false"/>
          <w:i/>
          <w:sz w:val="20"/>
        </w:rPr>
        <w:t>Regulation X”</w:t>
      </w:r>
      <w:r>
        <w:rPr>
          <w:rFonts w:ascii="Times New Roman" w:hAnsi="Times New Roman"/>
          <w:sz w:val="20"/>
        </w:rPr>
        <w:t xml:space="preserve"> </w:t>
      </w:r>
      <w:r>
        <w:rPr>
          <w:rFonts w:ascii="Times New Roman;serif" w:hAnsi="Times New Roman;serif"/>
          <w:b w:val="false"/>
          <w:sz w:val="20"/>
        </w:rPr>
        <w:t>means Regulation X of the Board of Governors of the Federal Reserve System, as amended.</w:t>
      </w:r>
    </w:p>
    <w:p>
      <w:pPr>
        <w:pStyle w:val="TextBody"/>
        <w:bidi w:val="0"/>
        <w:spacing w:before="280" w:after="0"/>
        <w:jc w:val="both"/>
        <w:rPr/>
      </w:pPr>
      <w:r>
        <w:rPr/>
        <w:t>“</w:t>
      </w:r>
      <w:r>
        <w:rPr>
          <w:rFonts w:ascii="Times New Roman;serif" w:hAnsi="Times New Roman;serif"/>
          <w:b w:val="false"/>
          <w:i/>
          <w:sz w:val="20"/>
        </w:rPr>
        <w:t>Regulatory Approvals”</w:t>
      </w:r>
      <w:r>
        <w:rPr>
          <w:rFonts w:ascii="Times New Roman" w:hAnsi="Times New Roman"/>
          <w:sz w:val="20"/>
        </w:rPr>
        <w:t xml:space="preserve"> </w:t>
      </w:r>
      <w:r>
        <w:rPr>
          <w:rFonts w:ascii="Times New Roman;serif" w:hAnsi="Times New Roman;serif"/>
          <w:b w:val="false"/>
          <w:sz w:val="20"/>
        </w:rPr>
        <w:t>means any Governmental Approval relating to any Product or any Product Development and Commercialization Activities related to such Product, including any Product Authorizations with respect thereto.</w:t>
      </w:r>
    </w:p>
    <w:p>
      <w:pPr>
        <w:pStyle w:val="TextBody"/>
        <w:bidi w:val="0"/>
        <w:spacing w:before="280" w:after="0"/>
        <w:jc w:val="both"/>
        <w:rPr/>
      </w:pPr>
      <w:r>
        <w:rPr/>
        <w:t>“</w:t>
      </w:r>
      <w:r>
        <w:rPr>
          <w:rFonts w:ascii="Times New Roman;serif" w:hAnsi="Times New Roman;serif"/>
          <w:b w:val="false"/>
          <w:i/>
          <w:sz w:val="20"/>
        </w:rPr>
        <w:t>Regulatory Authority”</w:t>
      </w:r>
      <w:r>
        <w:rPr>
          <w:rFonts w:ascii="Times New Roman" w:hAnsi="Times New Roman"/>
          <w:sz w:val="20"/>
        </w:rPr>
        <w:t xml:space="preserve"> </w:t>
      </w:r>
      <w:r>
        <w:rPr>
          <w:rFonts w:ascii="Times New Roman;serif" w:hAnsi="Times New Roman;serif"/>
          <w:b w:val="false"/>
          <w:sz w:val="20"/>
        </w:rPr>
        <w:t>means any Governmental Authority that is concerned with or has regulatory or supervisory oversight with respect to any Product or any Product Development and Commercialization Activities relating to any Product, including the FDA and all equivalent Governmental Authorities, whether U.S. or non</w:t>
        <w:noBreakHyphen/>
        <w:t>U.S.</w:t>
      </w:r>
    </w:p>
    <w:p>
      <w:pPr>
        <w:pStyle w:val="TextBody"/>
        <w:bidi w:val="0"/>
        <w:spacing w:before="280" w:after="0"/>
        <w:jc w:val="both"/>
        <w:rPr/>
      </w:pPr>
      <w:r>
        <w:rPr/>
        <w:t>“</w:t>
      </w:r>
      <w:r>
        <w:rPr>
          <w:rFonts w:ascii="Times New Roman;serif" w:hAnsi="Times New Roman;serif"/>
          <w:b w:val="false"/>
          <w:i/>
          <w:sz w:val="20"/>
        </w:rPr>
        <w:t>Relevant Governmental Body</w:t>
      </w:r>
      <w:r>
        <w:rPr>
          <w:rFonts w:ascii="Times New Roman" w:hAnsi="Times New Roman"/>
          <w:sz w:val="20"/>
        </w:rPr>
        <w:t xml:space="preserve">” </w:t>
      </w:r>
      <w:r>
        <w:rPr>
          <w:rFonts w:ascii="Times New Roman;serif" w:hAnsi="Times New Roman;serif"/>
          <w:b w:val="false"/>
          <w:sz w:val="20"/>
        </w:rPr>
        <w:t>means the Federal Reserve Board and/or the Federal Reserve Bank of New York, or a committee officially endorsed or convened by the Federal Reserve Board and/or the Federal Reserve Bank of New York or any successor thereto.</w:t>
      </w:r>
    </w:p>
    <w:p>
      <w:pPr>
        <w:pStyle w:val="TextBody"/>
        <w:bidi w:val="0"/>
        <w:spacing w:before="280" w:after="0"/>
        <w:jc w:val="both"/>
        <w:rPr/>
      </w:pPr>
      <w:r>
        <w:rPr/>
        <w:t>“</w:t>
      </w:r>
      <w:r>
        <w:rPr>
          <w:rFonts w:ascii="Times New Roman;serif" w:hAnsi="Times New Roman;serif"/>
          <w:b w:val="false"/>
          <w:i/>
          <w:sz w:val="20"/>
        </w:rPr>
        <w:t>Representatives”</w:t>
      </w:r>
      <w:r>
        <w:rPr>
          <w:rFonts w:ascii="Times New Roman" w:hAnsi="Times New Roman"/>
          <w:sz w:val="20"/>
        </w:rPr>
        <w:t xml:space="preserve"> </w:t>
      </w:r>
      <w:r>
        <w:rPr>
          <w:rFonts w:ascii="Times New Roman;serif" w:hAnsi="Times New Roman;serif"/>
          <w:b w:val="false"/>
          <w:sz w:val="20"/>
        </w:rPr>
        <w:t>has the meaning set forth in Section 13.17.</w:t>
      </w:r>
    </w:p>
    <w:p>
      <w:pPr>
        <w:pStyle w:val="TextBody"/>
        <w:bidi w:val="0"/>
        <w:spacing w:before="280" w:after="0"/>
        <w:jc w:val="both"/>
        <w:rPr/>
      </w:pPr>
      <w:r>
        <w:rPr/>
        <w:t>“</w:t>
      </w:r>
      <w:r>
        <w:rPr>
          <w:rFonts w:ascii="Times New Roman;serif" w:hAnsi="Times New Roman;serif"/>
          <w:b w:val="false"/>
          <w:i/>
          <w:sz w:val="20"/>
        </w:rPr>
        <w:t>Requirement of Law”</w:t>
      </w:r>
      <w:r>
        <w:rPr>
          <w:rFonts w:ascii="Times New Roman" w:hAnsi="Times New Roman"/>
          <w:sz w:val="20"/>
        </w:rPr>
        <w:t xml:space="preserve"> </w:t>
      </w:r>
      <w:r>
        <w:rPr>
          <w:rFonts w:ascii="Times New Roman;serif" w:hAnsi="Times New Roman;serif"/>
          <w:b w:val="false"/>
          <w:sz w:val="20"/>
        </w:rPr>
        <w:t>means, as to any Person, any Law applicable to or binding upon such Person or any of its Properties or revenues.</w:t>
      </w:r>
    </w:p>
    <w:p>
      <w:pPr>
        <w:pStyle w:val="TextBody"/>
        <w:bidi w:val="0"/>
        <w:spacing w:before="280" w:after="0"/>
        <w:jc w:val="both"/>
        <w:rPr/>
      </w:pPr>
      <w:r>
        <w:rPr/>
        <w:t>“</w:t>
      </w:r>
      <w:r>
        <w:rPr>
          <w:rFonts w:ascii="Times New Roman;serif" w:hAnsi="Times New Roman;serif"/>
          <w:b w:val="false"/>
          <w:i/>
          <w:sz w:val="20"/>
        </w:rPr>
        <w:t>Resignation Effective Date”</w:t>
      </w:r>
      <w:r>
        <w:rPr>
          <w:rFonts w:ascii="Times New Roman" w:hAnsi="Times New Roman"/>
          <w:sz w:val="20"/>
        </w:rPr>
        <w:t xml:space="preserve"> </w:t>
      </w:r>
      <w:r>
        <w:rPr>
          <w:rFonts w:ascii="Times New Roman;serif" w:hAnsi="Times New Roman;serif"/>
          <w:b w:val="false"/>
          <w:sz w:val="20"/>
        </w:rPr>
        <w:t>has the meaning set forth in Section 12.06(a).</w:t>
      </w:r>
    </w:p>
    <w:p>
      <w:pPr>
        <w:pStyle w:val="TextBody"/>
        <w:bidi w:val="0"/>
        <w:spacing w:before="280" w:after="0"/>
        <w:jc w:val="both"/>
        <w:rPr/>
      </w:pPr>
      <w:r>
        <w:rPr/>
        <w:t>“</w:t>
      </w:r>
      <w:r>
        <w:rPr>
          <w:rFonts w:ascii="Times New Roman;serif" w:hAnsi="Times New Roman;serif"/>
          <w:b w:val="false"/>
          <w:i/>
          <w:sz w:val="20"/>
        </w:rPr>
        <w:t>Resolution Authority”</w:t>
      </w:r>
      <w:r>
        <w:rPr>
          <w:rFonts w:ascii="Times New Roman" w:hAnsi="Times New Roman"/>
          <w:sz w:val="20"/>
        </w:rPr>
        <w:t xml:space="preserve"> </w:t>
      </w:r>
      <w:r>
        <w:rPr>
          <w:rFonts w:ascii="Times New Roman;serif" w:hAnsi="Times New Roman;serif"/>
          <w:b w:val="false"/>
          <w:sz w:val="20"/>
        </w:rPr>
        <w:t>means an EEA Resolution Authority or, with respect to any UK Financial Institution, a UK Resolution Authority.</w:t>
      </w:r>
    </w:p>
    <w:p>
      <w:pPr>
        <w:pStyle w:val="TextBody"/>
        <w:bidi w:val="0"/>
        <w:spacing w:before="280" w:after="0"/>
        <w:jc w:val="both"/>
        <w:rPr/>
      </w:pPr>
      <w:r>
        <w:rPr/>
        <w:t>“</w:t>
      </w:r>
      <w:r>
        <w:rPr>
          <w:rFonts w:ascii="Times New Roman;serif" w:hAnsi="Times New Roman;serif"/>
          <w:b w:val="false"/>
          <w:i/>
          <w:sz w:val="20"/>
        </w:rPr>
        <w:t>Responsible Officer”</w:t>
      </w:r>
      <w:r>
        <w:rPr>
          <w:rFonts w:ascii="Times New Roman" w:hAnsi="Times New Roman"/>
          <w:sz w:val="20"/>
        </w:rPr>
        <w:t xml:space="preserve"> </w:t>
      </w:r>
      <w:r>
        <w:rPr>
          <w:rFonts w:ascii="Times New Roman;serif" w:hAnsi="Times New Roman;serif"/>
          <w:b w:val="false"/>
          <w:sz w:val="20"/>
        </w:rPr>
        <w:t>of any Person means each of the president, chief executive officer, chief financial officer, chief accounting officer or titles equivalent to the foregoing of such Person.</w:t>
      </w:r>
    </w:p>
    <w:p>
      <w:pPr>
        <w:pStyle w:val="TextBody"/>
        <w:bidi w:val="0"/>
        <w:spacing w:before="280" w:after="0"/>
        <w:jc w:val="both"/>
        <w:rPr/>
      </w:pPr>
      <w:r>
        <w:rPr/>
        <w:t>“</w:t>
      </w:r>
      <w:r>
        <w:rPr>
          <w:rFonts w:ascii="Times New Roman;serif" w:hAnsi="Times New Roman;serif"/>
          <w:b w:val="false"/>
          <w:i/>
          <w:sz w:val="20"/>
        </w:rPr>
        <w:t>Restricted Payment”</w:t>
      </w:r>
      <w:r>
        <w:rPr>
          <w:rFonts w:ascii="Times New Roman" w:hAnsi="Times New Roman"/>
          <w:sz w:val="20"/>
        </w:rPr>
        <w:t xml:space="preserve"> </w:t>
      </w:r>
      <w:r>
        <w:rPr>
          <w:rFonts w:ascii="Times New Roman;serif" w:hAnsi="Times New Roman;serif"/>
          <w:b w:val="false"/>
          <w:sz w:val="20"/>
        </w:rPr>
        <w:t>means any dividend or other distribution (whether in cash, Equity Interest or other Property) with respect to any Equity Interest of an Obligor or any of its Subsidiaries, or any payment (whether in cash, Equity Interests or other Property), including any sinking fund or similar deposit, on account of the purchase, redemption, retirement, acquisition, cancellation or termination of any Equity Interests of an Obligor or any of its Subsidiaries or any option, warrant or other right to acquire any such Equity Interests of an Obligor or any of its Subsidiaries.</w:t>
      </w:r>
    </w:p>
    <w:p>
      <w:pPr>
        <w:pStyle w:val="TextBody"/>
        <w:bidi w:val="0"/>
        <w:spacing w:before="280" w:after="0"/>
        <w:jc w:val="both"/>
        <w:rPr/>
      </w:pPr>
      <w:r>
        <w:rPr/>
        <w:t>“</w:t>
      </w:r>
      <w:r>
        <w:rPr>
          <w:rFonts w:ascii="Times New Roman;serif" w:hAnsi="Times New Roman;serif"/>
          <w:b w:val="false"/>
          <w:i/>
          <w:sz w:val="20"/>
        </w:rPr>
        <w:t>Restrictive Agreement</w:t>
      </w:r>
      <w:r>
        <w:rPr>
          <w:rFonts w:ascii="Times New Roman" w:hAnsi="Times New Roman"/>
          <w:sz w:val="20"/>
        </w:rPr>
        <w:t xml:space="preserve">” </w:t>
      </w:r>
      <w:r>
        <w:rPr>
          <w:rFonts w:ascii="Times New Roman;serif" w:hAnsi="Times New Roman;serif"/>
          <w:b w:val="false"/>
          <w:sz w:val="20"/>
        </w:rPr>
        <w:t>means any indenture, agreement, instrument or other binding arrangement that prohibits, restricts or imposes any condition upon (a) the ability of an Obligor or any Subsidiary to create, incur or permit to exist any Lien upon any of its Property (other than (i) customary provisions in Contracts (including without limitation leases and in-bound licenses of Intellectual Property) restricting the assignment thereof, (ii) restrictions or conditions imposed by any agreement governing secured Permitted Indebtedness permitted under Section 9.01(g), to the extent that such restrictions or conditions apply only to the Property securing such Indebtedness and (iii) software</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z w:val="20"/>
        </w:rPr>
        <w:t>and other Intellectual Property licenses pursuant to which an Obligor or a Subsidiary thereof is the licensee of the relevant software or Intellectual Property, as the case may be (in which case, any prohibition or limitation shall relate only to the assets or rights subject to the applicable license and/or the license itself)), or (b) the ability of any Subsidiary to pay dividends or other distributions with respect to any shares of its Equity Interests or to make or repay loans or advances to an Obligor or any other Subsidiary or to Guarantee Indebtedness of an Obligor or any other Subsidiary (other than restrictions or encumbrances that do not materially and adversely impact the ability of the Borrower to pay any Obligations when due).</w:t>
      </w:r>
      <w:r>
        <w:rPr>
          <w:rFonts w:ascii="Times New Roman" w:hAnsi="Times New Roman"/>
          <w:sz w:val="20"/>
        </w:rPr>
        <w:t xml:space="preserve"> </w:t>
      </w:r>
    </w:p>
    <w:p>
      <w:pPr>
        <w:pStyle w:val="TextBody"/>
        <w:bidi w:val="0"/>
        <w:spacing w:before="280" w:after="0"/>
        <w:jc w:val="both"/>
        <w:rPr/>
      </w:pPr>
      <w:r>
        <w:rPr/>
        <w:t>“</w:t>
      </w:r>
      <w:r>
        <w:rPr>
          <w:rFonts w:ascii="Times New Roman;serif" w:hAnsi="Times New Roman;serif"/>
          <w:b w:val="false"/>
          <w:i/>
          <w:sz w:val="20"/>
        </w:rPr>
        <w:t>SEC”</w:t>
      </w:r>
      <w:r>
        <w:rPr>
          <w:rFonts w:ascii="Times New Roman" w:hAnsi="Times New Roman"/>
          <w:sz w:val="20"/>
        </w:rPr>
        <w:t xml:space="preserve"> </w:t>
      </w:r>
      <w:r>
        <w:rPr>
          <w:rFonts w:ascii="Times New Roman;serif" w:hAnsi="Times New Roman;serif"/>
          <w:b w:val="false"/>
          <w:sz w:val="20"/>
        </w:rPr>
        <w:t>means United States Securities and Exchange Commission.</w:t>
      </w:r>
    </w:p>
    <w:p>
      <w:pPr>
        <w:pStyle w:val="TextBody"/>
        <w:bidi w:val="0"/>
        <w:spacing w:before="280" w:after="0"/>
        <w:jc w:val="both"/>
        <w:rPr/>
      </w:pPr>
      <w:r>
        <w:rPr/>
        <w:t>“</w:t>
      </w:r>
      <w:r>
        <w:rPr>
          <w:rFonts w:ascii="Times New Roman;serif" w:hAnsi="Times New Roman;serif"/>
          <w:b w:val="false"/>
          <w:i/>
          <w:sz w:val="20"/>
        </w:rPr>
        <w:t>Second Amendment Effective Date”</w:t>
      </w:r>
      <w:r>
        <w:rPr>
          <w:rFonts w:ascii="Times New Roman" w:hAnsi="Times New Roman"/>
          <w:sz w:val="20"/>
        </w:rPr>
        <w:t xml:space="preserve"> </w:t>
      </w:r>
      <w:r>
        <w:rPr>
          <w:rFonts w:ascii="Times New Roman;serif" w:hAnsi="Times New Roman;serif"/>
          <w:b w:val="false"/>
          <w:sz w:val="20"/>
        </w:rPr>
        <w:t>means August 4, 2023.</w:t>
      </w:r>
      <w:r>
        <w:rPr>
          <w:rFonts w:ascii="Times New Roman" w:hAnsi="Times New Roman"/>
          <w:sz w:val="20"/>
        </w:rPr>
        <w:t xml:space="preserve"> </w:t>
      </w:r>
    </w:p>
    <w:p>
      <w:pPr>
        <w:pStyle w:val="TextBody"/>
        <w:bidi w:val="0"/>
        <w:spacing w:before="280" w:after="0"/>
        <w:jc w:val="both"/>
        <w:rPr/>
      </w:pPr>
      <w:r>
        <w:rPr/>
        <w:t>“</w:t>
      </w:r>
      <w:r>
        <w:rPr>
          <w:rFonts w:ascii="Times New Roman;serif" w:hAnsi="Times New Roman;serif"/>
          <w:b w:val="false"/>
          <w:i/>
          <w:sz w:val="20"/>
        </w:rPr>
        <w:t>Securities Account”</w:t>
      </w:r>
      <w:r>
        <w:rPr>
          <w:rFonts w:ascii="Times New Roman" w:hAnsi="Times New Roman"/>
          <w:sz w:val="20"/>
        </w:rPr>
        <w:t xml:space="preserve"> </w:t>
      </w:r>
      <w:r>
        <w:rPr>
          <w:rFonts w:ascii="Times New Roman;serif" w:hAnsi="Times New Roman;serif"/>
          <w:b w:val="false"/>
          <w:sz w:val="20"/>
        </w:rPr>
        <w:t>has the meaning set forth in the Security Agreement.</w:t>
      </w:r>
    </w:p>
    <w:p>
      <w:pPr>
        <w:pStyle w:val="TextBody"/>
        <w:bidi w:val="0"/>
        <w:spacing w:before="280" w:after="0"/>
        <w:jc w:val="both"/>
        <w:rPr/>
      </w:pPr>
      <w:r>
        <w:rPr/>
        <w:t>“</w:t>
      </w:r>
      <w:r>
        <w:rPr>
          <w:rFonts w:ascii="Times New Roman;serif" w:hAnsi="Times New Roman;serif"/>
          <w:b w:val="false"/>
          <w:i/>
          <w:sz w:val="20"/>
        </w:rPr>
        <w:t>Security Agreement”</w:t>
      </w:r>
      <w:r>
        <w:rPr>
          <w:rFonts w:ascii="Times New Roman" w:hAnsi="Times New Roman"/>
          <w:sz w:val="20"/>
        </w:rPr>
        <w:t xml:space="preserve"> </w:t>
      </w:r>
      <w:r>
        <w:rPr>
          <w:rFonts w:ascii="Times New Roman;serif" w:hAnsi="Times New Roman;serif"/>
          <w:b w:val="false"/>
          <w:sz w:val="20"/>
        </w:rPr>
        <w:t>means the Security Agreement, dated as of the Funding Date, in substantially the form of Exhibit G, among the Obligors and the Administrative Agent, granting a security interest in the personal Property constituting Collateral thereunder in favor of the Administrative Agent for the benefit of the Lenders.</w:t>
      </w:r>
    </w:p>
    <w:p>
      <w:pPr>
        <w:pStyle w:val="TextBody"/>
        <w:bidi w:val="0"/>
        <w:spacing w:before="280" w:after="0"/>
        <w:jc w:val="both"/>
        <w:rPr/>
      </w:pPr>
      <w:r>
        <w:rPr/>
        <w:t>“</w:t>
      </w:r>
      <w:r>
        <w:rPr>
          <w:rFonts w:ascii="Times New Roman;serif" w:hAnsi="Times New Roman;serif"/>
          <w:b w:val="false"/>
          <w:i/>
          <w:sz w:val="20"/>
        </w:rPr>
        <w:t>Security Documents”</w:t>
      </w:r>
      <w:r>
        <w:rPr>
          <w:rFonts w:ascii="Times New Roman" w:hAnsi="Times New Roman"/>
          <w:sz w:val="20"/>
        </w:rPr>
        <w:t xml:space="preserve"> </w:t>
      </w:r>
      <w:r>
        <w:rPr>
          <w:rFonts w:ascii="Times New Roman;serif" w:hAnsi="Times New Roman;serif"/>
          <w:b w:val="false"/>
          <w:sz w:val="20"/>
        </w:rPr>
        <w:t>means, collectively, the Security Agreement, each Short</w:t>
        <w:noBreakHyphen/>
        <w:t>Form IP Security Agreement, and each other security document, control agreement or financing statement executed to perfect Liens in favor of the Administrative Agent for the benefit of the Lenders.</w:t>
      </w:r>
    </w:p>
    <w:p>
      <w:pPr>
        <w:pStyle w:val="TextBody"/>
        <w:bidi w:val="0"/>
        <w:spacing w:before="280" w:after="0"/>
        <w:jc w:val="both"/>
        <w:rPr/>
      </w:pPr>
      <w:r>
        <w:rPr/>
        <w:t>“</w:t>
      </w:r>
      <w:r>
        <w:rPr>
          <w:rFonts w:ascii="Times New Roman;serif" w:hAnsi="Times New Roman;serif"/>
          <w:b w:val="false"/>
          <w:i/>
          <w:sz w:val="20"/>
        </w:rPr>
        <w:t>Segregated Health Care Account”</w:t>
      </w:r>
      <w:r>
        <w:rPr>
          <w:rFonts w:ascii="Times New Roman" w:hAnsi="Times New Roman"/>
          <w:sz w:val="20"/>
        </w:rPr>
        <w:t xml:space="preserve"> </w:t>
      </w:r>
      <w:r>
        <w:rPr>
          <w:rFonts w:ascii="Times New Roman;serif" w:hAnsi="Times New Roman;serif"/>
          <w:b w:val="false"/>
          <w:sz w:val="20"/>
        </w:rPr>
        <w:t>means, a Deposit Account of an Obligor in the name of such Obligor and under the sole dominion and control of such Obligor maintained in accordance with the requirements of Section 8.17(c) hereof, the only funds on deposit in which constitute the direct proceeds of payments made by third party payers pertaining to clinical diagnostic testing claims including funds from Federal Health Care Programs.</w:t>
      </w:r>
    </w:p>
    <w:p>
      <w:pPr>
        <w:pStyle w:val="TextBody"/>
        <w:bidi w:val="0"/>
        <w:spacing w:before="280" w:after="0"/>
        <w:jc w:val="both"/>
        <w:rPr/>
      </w:pPr>
      <w:r>
        <w:rPr/>
        <w:t>“</w:t>
      </w:r>
      <w:r>
        <w:rPr>
          <w:rFonts w:ascii="Times New Roman;serif" w:hAnsi="Times New Roman;serif"/>
          <w:b w:val="false"/>
          <w:i/>
          <w:sz w:val="20"/>
        </w:rPr>
        <w:t>Short</w:t>
        <w:noBreakHyphen/>
        <w:t>Form IP Security Agreements”</w:t>
      </w:r>
      <w:r>
        <w:rPr>
          <w:rFonts w:ascii="Times New Roman" w:hAnsi="Times New Roman"/>
          <w:sz w:val="20"/>
        </w:rPr>
        <w:t xml:space="preserve"> </w:t>
      </w:r>
      <w:r>
        <w:rPr>
          <w:rFonts w:ascii="Times New Roman;serif" w:hAnsi="Times New Roman;serif"/>
          <w:b w:val="false"/>
          <w:sz w:val="20"/>
        </w:rPr>
        <w:t>means any short</w:t>
        <w:noBreakHyphen/>
        <w:t>form copyright, patent or trademark (as the case may be) security agreements, in substantially the form of Exhibits H-1 and H-2, entered into by one or more Obligors in favor of the Administrative Agent for the benefit of the Lenders, each in form and substance reasonably satisfactory to the Administrative Agent and as amended, modified or replaced from time to time.</w:t>
      </w:r>
    </w:p>
    <w:p>
      <w:pPr>
        <w:pStyle w:val="TextBody"/>
        <w:bidi w:val="0"/>
        <w:spacing w:before="280" w:after="0"/>
        <w:jc w:val="both"/>
        <w:rPr/>
      </w:pPr>
      <w:r>
        <w:rPr/>
        <w:t>“</w:t>
      </w:r>
      <w:r>
        <w:rPr>
          <w:rFonts w:ascii="Times New Roman;serif" w:hAnsi="Times New Roman;serif"/>
          <w:b w:val="false"/>
          <w:i/>
          <w:sz w:val="20"/>
        </w:rPr>
        <w:t>SOFR</w:t>
      </w:r>
      <w:r>
        <w:rPr>
          <w:rFonts w:ascii="Times New Roman" w:hAnsi="Times New Roman"/>
          <w:sz w:val="20"/>
        </w:rPr>
        <w:t xml:space="preserve">” </w:t>
      </w:r>
      <w:r>
        <w:rPr>
          <w:rFonts w:ascii="Times New Roman;serif" w:hAnsi="Times New Roman;serif"/>
          <w:b w:val="false"/>
          <w:sz w:val="20"/>
        </w:rPr>
        <w:t>means a rate equal to the secured overnight financing rate as administered by the SOFR Administrator.</w:t>
      </w:r>
      <w:r>
        <w:rPr>
          <w:rFonts w:ascii="Times New Roman" w:hAnsi="Times New Roman"/>
          <w:sz w:val="20"/>
        </w:rPr>
        <w:t xml:space="preserve"> </w:t>
      </w:r>
    </w:p>
    <w:p>
      <w:pPr>
        <w:pStyle w:val="TextBody"/>
        <w:bidi w:val="0"/>
        <w:spacing w:before="280" w:after="0"/>
        <w:jc w:val="both"/>
        <w:rPr/>
      </w:pPr>
      <w:r>
        <w:rPr/>
        <w:t>“</w:t>
      </w:r>
      <w:r>
        <w:rPr>
          <w:rFonts w:ascii="Times New Roman;serif" w:hAnsi="Times New Roman;serif"/>
          <w:b w:val="false"/>
          <w:i/>
          <w:sz w:val="20"/>
        </w:rPr>
        <w:t>SOFR Administrator</w:t>
      </w:r>
      <w:r>
        <w:rPr>
          <w:rFonts w:ascii="Times New Roman" w:hAnsi="Times New Roman"/>
          <w:sz w:val="20"/>
        </w:rPr>
        <w:t xml:space="preserve">” </w:t>
      </w:r>
      <w:r>
        <w:rPr>
          <w:rFonts w:ascii="Times New Roman;serif" w:hAnsi="Times New Roman;serif"/>
          <w:b w:val="false"/>
          <w:sz w:val="20"/>
        </w:rPr>
        <w:t>means the Federal Reserve Bank of New York (or a successor administrator of the secured overnight financing rate).</w:t>
      </w:r>
    </w:p>
    <w:p>
      <w:pPr>
        <w:pStyle w:val="TextBody"/>
        <w:bidi w:val="0"/>
        <w:spacing w:before="280" w:after="0"/>
        <w:jc w:val="both"/>
        <w:rPr/>
      </w:pPr>
      <w:r>
        <w:rPr/>
        <w:t>“</w:t>
      </w:r>
      <w:r>
        <w:rPr>
          <w:rFonts w:ascii="Times New Roman;serif" w:hAnsi="Times New Roman;serif"/>
          <w:b w:val="false"/>
          <w:i/>
          <w:sz w:val="20"/>
        </w:rPr>
        <w:t>Solvent”</w:t>
      </w:r>
      <w:r>
        <w:rPr>
          <w:rFonts w:ascii="Times New Roman" w:hAnsi="Times New Roman"/>
          <w:sz w:val="20"/>
        </w:rPr>
        <w:t xml:space="preserve"> </w:t>
      </w:r>
      <w:r>
        <w:rPr>
          <w:rFonts w:ascii="Times New Roman;serif" w:hAnsi="Times New Roman;serif"/>
          <w:b w:val="false"/>
          <w:sz w:val="20"/>
        </w:rPr>
        <w:t>means, with respect to any Person at any time, that (a) the present fair saleable value of the Property of such Person is greater than the total amount of liabilities (including contingent liabilities) of such Person, (b) the present fair saleable value of the Property of such Person is not less than the amount that will be required to pay the probable liability of such Person on its debts as they become absolute and matured and (c) such Person has not incurred and does not intend to, and does not believe that it will, incur debts or liabilities beyond such Person’s ability to pay as such debts and liabilities mature.</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pPr>
      <w:r>
        <w:rPr/>
        <w:t>“</w:t>
      </w:r>
      <w:r>
        <w:rPr>
          <w:rFonts w:ascii="Times New Roman;serif" w:hAnsi="Times New Roman;serif"/>
          <w:b w:val="false"/>
          <w:i/>
          <w:sz w:val="20"/>
        </w:rPr>
        <w:t>Specified Representations</w:t>
      </w:r>
      <w:r>
        <w:rPr>
          <w:rFonts w:ascii="Times New Roman" w:hAnsi="Times New Roman"/>
          <w:sz w:val="20"/>
        </w:rPr>
        <w:t xml:space="preserve">” </w:t>
      </w:r>
      <w:r>
        <w:rPr>
          <w:rFonts w:ascii="Times New Roman;serif" w:hAnsi="Times New Roman;serif"/>
          <w:b w:val="false"/>
          <w:sz w:val="20"/>
        </w:rPr>
        <w:t>means the representations and warranties made by the Borrower and the other Obligors, as applicable, set forth in Section 7.01(a), (b), (d) and (e), 7.02 (solely to the extent relating to this Agreement and the Fee Letter), 7.03(c), 7.04(c), 7.06(a), 7.10(a), 7.12, 7.23, 7.24 and 7.25.</w:t>
      </w:r>
      <w:r>
        <w:rPr>
          <w:rFonts w:ascii="Times New Roman" w:hAnsi="Times New Roman"/>
          <w:sz w:val="20"/>
        </w:rPr>
        <w:t xml:space="preserve"> </w:t>
      </w:r>
    </w:p>
    <w:p>
      <w:pPr>
        <w:pStyle w:val="TextBody"/>
        <w:bidi w:val="0"/>
        <w:spacing w:before="280" w:after="0"/>
        <w:jc w:val="both"/>
        <w:rPr/>
      </w:pPr>
      <w:r>
        <w:rPr/>
        <w:t>“</w:t>
      </w:r>
      <w:r>
        <w:rPr>
          <w:rFonts w:ascii="Times New Roman;serif" w:hAnsi="Times New Roman;serif"/>
          <w:b w:val="false"/>
          <w:i/>
          <w:sz w:val="20"/>
        </w:rPr>
        <w:t>Standard Body”</w:t>
      </w:r>
      <w:r>
        <w:rPr>
          <w:rFonts w:ascii="Times New Roman" w:hAnsi="Times New Roman"/>
          <w:sz w:val="20"/>
        </w:rPr>
        <w:t xml:space="preserve"> </w:t>
      </w:r>
      <w:r>
        <w:rPr>
          <w:rFonts w:ascii="Times New Roman;serif" w:hAnsi="Times New Roman;serif"/>
          <w:b w:val="false"/>
          <w:sz w:val="20"/>
        </w:rPr>
        <w:t>means any of the organizations that create, sponsor or maintain safety, quality or other standards, including ISO, ANSI, CEN and SCC and the like.</w:t>
      </w:r>
    </w:p>
    <w:p>
      <w:pPr>
        <w:pStyle w:val="TextBody"/>
        <w:bidi w:val="0"/>
        <w:spacing w:before="280" w:after="0"/>
        <w:jc w:val="both"/>
        <w:rPr/>
      </w:pPr>
      <w:r>
        <w:rPr/>
        <w:t>“</w:t>
      </w:r>
      <w:r>
        <w:rPr>
          <w:rFonts w:ascii="Times New Roman;serif" w:hAnsi="Times New Roman;serif"/>
          <w:b w:val="false"/>
          <w:i/>
          <w:sz w:val="20"/>
        </w:rPr>
        <w:t>Stated Maturity Date”</w:t>
      </w:r>
      <w:r>
        <w:rPr>
          <w:rFonts w:ascii="Times New Roman" w:hAnsi="Times New Roman"/>
          <w:sz w:val="20"/>
        </w:rPr>
        <w:t xml:space="preserve"> </w:t>
      </w:r>
      <w:r>
        <w:rPr>
          <w:rFonts w:ascii="Times New Roman;serif" w:hAnsi="Times New Roman;serif"/>
          <w:b w:val="false"/>
          <w:sz w:val="20"/>
        </w:rPr>
        <w:t>means the fifth (5</w:t>
      </w:r>
      <w:r>
        <w:rPr>
          <w:rFonts w:ascii="Times New Roman;serif" w:hAnsi="Times New Roman;serif"/>
          <w:b w:val="false"/>
          <w:sz w:val="13"/>
        </w:rPr>
        <w:t>th</w:t>
      </w:r>
      <w:r>
        <w:rPr>
          <w:rFonts w:ascii="Times New Roman;serif" w:hAnsi="Times New Roman;serif"/>
          <w:b w:val="false"/>
          <w:sz w:val="20"/>
        </w:rPr>
        <w:t xml:space="preserve">) anniversary of the Funding Date;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 if any such date shall occur on a day that is not a Business Day, then the Stated Maturity Date shall be the immediately succeeding Business Day.</w:t>
      </w:r>
    </w:p>
    <w:p>
      <w:pPr>
        <w:pStyle w:val="TextBody"/>
        <w:bidi w:val="0"/>
        <w:spacing w:before="280" w:after="0"/>
        <w:jc w:val="both"/>
        <w:rPr/>
      </w:pPr>
      <w:r>
        <w:rPr/>
        <w:t>“</w:t>
      </w:r>
      <w:r>
        <w:rPr>
          <w:rFonts w:ascii="Times New Roman;serif" w:hAnsi="Times New Roman;serif"/>
          <w:b w:val="false"/>
          <w:i/>
          <w:sz w:val="20"/>
        </w:rPr>
        <w:t>Subsidiary”</w:t>
      </w:r>
      <w:r>
        <w:rPr>
          <w:rFonts w:ascii="Times New Roman" w:hAnsi="Times New Roman"/>
          <w:sz w:val="20"/>
        </w:rPr>
        <w:t xml:space="preserve"> </w:t>
      </w:r>
      <w:r>
        <w:rPr>
          <w:rFonts w:ascii="Times New Roman;serif" w:hAnsi="Times New Roman;serif"/>
          <w:b w:val="false"/>
          <w:sz w:val="20"/>
        </w:rPr>
        <w:t xml:space="preserve">means, with respect to any Person (the </w:t>
      </w:r>
      <w:r>
        <w:rPr>
          <w:rFonts w:ascii="Times New Roman" w:hAnsi="Times New Roman"/>
          <w:sz w:val="20"/>
        </w:rPr>
        <w:t>“</w:t>
      </w:r>
      <w:r>
        <w:rPr>
          <w:rFonts w:ascii="Times New Roman;serif" w:hAnsi="Times New Roman;serif"/>
          <w:b w:val="false"/>
          <w:i/>
          <w:sz w:val="20"/>
        </w:rPr>
        <w:t>parent”</w:t>
      </w:r>
      <w:r>
        <w:rPr>
          <w:rFonts w:ascii="Times New Roman;serif" w:hAnsi="Times New Roman;serif"/>
          <w:b w:val="false"/>
          <w:sz w:val="20"/>
        </w:rPr>
        <w:t>) at any time of determination, any other Person of which more than 50% of the outstanding capital stock of such other Person having ordinary voting powers, determined on a fully diluted basis, is at the time directly or indirectly owned or Controlled by the parent. Unless the context otherwise specifically requires, the term “Subsidiary” shall be a reference to a Subsidiary of the Borrower.</w:t>
      </w:r>
    </w:p>
    <w:p>
      <w:pPr>
        <w:pStyle w:val="TextBody"/>
        <w:bidi w:val="0"/>
        <w:spacing w:before="280" w:after="0"/>
        <w:jc w:val="both"/>
        <w:rPr/>
      </w:pPr>
      <w:r>
        <w:rPr/>
        <w:t>“</w:t>
      </w:r>
      <w:r>
        <w:rPr>
          <w:rFonts w:ascii="Times New Roman;serif" w:hAnsi="Times New Roman;serif"/>
          <w:b w:val="false"/>
          <w:i/>
          <w:sz w:val="20"/>
        </w:rPr>
        <w:t>Sweep Agreement</w:t>
      </w:r>
      <w:r>
        <w:rPr>
          <w:rFonts w:ascii="Times New Roman" w:hAnsi="Times New Roman"/>
          <w:sz w:val="20"/>
        </w:rPr>
        <w:t xml:space="preserve">” </w:t>
      </w:r>
      <w:r>
        <w:rPr>
          <w:rFonts w:ascii="Times New Roman;serif" w:hAnsi="Times New Roman;serif"/>
          <w:b w:val="false"/>
          <w:sz w:val="20"/>
        </w:rPr>
        <w:t>means an agreement, in form and substance reasonably satisfactory to Agent, between the Obligor maintaining a Segregated Health Care Account, Administrative Agent and applicable bank or other financial institution at which such Segregated Health Care Account is maintained, pursuant to which such bank or financial institution (a) agrees to automatically sweep amounts deposited in such Segregated Health Care Account to a Controlled Account satisfying the requirements set forth in Section 8.17(c) hereof, as and when funds clear and become available in accordance with such bank’s or financial institution’s standard practices and procedures and (b) agrees not to change such standing sweep instructions until the date at least five (5) days (or such lesser period as Administrative Agent may agree in its reasonable discretion or as may be required by applicable Federal Health Care Program laws or policies after receipt of notice from such Obligor maintaining such Segregated Health Care Account by the Administrative Agent and such bank or financial institution of the termination of such standing sweep instruction).</w:t>
      </w:r>
    </w:p>
    <w:p>
      <w:pPr>
        <w:pStyle w:val="TextBody"/>
        <w:bidi w:val="0"/>
        <w:spacing w:before="280" w:after="0"/>
        <w:jc w:val="both"/>
        <w:rPr/>
      </w:pPr>
      <w:r>
        <w:rPr/>
        <w:t>“</w:t>
      </w:r>
      <w:r>
        <w:rPr>
          <w:rFonts w:ascii="Times New Roman;serif" w:hAnsi="Times New Roman;serif"/>
          <w:b w:val="false"/>
          <w:i/>
          <w:sz w:val="20"/>
        </w:rPr>
        <w:t>Taxes”</w:t>
      </w:r>
      <w:r>
        <w:rPr>
          <w:rFonts w:ascii="Times New Roman" w:hAnsi="Times New Roman"/>
          <w:sz w:val="20"/>
        </w:rPr>
        <w:t xml:space="preserve"> </w:t>
      </w:r>
      <w:r>
        <w:rPr>
          <w:rFonts w:ascii="Times New Roman;serif" w:hAnsi="Times New Roman;serif"/>
          <w:b w:val="false"/>
          <w:sz w:val="20"/>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280" w:after="0"/>
        <w:jc w:val="both"/>
        <w:rPr/>
      </w:pPr>
      <w:r>
        <w:rPr/>
        <w:t>“</w:t>
      </w:r>
      <w:r>
        <w:rPr>
          <w:rFonts w:ascii="Times New Roman;serif" w:hAnsi="Times New Roman;serif"/>
          <w:b w:val="false"/>
          <w:i/>
          <w:sz w:val="20"/>
        </w:rPr>
        <w:t>Technical Information”</w:t>
      </w:r>
      <w:r>
        <w:rPr>
          <w:rFonts w:ascii="Times New Roman" w:hAnsi="Times New Roman"/>
          <w:sz w:val="20"/>
        </w:rPr>
        <w:t xml:space="preserve"> </w:t>
      </w:r>
      <w:r>
        <w:rPr>
          <w:rFonts w:ascii="Times New Roman;serif" w:hAnsi="Times New Roman;serif"/>
          <w:b w:val="false"/>
          <w:sz w:val="20"/>
        </w:rPr>
        <w:t>means all trade secrets and other proprietary or confidential information, which may include any proprietary information of a scientific, technical, or business nature in any form or medium, standards and specifications, conceptions, ideas, innovations, discoveries, Invention disclosures, all documented research, developmental, demonstration or engineering work, data, plans, specifications, reports, summaries, experimental data, manuals, models, samples, know</w:t>
        <w:noBreakHyphen/>
        <w:t>how, technical information, systems, methodologies, computer programs or information technology.</w:t>
      </w:r>
    </w:p>
    <w:p>
      <w:pPr>
        <w:pStyle w:val="TextBody"/>
        <w:bidi w:val="0"/>
        <w:spacing w:before="280" w:after="0"/>
        <w:jc w:val="both"/>
        <w:rPr/>
      </w:pPr>
      <w:r>
        <w:rPr/>
        <w:t>“</w:t>
      </w:r>
      <w:r>
        <w:rPr>
          <w:rFonts w:ascii="Times New Roman;serif" w:hAnsi="Times New Roman;serif"/>
          <w:b w:val="false"/>
          <w:i/>
          <w:sz w:val="20"/>
        </w:rPr>
        <w:t>Term Loans”</w:t>
      </w:r>
      <w:r>
        <w:rPr>
          <w:rFonts w:ascii="Times New Roman" w:hAnsi="Times New Roman"/>
          <w:sz w:val="20"/>
        </w:rPr>
        <w:t xml:space="preserve"> </w:t>
      </w:r>
      <w:r>
        <w:rPr>
          <w:rFonts w:ascii="Times New Roman;serif" w:hAnsi="Times New Roman;serif"/>
          <w:b w:val="false"/>
          <w:sz w:val="20"/>
        </w:rPr>
        <w:t>means the Tranche A Loan, the Tranche B Loan and the Tranche C Loan.</w:t>
      </w:r>
    </w:p>
    <w:p>
      <w:pPr>
        <w:pStyle w:val="TextBody"/>
        <w:bidi w:val="0"/>
        <w:spacing w:before="280" w:after="0"/>
        <w:jc w:val="both"/>
        <w:rPr/>
      </w:pPr>
      <w:r>
        <w:rPr/>
        <w:t>“</w:t>
      </w:r>
      <w:r>
        <w:rPr>
          <w:rFonts w:ascii="Times New Roman;serif" w:hAnsi="Times New Roman;serif"/>
          <w:b w:val="false"/>
          <w:i/>
          <w:sz w:val="20"/>
        </w:rPr>
        <w:t>Term SOFR</w:t>
      </w:r>
      <w:r>
        <w:rPr>
          <w:rFonts w:ascii="Times New Roman" w:hAnsi="Times New Roman"/>
          <w:sz w:val="20"/>
        </w:rPr>
        <w:t xml:space="preserve">” </w:t>
      </w:r>
      <w:r>
        <w:rPr>
          <w:rFonts w:ascii="Times New Roman;serif" w:hAnsi="Times New Roman;serif"/>
          <w:b w:val="false"/>
          <w:sz w:val="20"/>
        </w:rPr>
        <w:t xml:space="preserve">means the Term SOFR Reference Rate for a tenor comparable to the applicable Interest Period on the day (such day, the </w:t>
      </w:r>
      <w:r>
        <w:rPr>
          <w:rFonts w:ascii="Times New Roman" w:hAnsi="Times New Roman"/>
          <w:sz w:val="20"/>
        </w:rPr>
        <w:t>“</w:t>
      </w:r>
      <w:r>
        <w:rPr>
          <w:rFonts w:ascii="Times New Roman;serif" w:hAnsi="Times New Roman;serif"/>
          <w:b w:val="false"/>
          <w:i/>
          <w:sz w:val="20"/>
        </w:rPr>
        <w:t>Periodic Term SOFR Determination Day”</w:t>
      </w:r>
      <w:r>
        <w:rPr>
          <w:rFonts w:ascii="Times New Roman;serif" w:hAnsi="Times New Roman;serif"/>
          <w:b w:val="false"/>
          <w:sz w:val="20"/>
        </w:rPr>
        <w:t>) that is two (2) U.S. Government Securities Business Days prior to the first day of such Interest Period, as such rate is published by the Term SOFR Administrator</w:t>
      </w:r>
      <w:r>
        <w:rPr>
          <w:rFonts w:ascii="Times New Roman;serif" w:hAnsi="Times New Roman;serif"/>
          <w:b w:val="false"/>
          <w:i/>
          <w:sz w:val="20"/>
        </w:rPr>
        <w:t>; provided, however</w:t>
      </w:r>
      <w:r>
        <w:rPr>
          <w:rFonts w:ascii="Times New Roman;serif" w:hAnsi="Times New Roman;serif"/>
          <w:b w:val="false"/>
          <w:sz w:val="20"/>
        </w:rPr>
        <w:t>, that if as of 5:00 p.m. (New York City time) on any Periodic Term SOFR Determination Day the Term SOFR Reference Rate for the applicable tenor has not been published by the Term SOFR Administrator and a</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w:t>
      </w:r>
      <w:r>
        <w:rPr>
          <w:rFonts w:ascii="Times New Roman;serif" w:hAnsi="Times New Roman;serif"/>
          <w:b w:val="false"/>
          <w:i/>
          <w:sz w:val="20"/>
        </w:rPr>
        <w:t>provided, further</w:t>
      </w:r>
      <w:r>
        <w:rPr>
          <w:rFonts w:ascii="Times New Roman;serif" w:hAnsi="Times New Roman;serif"/>
          <w:b w:val="false"/>
          <w:sz w:val="20"/>
        </w:rPr>
        <w:t xml:space="preserve">, Term SOFR shall be rounded upwards to the next 1/100% (if necessary); </w:t>
      </w:r>
      <w:r>
        <w:rPr>
          <w:rFonts w:ascii="Times New Roman;serif" w:hAnsi="Times New Roman;serif"/>
          <w:b w:val="false"/>
          <w:i/>
          <w:sz w:val="20"/>
        </w:rPr>
        <w:t>provided, further, however</w:t>
      </w:r>
      <w:r>
        <w:rPr>
          <w:rFonts w:ascii="Times New Roman;serif" w:hAnsi="Times New Roman;serif"/>
          <w:b w:val="false"/>
          <w:sz w:val="20"/>
        </w:rPr>
        <w:t>, if Term SOFR as so determined shall ever be less than the Floor, then Term SOFR shall be deemed to be the Floor.</w:t>
      </w:r>
    </w:p>
    <w:p>
      <w:pPr>
        <w:pStyle w:val="TextBody"/>
        <w:bidi w:val="0"/>
        <w:spacing w:before="280" w:after="0"/>
        <w:jc w:val="both"/>
        <w:rPr/>
      </w:pPr>
      <w:r>
        <w:rPr/>
        <w:t>“</w:t>
      </w:r>
      <w:r>
        <w:rPr>
          <w:rFonts w:ascii="Times New Roman;serif" w:hAnsi="Times New Roman;serif"/>
          <w:b w:val="false"/>
          <w:i/>
          <w:sz w:val="20"/>
        </w:rPr>
        <w:t>Term SOFR Administrator</w:t>
      </w:r>
      <w:r>
        <w:rPr>
          <w:rFonts w:ascii="Times New Roman" w:hAnsi="Times New Roman"/>
          <w:sz w:val="20"/>
        </w:rPr>
        <w:t xml:space="preserve">” </w:t>
      </w:r>
      <w:r>
        <w:rPr>
          <w:rFonts w:ascii="Times New Roman;serif" w:hAnsi="Times New Roman;serif"/>
          <w:b w:val="false"/>
          <w:sz w:val="20"/>
        </w:rPr>
        <w:t>means CME Group Benchmark Administration Limited (CBA) (or a successor administrator of the Term SOFR Reference Rate selected by the Administrative Agent in its reasonable discretion).</w:t>
      </w:r>
    </w:p>
    <w:p>
      <w:pPr>
        <w:pStyle w:val="TextBody"/>
        <w:bidi w:val="0"/>
        <w:spacing w:before="280" w:after="0"/>
        <w:jc w:val="both"/>
        <w:rPr/>
      </w:pPr>
      <w:r>
        <w:rPr/>
        <w:t>“</w:t>
      </w:r>
      <w:r>
        <w:rPr>
          <w:rFonts w:ascii="Times New Roman;serif" w:hAnsi="Times New Roman;serif"/>
          <w:b w:val="false"/>
          <w:i/>
          <w:sz w:val="20"/>
        </w:rPr>
        <w:t>Term SOFR Reference Rate</w:t>
      </w:r>
      <w:r>
        <w:rPr>
          <w:rFonts w:ascii="Times New Roman" w:hAnsi="Times New Roman"/>
          <w:sz w:val="20"/>
        </w:rPr>
        <w:t xml:space="preserve">” </w:t>
      </w:r>
      <w:r>
        <w:rPr>
          <w:rFonts w:ascii="Times New Roman;serif" w:hAnsi="Times New Roman;serif"/>
          <w:b w:val="false"/>
          <w:sz w:val="20"/>
        </w:rPr>
        <w:t>means the forward-looking term rate based on SOFR.</w:t>
      </w:r>
    </w:p>
    <w:p>
      <w:pPr>
        <w:pStyle w:val="TextBody"/>
        <w:bidi w:val="0"/>
        <w:spacing w:before="280" w:after="0"/>
        <w:jc w:val="both"/>
        <w:rPr/>
      </w:pPr>
      <w:r>
        <w:rPr/>
        <w:t>“</w:t>
      </w:r>
      <w:r>
        <w:rPr>
          <w:rFonts w:ascii="Times New Roman;serif" w:hAnsi="Times New Roman;serif"/>
          <w:b w:val="false"/>
          <w:i/>
          <w:sz w:val="20"/>
        </w:rPr>
        <w:t>Title IV Plan”</w:t>
      </w:r>
      <w:r>
        <w:rPr>
          <w:rFonts w:ascii="Times New Roman" w:hAnsi="Times New Roman"/>
          <w:sz w:val="20"/>
        </w:rPr>
        <w:t xml:space="preserve"> </w:t>
      </w:r>
      <w:r>
        <w:rPr>
          <w:rFonts w:ascii="Times New Roman;serif" w:hAnsi="Times New Roman;serif"/>
          <w:b w:val="false"/>
          <w:sz w:val="20"/>
        </w:rPr>
        <w:t>means an “employee benefit plan” as defined in Section 3(3) of ERISA (other than a Multiemployer Plan) (a) that is maintained. sponsored or contributed to by any Obligor or with respect to which any Obligor has or may have liability (including on account of an ERISA Affiliate) and (b) that is or was subject to Section 412 of the Code, Section 302 of ERISA or Title IV of ERISA.</w:t>
      </w:r>
    </w:p>
    <w:p>
      <w:pPr>
        <w:pStyle w:val="TextBody"/>
        <w:bidi w:val="0"/>
        <w:spacing w:before="280" w:after="0"/>
        <w:jc w:val="both"/>
        <w:rPr/>
      </w:pPr>
      <w:r>
        <w:rPr/>
        <w:t>“</w:t>
      </w:r>
      <w:r>
        <w:rPr>
          <w:rFonts w:ascii="Times New Roman;serif" w:hAnsi="Times New Roman;serif"/>
          <w:b w:val="false"/>
          <w:i/>
          <w:sz w:val="20"/>
        </w:rPr>
        <w:t>Trademarks”</w:t>
      </w:r>
      <w:r>
        <w:rPr>
          <w:rFonts w:ascii="Times New Roman" w:hAnsi="Times New Roman"/>
          <w:sz w:val="20"/>
        </w:rPr>
        <w:t xml:space="preserve"> </w:t>
      </w:r>
      <w:r>
        <w:rPr>
          <w:rFonts w:ascii="Times New Roman;serif" w:hAnsi="Times New Roman;serif"/>
          <w:b w:val="false"/>
          <w:sz w:val="20"/>
        </w:rPr>
        <w:t>has the meaning set forth in the Security Documents.</w:t>
      </w:r>
    </w:p>
    <w:p>
      <w:pPr>
        <w:pStyle w:val="TextBody"/>
        <w:bidi w:val="0"/>
        <w:spacing w:before="280" w:after="0"/>
        <w:jc w:val="both"/>
        <w:rPr/>
      </w:pPr>
      <w:r>
        <w:rPr/>
        <w:t>“</w:t>
      </w:r>
      <w:r>
        <w:rPr>
          <w:rFonts w:ascii="Times New Roman;serif" w:hAnsi="Times New Roman;serif"/>
          <w:b w:val="false"/>
          <w:i/>
          <w:sz w:val="20"/>
        </w:rPr>
        <w:t>Tranche A Loan</w:t>
      </w:r>
      <w:r>
        <w:rPr>
          <w:rFonts w:ascii="Times New Roman" w:hAnsi="Times New Roman"/>
          <w:sz w:val="20"/>
        </w:rPr>
        <w:t xml:space="preserve">” </w:t>
      </w:r>
      <w:r>
        <w:rPr>
          <w:rFonts w:ascii="Times New Roman;serif" w:hAnsi="Times New Roman;serif"/>
          <w:b w:val="false"/>
          <w:sz w:val="20"/>
        </w:rPr>
        <w:t>means each loan advanced by a Lender pursuant to Section 2.01(a). For purposes of clarification, any calculation of the aggregate outstanding principal amount of the Tranche A Loan on any date of determination shall mean the aggregate principal amount of the Tranche A Loan made pursuant to Section 2.01(a) that has not yet been repaid as of such date.</w:t>
      </w:r>
    </w:p>
    <w:p>
      <w:pPr>
        <w:pStyle w:val="TextBody"/>
        <w:bidi w:val="0"/>
        <w:spacing w:before="280" w:after="0"/>
        <w:jc w:val="both"/>
        <w:rPr/>
      </w:pPr>
      <w:r>
        <w:rPr/>
        <w:t>“</w:t>
      </w:r>
      <w:r>
        <w:rPr>
          <w:rFonts w:ascii="Times New Roman;serif" w:hAnsi="Times New Roman;serif"/>
          <w:b w:val="false"/>
          <w:i/>
          <w:sz w:val="20"/>
        </w:rPr>
        <w:t>Tranche A Loan Commitment</w:t>
      </w:r>
      <w:r>
        <w:rPr>
          <w:rFonts w:ascii="Times New Roman" w:hAnsi="Times New Roman"/>
          <w:sz w:val="20"/>
        </w:rPr>
        <w:t xml:space="preserve">” </w:t>
      </w:r>
      <w:r>
        <w:rPr>
          <w:rFonts w:ascii="Times New Roman;serif" w:hAnsi="Times New Roman;serif"/>
          <w:b w:val="false"/>
          <w:sz w:val="20"/>
        </w:rPr>
        <w:t xml:space="preserve">means the commitment of a Lender to make or otherwise fund a Tranche A Loan and </w:t>
      </w:r>
      <w:r>
        <w:rPr>
          <w:rFonts w:ascii="Times New Roman" w:hAnsi="Times New Roman"/>
          <w:sz w:val="20"/>
        </w:rPr>
        <w:t>“</w:t>
      </w:r>
      <w:r>
        <w:rPr>
          <w:rFonts w:ascii="Times New Roman;serif" w:hAnsi="Times New Roman;serif"/>
          <w:b w:val="false"/>
          <w:i/>
          <w:sz w:val="20"/>
        </w:rPr>
        <w:t>Tranche A Loan Commitments”</w:t>
      </w:r>
      <w:r>
        <w:rPr>
          <w:rFonts w:ascii="Times New Roman" w:hAnsi="Times New Roman"/>
          <w:sz w:val="20"/>
        </w:rPr>
        <w:t xml:space="preserve"> </w:t>
      </w:r>
      <w:r>
        <w:rPr>
          <w:rFonts w:ascii="Times New Roman;serif" w:hAnsi="Times New Roman;serif"/>
          <w:b w:val="false"/>
          <w:sz w:val="20"/>
        </w:rPr>
        <w:t>means such commitments of all Lenders in the aggregate. The amount of each Lender’s Tranche A Loan Commitment, if any, is set forth on Schedule 1. The aggregate amount of the Tranche A Loan Commitments as of the Closing Date is $30,000,000.</w:t>
      </w:r>
    </w:p>
    <w:p>
      <w:pPr>
        <w:pStyle w:val="TextBody"/>
        <w:bidi w:val="0"/>
        <w:spacing w:before="280" w:after="0"/>
        <w:jc w:val="both"/>
        <w:rPr/>
      </w:pPr>
      <w:r>
        <w:rPr/>
        <w:t>“</w:t>
      </w:r>
      <w:r>
        <w:rPr>
          <w:rFonts w:ascii="Times New Roman;serif" w:hAnsi="Times New Roman;serif"/>
          <w:b w:val="false"/>
          <w:i/>
          <w:sz w:val="20"/>
        </w:rPr>
        <w:t>Tranche B Loan</w:t>
      </w:r>
      <w:r>
        <w:rPr>
          <w:rFonts w:ascii="Times New Roman" w:hAnsi="Times New Roman"/>
          <w:sz w:val="20"/>
        </w:rPr>
        <w:t xml:space="preserve">” </w:t>
      </w:r>
      <w:r>
        <w:rPr>
          <w:rFonts w:ascii="Times New Roman;serif" w:hAnsi="Times New Roman;serif"/>
          <w:b w:val="false"/>
          <w:sz w:val="20"/>
        </w:rPr>
        <w:t>means each loan advanced by a Lender pursuant to Section 2.01(b). For purposes of clarification, any calculation of the aggregate outstanding principal amount of the Tranche B Loan on any date of determination shall mean the aggregate principal amount of the Tranche B Loan made pursuant to Section 2.01(b) that has not yet been repaid as of such date.</w:t>
      </w:r>
    </w:p>
    <w:p>
      <w:pPr>
        <w:pStyle w:val="TextBody"/>
        <w:bidi w:val="0"/>
        <w:spacing w:before="280" w:after="0"/>
        <w:jc w:val="both"/>
        <w:rPr/>
      </w:pPr>
      <w:r>
        <w:rPr/>
        <w:t>“</w:t>
      </w:r>
      <w:r>
        <w:rPr>
          <w:rFonts w:ascii="Times New Roman;serif" w:hAnsi="Times New Roman;serif"/>
          <w:b w:val="false"/>
          <w:i/>
          <w:sz w:val="20"/>
        </w:rPr>
        <w:t>Tranche B Loan Borrowing Date</w:t>
      </w:r>
      <w:r>
        <w:rPr>
          <w:rFonts w:ascii="Times New Roman" w:hAnsi="Times New Roman"/>
          <w:sz w:val="20"/>
        </w:rPr>
        <w:t xml:space="preserve">” </w:t>
      </w:r>
      <w:r>
        <w:rPr>
          <w:rFonts w:ascii="Times New Roman;serif" w:hAnsi="Times New Roman;serif"/>
          <w:b w:val="false"/>
          <w:sz w:val="20"/>
        </w:rPr>
        <w:t>means with respect to the Tranche B Loan, the Business Day on which all conditions set forth in Section 6.03 have been satisfied or waived by the Lenders and the Tranche B Loan is made hereunder.</w:t>
      </w:r>
    </w:p>
    <w:p>
      <w:pPr>
        <w:pStyle w:val="TextBody"/>
        <w:bidi w:val="0"/>
        <w:spacing w:before="280" w:after="0"/>
        <w:jc w:val="both"/>
        <w:rPr/>
      </w:pPr>
      <w:r>
        <w:rPr/>
        <w:t>“</w:t>
      </w:r>
      <w:r>
        <w:rPr>
          <w:rFonts w:ascii="Times New Roman;serif" w:hAnsi="Times New Roman;serif"/>
          <w:b w:val="false"/>
          <w:i/>
          <w:sz w:val="20"/>
        </w:rPr>
        <w:t>Tranche B Loan Commitment</w:t>
      </w:r>
      <w:r>
        <w:rPr>
          <w:rFonts w:ascii="Times New Roman" w:hAnsi="Times New Roman"/>
          <w:sz w:val="20"/>
        </w:rPr>
        <w:t xml:space="preserve">” </w:t>
      </w:r>
      <w:r>
        <w:rPr>
          <w:rFonts w:ascii="Times New Roman;serif" w:hAnsi="Times New Roman;serif"/>
          <w:b w:val="false"/>
          <w:sz w:val="20"/>
        </w:rPr>
        <w:t xml:space="preserve">means the commitment of a Lender to make or otherwise fund a Tranche B Loan and </w:t>
      </w:r>
      <w:r>
        <w:rPr>
          <w:rFonts w:ascii="Times New Roman" w:hAnsi="Times New Roman"/>
          <w:sz w:val="20"/>
        </w:rPr>
        <w:t>“</w:t>
      </w:r>
      <w:r>
        <w:rPr>
          <w:rFonts w:ascii="Times New Roman;serif" w:hAnsi="Times New Roman;serif"/>
          <w:b w:val="false"/>
          <w:i/>
          <w:sz w:val="20"/>
        </w:rPr>
        <w:t>Tranche B Loan Commitments”</w:t>
      </w:r>
      <w:r>
        <w:rPr>
          <w:rFonts w:ascii="Times New Roman" w:hAnsi="Times New Roman"/>
          <w:sz w:val="20"/>
        </w:rPr>
        <w:t xml:space="preserve"> </w:t>
      </w:r>
      <w:r>
        <w:rPr>
          <w:rFonts w:ascii="Times New Roman;serif" w:hAnsi="Times New Roman;serif"/>
          <w:b w:val="false"/>
          <w:sz w:val="20"/>
        </w:rPr>
        <w:t>means such commitments of all Lenders in the aggregate. The amount of each Lender’s Tranche B Loan Commitment, if any, is set forth on Schedule 1. The aggregate amount of the Tranche B Loan Commitments as of the Closing Date is $10,000,000.</w:t>
      </w:r>
    </w:p>
    <w:p>
      <w:pPr>
        <w:pStyle w:val="TextBody"/>
        <w:bidi w:val="0"/>
        <w:spacing w:before="280" w:after="0"/>
        <w:jc w:val="both"/>
        <w:rPr/>
      </w:pPr>
      <w:r>
        <w:rPr/>
        <w:t>“</w:t>
      </w:r>
      <w:r>
        <w:rPr>
          <w:rFonts w:ascii="Times New Roman;serif" w:hAnsi="Times New Roman;serif"/>
          <w:b w:val="false"/>
          <w:i/>
          <w:sz w:val="20"/>
        </w:rPr>
        <w:t>Tranche B Loan Commitment Termination Date</w:t>
      </w:r>
      <w:r>
        <w:rPr>
          <w:rFonts w:ascii="Times New Roman" w:hAnsi="Times New Roman"/>
          <w:sz w:val="20"/>
        </w:rPr>
        <w:t xml:space="preserve">” </w:t>
      </w:r>
      <w:r>
        <w:rPr>
          <w:rFonts w:ascii="Times New Roman;serif" w:hAnsi="Times New Roman;serif"/>
          <w:b w:val="false"/>
          <w:sz w:val="20"/>
        </w:rPr>
        <w:t>means December 31, 2023.</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pPr>
      <w:r>
        <w:rPr/>
        <w:t>“</w:t>
      </w:r>
      <w:r>
        <w:rPr>
          <w:rFonts w:ascii="Times New Roman;serif" w:hAnsi="Times New Roman;serif"/>
          <w:b w:val="false"/>
          <w:i/>
          <w:sz w:val="20"/>
        </w:rPr>
        <w:t>Tranche C Loan</w:t>
      </w:r>
      <w:r>
        <w:rPr>
          <w:rFonts w:ascii="Times New Roman" w:hAnsi="Times New Roman"/>
          <w:sz w:val="20"/>
        </w:rPr>
        <w:t xml:space="preserve">” </w:t>
      </w:r>
      <w:r>
        <w:rPr>
          <w:rFonts w:ascii="Times New Roman;serif" w:hAnsi="Times New Roman;serif"/>
          <w:b w:val="false"/>
          <w:sz w:val="20"/>
        </w:rPr>
        <w:t>means each loan advanced by a Lender pursuant to Section 2.01(c). For purposes of clarification, any calculation of the aggregate outstanding principal amount of the Tranche C Loan on any date of determination shall mean the aggregate principal amount of the Tranche C Loan made pursuant to Section 2.01(c) that has not yet been repaid as of such date.</w:t>
      </w:r>
    </w:p>
    <w:p>
      <w:pPr>
        <w:pStyle w:val="TextBody"/>
        <w:bidi w:val="0"/>
        <w:spacing w:before="280" w:after="0"/>
        <w:jc w:val="both"/>
        <w:rPr/>
      </w:pPr>
      <w:r>
        <w:rPr/>
        <w:t>“</w:t>
      </w:r>
      <w:r>
        <w:rPr>
          <w:rFonts w:ascii="Times New Roman;serif" w:hAnsi="Times New Roman;serif"/>
          <w:b w:val="false"/>
          <w:i/>
          <w:sz w:val="20"/>
        </w:rPr>
        <w:t>Tranche C Loan Borrowing Date</w:t>
      </w:r>
      <w:r>
        <w:rPr>
          <w:rFonts w:ascii="Times New Roman" w:hAnsi="Times New Roman"/>
          <w:sz w:val="20"/>
        </w:rPr>
        <w:t xml:space="preserve">” </w:t>
      </w:r>
      <w:r>
        <w:rPr>
          <w:rFonts w:ascii="Times New Roman;serif" w:hAnsi="Times New Roman;serif"/>
          <w:b w:val="false"/>
          <w:sz w:val="20"/>
        </w:rPr>
        <w:t>means with respect to the Tranche C Loan, the Business Day on which all conditions set forth in Section 6.04 have been satisfied or waived by the Lenders and the Tranche C Loan is made hereunder.</w:t>
      </w:r>
    </w:p>
    <w:p>
      <w:pPr>
        <w:pStyle w:val="TextBody"/>
        <w:bidi w:val="0"/>
        <w:spacing w:before="280" w:after="0"/>
        <w:jc w:val="both"/>
        <w:rPr/>
      </w:pPr>
      <w:r>
        <w:rPr/>
        <w:t>“</w:t>
      </w:r>
      <w:r>
        <w:rPr>
          <w:rFonts w:ascii="Times New Roman;serif" w:hAnsi="Times New Roman;serif"/>
          <w:b w:val="false"/>
          <w:i/>
          <w:sz w:val="20"/>
        </w:rPr>
        <w:t>Tranche C Loan Commitment</w:t>
      </w:r>
      <w:r>
        <w:rPr>
          <w:rFonts w:ascii="Times New Roman" w:hAnsi="Times New Roman"/>
          <w:sz w:val="20"/>
        </w:rPr>
        <w:t xml:space="preserve">” </w:t>
      </w:r>
      <w:r>
        <w:rPr>
          <w:rFonts w:ascii="Times New Roman;serif" w:hAnsi="Times New Roman;serif"/>
          <w:b w:val="false"/>
          <w:sz w:val="20"/>
        </w:rPr>
        <w:t xml:space="preserve">means the commitment of a Lender to make or otherwise fund a Tranche C Loan and </w:t>
      </w:r>
      <w:r>
        <w:rPr>
          <w:rFonts w:ascii="Times New Roman" w:hAnsi="Times New Roman"/>
          <w:sz w:val="20"/>
        </w:rPr>
        <w:t>“</w:t>
      </w:r>
      <w:r>
        <w:rPr>
          <w:rFonts w:ascii="Times New Roman;serif" w:hAnsi="Times New Roman;serif"/>
          <w:b w:val="false"/>
          <w:i/>
          <w:sz w:val="20"/>
        </w:rPr>
        <w:t>Tranche C Loan Commitments”</w:t>
      </w:r>
      <w:r>
        <w:rPr>
          <w:rFonts w:ascii="Times New Roman" w:hAnsi="Times New Roman"/>
          <w:sz w:val="20"/>
        </w:rPr>
        <w:t xml:space="preserve"> </w:t>
      </w:r>
      <w:r>
        <w:rPr>
          <w:rFonts w:ascii="Times New Roman;serif" w:hAnsi="Times New Roman;serif"/>
          <w:b w:val="false"/>
          <w:sz w:val="20"/>
        </w:rPr>
        <w:t>means such commitments of all Lenders in the aggregate. The amount of each Lender’s Tranche C Loan Commitment, if any, is set forth on Schedule 1. The aggregate amount of the Tranche C Loan Commitments as of the Closing Date is $10,000,000.</w:t>
      </w:r>
    </w:p>
    <w:p>
      <w:pPr>
        <w:pStyle w:val="TextBody"/>
        <w:bidi w:val="0"/>
        <w:spacing w:before="280" w:after="0"/>
        <w:jc w:val="both"/>
        <w:rPr/>
      </w:pPr>
      <w:r>
        <w:rPr/>
        <w:t>“</w:t>
      </w:r>
      <w:r>
        <w:rPr>
          <w:rFonts w:ascii="Times New Roman;serif" w:hAnsi="Times New Roman;serif"/>
          <w:b w:val="false"/>
          <w:i/>
          <w:sz w:val="20"/>
        </w:rPr>
        <w:t>Tranche C Loan Commitment Termination Date</w:t>
      </w:r>
      <w:r>
        <w:rPr>
          <w:rFonts w:ascii="Times New Roman" w:hAnsi="Times New Roman"/>
          <w:sz w:val="20"/>
        </w:rPr>
        <w:t xml:space="preserve">” </w:t>
      </w:r>
      <w:r>
        <w:rPr>
          <w:rFonts w:ascii="Times New Roman;serif" w:hAnsi="Times New Roman;serif"/>
          <w:b w:val="false"/>
          <w:sz w:val="20"/>
        </w:rPr>
        <w:t>means September 30, 2024.</w:t>
      </w:r>
    </w:p>
    <w:p>
      <w:pPr>
        <w:pStyle w:val="TextBody"/>
        <w:bidi w:val="0"/>
        <w:spacing w:before="280" w:after="0"/>
        <w:jc w:val="both"/>
        <w:rPr/>
      </w:pPr>
      <w:r>
        <w:rPr/>
        <w:t>“</w:t>
      </w:r>
      <w:r>
        <w:rPr>
          <w:rFonts w:ascii="Times New Roman;serif" w:hAnsi="Times New Roman;serif"/>
          <w:b w:val="false"/>
          <w:i/>
          <w:sz w:val="20"/>
        </w:rPr>
        <w:t>Transactions”</w:t>
      </w:r>
      <w:r>
        <w:rPr>
          <w:rFonts w:ascii="Times New Roman" w:hAnsi="Times New Roman"/>
          <w:sz w:val="20"/>
        </w:rPr>
        <w:t xml:space="preserve"> </w:t>
      </w:r>
      <w:r>
        <w:rPr>
          <w:rFonts w:ascii="Times New Roman;serif" w:hAnsi="Times New Roman;serif"/>
          <w:b w:val="false"/>
          <w:sz w:val="20"/>
        </w:rPr>
        <w:t>means (a) the execution, delivery and performance by each Obligor of this Agreement and the other Loan Documents to which such Obligor is a party and the other transactions contemplated hereby and thereby, including disbursement and application of the proceeds of the Term Loans and (b) the Refinancing.</w:t>
      </w:r>
    </w:p>
    <w:p>
      <w:pPr>
        <w:pStyle w:val="TextBody"/>
        <w:bidi w:val="0"/>
        <w:spacing w:before="280" w:after="0"/>
        <w:jc w:val="both"/>
        <w:rPr/>
      </w:pPr>
      <w:r>
        <w:rPr/>
        <w:t>“</w:t>
      </w:r>
      <w:r>
        <w:rPr>
          <w:rFonts w:ascii="Times New Roman;serif" w:hAnsi="Times New Roman;serif"/>
          <w:b w:val="false"/>
          <w:i/>
          <w:sz w:val="20"/>
        </w:rPr>
        <w:t>UK Financial Institution”</w:t>
      </w:r>
      <w:r>
        <w:rPr>
          <w:rFonts w:ascii="Times New Roman" w:hAnsi="Times New Roman"/>
          <w:sz w:val="20"/>
        </w:rPr>
        <w:t xml:space="preserve"> </w:t>
      </w:r>
      <w:r>
        <w:rPr>
          <w:rFonts w:ascii="Times New Roman;serif" w:hAnsi="Times New Roman;serif"/>
          <w:b w:val="false"/>
          <w:sz w:val="20"/>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280" w:after="0"/>
        <w:jc w:val="both"/>
        <w:rPr/>
      </w:pPr>
      <w:r>
        <w:rPr/>
        <w:t>“</w:t>
      </w:r>
      <w:r>
        <w:rPr>
          <w:rFonts w:ascii="Times New Roman;serif" w:hAnsi="Times New Roman;serif"/>
          <w:b w:val="false"/>
          <w:i/>
          <w:sz w:val="20"/>
        </w:rPr>
        <w:t>UK Resolution Authority”</w:t>
      </w:r>
      <w:r>
        <w:rPr>
          <w:rFonts w:ascii="Times New Roman" w:hAnsi="Times New Roman"/>
          <w:sz w:val="20"/>
        </w:rPr>
        <w:t xml:space="preserve"> </w:t>
      </w:r>
      <w:r>
        <w:rPr>
          <w:rFonts w:ascii="Times New Roman;serif" w:hAnsi="Times New Roman;serif"/>
          <w:b w:val="false"/>
          <w:sz w:val="20"/>
        </w:rPr>
        <w:t>means the Bank of England or any other public administrative authority having responsibility for the resolution of any UK Financial Institution.</w:t>
      </w:r>
    </w:p>
    <w:p>
      <w:pPr>
        <w:pStyle w:val="TextBody"/>
        <w:bidi w:val="0"/>
        <w:spacing w:before="280" w:after="0"/>
        <w:jc w:val="both"/>
        <w:rPr/>
      </w:pPr>
      <w:r>
        <w:rPr/>
        <w:t>“</w:t>
      </w:r>
      <w:r>
        <w:rPr>
          <w:rFonts w:ascii="Times New Roman;serif" w:hAnsi="Times New Roman;serif"/>
          <w:b w:val="false"/>
          <w:i/>
          <w:sz w:val="20"/>
        </w:rPr>
        <w:t>Unadjusted Benchmark Replacement</w:t>
      </w:r>
      <w:r>
        <w:rPr>
          <w:rFonts w:ascii="Times New Roman" w:hAnsi="Times New Roman"/>
          <w:sz w:val="20"/>
        </w:rPr>
        <w:t xml:space="preserve">” </w:t>
      </w:r>
      <w:r>
        <w:rPr>
          <w:rFonts w:ascii="Times New Roman;serif" w:hAnsi="Times New Roman;serif"/>
          <w:b w:val="false"/>
          <w:sz w:val="20"/>
        </w:rPr>
        <w:t>means the applicable Benchmark Replacement excluding the related Benchmark Replacement Adjustment.</w:t>
      </w:r>
    </w:p>
    <w:p>
      <w:pPr>
        <w:pStyle w:val="TextBody"/>
        <w:bidi w:val="0"/>
        <w:spacing w:before="280" w:after="0"/>
        <w:jc w:val="both"/>
        <w:rPr/>
      </w:pPr>
      <w:r>
        <w:rPr/>
        <w:t>“</w:t>
      </w:r>
      <w:r>
        <w:rPr>
          <w:rFonts w:ascii="Times New Roman;serif" w:hAnsi="Times New Roman;serif"/>
          <w:b w:val="false"/>
          <w:i/>
          <w:sz w:val="20"/>
        </w:rPr>
        <w:t>Unrestricted Cash”</w:t>
      </w:r>
      <w:r>
        <w:rPr>
          <w:rFonts w:ascii="Times New Roman" w:hAnsi="Times New Roman"/>
          <w:sz w:val="20"/>
        </w:rPr>
        <w:t xml:space="preserve"> </w:t>
      </w:r>
      <w:r>
        <w:rPr>
          <w:rFonts w:ascii="Times New Roman;serif" w:hAnsi="Times New Roman;serif"/>
          <w:b w:val="false"/>
          <w:sz w:val="20"/>
        </w:rPr>
        <w:t>means the balance of unencumbered cash (other than cash encumbered by the Liens granted to the Lenders pursuant to the Loan Documents) and Permitted Cash Equivalent Investments (which for greater certainty shall not include any undrawn credit lines), in each case, to the extent held in a Controlled Account.</w:t>
      </w:r>
    </w:p>
    <w:p>
      <w:pPr>
        <w:pStyle w:val="TextBody"/>
        <w:bidi w:val="0"/>
        <w:spacing w:before="280" w:after="0"/>
        <w:jc w:val="both"/>
        <w:rPr/>
      </w:pPr>
      <w:r>
        <w:rPr/>
        <w:t>“</w:t>
      </w:r>
      <w:r>
        <w:rPr>
          <w:rFonts w:ascii="Times New Roman;serif" w:hAnsi="Times New Roman;serif"/>
          <w:b w:val="false"/>
          <w:i/>
          <w:sz w:val="20"/>
        </w:rPr>
        <w:t xml:space="preserve">U.S. Government Securities Business Day” </w:t>
      </w:r>
      <w:r>
        <w:rPr>
          <w:rFonts w:ascii="Times New Roman;serif" w:hAnsi="Times New Roman;serif"/>
          <w:b w:val="false"/>
          <w:sz w:val="20"/>
        </w:rPr>
        <w:t>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280" w:after="0"/>
        <w:jc w:val="both"/>
        <w:rPr/>
      </w:pPr>
      <w:r>
        <w:rPr/>
        <w:t>“</w:t>
      </w:r>
      <w:r>
        <w:rPr>
          <w:rFonts w:ascii="Times New Roman;serif" w:hAnsi="Times New Roman;serif"/>
          <w:b w:val="false"/>
          <w:i/>
          <w:sz w:val="20"/>
        </w:rPr>
        <w:t>U.S. Person”</w:t>
      </w:r>
      <w:r>
        <w:rPr>
          <w:rFonts w:ascii="Times New Roman" w:hAnsi="Times New Roman"/>
          <w:sz w:val="20"/>
        </w:rPr>
        <w:t xml:space="preserve"> </w:t>
      </w:r>
      <w:r>
        <w:rPr>
          <w:rFonts w:ascii="Times New Roman;serif" w:hAnsi="Times New Roman;serif"/>
          <w:b w:val="false"/>
          <w:sz w:val="20"/>
        </w:rPr>
        <w:t>means a “United States person” within the meaning of Section 7701(a)(30) of the Code.</w:t>
      </w:r>
    </w:p>
    <w:p>
      <w:pPr>
        <w:pStyle w:val="TextBody"/>
        <w:bidi w:val="0"/>
        <w:spacing w:before="280" w:after="0"/>
        <w:jc w:val="both"/>
        <w:rPr/>
      </w:pPr>
      <w:r>
        <w:rPr/>
        <w:t>“</w:t>
      </w:r>
      <w:r>
        <w:rPr>
          <w:rFonts w:ascii="Times New Roman;serif" w:hAnsi="Times New Roman;serif"/>
          <w:b w:val="false"/>
          <w:i/>
          <w:sz w:val="20"/>
        </w:rPr>
        <w:t>U.S. Tax Compliance Certificate”</w:t>
      </w:r>
      <w:r>
        <w:rPr>
          <w:rFonts w:ascii="Times New Roman" w:hAnsi="Times New Roman"/>
          <w:sz w:val="20"/>
        </w:rPr>
        <w:t xml:space="preserve"> </w:t>
      </w:r>
      <w:r>
        <w:rPr>
          <w:rFonts w:ascii="Times New Roman;serif" w:hAnsi="Times New Roman;serif"/>
          <w:b w:val="false"/>
          <w:sz w:val="20"/>
        </w:rPr>
        <w:t>has the meaning set forth in Section 5.03(f)(ii)(B)(3).</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pPr>
      <w:r>
        <w:rPr/>
        <w:t>“</w:t>
      </w:r>
      <w:r>
        <w:rPr>
          <w:rFonts w:ascii="Times New Roman;serif" w:hAnsi="Times New Roman;serif"/>
          <w:b w:val="false"/>
          <w:i/>
          <w:sz w:val="20"/>
        </w:rPr>
        <w:t xml:space="preserve">Warrant Certificates” </w:t>
      </w:r>
      <w:r>
        <w:rPr>
          <w:rFonts w:ascii="Times New Roman;serif" w:hAnsi="Times New Roman;serif"/>
          <w:b w:val="false"/>
          <w:sz w:val="20"/>
        </w:rPr>
        <w:t>means collectively, (a) the Warrant Certificate (Funding Date) and (b) the Warrant Certificate (First Amendment Effective Date), in each case as the Warrant Certificates may be amended, replaced or otherwise modified pursuant to the terms thereof.</w:t>
      </w:r>
    </w:p>
    <w:p>
      <w:pPr>
        <w:pStyle w:val="TextBody"/>
        <w:bidi w:val="0"/>
        <w:spacing w:before="280" w:after="0"/>
        <w:jc w:val="both"/>
        <w:rPr/>
      </w:pPr>
      <w:r>
        <w:rPr/>
        <w:t>“</w:t>
      </w:r>
      <w:r>
        <w:rPr>
          <w:rFonts w:ascii="Times New Roman;serif" w:hAnsi="Times New Roman;serif"/>
          <w:b w:val="false"/>
          <w:i/>
          <w:sz w:val="20"/>
        </w:rPr>
        <w:t xml:space="preserve">Warrant Certificate (First Amendment Effective Date)” </w:t>
      </w:r>
      <w:r>
        <w:rPr>
          <w:rFonts w:ascii="Times New Roman;serif" w:hAnsi="Times New Roman;serif"/>
          <w:b w:val="false"/>
          <w:sz w:val="20"/>
        </w:rPr>
        <w:t>means the warrant delivered to the Administrative Agent on the First Amendment Effective Date that, among other things, grants the holder thereof the right to purchase the number of common shares of Borrower as indicated on the warrant shares table on Schedule 1 labeled as “First Amendment Warrant Shares,” as the Warrant Certificate may be amended, replaced or otherwise modified pursuant to the terms thereof.</w:t>
      </w:r>
    </w:p>
    <w:p>
      <w:pPr>
        <w:pStyle w:val="TextBody"/>
        <w:bidi w:val="0"/>
        <w:spacing w:before="280" w:after="0"/>
        <w:jc w:val="both"/>
        <w:rPr/>
      </w:pPr>
      <w:r>
        <w:rPr/>
        <w:t>“</w:t>
      </w:r>
      <w:r>
        <w:rPr>
          <w:rFonts w:ascii="Times New Roman;serif" w:hAnsi="Times New Roman;serif"/>
          <w:b w:val="false"/>
          <w:i/>
          <w:sz w:val="20"/>
        </w:rPr>
        <w:t xml:space="preserve">Warrant Certificate (Funding Date)” </w:t>
      </w:r>
      <w:r>
        <w:rPr>
          <w:rFonts w:ascii="Times New Roman;serif" w:hAnsi="Times New Roman;serif"/>
          <w:b w:val="false"/>
          <w:sz w:val="20"/>
        </w:rPr>
        <w:t>means the warrant, substantially in the form of Exhibit J, to be delivered to the Administrative Agent pursuant to Section 6.02(a)(ii) that, among other things, grants the holder thereof the right to purchase the number of common shares of Borrower as indicated on the warrant shares table on Schedule 1 labeled as “Initial Warrant Shares,” “Second Tranche Warrant Shares” and “Third Tranche Warrant Shares,” as the Warrant Certificate may be amended, replaced or otherwise modified pursuant to the terms thereof.</w:t>
      </w:r>
    </w:p>
    <w:p>
      <w:pPr>
        <w:pStyle w:val="TextBody"/>
        <w:bidi w:val="0"/>
        <w:spacing w:before="280" w:after="0"/>
        <w:jc w:val="both"/>
        <w:rPr/>
      </w:pPr>
      <w:r>
        <w:rPr/>
        <w:t>“</w:t>
      </w:r>
      <w:r>
        <w:rPr>
          <w:rFonts w:ascii="Times New Roman;serif" w:hAnsi="Times New Roman;serif"/>
          <w:b w:val="false"/>
          <w:i/>
          <w:sz w:val="20"/>
        </w:rPr>
        <w:t xml:space="preserve">Warrant Obligations” </w:t>
      </w:r>
      <w:r>
        <w:rPr>
          <w:rFonts w:ascii="Times New Roman;serif" w:hAnsi="Times New Roman;serif"/>
          <w:b w:val="false"/>
          <w:sz w:val="20"/>
        </w:rPr>
        <w:t xml:space="preserve">means, with respect to the Borrower, all of its Obligations arising out of, under or in connection with, any Warrant Certificate;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 any term or provision hereof or of any other Loan Document to the contrary notwithstanding, neither the Borrower nor any other Person is providing (or intends to provide) the holder of such Warrant Certificate with any Guarantee or assurance of economic return or against risk of loss in respect of such Warrant Certificate or any Equity Interests issuable upon exercise thereof and neither the term “Obligations” nor the term “Warrant Obligations” shall be deemed to include, directly or indirectly, and such Guarantee or assurance.</w:t>
      </w:r>
    </w:p>
    <w:p>
      <w:pPr>
        <w:pStyle w:val="TextBody"/>
        <w:bidi w:val="0"/>
        <w:spacing w:before="280" w:after="0"/>
        <w:jc w:val="both"/>
        <w:rPr/>
      </w:pPr>
      <w:r>
        <w:rPr/>
        <w:t>“</w:t>
      </w:r>
      <w:r>
        <w:rPr>
          <w:rFonts w:ascii="Times New Roman;serif" w:hAnsi="Times New Roman;serif"/>
          <w:b w:val="false"/>
          <w:i/>
          <w:sz w:val="20"/>
        </w:rPr>
        <w:t>Write</w:t>
        <w:noBreakHyphen/>
        <w:t xml:space="preserve">Down and Conversion Powers” </w:t>
      </w:r>
      <w:r>
        <w:rPr>
          <w:rFonts w:ascii="Times New Roman;serif" w:hAnsi="Times New Roman;serif"/>
          <w:b w:val="false"/>
          <w:sz w:val="20"/>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1.02. Accounting Terms and Principles</w:t>
      </w:r>
      <w:r>
        <w:rPr>
          <w:rFonts w:ascii="Times New Roman;serif" w:hAnsi="Times New Roman;serif"/>
          <w:b w:val="false"/>
          <w:sz w:val="20"/>
        </w:rPr>
        <w:t xml:space="preserve">. All accounting determinations required to be made pursuant hereto shall, unless expressly otherwise provided herein, be made substantially in accordance with GAAP. If, after the date hereof, any change occurs in GAAP or in the application thereof (an </w:t>
      </w:r>
      <w:r>
        <w:rPr>
          <w:rFonts w:ascii="Times New Roman" w:hAnsi="Times New Roman"/>
          <w:sz w:val="20"/>
        </w:rPr>
        <w:t>“</w:t>
      </w:r>
      <w:r>
        <w:rPr>
          <w:rFonts w:ascii="Times New Roman;serif" w:hAnsi="Times New Roman;serif"/>
          <w:b w:val="false"/>
          <w:i/>
          <w:sz w:val="20"/>
        </w:rPr>
        <w:t>Accounting Change”</w:t>
      </w:r>
      <w:r>
        <w:rPr>
          <w:rFonts w:ascii="Times New Roman;serif" w:hAnsi="Times New Roman;serif"/>
          <w:b w:val="false"/>
          <w:sz w:val="20"/>
        </w:rPr>
        <w:t>)</w:t>
      </w:r>
      <w:r>
        <w:rPr>
          <w:rFonts w:ascii="Times New Roman" w:hAnsi="Times New Roman"/>
          <w:sz w:val="20"/>
        </w:rPr>
        <w:t xml:space="preserve"> </w:t>
      </w:r>
      <w:r>
        <w:rPr>
          <w:rFonts w:ascii="Times New Roman;serif" w:hAnsi="Times New Roman;serif"/>
          <w:b w:val="false"/>
          <w:sz w:val="20"/>
        </w:rPr>
        <w:t xml:space="preserve">and such change would cause any amount required to be determined for the purposes of the covenants to be maintained or calculated pursuant to Article 8 or 9 to be materially different than the amount that would be determined prior to such change, then the Borrower will provide a detailed notice of such change (an </w:t>
      </w:r>
      <w:r>
        <w:rPr>
          <w:rFonts w:ascii="Times New Roman" w:hAnsi="Times New Roman"/>
          <w:sz w:val="20"/>
        </w:rPr>
        <w:t>“</w:t>
      </w:r>
      <w:r>
        <w:rPr>
          <w:rFonts w:ascii="Times New Roman;serif" w:hAnsi="Times New Roman;serif"/>
          <w:b w:val="false"/>
          <w:i/>
          <w:sz w:val="20"/>
        </w:rPr>
        <w:t>Accounting Change Notice”</w:t>
      </w:r>
      <w:r>
        <w:rPr>
          <w:rFonts w:ascii="Times New Roman;serif" w:hAnsi="Times New Roman;serif"/>
          <w:b w:val="false"/>
          <w:sz w:val="20"/>
        </w:rPr>
        <w:t>) to the Administrative Agent in conjunction with the next required delivery of financial statements pursuant to Section 8.01. If the Borrower requests an amendment to any provision hereof to eliminate the effect of any Accounting Change occurring after the Closing Date or in the application thereof on the operation of such provision, regardless of whether any Accounting Change Notice is given before or after such Accounting Change or in the application thereof, then the Administrative Agent and the Borrower agree that they will negotiate in good faith amendments to the provisions of this Agreement that are directly affected by such Accounting Change with the intent of having the respective positions of the Administrative Agent and the Borrower after such Accounting Change conform as nearly as possible to their</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respective positions as of the date of this Agreement and, until any such amendments have been agreed upon, (a) the provisions in this Agreement shall be calculated as if no such Accounting Change had occurred and (b) the Borrower shall provide to the Administrative Agent a written reconciliation in form and substance reasonably satisfactory to the Administrative Agent, between calculations of any baskets and other requirements hereunder before and after giving effect to such Accounting Change.</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All components of financial calculations made to determine compliance with this Agreement shall be adjusted to include or exclude, as the case may be, without duplication, such components of such calculations attributable to any Acquisition or disposition of assets consummated after the first day of the applicable period of determination and prior to the end of such period, as determined in good faith by the Borrower based on assumptions expressed therein and that were reasonable based on the information available to the Borrower at the time of preparation of the Compliance Certificate setting forth such calculations.</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1.03. Interpretation</w:t>
      </w:r>
      <w:r>
        <w:rPr>
          <w:rFonts w:ascii="Times New Roman;serif" w:hAnsi="Times New Roman;serif"/>
          <w:b w:val="false"/>
          <w:sz w:val="20"/>
        </w:rPr>
        <w:t>. For all purposes of this Agreement, except as otherwise expressly provided herein or unless the context otherwise requires, (a) the terms defined in this Agreement include the plural as well as the singular and vice versa; (b) words importing gender include all genders; (c) any reference to a Section, Article, Annex, Schedule or Exhibit refers to a Section or Article of, or Annex, Schedule or Exhibit to, this Agreement; (d) any reference to “this Agreement” refers to this Agreement, including all Annexes, Schedules and Exhibits hereto, and the words herein, hereof, hereto and hereunder and words of similar import refer to this Agreement and its Annexes, Schedules and Exhibits as a whole and not to any particular Section, Article, Annex, Schedule, Exhibit or any other subdivision; (e) references to days, months and years refer to calendar days, months and years, respectively; (f) all references herein to “include” or “including” shall be deemed to be followed by the words “without limitation”; (g) the word “from” when used in connection with a period of time means “from and including” and the word “until” means “to but not including”; (h) any definition of or reference to any statute, rule or regulation shall be construed as referring thereto as from time to time amended, supplemented or otherwise modified (including by succession of comparable successor laws), unless otherwise expressly stated to the contrary; (i) the words “herein”, “hereof” and “hereunder”, and words of similar import, shall be construed to refer to this Agreement in its entirety and not to any particular provision hereof; and (j) accounting terms not specifically defined herein shall be construed substantially in accordance with GAAP (except for the term “property,” which shall be interpreted as broadly as possible, including, in any case, cash, securities, other assets, rights under contractual obligations and Permits and any right or interest in any property, except where otherwise noted). Unless otherwise expressly provided herein, references to Organizational Documents, agreements (including the Loan Documents) and other contractual instruments shall be deemed to include all subsequent amendments, restatements, extensions, supplements and other modifications thereto permitted by the Loan Documents.</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1.04. Divisions</w:t>
      </w:r>
      <w:r>
        <w:rPr>
          <w:rFonts w:ascii="Times New Roman;serif" w:hAnsi="Times New Roman;serif"/>
          <w:b w:val="false"/>
          <w:sz w:val="20"/>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280" w:after="0"/>
        <w:jc w:val="both"/>
        <w:rPr>
          <w:rFonts w:ascii="Times New Roman" w:hAnsi="Times New Roman"/>
          <w:sz w:val="20"/>
        </w:rPr>
      </w:pPr>
      <w:r>
        <w:rPr>
          <w:rFonts w:ascii="Times New Roman;serif" w:hAnsi="Times New Roman;serif"/>
          <w:b w:val="false"/>
          <w:i/>
          <w:sz w:val="20"/>
        </w:rPr>
        <w:t xml:space="preserve">Section 1.05. Interest Rates. </w:t>
      </w:r>
      <w:r>
        <w:rPr>
          <w:rFonts w:ascii="Times New Roman;serif" w:hAnsi="Times New Roman;serif"/>
          <w:b w:val="false"/>
          <w:sz w:val="20"/>
        </w:rPr>
        <w:t>The Administrative Agent does not warrant or accept responsibility for, and shall not have any liability with respect to (a) the continuation of, administration of, submission of, calculation of or any other matter related to the Term SOFR Reference Rate, Term SOFR, or any component definition thereof or rates referred to in the definition thereof, or any alternative, successor or replacement rate thereto (including any Benchmark</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z w:val="20"/>
        </w:rPr>
        <w:t>Replacement), including whether the composition or characteristics of any such alternative, successor or replacement rate (including any Benchmark Replacement) will be similar to, or produce the same value or economic equivalence of, or have the same volume or liquidity as,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Term SOFR Reference Rate,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Term SOFR Reference Rate,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r>
        <w:rPr>
          <w:rFonts w:ascii="Times New Roman" w:hAnsi="Times New Roman"/>
          <w:sz w:val="20"/>
        </w:rPr>
        <w:t xml:space="preserve"> </w:t>
      </w:r>
    </w:p>
    <w:p>
      <w:pPr>
        <w:pStyle w:val="TextBody"/>
        <w:bidi w:val="0"/>
        <w:spacing w:before="360" w:after="0"/>
        <w:jc w:val="center"/>
        <w:rPr>
          <w:rFonts w:ascii="Times New Roman;serif" w:hAnsi="Times New Roman;serif"/>
          <w:b/>
          <w:smallCaps/>
          <w:sz w:val="20"/>
        </w:rPr>
      </w:pPr>
      <w:r>
        <w:rPr>
          <w:rFonts w:ascii="Times New Roman;serif" w:hAnsi="Times New Roman;serif"/>
          <w:b/>
          <w:smallCaps/>
          <w:sz w:val="20"/>
        </w:rPr>
        <w:t>Article 2</w:t>
        <w:br/>
        <w:br/>
        <w:t>The Commitments</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2.01. Term Loans</w:t>
      </w:r>
      <w:r>
        <w:rPr>
          <w:rFonts w:ascii="Times New Roman;serif" w:hAnsi="Times New Roman;serif"/>
          <w:b w:val="false"/>
          <w:sz w:val="20"/>
        </w:rPr>
        <w:t>.</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i/>
          <w:sz w:val="20"/>
        </w:rPr>
        <w:t>Tranche A Loan</w:t>
      </w:r>
      <w:r>
        <w:rPr>
          <w:rFonts w:ascii="Times New Roman;serif" w:hAnsi="Times New Roman;serif"/>
          <w:b w:val="false"/>
          <w:sz w:val="20"/>
        </w:rPr>
        <w:t>.</w:t>
      </w:r>
      <w:r>
        <w:rPr>
          <w:rFonts w:ascii="Times New Roman" w:hAnsi="Times New Roman"/>
          <w:sz w:val="20"/>
        </w:rPr>
        <w:t xml:space="preserve"> </w:t>
      </w:r>
    </w:p>
    <w:p>
      <w:pPr>
        <w:pStyle w:val="TextBody"/>
        <w:bidi w:val="0"/>
        <w:spacing w:before="320" w:after="0"/>
        <w:jc w:val="both"/>
        <w:rPr>
          <w:rFonts w:ascii="Times New Roman;serif" w:hAnsi="Times New Roman;serif"/>
          <w:b w:val="false"/>
          <w:sz w:val="20"/>
        </w:rPr>
      </w:pPr>
      <w:r>
        <w:rPr>
          <w:rFonts w:ascii="Times New Roman;serif" w:hAnsi="Times New Roman;serif"/>
          <w:b w:val="false"/>
          <w:sz w:val="20"/>
        </w:rPr>
        <w:t>(i) Subject to the terms and conditions of this Agreement and relying on the representations and warranties set forth herein, each Lender, severally and not jointly, agrees to provide its share of the Tranche A Loan to the Borrower on the Funding Date in Dollars in a principal amount equal to such Lender’s Tranche A Loan Commitment. No Lender shall have an obligation to make a Tranche A Loan in excess of such Lender’s Tranche A Loan Commitment.</w:t>
      </w:r>
    </w:p>
    <w:p>
      <w:pPr>
        <w:pStyle w:val="TextBody"/>
        <w:bidi w:val="0"/>
        <w:spacing w:before="320" w:after="0"/>
        <w:jc w:val="both"/>
        <w:rPr>
          <w:rFonts w:ascii="Times New Roman;serif" w:hAnsi="Times New Roman;serif"/>
          <w:b w:val="false"/>
          <w:sz w:val="20"/>
        </w:rPr>
      </w:pPr>
      <w:r>
        <w:rPr>
          <w:rFonts w:ascii="Times New Roman;serif" w:hAnsi="Times New Roman;serif"/>
          <w:b w:val="false"/>
          <w:sz w:val="20"/>
        </w:rPr>
        <w:t>(ii) Subject to the terms and conditions of this Agreement (including Section 6.02), the Borrower shall deliver to the Administrative Agent a fully executed Borrowing Notice no later than 5 p.m. (New York City time) at least one (1) Business Day in advance of the Funding Date.</w:t>
      </w:r>
    </w:p>
    <w:p>
      <w:pPr>
        <w:pStyle w:val="TextBody"/>
        <w:bidi w:val="0"/>
        <w:spacing w:before="320" w:after="0"/>
        <w:jc w:val="both"/>
        <w:rPr>
          <w:rFonts w:ascii="Times New Roman;serif" w:hAnsi="Times New Roman;serif"/>
          <w:b w:val="false"/>
          <w:sz w:val="20"/>
        </w:rPr>
      </w:pPr>
      <w:r>
        <w:rPr>
          <w:rFonts w:ascii="Times New Roman;serif" w:hAnsi="Times New Roman;serif"/>
          <w:b w:val="false"/>
          <w:sz w:val="20"/>
        </w:rPr>
        <w:t>(iii) The Borrower may make one borrowing under the Tranche A Loan Commitment which shall be on the Funding Date. Subject to Section 3.03, all amounts owed hereunder with respect to the Tranche A Loan shall be paid in full no later than the Maturity Date. Each Lender’s Tranche A Loan Commitment shall terminate immediately and without further action on the Funding Date after giving effect to the funding of such Lender’s Tranche A Loan Commitment on such date.</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i/>
          <w:sz w:val="20"/>
        </w:rPr>
        <w:t>Tranche B Loan.</w:t>
      </w:r>
    </w:p>
    <w:p>
      <w:pPr>
        <w:pStyle w:val="TextBody"/>
        <w:bidi w:val="0"/>
        <w:spacing w:before="320" w:after="0"/>
        <w:jc w:val="both"/>
        <w:rPr>
          <w:rFonts w:ascii="Times New Roman" w:hAnsi="Times New Roman"/>
          <w:sz w:val="20"/>
        </w:rPr>
      </w:pPr>
      <w:r>
        <w:rPr>
          <w:rFonts w:ascii="Times New Roman;serif" w:hAnsi="Times New Roman;serif"/>
          <w:b w:val="false"/>
          <w:sz w:val="20"/>
        </w:rPr>
        <w:t>(i) Subject to the terms and conditions of this Agreement and relying on the representations and warranties set forth herein, each Lender, severally and not jointly, agrees to provide its share of the Tranche B Loan to the Borrower on the Tranche B Loan Borrowing Date in Dollars in a principal amount equal to such Lender’s Tranche B Loan Commitment. No Lender</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20" w:after="0"/>
        <w:jc w:val="both"/>
        <w:rPr>
          <w:rFonts w:ascii="Times New Roman;serif" w:hAnsi="Times New Roman;serif"/>
          <w:b w:val="false"/>
          <w:sz w:val="20"/>
        </w:rPr>
      </w:pPr>
      <w:r>
        <w:rPr>
          <w:rFonts w:ascii="Times New Roman;serif" w:hAnsi="Times New Roman;serif"/>
          <w:b w:val="false"/>
          <w:sz w:val="20"/>
        </w:rPr>
        <w:t>shall have an obligation to make a Tranche B Loan in excess of such Lender’s Tranche B Loan Commitment.</w:t>
      </w:r>
    </w:p>
    <w:p>
      <w:pPr>
        <w:pStyle w:val="TextBody"/>
        <w:bidi w:val="0"/>
        <w:spacing w:before="320" w:after="0"/>
        <w:jc w:val="both"/>
        <w:rPr>
          <w:rFonts w:ascii="Times New Roman;serif" w:hAnsi="Times New Roman;serif"/>
          <w:b w:val="false"/>
          <w:sz w:val="20"/>
        </w:rPr>
      </w:pPr>
      <w:r>
        <w:rPr>
          <w:rFonts w:ascii="Times New Roman;serif" w:hAnsi="Times New Roman;serif"/>
          <w:b w:val="false"/>
          <w:sz w:val="20"/>
        </w:rPr>
        <w:t>(ii) Subject to the terms and conditions of this Agreement (including Section 6.03), the Borrower shall deliver to the Administrative Agent a fully executed Borrowing Notice no later than 5 p.m. (New York City time) at least three (3) Business Days in advance of the proposed Tranche B Loan Borrowing Date.</w:t>
      </w:r>
    </w:p>
    <w:p>
      <w:pPr>
        <w:pStyle w:val="TextBody"/>
        <w:bidi w:val="0"/>
        <w:spacing w:before="320" w:after="0"/>
        <w:jc w:val="both"/>
        <w:rPr>
          <w:rFonts w:ascii="Times New Roman;serif" w:hAnsi="Times New Roman;serif"/>
          <w:b w:val="false"/>
          <w:sz w:val="20"/>
        </w:rPr>
      </w:pPr>
      <w:r>
        <w:rPr>
          <w:rFonts w:ascii="Times New Roman;serif" w:hAnsi="Times New Roman;serif"/>
          <w:b w:val="false"/>
          <w:sz w:val="20"/>
        </w:rPr>
        <w:t>(iii) The Borrower may make one borrowing under the Tranche B Loan Commitment which shall be on the Tranche B Loan Borrowing Date. Subject to Section 3.03, all amounts owed hereunder with respect to the Tranche B Loan shall be paid in full no later than the Maturity Date. Each Lender’s Tranche B Loan Commitment shall terminate immediately and without further action on the earlier of (x) the Tranche B Loan Borrowing Date after giving effect to the funding of such Lender’s Tranche B Loan Commitment on such date and (y) the Tranche B Loan Commitment Termination Date.</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i/>
          <w:sz w:val="20"/>
        </w:rPr>
        <w:t>Tranche C Loan.</w:t>
      </w:r>
    </w:p>
    <w:p>
      <w:pPr>
        <w:pStyle w:val="TextBody"/>
        <w:bidi w:val="0"/>
        <w:spacing w:before="320" w:after="0"/>
        <w:jc w:val="both"/>
        <w:rPr>
          <w:rFonts w:ascii="Times New Roman;serif" w:hAnsi="Times New Roman;serif"/>
          <w:b w:val="false"/>
          <w:sz w:val="20"/>
        </w:rPr>
      </w:pPr>
      <w:r>
        <w:rPr>
          <w:rFonts w:ascii="Times New Roman;serif" w:hAnsi="Times New Roman;serif"/>
          <w:b w:val="false"/>
          <w:sz w:val="20"/>
        </w:rPr>
        <w:t>(i) Subject to the terms and conditions of this Agreement and relying on the representations and warranties set forth herein, each Lender, severally and not jointly, agrees to provide its share of the Tranche C Loan to the Borrower on the Tranche C Loan Borrowing Date in Dollars in a principal amount equal to such Lender’s Tranche C Loan Commitment. No Lender shall have an obligation to make a Tranche C Loan in excess of such Lender’s Tranche C Loan Commitment.</w:t>
      </w:r>
    </w:p>
    <w:p>
      <w:pPr>
        <w:pStyle w:val="TextBody"/>
        <w:bidi w:val="0"/>
        <w:spacing w:before="320" w:after="0"/>
        <w:jc w:val="both"/>
        <w:rPr>
          <w:rFonts w:ascii="Times New Roman;serif" w:hAnsi="Times New Roman;serif"/>
          <w:b w:val="false"/>
          <w:sz w:val="20"/>
        </w:rPr>
      </w:pPr>
      <w:r>
        <w:rPr>
          <w:rFonts w:ascii="Times New Roman;serif" w:hAnsi="Times New Roman;serif"/>
          <w:b w:val="false"/>
          <w:sz w:val="20"/>
        </w:rPr>
        <w:t>(ii) Subject to the terms and conditions of this Agreement (including Section 6.04), the Borrower shall deliver to the Administrative Agent a fully executed Borrowing Notice no later than 5 p.m. (New York City time) at least three (3) Business Days in advance of the proposed Tranche C Loan Borrowing Date.</w:t>
      </w:r>
    </w:p>
    <w:p>
      <w:pPr>
        <w:pStyle w:val="TextBody"/>
        <w:bidi w:val="0"/>
        <w:spacing w:before="320" w:after="0"/>
        <w:jc w:val="both"/>
        <w:rPr>
          <w:rFonts w:ascii="Times New Roman;serif" w:hAnsi="Times New Roman;serif"/>
          <w:b w:val="false"/>
          <w:sz w:val="20"/>
        </w:rPr>
      </w:pPr>
      <w:r>
        <w:rPr>
          <w:rFonts w:ascii="Times New Roman;serif" w:hAnsi="Times New Roman;serif"/>
          <w:b w:val="false"/>
          <w:sz w:val="20"/>
        </w:rPr>
        <w:t>(iii) The Borrower may make one borrowing under the Tranche C Loan Commitment which shall be on the Tranche C Loan Borrowing Date. Subject to Section 3.03, all amounts owed hereunder with respect to the Tranche C Loan shall be paid in full no later than the Maturity Date. Each Lender’s Tranche C Loan Commitment shall terminate immediately and without further action on the earlier of (x) the Tranche C Loan Borrowing Date after giving effect to the funding of such Lender’s Tranche C Loan Commitment on such date and (y) the Tranche C Loan Commitment Termination Date.</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(d) Any principal amount of the Term Loans borrowed under Section 2.01(a), (b) or (c) hereof and subsequently repaid or prepaid may not be reborrowed.</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2.02. Proportionate Shares</w:t>
      </w:r>
      <w:r>
        <w:rPr>
          <w:rFonts w:ascii="Times New Roman;serif" w:hAnsi="Times New Roman;serif"/>
          <w:b w:val="false"/>
          <w:sz w:val="20"/>
        </w:rPr>
        <w:t>. All Term Loans shall be made, and all participations purchased, by the Lenders simultaneously and proportionately to their respective Proportionate Shares, it being understood that no Lender shall be responsible for any default by any other Lender in such other Lender’s obligation to make a Term Loan hereunder or purchase a participation required hereby nor shall the Commitment of any Lender be increased or decreased as a result of a default by any other Lender in such other Lender’s obligation to make a Term Loan requested hereunder or purchase a participation required hereby.</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2.03. Fees</w:t>
      </w:r>
      <w:r>
        <w:rPr>
          <w:rFonts w:ascii="Times New Roman;serif" w:hAnsi="Times New Roman;serif"/>
          <w:b w:val="false"/>
          <w:sz w:val="20"/>
        </w:rPr>
        <w:t>. The Borrower shall pay to the Administrative Agent, in accordance with the provisions of the Fee Letter, and for distribution to each Lender in accordance with its Pro Rata Share of the Term Loans, the</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Funding Fee. Such payments shall be in addition to such fees, costs and expenses due and payable pursuant to Section 13.03.</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2.04. Notes</w:t>
      </w:r>
      <w:r>
        <w:rPr>
          <w:rFonts w:ascii="Times New Roman;serif" w:hAnsi="Times New Roman;serif"/>
          <w:b w:val="false"/>
          <w:sz w:val="20"/>
        </w:rPr>
        <w:t>. Upon the request of any Lender, the Borrower shall prepare, execute and deliver to such Lender one or more Notes evidencing the portion of the Term Loans payable to such Lender (or if requested by it, to it and its registered assigns).</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2.05. Use of Proceeds</w:t>
      </w:r>
      <w:r>
        <w:rPr>
          <w:rFonts w:ascii="Times New Roman;serif" w:hAnsi="Times New Roman;serif"/>
          <w:b w:val="false"/>
          <w:sz w:val="20"/>
        </w:rPr>
        <w:t>. The Borrower shall use the proceeds of the Term Loans:</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(a) for general working capital purposes and corporate purposes permitted hereunder,</w:t>
      </w:r>
    </w:p>
    <w:p>
      <w:pPr>
        <w:pStyle w:val="TextBody"/>
        <w:bidi w:val="0"/>
        <w:spacing w:before="280" w:after="0"/>
        <w:jc w:val="both"/>
        <w:rPr>
          <w:rFonts w:ascii="Times New Roman" w:hAnsi="Times New Roman"/>
          <w:sz w:val="20"/>
        </w:rPr>
      </w:pPr>
      <w:r>
        <w:rPr>
          <w:rFonts w:ascii="Times New Roman;serif" w:hAnsi="Times New Roman;serif"/>
          <w:b w:val="false"/>
          <w:sz w:val="20"/>
        </w:rPr>
        <w:t>(b) to refinance the Existing Credit Agreements (the “</w:t>
      </w:r>
      <w:r>
        <w:rPr>
          <w:rFonts w:ascii="Times New Roman;serif" w:hAnsi="Times New Roman;serif"/>
          <w:b w:val="false"/>
          <w:i/>
          <w:sz w:val="20"/>
        </w:rPr>
        <w:t>Refinancing</w:t>
      </w:r>
      <w:r>
        <w:rPr>
          <w:rFonts w:ascii="Times New Roman" w:hAnsi="Times New Roman"/>
          <w:sz w:val="20"/>
        </w:rPr>
        <w:t>”</w:t>
      </w:r>
      <w:r>
        <w:rPr>
          <w:rFonts w:ascii="Times New Roman;serif" w:hAnsi="Times New Roman;serif"/>
          <w:b w:val="false"/>
          <w:sz w:val="20"/>
        </w:rPr>
        <w:t>), and</w:t>
      </w:r>
      <w:r>
        <w:rPr>
          <w:rFonts w:ascii="Times New Roman" w:hAnsi="Times New Roman"/>
          <w:sz w:val="20"/>
        </w:rPr>
        <w:t xml:space="preserve">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(c) to pay, in accordance with the funds flow attached to the Borrowing Notice, reasonable and documented out-of-pocket fees, costs and expenses incurred in connection with the Transactions.</w:t>
      </w:r>
    </w:p>
    <w:p>
      <w:pPr>
        <w:pStyle w:val="TextBody"/>
        <w:bidi w:val="0"/>
        <w:spacing w:before="360" w:after="0"/>
        <w:jc w:val="center"/>
        <w:rPr>
          <w:rFonts w:ascii="Times New Roman;serif" w:hAnsi="Times New Roman;serif"/>
          <w:b/>
          <w:smallCaps/>
          <w:sz w:val="20"/>
        </w:rPr>
      </w:pPr>
      <w:r>
        <w:rPr>
          <w:rFonts w:ascii="Times New Roman;serif" w:hAnsi="Times New Roman;serif"/>
          <w:b/>
          <w:smallCaps/>
          <w:sz w:val="20"/>
        </w:rPr>
        <w:t>Article 3</w:t>
        <w:br/>
        <w:br/>
        <w:t>Payments of Principal and Interest</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3.01. Repayment</w:t>
      </w:r>
      <w:r>
        <w:rPr>
          <w:rFonts w:ascii="Times New Roman;serif" w:hAnsi="Times New Roman;serif"/>
          <w:b w:val="false"/>
          <w:sz w:val="20"/>
        </w:rPr>
        <w:t>. There will be no scheduled repayments of principal on the Term Loans prior to the Maturity Date. The entire outstanding principal amount of the Term Loans, together with all accrued and unpaid interest thereon, will be due and payable on the Maturity Date.</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3.02. Interest</w:t>
      </w:r>
      <w:r>
        <w:rPr>
          <w:rFonts w:ascii="Times New Roman;serif" w:hAnsi="Times New Roman;serif"/>
          <w:b w:val="false"/>
          <w:sz w:val="20"/>
        </w:rPr>
        <w:t>.</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i/>
          <w:sz w:val="20"/>
        </w:rPr>
        <w:t xml:space="preserve">Interest Generally. </w:t>
      </w:r>
      <w:r>
        <w:rPr>
          <w:rFonts w:ascii="Times New Roman;serif" w:hAnsi="Times New Roman;serif"/>
          <w:b w:val="false"/>
          <w:sz w:val="20"/>
        </w:rPr>
        <w:t>The Borrower agrees to pay to the Lenders interest in cash on the outstanding principal amount of the Term Loans for each Interest Period at a rate per annum equal to the sum of (i) Term SOFR plus (ii) the Applicable Margin.</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i/>
          <w:sz w:val="20"/>
        </w:rPr>
        <w:t xml:space="preserve">Term SOFR Conforming Changes. </w:t>
      </w:r>
      <w:r>
        <w:rPr>
          <w:rFonts w:ascii="Times New Roman;serif" w:hAnsi="Times New Roman;serif"/>
          <w:b w:val="false"/>
          <w:sz w:val="20"/>
        </w:rPr>
        <w:t>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i/>
          <w:sz w:val="20"/>
        </w:rPr>
        <w:t>Effect of Benchmark Transition Event.</w:t>
      </w:r>
    </w:p>
    <w:p>
      <w:pPr>
        <w:pStyle w:val="TextBody"/>
        <w:bidi w:val="0"/>
        <w:spacing w:before="320" w:after="0"/>
        <w:jc w:val="both"/>
        <w:rPr>
          <w:rFonts w:ascii="Times New Roman" w:hAnsi="Times New Roman"/>
          <w:sz w:val="20"/>
        </w:rPr>
      </w:pPr>
      <w:r>
        <w:rPr>
          <w:rFonts w:ascii="Times New Roman;serif" w:hAnsi="Times New Roman;serif"/>
          <w:b w:val="false"/>
          <w:sz w:val="20"/>
        </w:rPr>
        <w:t xml:space="preserve">(i) </w:t>
      </w:r>
      <w:r>
        <w:rPr>
          <w:rFonts w:ascii="Times New Roman;serif" w:hAnsi="Times New Roman;serif"/>
          <w:b w:val="false"/>
          <w:i/>
          <w:sz w:val="20"/>
        </w:rPr>
        <w:t>Benchmark Replacement</w:t>
      </w:r>
      <w:r>
        <w:rPr>
          <w:rFonts w:ascii="Times New Roman;serif" w:hAnsi="Times New Roman;serif"/>
          <w:b w:val="false"/>
          <w:sz w:val="20"/>
        </w:rPr>
        <w:t>. Notwithstanding anything to the contrary herein or in any other Loan Document, if a Benchmark Transition Event and its related Benchmark Replacement Date have occurred prior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any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 Replacement</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20" w:after="0"/>
        <w:jc w:val="both"/>
        <w:rPr>
          <w:rFonts w:ascii="Times New Roman;serif" w:hAnsi="Times New Roman;serif"/>
          <w:b w:val="false"/>
          <w:sz w:val="20"/>
        </w:rPr>
      </w:pPr>
      <w:r>
        <w:rPr>
          <w:rFonts w:ascii="Times New Roman;serif" w:hAnsi="Times New Roman;serif"/>
          <w:b w:val="false"/>
          <w:sz w:val="20"/>
        </w:rPr>
        <w:t>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Majority Lenders.</w:t>
      </w:r>
    </w:p>
    <w:p>
      <w:pPr>
        <w:pStyle w:val="TextBody"/>
        <w:bidi w:val="0"/>
        <w:spacing w:before="320" w:after="0"/>
        <w:jc w:val="both"/>
        <w:rPr>
          <w:rFonts w:ascii="Times New Roman" w:hAnsi="Times New Roman"/>
          <w:sz w:val="20"/>
        </w:rPr>
      </w:pPr>
      <w:r>
        <w:rPr>
          <w:rFonts w:ascii="Times New Roman;serif" w:hAnsi="Times New Roman;serif"/>
          <w:b w:val="false"/>
          <w:sz w:val="20"/>
        </w:rPr>
        <w:t xml:space="preserve">(ii) </w:t>
      </w:r>
      <w:r>
        <w:rPr>
          <w:rFonts w:ascii="Times New Roman;serif" w:hAnsi="Times New Roman;serif"/>
          <w:b w:val="false"/>
          <w:i/>
          <w:sz w:val="20"/>
        </w:rPr>
        <w:t>Conforming Changes</w:t>
      </w:r>
      <w:r>
        <w:rPr>
          <w:rFonts w:ascii="Times New Roman;serif" w:hAnsi="Times New Roman;serif"/>
          <w:b w:val="false"/>
          <w:sz w:val="20"/>
        </w:rPr>
        <w:t>. In connection with the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the Loan Documents.</w:t>
      </w:r>
      <w:r>
        <w:rPr>
          <w:rFonts w:ascii="Times New Roman" w:hAnsi="Times New Roman"/>
          <w:sz w:val="20"/>
        </w:rPr>
        <w:t xml:space="preserve"> </w:t>
      </w:r>
    </w:p>
    <w:p>
      <w:pPr>
        <w:pStyle w:val="TextBody"/>
        <w:bidi w:val="0"/>
        <w:spacing w:before="320" w:after="0"/>
        <w:jc w:val="both"/>
        <w:rPr>
          <w:rFonts w:ascii="Times New Roman" w:hAnsi="Times New Roman"/>
          <w:sz w:val="20"/>
        </w:rPr>
      </w:pPr>
      <w:r>
        <w:rPr>
          <w:rFonts w:ascii="Times New Roman;serif" w:hAnsi="Times New Roman;serif"/>
          <w:b w:val="false"/>
          <w:sz w:val="20"/>
        </w:rPr>
        <w:t xml:space="preserve">(iii) </w:t>
      </w:r>
      <w:r>
        <w:rPr>
          <w:rFonts w:ascii="Times New Roman;serif" w:hAnsi="Times New Roman;serif"/>
          <w:b w:val="false"/>
          <w:i/>
          <w:sz w:val="20"/>
        </w:rPr>
        <w:t>Notices; Standards for Decisions and Determinations</w:t>
      </w:r>
      <w:r>
        <w:rPr>
          <w:rFonts w:ascii="Times New Roman;serif" w:hAnsi="Times New Roman;serif"/>
          <w:b w:val="false"/>
          <w:sz w:val="20"/>
        </w:rPr>
        <w:t>. The Administrative Agent will promptly notify the Borrower and the Lenders of (x) the implementation of any Benchmark Replacement and (y) the effectiveness of any Conforming Changes in connection with the use, administration, adoption or implementation of a Benchmark Replacement. Any determination, decision or election that may be made by the Administrative Agent or the Lenders pursuant to this Section 3.02(c)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reasonable discretion and without consent from any other party hereto, except, in each case, as expressly required pursuant to this Section 3.02(c).</w:t>
      </w:r>
    </w:p>
    <w:p>
      <w:pPr>
        <w:pStyle w:val="TextBody"/>
        <w:bidi w:val="0"/>
        <w:spacing w:before="320" w:after="0"/>
        <w:jc w:val="both"/>
        <w:rPr>
          <w:rFonts w:ascii="Times New Roman" w:hAnsi="Times New Roman"/>
          <w:sz w:val="20"/>
        </w:rPr>
      </w:pPr>
      <w:r>
        <w:rPr>
          <w:rFonts w:ascii="Times New Roman;serif" w:hAnsi="Times New Roman;serif"/>
          <w:b w:val="false"/>
          <w:sz w:val="20"/>
        </w:rPr>
        <w:t xml:space="preserve">(iv) </w:t>
      </w:r>
      <w:r>
        <w:rPr>
          <w:rFonts w:ascii="Times New Roman;serif" w:hAnsi="Times New Roman;serif"/>
          <w:b w:val="false"/>
          <w:i/>
          <w:sz w:val="20"/>
        </w:rPr>
        <w:t>Unavailability of Tenor of Benchmark</w:t>
      </w:r>
      <w:r>
        <w:rPr>
          <w:rFonts w:ascii="Times New Roman;serif" w:hAnsi="Times New Roman;serif"/>
          <w:b w:val="false"/>
          <w:sz w:val="20"/>
        </w:rPr>
        <w:t>. Notwithstanding anything to the contrary herein or in any other Loan Document, at any time (including in connection with the implementation of a Benchmark Replacement), (x)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administrator of such Benchmark or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(IOSCO) Principles for Financial Benchmarks, then the Administrative Agent may modify the definition of “Interest Period” (or any similar or analogous definition) for any Benchmark settings at or after such time to remove such unavailable or non-representative, non-compliant or non-aligned tenor and (y) if a tenor that was removed pursuant to clause (x) above either (A) is subsequently displayed on a screen or information service for a Benchmark (including a Benchmark Replacement) or (B) is not, or is no longer, subject to an announcement that it is not or will not be representative or incompliance with or aligned with the International Organization of Securities Commissions (IOSCO) Principles for Financial Benchmarks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(d) </w:t>
      </w:r>
      <w:r>
        <w:rPr>
          <w:rFonts w:ascii="Times New Roman;serif" w:hAnsi="Times New Roman;serif"/>
          <w:b w:val="false"/>
          <w:i/>
          <w:sz w:val="20"/>
        </w:rPr>
        <w:t>Default Interest.</w:t>
      </w:r>
      <w:r>
        <w:rPr>
          <w:rFonts w:ascii="Times New Roman" w:hAnsi="Times New Roman"/>
          <w:sz w:val="20"/>
        </w:rPr>
        <w:t xml:space="preserve"> </w:t>
      </w:r>
      <w:r>
        <w:rPr>
          <w:rFonts w:ascii="Times New Roman;serif" w:hAnsi="Times New Roman;serif"/>
          <w:b w:val="false"/>
          <w:sz w:val="20"/>
        </w:rPr>
        <w:t xml:space="preserve">Notwithstanding the foregoing, upon written notice from the Administrative Agent following the occurrence and during the continuance of any Event of Default, the Applicable Margin shall increase automatically by 4.00% per annum (the interest rate, as increased pursuant to this Section 3.02(d), being the </w:t>
      </w:r>
      <w:r>
        <w:rPr>
          <w:rFonts w:ascii="Times New Roman" w:hAnsi="Times New Roman"/>
          <w:sz w:val="20"/>
        </w:rPr>
        <w:t>“</w:t>
      </w:r>
      <w:r>
        <w:rPr>
          <w:rFonts w:ascii="Times New Roman;serif" w:hAnsi="Times New Roman;serif"/>
          <w:b w:val="false"/>
          <w:i/>
          <w:sz w:val="20"/>
        </w:rPr>
        <w:t>Default Rate”</w:t>
      </w:r>
      <w:r>
        <w:rPr>
          <w:rFonts w:ascii="Times New Roman;serif" w:hAnsi="Times New Roman;serif"/>
          <w:b w:val="false"/>
          <w:sz w:val="20"/>
        </w:rPr>
        <w:t>). Notwithstanding any other provision herein, if interest is required to be paid at the Default Rate, it shall also be paid entirely in cash. If any Obligation is not paid when due under any applicable Loan Document, the amount thereof shall accrue interest at the Default Rate. Payment or acceptance of the increased rates of interest provided for in this Section 3.02(d) is not a permitted alternative to timely payment and shall not constitute a waiver of any Default or otherwise prejudice or limit any rights or remedies of the Administrative Agent or any Lender.</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(e) </w:t>
      </w:r>
      <w:r>
        <w:rPr>
          <w:rFonts w:ascii="Times New Roman;serif" w:hAnsi="Times New Roman;serif"/>
          <w:b w:val="false"/>
          <w:i/>
          <w:sz w:val="20"/>
        </w:rPr>
        <w:t>Payment Dates.</w:t>
      </w:r>
      <w:r>
        <w:rPr>
          <w:rFonts w:ascii="Times New Roman" w:hAnsi="Times New Roman"/>
          <w:sz w:val="20"/>
        </w:rPr>
        <w:t xml:space="preserve"> </w:t>
      </w:r>
      <w:r>
        <w:rPr>
          <w:rFonts w:ascii="Times New Roman;serif" w:hAnsi="Times New Roman;serif"/>
          <w:b w:val="false"/>
          <w:sz w:val="20"/>
        </w:rPr>
        <w:t xml:space="preserve">Accrued interest on the Term Loans shall be payable in arrears on each Payment Date with respect to the most recently completed Interest Period in cash, and upon the payment or prepayment of the Term Loans (on the principal amount being so paid or prepaid);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 interest payable at the Default Rate shall be payable from time to time on demand by the Majority Lenders.</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(f) </w:t>
      </w:r>
      <w:r>
        <w:rPr>
          <w:rFonts w:ascii="Times New Roman;serif" w:hAnsi="Times New Roman;serif"/>
          <w:b w:val="false"/>
          <w:i/>
          <w:sz w:val="20"/>
        </w:rPr>
        <w:t>Maximum Rate.</w:t>
      </w:r>
      <w:r>
        <w:rPr>
          <w:rFonts w:ascii="Times New Roman" w:hAnsi="Times New Roman"/>
          <w:sz w:val="20"/>
        </w:rPr>
        <w:t xml:space="preserve"> </w:t>
      </w:r>
      <w:r>
        <w:rPr>
          <w:rFonts w:ascii="Times New Roman;serif" w:hAnsi="Times New Roman;serif"/>
          <w:b w:val="false"/>
          <w:sz w:val="20"/>
        </w:rPr>
        <w:t>Notwithstanding any other provision of this Agreement, in no event will any interest or rates referred to herein exceed the maximum interest rate permitted by applicable Law. If such maximum interest rate would be exceeded by the terms hereof, the rates of interest payable hereunder will be reduced to the extent necessary so that such rates (together with any fees or other amounts which are construed by a court of competent jurisdiction to be interest or in the nature of interest) equal the maximum interest rate permitted by applicable Law and any overpayment of interest received by the Lenders before such rates are so construed will be applied, forthwith after determination of such overpayment, to pay all then outstanding interest, and thereafter to pay outstanding principal.</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3.03. Prepayments</w:t>
      </w:r>
      <w:r>
        <w:rPr>
          <w:rFonts w:ascii="Times New Roman;serif" w:hAnsi="Times New Roman;serif"/>
          <w:b w:val="false"/>
          <w:sz w:val="20"/>
        </w:rPr>
        <w:t>.</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i/>
          <w:sz w:val="20"/>
        </w:rPr>
        <w:t>Optional Prepayments.</w:t>
      </w:r>
      <w:r>
        <w:rPr>
          <w:rFonts w:ascii="Times New Roman" w:hAnsi="Times New Roman"/>
          <w:sz w:val="20"/>
        </w:rPr>
        <w:t xml:space="preserve"> </w:t>
      </w:r>
    </w:p>
    <w:p>
      <w:pPr>
        <w:pStyle w:val="TextBody"/>
        <w:bidi w:val="0"/>
        <w:spacing w:before="320" w:after="0"/>
        <w:jc w:val="both"/>
        <w:rPr>
          <w:rFonts w:ascii="Times New Roman" w:hAnsi="Times New Roman"/>
          <w:sz w:val="20"/>
        </w:rPr>
      </w:pPr>
      <w:r>
        <w:rPr>
          <w:rFonts w:ascii="Times New Roman;serif" w:hAnsi="Times New Roman;serif"/>
          <w:b w:val="false"/>
          <w:sz w:val="20"/>
        </w:rPr>
        <w:t xml:space="preserve">(i) The Borrower shall have the right to optionally prepay in whole or in part (in a minimum amount of $500,000 and integral multiples of $100,000 in excess of that amount for each partial prepayment, or, if less, the entire outstanding principal amount of the Term Loans) the outstanding principal amount of the Term Loans on any Business Day (a </w:t>
      </w:r>
      <w:r>
        <w:rPr>
          <w:rFonts w:ascii="Times New Roman" w:hAnsi="Times New Roman"/>
          <w:sz w:val="20"/>
        </w:rPr>
        <w:t>“</w:t>
      </w:r>
      <w:r>
        <w:rPr>
          <w:rFonts w:ascii="Times New Roman;serif" w:hAnsi="Times New Roman;serif"/>
          <w:b w:val="false"/>
          <w:i/>
          <w:sz w:val="20"/>
        </w:rPr>
        <w:t>Redemption Date”</w:t>
      </w:r>
      <w:r>
        <w:rPr>
          <w:rFonts w:ascii="Times New Roman;serif" w:hAnsi="Times New Roman;serif"/>
          <w:b w:val="false"/>
          <w:sz w:val="20"/>
        </w:rPr>
        <w:t xml:space="preserve">) for an amount equal to the sum of (x) the aggregate principal amount of the Term Loans being prepaid, (y) the prepayment premium set forth in clause (ii) below (the </w:t>
      </w:r>
      <w:r>
        <w:rPr>
          <w:rFonts w:ascii="Times New Roman" w:hAnsi="Times New Roman"/>
          <w:sz w:val="20"/>
        </w:rPr>
        <w:t>“</w:t>
      </w:r>
      <w:r>
        <w:rPr>
          <w:rFonts w:ascii="Times New Roman;serif" w:hAnsi="Times New Roman;serif"/>
          <w:b w:val="false"/>
          <w:i/>
          <w:sz w:val="20"/>
        </w:rPr>
        <w:t>Prepayment Premium”</w:t>
      </w:r>
      <w:r>
        <w:rPr>
          <w:rFonts w:ascii="Times New Roman;serif" w:hAnsi="Times New Roman;serif"/>
          <w:b w:val="false"/>
          <w:sz w:val="20"/>
        </w:rPr>
        <w:t xml:space="preserve">) and (z) any accrued but unpaid interest in respect of the aggregate principal amount of the Term Loans being prepaid (such aggregate amount, the </w:t>
      </w:r>
      <w:r>
        <w:rPr>
          <w:rFonts w:ascii="Times New Roman" w:hAnsi="Times New Roman"/>
          <w:sz w:val="20"/>
        </w:rPr>
        <w:t>“</w:t>
      </w:r>
      <w:r>
        <w:rPr>
          <w:rFonts w:ascii="Times New Roman;serif" w:hAnsi="Times New Roman;serif"/>
          <w:b w:val="false"/>
          <w:i/>
          <w:sz w:val="20"/>
        </w:rPr>
        <w:t>Redemption Price”</w:t>
      </w:r>
      <w:r>
        <w:rPr>
          <w:rFonts w:ascii="Times New Roman;serif" w:hAnsi="Times New Roman;serif"/>
          <w:b w:val="false"/>
          <w:sz w:val="20"/>
        </w:rPr>
        <w:t>). The applicable Prepayment Premium shall be an amount calculated pursuant to Section 3.03(a)(ii).</w:t>
      </w:r>
    </w:p>
    <w:p>
      <w:pPr>
        <w:pStyle w:val="TextBody"/>
        <w:bidi w:val="0"/>
        <w:spacing w:before="320" w:after="0"/>
        <w:jc w:val="both"/>
        <w:rPr>
          <w:rFonts w:ascii="Times New Roman;serif" w:hAnsi="Times New Roman;serif"/>
          <w:b w:val="false"/>
          <w:sz w:val="20"/>
        </w:rPr>
      </w:pPr>
      <w:r>
        <w:rPr>
          <w:rFonts w:ascii="Times New Roman;serif" w:hAnsi="Times New Roman;serif"/>
          <w:b w:val="false"/>
          <w:sz w:val="20"/>
        </w:rPr>
        <w:t>(ii) If the Redemption Date occurs:</w:t>
      </w:r>
    </w:p>
    <w:p>
      <w:pPr>
        <w:pStyle w:val="TextBody"/>
        <w:bidi w:val="0"/>
        <w:spacing w:before="320" w:after="0"/>
        <w:jc w:val="both"/>
        <w:rPr>
          <w:rFonts w:ascii="Times New Roman;serif" w:hAnsi="Times New Roman;serif"/>
          <w:b w:val="false"/>
          <w:sz w:val="20"/>
        </w:rPr>
      </w:pPr>
      <w:r>
        <w:rPr>
          <w:rFonts w:ascii="Times New Roman;serif" w:hAnsi="Times New Roman;serif"/>
          <w:b w:val="false"/>
          <w:sz w:val="20"/>
        </w:rPr>
        <w:t>(A) on or prior to the first anniversary of the Funding Date, the Prepayment Premium shall be an amount equal to ten percent (10%) of the aggregate outstanding principal amount of the Term Loans being prepaid on such Redemption Date;</w:t>
      </w:r>
    </w:p>
    <w:p>
      <w:pPr>
        <w:pStyle w:val="TextBody"/>
        <w:bidi w:val="0"/>
        <w:spacing w:before="320" w:after="0"/>
        <w:jc w:val="both"/>
        <w:rPr>
          <w:rFonts w:ascii="Times New Roman" w:hAnsi="Times New Roman"/>
          <w:sz w:val="20"/>
        </w:rPr>
      </w:pPr>
      <w:r>
        <w:rPr>
          <w:rFonts w:ascii="Times New Roman;serif" w:hAnsi="Times New Roman;serif"/>
          <w:b w:val="false"/>
          <w:sz w:val="20"/>
        </w:rPr>
        <w:t>(B) after the first anniversary of the Funding Date and on or prior to the second anniversary of the Funding Date, the Prepayment Premium shall be an amount equal to nine percent (9%) of the aggregate outstanding principal amount of the Term Loans being prepaid on such Redemption Date;</w:t>
      </w:r>
      <w:r>
        <w:rPr>
          <w:rFonts w:ascii="Times New Roman" w:hAnsi="Times New Roman"/>
          <w:sz w:val="20"/>
        </w:rPr>
        <w:t xml:space="preserve"> </w:t>
      </w:r>
    </w:p>
    <w:p>
      <w:pPr>
        <w:pStyle w:val="TextBody"/>
        <w:bidi w:val="0"/>
        <w:spacing w:before="320" w:after="0"/>
        <w:jc w:val="both"/>
        <w:rPr>
          <w:rFonts w:ascii="Times New Roman" w:hAnsi="Times New Roman"/>
          <w:sz w:val="20"/>
        </w:rPr>
      </w:pPr>
      <w:r>
        <w:rPr>
          <w:rFonts w:ascii="Times New Roman;serif" w:hAnsi="Times New Roman;serif"/>
          <w:b w:val="false"/>
          <w:sz w:val="20"/>
        </w:rPr>
        <w:t>(C) after the second anniversary of the Funding Date and on or prior to the third anniversary of the Funding Date, the Prepayment Premium shall be an amount equal to eight percent (8%) of the aggregate outstanding principal amount of the Term Loans being prepaid on such Redemption Date;</w:t>
      </w:r>
      <w:r>
        <w:rPr>
          <w:rFonts w:ascii="Times New Roman" w:hAnsi="Times New Roman"/>
          <w:sz w:val="20"/>
        </w:rPr>
        <w:t xml:space="preserve"> </w:t>
      </w:r>
    </w:p>
    <w:p>
      <w:pPr>
        <w:pStyle w:val="TextBody"/>
        <w:bidi w:val="0"/>
        <w:spacing w:before="320" w:after="0"/>
        <w:jc w:val="both"/>
        <w:rPr>
          <w:rFonts w:ascii="Times New Roman;serif" w:hAnsi="Times New Roman;serif"/>
          <w:b w:val="false"/>
          <w:sz w:val="20"/>
        </w:rPr>
      </w:pPr>
      <w:r>
        <w:rPr>
          <w:rFonts w:ascii="Times New Roman;serif" w:hAnsi="Times New Roman;serif"/>
          <w:b w:val="false"/>
          <w:sz w:val="20"/>
        </w:rPr>
        <w:t>(D) after the third anniversary of the Funding Date and on or prior to the fourth anniversary of the Funding Date, the Prepayment Premium shall be an amount equal to five percent (5%) of the aggregate outstanding principal amount of the Term Loans being prepaid on such Redemption Date; and</w:t>
      </w:r>
    </w:p>
    <w:p>
      <w:pPr>
        <w:pStyle w:val="TextBody"/>
        <w:bidi w:val="0"/>
        <w:spacing w:before="320" w:after="0"/>
        <w:jc w:val="both"/>
        <w:rPr>
          <w:rFonts w:ascii="Times New Roman" w:hAnsi="Times New Roman"/>
          <w:sz w:val="20"/>
        </w:rPr>
      </w:pPr>
      <w:r>
        <w:rPr>
          <w:rFonts w:ascii="Times New Roman;serif" w:hAnsi="Times New Roman;serif"/>
          <w:b w:val="false"/>
          <w:sz w:val="20"/>
        </w:rPr>
        <w:t>(E) after the fourth anniversary of the Funding Date and on or prior to the date that is six (6) months prior to the Stated Maturity Date, the Prepayment Premium shall be</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20" w:after="0"/>
        <w:jc w:val="both"/>
        <w:rPr>
          <w:rFonts w:ascii="Times New Roman" w:hAnsi="Times New Roman"/>
          <w:sz w:val="20"/>
        </w:rPr>
      </w:pPr>
      <w:r>
        <w:rPr>
          <w:rFonts w:ascii="Times New Roman;serif" w:hAnsi="Times New Roman;serif"/>
          <w:b w:val="false"/>
          <w:sz w:val="20"/>
        </w:rPr>
        <w:t>an amount equal to two percent (2%) of the aggregate outstanding principal amount of the Term Loans being prepaid on such Redemption Date.</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i/>
          <w:sz w:val="20"/>
        </w:rPr>
        <w:t>Mandatory Prepayments.</w:t>
      </w:r>
      <w:r>
        <w:rPr>
          <w:rFonts w:ascii="Times New Roman" w:hAnsi="Times New Roman"/>
          <w:sz w:val="20"/>
        </w:rPr>
        <w:t xml:space="preserve"> </w:t>
      </w:r>
      <w:r>
        <w:rPr>
          <w:rFonts w:ascii="Times New Roman;serif" w:hAnsi="Times New Roman;serif"/>
          <w:b w:val="false"/>
          <w:sz w:val="20"/>
        </w:rPr>
        <w:t>The Borrower shall on or prior to the third (3rd) Business Day following the occurrence of any applicable event under clauses (i) through (iii) below, prepay the Term Loans in amounts as provided below, plus the Prepayment Premium on the principal amount of the Term Loans being prepaid (calculated in accordance with Section 3.03(a)(ii), it being agreed that the relevant payment date shall be deemed to be the “Redemption Date” for purposes of such calculation), plus any accrued but unpaid interest and fees then due and owing, as follows:</w:t>
      </w:r>
    </w:p>
    <w:p>
      <w:pPr>
        <w:pStyle w:val="TextBody"/>
        <w:bidi w:val="0"/>
        <w:spacing w:before="320" w:after="0"/>
        <w:jc w:val="both"/>
        <w:rPr>
          <w:rFonts w:ascii="Times New Roman" w:hAnsi="Times New Roman"/>
          <w:sz w:val="20"/>
        </w:rPr>
      </w:pPr>
      <w:r>
        <w:rPr>
          <w:rFonts w:ascii="Times New Roman;serif" w:hAnsi="Times New Roman;serif"/>
          <w:b w:val="false"/>
          <w:sz w:val="20"/>
        </w:rPr>
        <w:t xml:space="preserve">(i) In the event of any Casualty Event, an amount equal to 100% of the Net Cash Proceeds received by any Obligor with respect thereto; </w:t>
      </w:r>
      <w:r>
        <w:rPr>
          <w:rFonts w:ascii="Times New Roman;serif" w:hAnsi="Times New Roman;serif"/>
          <w:b w:val="false"/>
          <w:i/>
          <w:sz w:val="20"/>
        </w:rPr>
        <w:t>provided</w:t>
      </w:r>
      <w:r>
        <w:rPr>
          <w:rFonts w:ascii="Times New Roman;serif" w:hAnsi="Times New Roman;serif"/>
          <w:b w:val="false"/>
          <w:sz w:val="20"/>
        </w:rPr>
        <w:t xml:space="preserve">, </w:t>
      </w:r>
      <w:r>
        <w:rPr>
          <w:rFonts w:ascii="Times New Roman;serif" w:hAnsi="Times New Roman;serif"/>
          <w:b w:val="false"/>
          <w:i/>
          <w:sz w:val="20"/>
        </w:rPr>
        <w:t>however</w:t>
      </w:r>
      <w:r>
        <w:rPr>
          <w:rFonts w:ascii="Times New Roman;serif" w:hAnsi="Times New Roman;serif"/>
          <w:b w:val="false"/>
          <w:sz w:val="20"/>
        </w:rPr>
        <w:t xml:space="preserve">, so long as no Default has occurred and is continuing within one hundred eighty (180) days after receipt of such Net Cash Proceeds, the Obligors may apply the Net Cash Proceeds of any casualty policy not exceeding $2,500,000 in the aggregate for all losses under all Casualty Events during the term of this Agreement toward the replacement or repair of destroyed or damaged property; </w:t>
      </w:r>
      <w:r>
        <w:rPr>
          <w:rFonts w:ascii="Times New Roman;serif" w:hAnsi="Times New Roman;serif"/>
          <w:b w:val="false"/>
          <w:i/>
          <w:sz w:val="20"/>
        </w:rPr>
        <w:t>provided, further</w:t>
      </w:r>
      <w:r>
        <w:rPr>
          <w:rFonts w:ascii="Times New Roman;serif" w:hAnsi="Times New Roman;serif"/>
          <w:b w:val="false"/>
          <w:sz w:val="20"/>
        </w:rPr>
        <w:t>, that any such replaced or repaired property shall be Collateral in which the Administrative Agent for the benefit of the Lenders has been granted a security interest under the Security Documents.</w:t>
      </w:r>
    </w:p>
    <w:p>
      <w:pPr>
        <w:pStyle w:val="TextBody"/>
        <w:bidi w:val="0"/>
        <w:spacing w:before="320" w:after="0"/>
        <w:jc w:val="both"/>
        <w:rPr>
          <w:rFonts w:ascii="Times New Roman;serif" w:hAnsi="Times New Roman;serif"/>
          <w:b w:val="false"/>
          <w:sz w:val="20"/>
        </w:rPr>
      </w:pPr>
      <w:r>
        <w:rPr>
          <w:rFonts w:ascii="Times New Roman;serif" w:hAnsi="Times New Roman;serif"/>
          <w:b w:val="false"/>
          <w:sz w:val="20"/>
        </w:rPr>
        <w:t>(ii) In the event any Obligor incurs Indebtedness other than Indebtedness that is permitted by Section 9.01 hereof, 100% of the Net Cash Proceeds thereof received by such Obligor. For the avoidance of doubt, any prepayment made pursuant to this Section 3.03(b)(ii) shall not be deemed to be a consent to any such incurrence of Indebtedness or a cure or waiver of any Event of Default which occurs in connection therewith, it being understood that any such Event of Default may only be waived with the express consent of the Majority Lenders.</w:t>
      </w:r>
    </w:p>
    <w:p>
      <w:pPr>
        <w:pStyle w:val="TextBody"/>
        <w:bidi w:val="0"/>
        <w:spacing w:before="320" w:after="0"/>
        <w:jc w:val="both"/>
        <w:rPr>
          <w:rFonts w:ascii="Times New Roman" w:hAnsi="Times New Roman"/>
          <w:sz w:val="20"/>
        </w:rPr>
      </w:pPr>
      <w:r>
        <w:rPr>
          <w:rFonts w:ascii="Times New Roman;serif" w:hAnsi="Times New Roman;serif"/>
          <w:b w:val="false"/>
          <w:sz w:val="20"/>
        </w:rPr>
        <w:t xml:space="preserve">(iii) In the event any Obligor consummates an Asset Sale other than an Asset Sale that is permitted by Section 9.09 hereof (other than Section 9.09(i)), 100% of the Net Cash Proceeds received by such Obligor in connection with such Asset Sale; </w:t>
      </w:r>
      <w:r>
        <w:rPr>
          <w:rFonts w:ascii="Times New Roman;serif" w:hAnsi="Times New Roman;serif"/>
          <w:b w:val="false"/>
          <w:i/>
          <w:sz w:val="20"/>
        </w:rPr>
        <w:t>provided, however,</w:t>
      </w:r>
      <w:r>
        <w:rPr>
          <w:rFonts w:ascii="Times New Roman" w:hAnsi="Times New Roman"/>
          <w:sz w:val="20"/>
        </w:rPr>
        <w:t xml:space="preserve"> </w:t>
      </w:r>
      <w:r>
        <w:rPr>
          <w:rFonts w:ascii="Times New Roman;serif" w:hAnsi="Times New Roman;serif"/>
          <w:b w:val="false"/>
          <w:sz w:val="20"/>
        </w:rPr>
        <w:t xml:space="preserve">so long as no Default has occurred and is continuing, within one hundred eighty (180) days after receipt of such Net Cash Proceeds, the Obligors may use such Net Cash Proceeds not exceeding $2,500,000 in the aggregate for all Asset Sales during the term of this Agreement, to purchase, replace, repair or restore properties or assets used in the Obligors’ businesses; </w:t>
      </w:r>
      <w:r>
        <w:rPr>
          <w:rFonts w:ascii="Times New Roman;serif" w:hAnsi="Times New Roman;serif"/>
          <w:b w:val="false"/>
          <w:i/>
          <w:sz w:val="20"/>
        </w:rPr>
        <w:t>provided, further,</w:t>
      </w:r>
      <w:r>
        <w:rPr>
          <w:rFonts w:ascii="Times New Roman" w:hAnsi="Times New Roman"/>
          <w:sz w:val="20"/>
        </w:rPr>
        <w:t xml:space="preserve"> </w:t>
      </w:r>
      <w:r>
        <w:rPr>
          <w:rFonts w:ascii="Times New Roman;serif" w:hAnsi="Times New Roman;serif"/>
          <w:b w:val="false"/>
          <w:sz w:val="20"/>
        </w:rPr>
        <w:t>that any such purchased, replaced, repaired or restored property shall be Collateral in which the Administrative Agent for the benefit of the Lenders has been granted a security interest under the Security Documents. For the avoidance of doubt, any prepayment made pursuant to this Section 3.03(b)(iii) shall not be deemed to be a consent to any Asset Sale or a cure or waiver of any Event of Default which occurs in connection therewith, it being understood that any such Event of Default may only be waived with the express consent of the Majority Lenders.</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i/>
          <w:sz w:val="20"/>
        </w:rPr>
        <w:t>Prepayment Premium.</w:t>
      </w:r>
      <w:r>
        <w:rPr>
          <w:rFonts w:ascii="Times New Roman" w:hAnsi="Times New Roman"/>
          <w:sz w:val="20"/>
        </w:rPr>
        <w:t xml:space="preserve"> </w:t>
      </w:r>
      <w:r>
        <w:rPr>
          <w:rFonts w:ascii="Times New Roman;serif" w:hAnsi="Times New Roman;serif"/>
          <w:b w:val="false"/>
          <w:sz w:val="20"/>
        </w:rPr>
        <w:t>Payment of any Prepayment Premium under this Section 3.03 constitutes liquidated damages, not unmatured interest or a penalty, as the actual amount of damages to the Lenders as a result of the relevant triggering event, prepayment or repayment would be impracticable and extremely difficult to ascertain. Accordingly, any Prepayment Premium hereunder is provided by mutual agreement of the Obligors and the Lenders as a reasonable estimation and calculation of such actual lost profits and other actual damages of the Lenders. Without limiting the generality of the foregoing, it is understood and agreed that upon the occurrence of any prepayment event, any Prepayment Premium shall be automatically and immediately due and payable as though any prepaid or repaid portion of the Term Loans were voluntarily prepaid as of such date and shall constitute part of the Obligations secured by the Collateral. Any Prepayment Premium shall also be automatically and immediately due and payable if the Term Loans are satisfied or released by foreclosure (whether by power of judicial proceeding or otherwise), deed in lieu of foreclosure or by any other means. EACH OBLIGOR HEREBY EXPRESSLY WAIVES (TO THE FULLEST EXTENT IT MAY LAWFULLY DO SO) THE PROVISIONS OF ANY PRESENT OR FUTURE STATUTE OR OTHER LAW THAT PROHIBITS OR MAY PROHIBIT THE COLLECTION</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OF THE FOREGOING </w:t>
      </w:r>
      <w:r>
        <w:rPr>
          <w:rFonts w:ascii="Times New Roman;serif" w:hAnsi="Times New Roman;serif"/>
          <w:b w:val="false"/>
          <w:caps/>
          <w:sz w:val="20"/>
        </w:rPr>
        <w:t>Prepayment Premium</w:t>
      </w:r>
      <w:r>
        <w:rPr>
          <w:rFonts w:ascii="Times New Roman" w:hAnsi="Times New Roman"/>
          <w:sz w:val="20"/>
        </w:rPr>
        <w:t xml:space="preserve"> </w:t>
      </w:r>
      <w:r>
        <w:rPr>
          <w:rFonts w:ascii="Times New Roman;serif" w:hAnsi="Times New Roman;serif"/>
          <w:b w:val="false"/>
          <w:sz w:val="20"/>
        </w:rPr>
        <w:t>IN CONNECTION WITH ANY SUCH EVENTS. The Borrower and the other Obligors expressly agree (to the fullest extent it and they may lawfully do so) that with respect to any Prepayment Premium payable under the terms of this Agreement: (i) such Prepayment Premium is reasonable and is the product of an arm’s length transaction between sophisticated business parties, ably represented by counsel; (ii) such Prepayment Premium shall be payable notwithstanding the then-prevailing market rates at the time payment is made; (iii) there has been a course of conduct between the Lenders and the Obligors giving specific consideration in this transaction for such agreement to pay such Prepayment Premium; and (iv) the Obligors shall be estopped hereafter from claiming differently than as agreed to in this paragraph. The Obligors expressly acknowledge that their agreement to pay such Prepayment Premium as herein described is a material inducement to the Lenders to provide the Commitments and to make the Term Loans.</w:t>
      </w:r>
    </w:p>
    <w:p>
      <w:pPr>
        <w:pStyle w:val="TextBody"/>
        <w:bidi w:val="0"/>
        <w:spacing w:before="360" w:after="0"/>
        <w:jc w:val="center"/>
        <w:rPr>
          <w:rFonts w:ascii="Times New Roman;serif" w:hAnsi="Times New Roman;serif"/>
          <w:b/>
          <w:smallCaps/>
          <w:sz w:val="20"/>
        </w:rPr>
      </w:pPr>
      <w:r>
        <w:rPr>
          <w:rFonts w:ascii="Times New Roman;serif" w:hAnsi="Times New Roman;serif"/>
          <w:b/>
          <w:smallCaps/>
          <w:sz w:val="20"/>
        </w:rPr>
        <w:t>Article 4</w:t>
        <w:br/>
        <w:br/>
        <w:t>Payments</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4.01. Payments</w:t>
      </w:r>
      <w:r>
        <w:rPr>
          <w:rFonts w:ascii="Times New Roman;serif" w:hAnsi="Times New Roman;serif"/>
          <w:b w:val="false"/>
          <w:sz w:val="20"/>
        </w:rPr>
        <w:t>.</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i/>
          <w:sz w:val="20"/>
        </w:rPr>
        <w:t>Payments Generally.</w:t>
      </w:r>
      <w:r>
        <w:rPr>
          <w:rFonts w:ascii="Times New Roman" w:hAnsi="Times New Roman"/>
          <w:sz w:val="20"/>
        </w:rPr>
        <w:t xml:space="preserve"> </w:t>
      </w:r>
      <w:r>
        <w:rPr>
          <w:rFonts w:ascii="Times New Roman;serif" w:hAnsi="Times New Roman;serif"/>
          <w:b w:val="false"/>
          <w:sz w:val="20"/>
        </w:rPr>
        <w:t>Each payment of principal, interest and other amounts to be made by the Obligors under this Agreement or any other Loan Document shall be made in Dollars, in immediately available funds, without deduction, set off or counterclaim, to the deposit account of the Administrative Agent specified to the Borrower from time to time, not later than 4:00 p.m. (New York City time) on the date on which such payment shall become due (each such payment made after such time on such due date to be deemed to have been made on the next succeeding Business Day).</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i/>
          <w:sz w:val="20"/>
        </w:rPr>
        <w:t>Application of Payments.</w:t>
      </w:r>
      <w:r>
        <w:rPr>
          <w:rFonts w:ascii="Times New Roman" w:hAnsi="Times New Roman"/>
          <w:sz w:val="20"/>
        </w:rPr>
        <w:t xml:space="preserve"> </w:t>
      </w:r>
      <w:r>
        <w:rPr>
          <w:rFonts w:ascii="Times New Roman;serif" w:hAnsi="Times New Roman;serif"/>
          <w:b w:val="false"/>
          <w:sz w:val="20"/>
        </w:rPr>
        <w:t>Each payment under this Agreement or any other Loan Document shall be applied in the following order of priority, with proceeds being applied to a succeeding level of priority only if amounts owing pursuant to the immediately preceding level of priority have been paid in full in cash:</w:t>
      </w:r>
    </w:p>
    <w:p>
      <w:pPr>
        <w:pStyle w:val="TextBody"/>
        <w:bidi w:val="0"/>
        <w:spacing w:before="320" w:after="0"/>
        <w:jc w:val="both"/>
        <w:rPr>
          <w:rFonts w:ascii="Times New Roman" w:hAnsi="Times New Roman"/>
          <w:sz w:val="20"/>
        </w:rPr>
      </w:pPr>
      <w:r>
        <w:rPr>
          <w:rFonts w:ascii="Times New Roman;serif" w:hAnsi="Times New Roman;serif"/>
          <w:b w:val="false"/>
          <w:sz w:val="20"/>
        </w:rPr>
        <w:t xml:space="preserve">(i) </w:t>
      </w:r>
      <w:r>
        <w:rPr>
          <w:rFonts w:ascii="Times New Roman;serif" w:hAnsi="Times New Roman;serif"/>
          <w:b w:val="false"/>
          <w:i/>
          <w:sz w:val="20"/>
        </w:rPr>
        <w:t>first</w:t>
      </w:r>
      <w:r>
        <w:rPr>
          <w:rFonts w:ascii="Times New Roman;serif" w:hAnsi="Times New Roman;serif"/>
          <w:b w:val="false"/>
          <w:sz w:val="20"/>
        </w:rPr>
        <w:t>, to the payment of any unpaid costs and expenses referred to in Section 13.03(a) then due and owing;</w:t>
      </w:r>
    </w:p>
    <w:p>
      <w:pPr>
        <w:pStyle w:val="TextBody"/>
        <w:bidi w:val="0"/>
        <w:spacing w:before="320" w:after="0"/>
        <w:jc w:val="both"/>
        <w:rPr>
          <w:rFonts w:ascii="Times New Roman" w:hAnsi="Times New Roman"/>
          <w:sz w:val="20"/>
        </w:rPr>
      </w:pPr>
      <w:r>
        <w:rPr>
          <w:rFonts w:ascii="Times New Roman;serif" w:hAnsi="Times New Roman;serif"/>
          <w:b w:val="false"/>
          <w:sz w:val="20"/>
        </w:rPr>
        <w:t xml:space="preserve">(ii) </w:t>
      </w:r>
      <w:r>
        <w:rPr>
          <w:rFonts w:ascii="Times New Roman;serif" w:hAnsi="Times New Roman;serif"/>
          <w:b w:val="false"/>
          <w:i/>
          <w:sz w:val="20"/>
        </w:rPr>
        <w:t>second</w:t>
      </w:r>
      <w:r>
        <w:rPr>
          <w:rFonts w:ascii="Times New Roman;serif" w:hAnsi="Times New Roman;serif"/>
          <w:b w:val="false"/>
          <w:sz w:val="20"/>
        </w:rPr>
        <w:t>, in reduction of the Borrower’s obligation to pay any unpaid interest and any fees then due and owing including, without limitation, (x) interest payable pursuant to Section 3.02(d) and (y) any Prepayment Premium, if applicable;</w:t>
      </w:r>
    </w:p>
    <w:p>
      <w:pPr>
        <w:pStyle w:val="TextBody"/>
        <w:bidi w:val="0"/>
        <w:spacing w:before="320" w:after="0"/>
        <w:jc w:val="both"/>
        <w:rPr>
          <w:rFonts w:ascii="Times New Roman" w:hAnsi="Times New Roman"/>
          <w:sz w:val="20"/>
        </w:rPr>
      </w:pPr>
      <w:r>
        <w:rPr>
          <w:rFonts w:ascii="Times New Roman;serif" w:hAnsi="Times New Roman;serif"/>
          <w:b w:val="false"/>
          <w:sz w:val="20"/>
        </w:rPr>
        <w:t xml:space="preserve">(iii) </w:t>
      </w:r>
      <w:r>
        <w:rPr>
          <w:rFonts w:ascii="Times New Roman;serif" w:hAnsi="Times New Roman;serif"/>
          <w:b w:val="false"/>
          <w:i/>
          <w:sz w:val="20"/>
        </w:rPr>
        <w:t>third</w:t>
      </w:r>
      <w:r>
        <w:rPr>
          <w:rFonts w:ascii="Times New Roman;serif" w:hAnsi="Times New Roman;serif"/>
          <w:b w:val="false"/>
          <w:sz w:val="20"/>
        </w:rPr>
        <w:t>, in reduction of the Borrower’s obligation to pay any Claims or Losses referred to in Section 13.03(b) then due and owing;</w:t>
      </w:r>
    </w:p>
    <w:p>
      <w:pPr>
        <w:pStyle w:val="TextBody"/>
        <w:bidi w:val="0"/>
        <w:spacing w:before="320" w:after="0"/>
        <w:jc w:val="both"/>
        <w:rPr>
          <w:rFonts w:ascii="Times New Roman" w:hAnsi="Times New Roman"/>
          <w:sz w:val="20"/>
        </w:rPr>
      </w:pPr>
      <w:r>
        <w:rPr>
          <w:rFonts w:ascii="Times New Roman;serif" w:hAnsi="Times New Roman;serif"/>
          <w:b w:val="false"/>
          <w:sz w:val="20"/>
        </w:rPr>
        <w:t xml:space="preserve">(iv) </w:t>
      </w:r>
      <w:r>
        <w:rPr>
          <w:rFonts w:ascii="Times New Roman;serif" w:hAnsi="Times New Roman;serif"/>
          <w:b w:val="false"/>
          <w:i/>
          <w:sz w:val="20"/>
        </w:rPr>
        <w:t>fourth</w:t>
      </w:r>
      <w:r>
        <w:rPr>
          <w:rFonts w:ascii="Times New Roman;serif" w:hAnsi="Times New Roman;serif"/>
          <w:b w:val="false"/>
          <w:sz w:val="20"/>
        </w:rPr>
        <w:t>, to the payment of unpaid principal of the Term Loans on a pro rata basis;</w:t>
      </w:r>
    </w:p>
    <w:p>
      <w:pPr>
        <w:pStyle w:val="TextBody"/>
        <w:bidi w:val="0"/>
        <w:spacing w:before="320" w:after="0"/>
        <w:jc w:val="both"/>
        <w:rPr>
          <w:rFonts w:ascii="Times New Roman" w:hAnsi="Times New Roman"/>
          <w:sz w:val="20"/>
        </w:rPr>
      </w:pPr>
      <w:r>
        <w:rPr>
          <w:rFonts w:ascii="Times New Roman;serif" w:hAnsi="Times New Roman;serif"/>
          <w:b w:val="false"/>
          <w:sz w:val="20"/>
        </w:rPr>
        <w:t xml:space="preserve">(v) </w:t>
      </w:r>
      <w:r>
        <w:rPr>
          <w:rFonts w:ascii="Times New Roman;serif" w:hAnsi="Times New Roman;serif"/>
          <w:b w:val="false"/>
          <w:i/>
          <w:sz w:val="20"/>
        </w:rPr>
        <w:t>fifth</w:t>
      </w:r>
      <w:r>
        <w:rPr>
          <w:rFonts w:ascii="Times New Roman;serif" w:hAnsi="Times New Roman;serif"/>
          <w:b w:val="false"/>
          <w:sz w:val="20"/>
        </w:rPr>
        <w:t>, in reduction of any other Obligation then due and owing; and</w:t>
      </w:r>
    </w:p>
    <w:p>
      <w:pPr>
        <w:pStyle w:val="TextBody"/>
        <w:bidi w:val="0"/>
        <w:spacing w:before="320" w:after="0"/>
        <w:jc w:val="both"/>
        <w:rPr>
          <w:rFonts w:ascii="Times New Roman" w:hAnsi="Times New Roman"/>
          <w:sz w:val="20"/>
        </w:rPr>
      </w:pPr>
      <w:r>
        <w:rPr>
          <w:rFonts w:ascii="Times New Roman;serif" w:hAnsi="Times New Roman;serif"/>
          <w:b w:val="false"/>
          <w:sz w:val="20"/>
        </w:rPr>
        <w:t xml:space="preserve">(vi) </w:t>
      </w:r>
      <w:r>
        <w:rPr>
          <w:rFonts w:ascii="Times New Roman;serif" w:hAnsi="Times New Roman;serif"/>
          <w:b w:val="false"/>
          <w:i/>
          <w:sz w:val="20"/>
        </w:rPr>
        <w:t>sixth</w:t>
      </w:r>
      <w:r>
        <w:rPr>
          <w:rFonts w:ascii="Times New Roman;serif" w:hAnsi="Times New Roman;serif"/>
          <w:b w:val="false"/>
          <w:sz w:val="20"/>
        </w:rPr>
        <w:t>, to the Borrower or such other Persons as may lawfully be entitled to or directed by the Borrower to receive the remainder.</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Unless otherwise directed by the Majority Lenders, all payments of principal, interest and fees under this Agreement and the other Loan Documents shall be made by the Obligors to the Lenders pro rata in accordance with the Lenders’ respective Proportionate Shares of such payments.</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i/>
          <w:sz w:val="20"/>
        </w:rPr>
        <w:t>Non</w:t>
        <w:noBreakHyphen/>
        <w:t>Business Days.</w:t>
      </w:r>
      <w:r>
        <w:rPr>
          <w:rFonts w:ascii="Times New Roman" w:hAnsi="Times New Roman"/>
          <w:sz w:val="20"/>
        </w:rPr>
        <w:t xml:space="preserve"> </w:t>
      </w:r>
      <w:r>
        <w:rPr>
          <w:rFonts w:ascii="Times New Roman;serif" w:hAnsi="Times New Roman;serif"/>
          <w:b w:val="false"/>
          <w:sz w:val="20"/>
        </w:rPr>
        <w:t>If the due date of any payment under this Agreement (whether in respect of principal, interest, fees, costs or otherwise) would otherwise fall on a day that is not a Business Day, such date shall be extended to the next succeeding Business Day, and, in the case of any payment accruing interest, interest thereon shall be payable for the period of such extension.</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4.02. Computations.</w:t>
      </w:r>
      <w:r>
        <w:rPr>
          <w:rFonts w:ascii="Times New Roman" w:hAnsi="Times New Roman"/>
          <w:sz w:val="20"/>
        </w:rPr>
        <w:t xml:space="preserve"> </w:t>
      </w:r>
      <w:r>
        <w:rPr>
          <w:rFonts w:ascii="Times New Roman;serif" w:hAnsi="Times New Roman;serif"/>
          <w:b w:val="false"/>
          <w:sz w:val="20"/>
        </w:rPr>
        <w:t>All computations of interest and fees hereunder shall be computed on the basis of a year of 360 days and actual days elapsed during the period for which payable.</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4.03. Notices.</w:t>
      </w:r>
      <w:r>
        <w:rPr>
          <w:rFonts w:ascii="Times New Roman" w:hAnsi="Times New Roman"/>
          <w:sz w:val="20"/>
        </w:rPr>
        <w:t xml:space="preserve"> </w:t>
      </w:r>
      <w:r>
        <w:rPr>
          <w:rFonts w:ascii="Times New Roman;serif" w:hAnsi="Times New Roman;serif"/>
          <w:b w:val="false"/>
          <w:sz w:val="20"/>
        </w:rPr>
        <w:t>Each notice of optional prepayment shall be effective only if received by the Lenders not later than 4:00 p.m. (New York City time) on the Business Day prior to the date of prepayment. Each notice of optional prepayment shall specify the amount to be prepaid and the date of prepayment.</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4.04. Set-Off</w:t>
      </w:r>
      <w:r>
        <w:rPr>
          <w:rFonts w:ascii="Times New Roman;serif" w:hAnsi="Times New Roman;serif"/>
          <w:b w:val="false"/>
          <w:sz w:val="20"/>
        </w:rPr>
        <w:t>.</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i/>
          <w:sz w:val="20"/>
        </w:rPr>
        <w:t>Set-Off Generally.</w:t>
      </w:r>
      <w:r>
        <w:rPr>
          <w:rFonts w:ascii="Times New Roman" w:hAnsi="Times New Roman"/>
          <w:sz w:val="20"/>
        </w:rPr>
        <w:t xml:space="preserve"> </w:t>
      </w:r>
      <w:r>
        <w:rPr>
          <w:rFonts w:ascii="Times New Roman;serif" w:hAnsi="Times New Roman;serif"/>
          <w:b w:val="false"/>
          <w:sz w:val="20"/>
        </w:rPr>
        <w:t>Upon the occurrence and during the continuance of any Event of Default, the Administrative Agent, the Lenders and each of their respective Affiliates are hereby authorized at any time and from time to time, to the fullest extent permitted by Law, to set off and apply any and all deposits (general or special, time or demand, provisional or final) at any time held and other Indebtedness at any time owing by the Lenders or such Affiliates to or for the credit or the account of any Obligor against any and all of the Obligations, whether or not the Lenders shall have made any demand and although such Obligations may be unmatured. Any Person exercising rights of set off hereunder agrees promptly to notify the Borrower after any such set</w:t>
        <w:noBreakHyphen/>
        <w:t xml:space="preserve">off and application,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 the failure to give such notice shall not affect the validity of such set</w:t>
        <w:noBreakHyphen/>
        <w:t>off and application. The rights of the Administrative Agent, the Lenders and each of their respective Affiliates under this Section 4.04 are in addition to other rights and remedies (including other rights of set</w:t>
        <w:noBreakHyphen/>
        <w:t>off) that the Lenders and their respective Affiliates may have.</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i/>
          <w:sz w:val="20"/>
        </w:rPr>
        <w:t>Exercise of Rights Not Required.</w:t>
      </w:r>
      <w:r>
        <w:rPr>
          <w:rFonts w:ascii="Times New Roman" w:hAnsi="Times New Roman"/>
          <w:sz w:val="20"/>
        </w:rPr>
        <w:t xml:space="preserve"> </w:t>
      </w:r>
      <w:r>
        <w:rPr>
          <w:rFonts w:ascii="Times New Roman;serif" w:hAnsi="Times New Roman;serif"/>
          <w:b w:val="false"/>
          <w:sz w:val="20"/>
        </w:rPr>
        <w:t>Nothing contained herein shall require the Administrative Agent, the Lenders or any of their respective Affiliates to exercise any such right or shall affect the right of such Persons to exercise, and retain the benefits of exercising, any such right with respect to any other indebtedness or obligation of any Obligor.</w:t>
      </w:r>
    </w:p>
    <w:p>
      <w:pPr>
        <w:pStyle w:val="TextBody"/>
        <w:bidi w:val="0"/>
        <w:spacing w:before="360" w:after="0"/>
        <w:jc w:val="center"/>
        <w:rPr>
          <w:rFonts w:ascii="Times New Roman;serif" w:hAnsi="Times New Roman;serif"/>
          <w:b/>
          <w:smallCaps/>
          <w:sz w:val="20"/>
        </w:rPr>
      </w:pPr>
      <w:r>
        <w:rPr>
          <w:rFonts w:ascii="Times New Roman;serif" w:hAnsi="Times New Roman;serif"/>
          <w:b/>
          <w:smallCaps/>
          <w:sz w:val="20"/>
        </w:rPr>
        <w:t>Article 5</w:t>
        <w:br/>
        <w:br/>
        <w:t>Yield Protection</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5.01. Additional Costs</w:t>
      </w:r>
      <w:r>
        <w:rPr>
          <w:rFonts w:ascii="Times New Roman;serif" w:hAnsi="Times New Roman;serif"/>
          <w:b w:val="false"/>
          <w:sz w:val="20"/>
        </w:rPr>
        <w:t>.</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i/>
          <w:sz w:val="20"/>
        </w:rPr>
        <w:t>Change in Requirements of Law Generally.</w:t>
      </w:r>
      <w:r>
        <w:rPr>
          <w:rFonts w:ascii="Times New Roman" w:hAnsi="Times New Roman"/>
          <w:sz w:val="20"/>
        </w:rPr>
        <w:t xml:space="preserve"> </w:t>
      </w:r>
      <w:r>
        <w:rPr>
          <w:rFonts w:ascii="Times New Roman;serif" w:hAnsi="Times New Roman;serif"/>
          <w:b w:val="false"/>
          <w:sz w:val="20"/>
        </w:rPr>
        <w:t>If, on or after the date hereof (or, with respect to any Lender that becomes a party hereto, such later date on which such Lender comes party to this Agreement), the adoption of any Requirement of Law, or any change in any Requirement of Law, or any change in the interpretation or administration thereof by any court or other Governmental Authority charged with the interpretation or administration thereof, or compliance by any Lender (or its lending office) with any request or directive (whether or not having the force of law) of any such Governmental Authority, shall impose, modify or deem applicable any reserve (including any such requirement imposed by the Board of Governors of the Federal Reserve System), special deposit, contribution, insurance assessment or similar requirement, in each case that becomes effective after the date hereof (or, with respect to any Lender that becomes a party hereto, such later date on which such Lender comes party to this Agreement), against assets of, deposits with or for the account of, or credit extended by, a Lender (or its lending office) or shall impose on a Lender (or its lending office) any other condition affecting the Term Loans or the Commitment, not as a result of any action or inaction on the part of such Lender, and the result of any of the foregoing is to increase the cost to any Lender of making or maintaining its portion of the Term Loans, or to reduce the amount of any sum received or receivable by any Lender under this Agreement or any other Loan Document,</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by an amount reasonably deemed by such Lender in good faith to be material (other than (i) Indemnified Taxes, (ii) Taxes described in clauses (b) through (d) of the definition of </w:t>
      </w:r>
      <w:r>
        <w:rPr>
          <w:rFonts w:ascii="Times New Roman" w:hAnsi="Times New Roman"/>
          <w:sz w:val="20"/>
        </w:rPr>
        <w:t>“</w:t>
      </w:r>
      <w:r>
        <w:rPr>
          <w:rFonts w:ascii="Times New Roman;serif" w:hAnsi="Times New Roman;serif"/>
          <w:b w:val="false"/>
          <w:i/>
          <w:sz w:val="20"/>
        </w:rPr>
        <w:t>Excluded Taxes”</w:t>
      </w:r>
      <w:r>
        <w:rPr>
          <w:rFonts w:ascii="Times New Roman" w:hAnsi="Times New Roman"/>
          <w:sz w:val="20"/>
        </w:rPr>
        <w:t xml:space="preserve"> </w:t>
      </w:r>
      <w:r>
        <w:rPr>
          <w:rFonts w:ascii="Times New Roman;serif" w:hAnsi="Times New Roman;serif"/>
          <w:b w:val="false"/>
          <w:sz w:val="20"/>
        </w:rPr>
        <w:t>and (iii) Connection Income Taxes), then the Borrower shall promptly pay to such Lender on demand such additional amount or amounts as will compensate such Lender for such increased cost or reduction. Notwithstanding anything herein to the contrary, (x) the Dodd</w:t>
        <w:noBreakHyphen/>
        <w:t>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constitute a change in Requirements of Law for all purposes of this Section 5.01, regardless of the date enacted, adopted or issued.</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i/>
          <w:sz w:val="20"/>
        </w:rPr>
        <w:t>Change in Capital Requirements.</w:t>
      </w:r>
      <w:r>
        <w:rPr>
          <w:rFonts w:ascii="Times New Roman" w:hAnsi="Times New Roman"/>
          <w:sz w:val="20"/>
        </w:rPr>
        <w:t xml:space="preserve"> </w:t>
      </w:r>
      <w:r>
        <w:rPr>
          <w:rFonts w:ascii="Times New Roman;serif" w:hAnsi="Times New Roman;serif"/>
          <w:b w:val="false"/>
          <w:sz w:val="20"/>
        </w:rPr>
        <w:t>If a Lender shall have determined that, on or after the date hereof (or, with respect to any Lender that becomes a party hereto, such later date on which such Lender comes party to this Agreement), the adoption of any Requirement of Law regarding capital adequacy, or any change therein, or any change in the interpretation or administration thereof by any Governmental Authority charged with the interpretation or administration thereof, or any request or directive regarding capital adequacy (whether or not having the force of law) of any such Governmental Authority, in each case that becomes effective after the date hereof (or, with respect to any Lender that becomes a party hereto, such later date on which such Lender comes party to this Agreement), has or would have the effect of reducing the rate of return on capital of a Lender (or its parent) as a consequence of a Lender’s obligations hereunder or the Term Loans to a level below that which a Lender (or its parent) would have achieved but for such adoption, change, request or directive by an amount reasonably deemed by it to be material, then the Borrower shall promptly pay to such Lender within three (3) Business Days after demand such additional amount or amounts as will compensate such Lender (or its parent) for such reduction.</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i/>
          <w:sz w:val="20"/>
        </w:rPr>
        <w:t>Notification by Lender.</w:t>
      </w:r>
      <w:r>
        <w:rPr>
          <w:rFonts w:ascii="Times New Roman" w:hAnsi="Times New Roman"/>
          <w:sz w:val="20"/>
        </w:rPr>
        <w:t xml:space="preserve"> </w:t>
      </w:r>
      <w:r>
        <w:rPr>
          <w:rFonts w:ascii="Times New Roman;serif" w:hAnsi="Times New Roman;serif"/>
          <w:b w:val="false"/>
          <w:sz w:val="20"/>
        </w:rPr>
        <w:t>The Lenders will promptly notify the Borrower of any event of which it has knowledge, occurring after the date hereof (or, with respect to any Lender that becomes a party hereto, such later date on which such Lender comes party to this Agreement), which will entitle a Lender to compensation pursuant to this Section 5.01. Before giving any such notice pursuant to this Section 5.01(c) such Lender shall designate a different lending office if such designation (x) will, in the reasonable judgment of such Lender, avoid the need for, or reduce the amount of, such compensation and (y) will not, in the reasonable judgment of such Lender, be materially disadvantageous to such Lender. A certificate of the Lender claiming compensation under this Section 5.01, setting forth in reasonable detail, the computation of the additional amount or amounts to be paid to it hereunder, shall be conclusive and binding on the Borrower in the absence of manifest error.</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5.02. Illegality.</w:t>
      </w:r>
      <w:r>
        <w:rPr>
          <w:rFonts w:ascii="Times New Roman" w:hAnsi="Times New Roman"/>
          <w:sz w:val="20"/>
        </w:rPr>
        <w:t xml:space="preserve"> </w:t>
      </w:r>
      <w:r>
        <w:rPr>
          <w:rFonts w:ascii="Times New Roman;serif" w:hAnsi="Times New Roman;serif"/>
          <w:b w:val="false"/>
          <w:sz w:val="20"/>
        </w:rPr>
        <w:t xml:space="preserve">Notwithstanding any other provision of this Agreement, in the event that on or after the date hereof (or, with respect to any Lender that becomes a party hereto, such later date on which such Lender comes party to this Agreement) the adoption of or any change in any Requirement of Law or in the interpretation or application thereof by any competent Governmental Authority shall make it unlawful for a Lender or its lending office to make or maintain the Term Loans (and, in the reasonable opinion of such Lender, the designation of a different lending office would either not avoid such unlawfulness or would be disadvantageous to such Lender), then such Lender shall promptly notify the Borrower thereof following which (a) the Lender’s Commitment shall be suspended until such time as such Lender may again make and maintain the Term Loans hereunder and (b) if such Requirement of Law shall so mandate, the Term Loans shall be prepaid by the Borrower on or before such date as shall be mandated by such Requirement of Law in an amount equal to the Redemption Price applicable on the date of such prepayment in accordance with Section 3.03(a); </w:t>
      </w:r>
      <w:r>
        <w:rPr>
          <w:rFonts w:ascii="Times New Roman;serif" w:hAnsi="Times New Roman;serif"/>
          <w:b w:val="false"/>
          <w:i/>
          <w:sz w:val="20"/>
        </w:rPr>
        <w:t>provided</w:t>
      </w:r>
      <w:r>
        <w:rPr>
          <w:rFonts w:ascii="Times New Roman;serif" w:hAnsi="Times New Roman;serif"/>
          <w:b w:val="false"/>
          <w:sz w:val="20"/>
        </w:rPr>
        <w:t>, that no Prepayment Premium pursuant to Section 3.03(a)(ii) shall be due with respect thereto.</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5.03. Taxes</w:t>
      </w:r>
      <w:r>
        <w:rPr>
          <w:rFonts w:ascii="Times New Roman;serif" w:hAnsi="Times New Roman;serif"/>
          <w:b w:val="false"/>
          <w:sz w:val="20"/>
        </w:rPr>
        <w:t>.</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i/>
          <w:sz w:val="20"/>
        </w:rPr>
        <w:t>Payments Free of Taxes.</w:t>
      </w:r>
      <w:r>
        <w:rPr>
          <w:rFonts w:ascii="Times New Roman" w:hAnsi="Times New Roman"/>
          <w:sz w:val="20"/>
        </w:rPr>
        <w:t xml:space="preserve"> </w:t>
      </w:r>
      <w:r>
        <w:rPr>
          <w:rFonts w:ascii="Times New Roman;serif" w:hAnsi="Times New Roman;serif"/>
          <w:b w:val="false"/>
          <w:sz w:val="20"/>
        </w:rPr>
        <w:t>Any and all payments by or on account of any Obligation shall be made without deduction or withholding for any Taxes, except as required by applicable Law. If any applicable Law (as determined in the good faith discretion of the Administrative Agent) requires the deduction or withholding of any Tax from any such payment by an Obligor, then such Obligor shall be entitled to make such deduction or withholding and shall timely pay the full amount deducted or withheld to the relevant Governmental Authority in accordance with applicable Law and, if such Tax is an Indemnified Tax, then the sum payable by such Obligor shall be increased as necessary so that after such deduction or withholding for Indemnified Taxes has been made (including such deductions and withholdings for Indemnified Taxes applicable to additional sums payable under this Section 5.03) the applicable Recipient receives an amount equal to the sum it would have received had no such deduction or withholding for Indemnified Taxes been made. For purposes of this Section 5.03, the term “applicable Law” includes FATCA.</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i/>
          <w:sz w:val="20"/>
        </w:rPr>
        <w:t xml:space="preserve">Payment of Other Taxes by the Borrower. </w:t>
      </w:r>
      <w:r>
        <w:rPr>
          <w:rFonts w:ascii="Times New Roman;serif" w:hAnsi="Times New Roman;serif"/>
          <w:b w:val="false"/>
          <w:sz w:val="20"/>
        </w:rPr>
        <w:t>The Borrower shall timely pay to the relevant Governmental Authority in accordance with applicable Law, or at the option of the Administrative Agent, timely reimburse it for, Other Taxes.</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i/>
          <w:sz w:val="20"/>
        </w:rPr>
        <w:t>Evidence of Payments.</w:t>
      </w:r>
      <w:r>
        <w:rPr>
          <w:rFonts w:ascii="Times New Roman" w:hAnsi="Times New Roman"/>
          <w:sz w:val="20"/>
        </w:rPr>
        <w:t xml:space="preserve"> </w:t>
      </w:r>
      <w:r>
        <w:rPr>
          <w:rFonts w:ascii="Times New Roman;serif" w:hAnsi="Times New Roman;serif"/>
          <w:b w:val="false"/>
          <w:sz w:val="20"/>
        </w:rPr>
        <w:t>As soon as practicable after any payment of Taxes by the Borrower to a Governmental Authority, as a withholding Tax pursuant to this Section 5.03, the Borrower shall deliver to the Administrative Agent the original or a certified copy of a receipt issued by such Governmental Authority evidencing such payment, or a copy of the return reporting such payment or other evidence of such payment reasonably satisfactory to the Administrative Agent.</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(d) </w:t>
      </w:r>
      <w:r>
        <w:rPr>
          <w:rFonts w:ascii="Times New Roman;serif" w:hAnsi="Times New Roman;serif"/>
          <w:b w:val="false"/>
          <w:i/>
          <w:sz w:val="20"/>
        </w:rPr>
        <w:t xml:space="preserve">Indemnification. </w:t>
      </w:r>
      <w:r>
        <w:rPr>
          <w:rFonts w:ascii="Times New Roman;serif" w:hAnsi="Times New Roman;serif"/>
          <w:b w:val="false"/>
          <w:sz w:val="20"/>
        </w:rPr>
        <w:t>The Borrower shall reimburse and indemnify each Recipient, within ten (10) days after demand therefor, for the full amount of any Indemnified Taxes (including Indemnified Taxes imposed or asserted on or attributable to amounts payable under this Section 5.03) payable or paid by such Recipient or required to be withheld or deducted from a payment to such Recipient and any reasonable expenses arising therefrom or with respect thereto (including, but not limited to, any costs arising from a dispute with the relevant Government Authority in respect of such Indemnified Taxes),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(e) </w:t>
      </w:r>
      <w:r>
        <w:rPr>
          <w:rFonts w:ascii="Times New Roman;serif" w:hAnsi="Times New Roman;serif"/>
          <w:b w:val="false"/>
          <w:i/>
          <w:sz w:val="20"/>
        </w:rPr>
        <w:t xml:space="preserve">Indemnification by the Lenders. </w:t>
      </w:r>
      <w:r>
        <w:rPr>
          <w:rFonts w:ascii="Times New Roman;serif" w:hAnsi="Times New Roman;serif"/>
          <w:b w:val="false"/>
          <w:sz w:val="20"/>
        </w:rPr>
        <w:t>Each Lender shall severally indemnify the Administrative Agent, within ten (10) days after demand therefor, for (i) any Indemnified Taxes attributable to such Lender (but only to the extent that the Borrower has not already indemnified the Administrative Agent for such Indemnified Taxes and without limiting the obligation of the Borrower to do so), and (ii) any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paragraph (e).</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(f) </w:t>
      </w:r>
      <w:r>
        <w:rPr>
          <w:rFonts w:ascii="Times New Roman;serif" w:hAnsi="Times New Roman;serif"/>
          <w:b w:val="false"/>
          <w:i/>
          <w:sz w:val="20"/>
        </w:rPr>
        <w:t>Status of Lenders.</w:t>
      </w:r>
      <w:r>
        <w:rPr>
          <w:rFonts w:ascii="Times New Roman" w:hAnsi="Times New Roman"/>
          <w:sz w:val="20"/>
        </w:rPr>
        <w:t xml:space="preserve"> </w:t>
      </w:r>
    </w:p>
    <w:p>
      <w:pPr>
        <w:pStyle w:val="TextBody"/>
        <w:bidi w:val="0"/>
        <w:spacing w:before="320" w:after="0"/>
        <w:jc w:val="both"/>
        <w:rPr>
          <w:rFonts w:ascii="Times New Roman" w:hAnsi="Times New Roman"/>
          <w:sz w:val="20"/>
        </w:rPr>
      </w:pPr>
      <w:r>
        <w:rPr>
          <w:rFonts w:ascii="Times New Roman;serif" w:hAnsi="Times New Roman;serif"/>
          <w:b w:val="false"/>
          <w:sz w:val="20"/>
        </w:rPr>
        <w:t>(i) Any Lender that is entitled to an exemption from, or reduction of withholding Tax with respect to payments made under any Loan Document shall deliver to the Borrower and the Administrative Agent, at the time or times reasonably requested by the Borrower or the</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20" w:after="0"/>
        <w:jc w:val="both"/>
        <w:rPr>
          <w:rFonts w:ascii="Times New Roman;serif" w:hAnsi="Times New Roman;serif"/>
          <w:b w:val="false"/>
          <w:sz w:val="20"/>
        </w:rPr>
      </w:pPr>
      <w:r>
        <w:rPr>
          <w:rFonts w:ascii="Times New Roman;serif" w:hAnsi="Times New Roman;serif"/>
          <w:b w:val="false"/>
          <w:sz w:val="20"/>
        </w:rPr>
        <w:t>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as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5.03(f)(ii)(A), (B) or (D))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320" w:after="0"/>
        <w:jc w:val="both"/>
        <w:rPr>
          <w:rFonts w:ascii="Times New Roman;serif" w:hAnsi="Times New Roman;serif"/>
          <w:b w:val="false"/>
          <w:sz w:val="20"/>
        </w:rPr>
      </w:pPr>
      <w:r>
        <w:rPr>
          <w:rFonts w:ascii="Times New Roman;serif" w:hAnsi="Times New Roman;serif"/>
          <w:b w:val="false"/>
          <w:sz w:val="20"/>
        </w:rPr>
        <w:t>(ii) Without limiting the generality of the foregoing:</w:t>
      </w:r>
    </w:p>
    <w:p>
      <w:pPr>
        <w:pStyle w:val="TextBody"/>
        <w:bidi w:val="0"/>
        <w:spacing w:before="320" w:after="0"/>
        <w:jc w:val="both"/>
        <w:rPr>
          <w:rFonts w:ascii="Times New Roman;serif" w:hAnsi="Times New Roman;serif"/>
          <w:b w:val="false"/>
          <w:sz w:val="20"/>
        </w:rPr>
      </w:pPr>
      <w:r>
        <w:rPr>
          <w:rFonts w:ascii="Times New Roman;serif" w:hAnsi="Times New Roman;serif"/>
          <w:b w:val="false"/>
          <w:sz w:val="20"/>
        </w:rPr>
        <w:t>(A)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duly completed, valid, executed copies of IRS Form W</w:t>
        <w:noBreakHyphen/>
        <w:t>9 (or successor form) certifying that such Lender is exempt from U.S. Federal backup withholding Tax;</w:t>
      </w:r>
    </w:p>
    <w:p>
      <w:pPr>
        <w:pStyle w:val="TextBody"/>
        <w:bidi w:val="0"/>
        <w:spacing w:before="320" w:after="0"/>
        <w:jc w:val="both"/>
        <w:rPr>
          <w:rFonts w:ascii="Times New Roman;serif" w:hAnsi="Times New Roman;serif"/>
          <w:b w:val="false"/>
          <w:sz w:val="20"/>
        </w:rPr>
      </w:pPr>
      <w:r>
        <w:rPr>
          <w:rFonts w:ascii="Times New Roman;serif" w:hAnsi="Times New Roman;serif"/>
          <w:b w:val="false"/>
          <w:sz w:val="20"/>
        </w:rPr>
        <w:t>(B)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before="320" w:after="0"/>
        <w:jc w:val="both"/>
        <w:rPr>
          <w:rFonts w:ascii="Times New Roman;serif" w:hAnsi="Times New Roman;serif"/>
          <w:b w:val="false"/>
          <w:sz w:val="20"/>
        </w:rPr>
      </w:pPr>
      <w:r>
        <w:rPr>
          <w:rFonts w:ascii="Times New Roman;serif" w:hAnsi="Times New Roman;serif"/>
          <w:b w:val="false"/>
          <w:sz w:val="20"/>
        </w:rPr>
        <w:t>(1) in the case of a Foreign Lender claiming the benefits of an income Tax treaty to which the United States is a party (x) with respect to payments of interest under any Loan Document, duly completed, valid executed copies of IRS Form W</w:t>
        <w:noBreakHyphen/>
        <w:t>8BEN (or successor form) or IRS Form W</w:t>
        <w:noBreakHyphen/>
        <w:t>8BEN</w:t>
        <w:noBreakHyphen/>
        <w:t>E (or successor form) establishing an exemption from, or reduction of, U.S. Federal withholding Tax pursuant to the “interest” article of such Tax treaty and (y) with respect to any other applicable payments under any Loan Document, duly completed, valid, executed originals of IRS Form W</w:t>
        <w:noBreakHyphen/>
        <w:t>8BEN (or successor form) or IRS Form W</w:t>
        <w:noBreakHyphen/>
        <w:t>8BEN</w:t>
        <w:noBreakHyphen/>
        <w:t>E (or successor form) establishing an exemption from, or reduction of, U.S. Federal withholding Tax pursuant to the “business profits” or “other income” article of such Tax treaty;</w:t>
      </w:r>
    </w:p>
    <w:p>
      <w:pPr>
        <w:pStyle w:val="TextBody"/>
        <w:bidi w:val="0"/>
        <w:spacing w:before="320" w:after="0"/>
        <w:jc w:val="both"/>
        <w:rPr>
          <w:rFonts w:ascii="Times New Roman;serif" w:hAnsi="Times New Roman;serif"/>
          <w:b w:val="false"/>
          <w:sz w:val="20"/>
        </w:rPr>
      </w:pPr>
      <w:r>
        <w:rPr>
          <w:rFonts w:ascii="Times New Roman;serif" w:hAnsi="Times New Roman;serif"/>
          <w:b w:val="false"/>
          <w:sz w:val="20"/>
        </w:rPr>
        <w:t>(2) duly completed, valid, executed copies of IRS Form W</w:t>
        <w:noBreakHyphen/>
        <w:t>8ECI (or successor form);</w:t>
      </w:r>
    </w:p>
    <w:p>
      <w:pPr>
        <w:pStyle w:val="TextBody"/>
        <w:bidi w:val="0"/>
        <w:spacing w:before="320" w:after="0"/>
        <w:jc w:val="both"/>
        <w:rPr>
          <w:rFonts w:ascii="Times New Roman" w:hAnsi="Times New Roman"/>
          <w:sz w:val="20"/>
        </w:rPr>
      </w:pPr>
      <w:r>
        <w:rPr>
          <w:rFonts w:ascii="Times New Roman;serif" w:hAnsi="Times New Roman;serif"/>
          <w:b w:val="false"/>
          <w:sz w:val="20"/>
        </w:rPr>
        <w:t xml:space="preserve">(3) in the case of a Foreign Lender claiming the benefits of the exemption for portfolio interest under Section 881(c) of the Code, (x) a certificate substantially in the form of Exhibit D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 w:hAnsi="Times New Roman"/>
          <w:sz w:val="20"/>
        </w:rPr>
        <w:t>“</w:t>
      </w:r>
      <w:r>
        <w:rPr>
          <w:rFonts w:ascii="Times New Roman;serif" w:hAnsi="Times New Roman;serif"/>
          <w:b w:val="false"/>
          <w:i/>
          <w:sz w:val="20"/>
        </w:rPr>
        <w:t>U.S. Tax Compliance Certificate”</w:t>
      </w:r>
      <w:r>
        <w:rPr>
          <w:rFonts w:ascii="Times New Roman;serif" w:hAnsi="Times New Roman;serif"/>
          <w:b w:val="false"/>
          <w:sz w:val="20"/>
        </w:rPr>
        <w:t>) and (y) executed copies of IRS</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20" w:after="0"/>
        <w:jc w:val="both"/>
        <w:rPr>
          <w:rFonts w:ascii="Times New Roman;serif" w:hAnsi="Times New Roman;serif"/>
          <w:b w:val="false"/>
          <w:sz w:val="20"/>
        </w:rPr>
      </w:pPr>
      <w:r>
        <w:rPr>
          <w:rFonts w:ascii="Times New Roman;serif" w:hAnsi="Times New Roman;serif"/>
          <w:b w:val="false"/>
          <w:sz w:val="20"/>
        </w:rPr>
        <w:t>Form W</w:t>
        <w:noBreakHyphen/>
        <w:t>8BEN (or successor form) or IRS Form W</w:t>
        <w:noBreakHyphen/>
        <w:t>8BEN</w:t>
        <w:noBreakHyphen/>
        <w:t>E (or successor form); or</w:t>
      </w:r>
    </w:p>
    <w:p>
      <w:pPr>
        <w:pStyle w:val="TextBody"/>
        <w:bidi w:val="0"/>
        <w:spacing w:before="320" w:after="0"/>
        <w:jc w:val="both"/>
        <w:rPr>
          <w:rFonts w:ascii="Times New Roman" w:hAnsi="Times New Roman"/>
          <w:sz w:val="20"/>
        </w:rPr>
      </w:pPr>
      <w:r>
        <w:rPr>
          <w:rFonts w:ascii="Times New Roman;serif" w:hAnsi="Times New Roman;serif"/>
          <w:b w:val="false"/>
          <w:sz w:val="20"/>
        </w:rPr>
        <w:t>(4) to the extent a Foreign Lender is not the beneficial owner, duly completed, valid, executed copies of IRS Form W</w:t>
        <w:noBreakHyphen/>
        <w:t>8IMY (or successor form), accompanied by IRS Form W</w:t>
        <w:noBreakHyphen/>
        <w:t>8ECI (or successor form), IRS Form W</w:t>
        <w:noBreakHyphen/>
        <w:t>8BEN (or successor form), IRS Form W</w:t>
        <w:noBreakHyphen/>
        <w:t>8BEN</w:t>
        <w:noBreakHyphen/>
        <w:t>E (or successor form), a U.S. Tax Compliance Certificate, IRS Form W</w:t>
        <w:noBreakHyphen/>
        <w:t xml:space="preserve">9 (or successor form), and/or other certification documents from each beneficial owner, as applicable;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 if the Foreign Lender is a partnership and one or more direct or indirect partners of such Foreign Lender are claiming the portfolio interest exemption, such Foreign Lender may provide a U.S. Tax Compliance Certificate on behalf of each such direct and indirect partner;</w:t>
      </w:r>
    </w:p>
    <w:p>
      <w:pPr>
        <w:pStyle w:val="TextBody"/>
        <w:bidi w:val="0"/>
        <w:spacing w:before="320" w:after="0"/>
        <w:jc w:val="both"/>
        <w:rPr>
          <w:rFonts w:ascii="Times New Roman" w:hAnsi="Times New Roman"/>
          <w:sz w:val="20"/>
        </w:rPr>
      </w:pPr>
      <w:r>
        <w:rPr>
          <w:rFonts w:ascii="Times New Roman;serif" w:hAnsi="Times New Roman;serif"/>
          <w:b w:val="false"/>
          <w:sz w:val="20"/>
        </w:rPr>
        <w:t>(C)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w:t>
      </w:r>
      <w:r>
        <w:rPr>
          <w:rFonts w:ascii="Times New Roman" w:hAnsi="Times New Roman"/>
          <w:sz w:val="20"/>
        </w:rPr>
        <w:t xml:space="preserve"> </w:t>
      </w:r>
    </w:p>
    <w:p>
      <w:pPr>
        <w:pStyle w:val="TextBody"/>
        <w:bidi w:val="0"/>
        <w:spacing w:before="320" w:after="0"/>
        <w:jc w:val="both"/>
        <w:rPr>
          <w:rFonts w:ascii="Times New Roman;serif" w:hAnsi="Times New Roman;serif"/>
          <w:b w:val="false"/>
          <w:sz w:val="20"/>
        </w:rPr>
      </w:pPr>
      <w:r>
        <w:rPr>
          <w:rFonts w:ascii="Times New Roman;serif" w:hAnsi="Times New Roman;serif"/>
          <w:b w:val="false"/>
          <w:sz w:val="20"/>
        </w:rPr>
        <w:t>(D)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or the Administrative Agent to comply with its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 and</w:t>
      </w:r>
    </w:p>
    <w:p>
      <w:pPr>
        <w:pStyle w:val="TextBody"/>
        <w:bidi w:val="0"/>
        <w:spacing w:before="320" w:after="0"/>
        <w:jc w:val="both"/>
        <w:rPr>
          <w:rFonts w:ascii="Times New Roman" w:hAnsi="Times New Roman"/>
          <w:sz w:val="20"/>
        </w:rPr>
      </w:pPr>
      <w:bookmarkStart w:id="25" w:name="docxtextref1885"/>
      <w:bookmarkEnd w:id="25"/>
      <w:r>
        <w:rPr>
          <w:rFonts w:ascii="Times New Roman;serif" w:hAnsi="Times New Roman;serif"/>
          <w:b w:val="false"/>
          <w:sz w:val="20"/>
        </w:rPr>
        <w:t>(E) on or before the date the Administrative Agent (or any successor thereto) becomes a party to this Agreement, the Administrative Agent shall provide to the Borrower, a duly completed, valid copy of the documentation prescribed in clause (i) or (ii) below, as applicable (together with all required attachments thereto): (i)</w:t>
      </w:r>
      <w:r>
        <w:rPr>
          <w:rFonts w:ascii="Times New Roman" w:hAnsi="Times New Roman"/>
          <w:sz w:val="20"/>
        </w:rPr>
        <w:t xml:space="preserve"> </w:t>
      </w:r>
      <w:r>
        <w:rPr>
          <w:rFonts w:ascii="Times New Roman;serif" w:hAnsi="Times New Roman;serif"/>
          <w:b w:val="false"/>
          <w:sz w:val="20"/>
        </w:rPr>
        <w:t xml:space="preserve">IRS Form W-9 or any successor thereto, or (ii) </w:t>
      </w:r>
      <w:bookmarkStart w:id="26" w:name="docxtextref1886"/>
      <w:bookmarkEnd w:id="26"/>
      <w:r>
        <w:rPr>
          <w:rFonts w:ascii="Times New Roman;serif" w:hAnsi="Times New Roman;serif"/>
          <w:b w:val="false"/>
          <w:sz w:val="20"/>
        </w:rPr>
        <w:t>(A)</w:t>
      </w:r>
      <w:r>
        <w:rPr>
          <w:rFonts w:ascii="Times New Roman" w:hAnsi="Times New Roman"/>
          <w:sz w:val="20"/>
        </w:rPr>
        <w:t xml:space="preserve"> </w:t>
      </w:r>
      <w:r>
        <w:rPr>
          <w:rFonts w:ascii="Times New Roman;serif" w:hAnsi="Times New Roman;serif"/>
          <w:b w:val="false"/>
          <w:sz w:val="20"/>
        </w:rPr>
        <w:t xml:space="preserve">IRS Form W-8ECI or any successor thereto, and </w:t>
      </w:r>
      <w:bookmarkStart w:id="27" w:name="docxtextref1887"/>
      <w:bookmarkEnd w:id="27"/>
      <w:r>
        <w:rPr>
          <w:rFonts w:ascii="Times New Roman;serif" w:hAnsi="Times New Roman;serif"/>
          <w:b w:val="false"/>
          <w:sz w:val="20"/>
        </w:rPr>
        <w:t>(B)</w:t>
      </w:r>
      <w:r>
        <w:rPr>
          <w:rFonts w:ascii="Times New Roman" w:hAnsi="Times New Roman"/>
          <w:sz w:val="20"/>
        </w:rPr>
        <w:t xml:space="preserve"> </w:t>
      </w:r>
      <w:r>
        <w:rPr>
          <w:rFonts w:ascii="Times New Roman;serif" w:hAnsi="Times New Roman;serif"/>
          <w:b w:val="false"/>
          <w:sz w:val="20"/>
        </w:rPr>
        <w:t>with respect to payments received on account of any Lender, a U.S. branch withholding certificate on IRS Form W-8IMY or any successor thereto evidencing its agreement with the Borrower to be treated as a U.S. Person for U.S. federal withholding purposes. At any time thereafter, the Administrative Agent shall provide updated documentation previously provided (or a successor form thereto) when any documentation previously delivered has expired or become obsolete or invalid or otherwise upon the reasonable request of the Borrower.</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Each Recipient agrees that if any form or certification it previously delivered expires or becomes obsolete or inaccurate in any respect, it shall promptly update such form or certification or promptly notify the Borrower and the Administrative Agent in writing of its legal inability to do so.</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(g) </w:t>
      </w:r>
      <w:r>
        <w:rPr>
          <w:rFonts w:ascii="Times New Roman;serif" w:hAnsi="Times New Roman;serif"/>
          <w:b w:val="false"/>
          <w:i/>
          <w:sz w:val="20"/>
        </w:rPr>
        <w:t>Treatment of Certain Refunds.</w:t>
      </w:r>
      <w:r>
        <w:rPr>
          <w:rFonts w:ascii="Times New Roman" w:hAnsi="Times New Roman"/>
          <w:sz w:val="20"/>
        </w:rPr>
        <w:t xml:space="preserve"> </w:t>
      </w:r>
      <w:r>
        <w:rPr>
          <w:rFonts w:ascii="Times New Roman;serif" w:hAnsi="Times New Roman;serif"/>
          <w:b w:val="false"/>
          <w:sz w:val="20"/>
        </w:rPr>
        <w:t>If any party to this Agreement determines, in its reasonable discretion exercised in good faith, that it has received a refund of any Taxes as to which it has been indemnified pursuant to this Section 5.03 (including by the payment of additional amounts pursuant to this Section 5.03), it shall pay to the indemnifying party an amount equal to such refund (but only to the extent of indemnity payments made under this Section 5.03 with respect to the Taxes giving rise to such refund), net of all out</w:t>
        <w:noBreakHyphen/>
        <w:t>of</w:t>
        <w:noBreakHyphen/>
        <w:t>pocket expenses (including Taxes) of such indemnified party and without interest (other than any interest paid by the relevant Governmental Authority with respect to such refund). Such indemnifying party, upon the written request of such indemnified party, shall repay to such indemnified party the amount paid over pursuant to this paragraph (plus any penalties, interest or other charges imposed by the relevant Governmental Authority) in the event that such indemnified party is required to repay such refund to such Governmental Authority. Notwithstanding anything to the contrary in this Section 5.03(g), in no event will the indemnified party be required to pay any amount to an indemnifying party pursuant to this Section 5.03(g) the payment of which would place the indemnified party in a less favorable net after</w:t>
        <w:noBreakHyphen/>
        <w:t>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Section 5.03(g) shall not be construed to require any indemnified party to make available its Tax returns (or any other information relating to its Taxes that it deems confidential) to the indemnifying party or any other Person.</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(h) </w:t>
      </w:r>
      <w:r>
        <w:rPr>
          <w:rFonts w:ascii="Times New Roman;serif" w:hAnsi="Times New Roman;serif"/>
          <w:b w:val="false"/>
          <w:i/>
          <w:sz w:val="20"/>
        </w:rPr>
        <w:t>Mitigation Obligations.</w:t>
      </w:r>
      <w:r>
        <w:rPr>
          <w:rFonts w:ascii="Times New Roman" w:hAnsi="Times New Roman"/>
          <w:sz w:val="20"/>
        </w:rPr>
        <w:t xml:space="preserve"> </w:t>
      </w:r>
      <w:r>
        <w:rPr>
          <w:rFonts w:ascii="Times New Roman;serif" w:hAnsi="Times New Roman;serif"/>
          <w:b w:val="false"/>
          <w:sz w:val="20"/>
        </w:rPr>
        <w:t>If the Borrower is required to pay any Indemnified Taxes or additional amounts to any Lender or to any Governmental Authority for the account of any Lender pursuant to Section 5.01 or this Section 5.03, then such Lender shall (at the request of the Borrower) use commercially reasonable efforts to designate a different lending office for funding or booking its Term Loans hereunder or to assign and delegate its rights and obligations hereunder to another of its offices, branches or Affiliates if, in the sole reasonable judgment of such Lender, such designation or assignment and delegation would (i) eliminate or reduce amounts payable pursuant to Section 5.01 or this Section 5.03, as the case may be, in the future, (ii) not subject such Lender to any unreimbursed cost or expense and (iii) not otherwise be disadvantageous to such Lender. The Borrower hereby agrees to pay all reasonable out-of-pocket costs and expenses incurred by any Lender in connection with any such designation or assignment and delegation.</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(i) </w:t>
      </w:r>
      <w:r>
        <w:rPr>
          <w:rFonts w:ascii="Times New Roman;serif" w:hAnsi="Times New Roman;serif"/>
          <w:b w:val="false"/>
          <w:i/>
          <w:sz w:val="20"/>
        </w:rPr>
        <w:t>Survival</w:t>
      </w:r>
      <w:r>
        <w:rPr>
          <w:rFonts w:ascii="Times New Roman;serif" w:hAnsi="Times New Roman;serif"/>
          <w:b w:val="false"/>
          <w:sz w:val="20"/>
        </w:rPr>
        <w:t>. Each party’s obligations under this Article 5 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5.04. Delay in Requests</w:t>
      </w:r>
      <w:r>
        <w:rPr>
          <w:rFonts w:ascii="Times New Roman;serif" w:hAnsi="Times New Roman;serif"/>
          <w:b w:val="false"/>
          <w:sz w:val="20"/>
        </w:rPr>
        <w:t xml:space="preserve">. Failure or delay on the part of any Lender to demand compensation pursuant to this Article 5 shall not constitute a waiver of such Lender’s right to demand such compensation;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 the Borrower shall not be required to compensate a Lender pursuant to this Article 5 for any increased costs incurred or reductions suffered more than nine (9)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nine (9) month period referred to above shall be extended to include the period of retroactive effect thereof).</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center"/>
        <w:rPr>
          <w:rFonts w:ascii="Times New Roman;serif" w:hAnsi="Times New Roman;serif"/>
          <w:b/>
          <w:smallCaps/>
          <w:sz w:val="20"/>
        </w:rPr>
      </w:pPr>
      <w:r>
        <w:rPr>
          <w:rFonts w:ascii="Times New Roman;serif" w:hAnsi="Times New Roman;serif"/>
          <w:b/>
          <w:smallCaps/>
          <w:sz w:val="20"/>
        </w:rPr>
        <w:t>Article 6</w:t>
        <w:br/>
        <w:br/>
        <w:t>Conditions Precedent</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6.01. Conditions to Closing Date.</w:t>
      </w:r>
      <w:r>
        <w:rPr>
          <w:rFonts w:ascii="Times New Roman" w:hAnsi="Times New Roman"/>
          <w:sz w:val="20"/>
        </w:rPr>
        <w:t xml:space="preserve"> </w:t>
      </w:r>
      <w:r>
        <w:rPr>
          <w:rFonts w:ascii="Times New Roman;serif" w:hAnsi="Times New Roman;serif"/>
          <w:b w:val="false"/>
          <w:sz w:val="20"/>
        </w:rPr>
        <w:t>The obligation of each Lender to enter into this Agreement on the Closing Date shall not become effective until the following conditions precedent shall have been reasonably satisfied or waived in writing by the Administrative Agent:</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i/>
          <w:sz w:val="20"/>
        </w:rPr>
        <w:t>Organization and Capitalization</w:t>
      </w:r>
      <w:r>
        <w:rPr>
          <w:rFonts w:ascii="Times New Roman;serif" w:hAnsi="Times New Roman;serif"/>
          <w:b w:val="false"/>
          <w:sz w:val="20"/>
        </w:rPr>
        <w:t>. The organizational structure and pro-forma capitalization of the Obligors, after giving effect to the Transactions, as set forth on Schedule 7.20 shall be reasonably satisfactory to the Administrative Agent.</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i/>
          <w:sz w:val="20"/>
        </w:rPr>
        <w:t>Lien Searches.</w:t>
      </w:r>
      <w:r>
        <w:rPr>
          <w:rFonts w:ascii="Times New Roman" w:hAnsi="Times New Roman"/>
          <w:sz w:val="20"/>
        </w:rPr>
        <w:t xml:space="preserve"> </w:t>
      </w:r>
      <w:r>
        <w:rPr>
          <w:rFonts w:ascii="Times New Roman;serif" w:hAnsi="Times New Roman;serif"/>
          <w:b w:val="false"/>
          <w:sz w:val="20"/>
        </w:rPr>
        <w:t>The Administrative Agent shall be reasonably satisfied with Lien searches regarding the Obligors made prior to the Closing Date.</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i/>
          <w:sz w:val="20"/>
        </w:rPr>
        <w:t>Documentary Deliveries.</w:t>
      </w:r>
      <w:r>
        <w:rPr>
          <w:rFonts w:ascii="Times New Roman" w:hAnsi="Times New Roman"/>
          <w:sz w:val="20"/>
        </w:rPr>
        <w:t xml:space="preserve"> </w:t>
      </w:r>
      <w:r>
        <w:rPr>
          <w:rFonts w:ascii="Times New Roman;serif" w:hAnsi="Times New Roman;serif"/>
          <w:b w:val="false"/>
          <w:sz w:val="20"/>
        </w:rPr>
        <w:t>The Administrative Agent shall have received the following documents, each of which shall be in form and substance reasonably satisfactory to the Administrative Agent:</w:t>
      </w:r>
    </w:p>
    <w:p>
      <w:pPr>
        <w:pStyle w:val="TextBody"/>
        <w:bidi w:val="0"/>
        <w:spacing w:before="320" w:after="0"/>
        <w:jc w:val="both"/>
        <w:rPr>
          <w:rFonts w:ascii="Times New Roman" w:hAnsi="Times New Roman"/>
          <w:sz w:val="20"/>
        </w:rPr>
      </w:pPr>
      <w:r>
        <w:rPr>
          <w:rFonts w:ascii="Times New Roman;serif" w:hAnsi="Times New Roman;serif"/>
          <w:b w:val="false"/>
          <w:sz w:val="20"/>
        </w:rPr>
        <w:t xml:space="preserve">(i) </w:t>
      </w:r>
      <w:r>
        <w:rPr>
          <w:rFonts w:ascii="Times New Roman;serif" w:hAnsi="Times New Roman;serif"/>
          <w:b w:val="false"/>
          <w:i/>
          <w:sz w:val="20"/>
        </w:rPr>
        <w:t>Agreement.</w:t>
      </w:r>
      <w:r>
        <w:rPr>
          <w:rFonts w:ascii="Times New Roman" w:hAnsi="Times New Roman"/>
          <w:sz w:val="20"/>
        </w:rPr>
        <w:t xml:space="preserve"> </w:t>
      </w:r>
      <w:r>
        <w:rPr>
          <w:rFonts w:ascii="Times New Roman;serif" w:hAnsi="Times New Roman;serif"/>
          <w:b w:val="false"/>
          <w:sz w:val="20"/>
        </w:rPr>
        <w:t>This Agreement duly executed and delivered by the Borrower and each of the other parties hereto.</w:t>
      </w:r>
    </w:p>
    <w:p>
      <w:pPr>
        <w:pStyle w:val="TextBody"/>
        <w:bidi w:val="0"/>
        <w:spacing w:before="320" w:after="0"/>
        <w:jc w:val="both"/>
        <w:rPr>
          <w:rFonts w:ascii="Times New Roman" w:hAnsi="Times New Roman"/>
          <w:sz w:val="20"/>
        </w:rPr>
      </w:pPr>
      <w:r>
        <w:rPr>
          <w:rFonts w:ascii="Times New Roman;serif" w:hAnsi="Times New Roman;serif"/>
          <w:b w:val="false"/>
          <w:sz w:val="20"/>
        </w:rPr>
        <w:t xml:space="preserve">(ii) </w:t>
      </w:r>
      <w:r>
        <w:rPr>
          <w:rFonts w:ascii="Times New Roman;serif" w:hAnsi="Times New Roman;serif"/>
          <w:b w:val="false"/>
          <w:i/>
          <w:sz w:val="20"/>
        </w:rPr>
        <w:t>Collateral Questionnaire.</w:t>
      </w:r>
      <w:r>
        <w:rPr>
          <w:rFonts w:ascii="Times New Roman" w:hAnsi="Times New Roman"/>
          <w:sz w:val="20"/>
        </w:rPr>
        <w:t xml:space="preserve"> </w:t>
      </w:r>
      <w:r>
        <w:rPr>
          <w:rFonts w:ascii="Times New Roman;serif" w:hAnsi="Times New Roman;serif"/>
          <w:b w:val="false"/>
          <w:sz w:val="20"/>
        </w:rPr>
        <w:t>The Collateral Questionnaire, duly executed and delivered by a Responsible Officer of the Borrower, substantially in the form of Exhibit I hereto and otherwise in form and substance satisfactory to the Administrative Agent.</w:t>
      </w:r>
    </w:p>
    <w:p>
      <w:pPr>
        <w:pStyle w:val="TextBody"/>
        <w:bidi w:val="0"/>
        <w:spacing w:before="320" w:after="0"/>
        <w:jc w:val="both"/>
        <w:rPr>
          <w:rFonts w:ascii="Times New Roman" w:hAnsi="Times New Roman"/>
          <w:sz w:val="20"/>
        </w:rPr>
      </w:pPr>
      <w:r>
        <w:rPr>
          <w:rFonts w:ascii="Times New Roman;serif" w:hAnsi="Times New Roman;serif"/>
          <w:b w:val="false"/>
          <w:sz w:val="20"/>
        </w:rPr>
        <w:t xml:space="preserve">(iii) </w:t>
      </w:r>
      <w:r>
        <w:rPr>
          <w:rFonts w:ascii="Times New Roman;serif" w:hAnsi="Times New Roman;serif"/>
          <w:b w:val="false"/>
          <w:i/>
          <w:sz w:val="20"/>
        </w:rPr>
        <w:t>Fee Letter</w:t>
      </w:r>
      <w:r>
        <w:rPr>
          <w:rFonts w:ascii="Times New Roman;serif" w:hAnsi="Times New Roman;serif"/>
          <w:b w:val="false"/>
          <w:sz w:val="20"/>
        </w:rPr>
        <w:t>. The Fee Letter duly executed and delivered by the Borrower, the Lenders and the Administrative Agent.</w:t>
      </w:r>
    </w:p>
    <w:p>
      <w:pPr>
        <w:pStyle w:val="TextBody"/>
        <w:bidi w:val="0"/>
        <w:spacing w:before="320" w:after="0"/>
        <w:jc w:val="both"/>
        <w:rPr>
          <w:rFonts w:ascii="Times New Roman" w:hAnsi="Times New Roman"/>
          <w:sz w:val="20"/>
        </w:rPr>
      </w:pPr>
      <w:r>
        <w:rPr>
          <w:rFonts w:ascii="Times New Roman;serif" w:hAnsi="Times New Roman;serif"/>
          <w:b w:val="false"/>
          <w:sz w:val="20"/>
        </w:rPr>
        <w:t xml:space="preserve">(iv) </w:t>
      </w:r>
      <w:r>
        <w:rPr>
          <w:rFonts w:ascii="Times New Roman;serif" w:hAnsi="Times New Roman;serif"/>
          <w:b w:val="false"/>
          <w:i/>
          <w:sz w:val="20"/>
        </w:rPr>
        <w:t>Note.</w:t>
      </w:r>
      <w:r>
        <w:rPr>
          <w:rFonts w:ascii="Times New Roman" w:hAnsi="Times New Roman"/>
          <w:sz w:val="20"/>
        </w:rPr>
        <w:t xml:space="preserve"> </w:t>
      </w:r>
      <w:r>
        <w:rPr>
          <w:rFonts w:ascii="Times New Roman;serif" w:hAnsi="Times New Roman;serif"/>
          <w:b w:val="false"/>
          <w:sz w:val="20"/>
        </w:rPr>
        <w:t>Any Notes requested in accordance with Section 2.04.</w:t>
      </w:r>
    </w:p>
    <w:p>
      <w:pPr>
        <w:pStyle w:val="TextBody"/>
        <w:bidi w:val="0"/>
        <w:spacing w:before="320" w:after="0"/>
        <w:jc w:val="both"/>
        <w:rPr>
          <w:rFonts w:ascii="Times New Roman" w:hAnsi="Times New Roman"/>
          <w:sz w:val="20"/>
        </w:rPr>
      </w:pPr>
      <w:r>
        <w:rPr>
          <w:rFonts w:ascii="Times New Roman;serif" w:hAnsi="Times New Roman;serif"/>
          <w:b w:val="false"/>
          <w:sz w:val="20"/>
        </w:rPr>
        <w:t xml:space="preserve">(v) </w:t>
      </w:r>
      <w:r>
        <w:rPr>
          <w:rFonts w:ascii="Times New Roman;serif" w:hAnsi="Times New Roman;serif"/>
          <w:b w:val="false"/>
          <w:i/>
          <w:sz w:val="20"/>
        </w:rPr>
        <w:t>Organizational Documents.</w:t>
      </w:r>
      <w:r>
        <w:rPr>
          <w:rFonts w:ascii="Times New Roman" w:hAnsi="Times New Roman"/>
          <w:sz w:val="20"/>
        </w:rPr>
        <w:t xml:space="preserve"> </w:t>
      </w:r>
      <w:r>
        <w:rPr>
          <w:rFonts w:ascii="Times New Roman;serif" w:hAnsi="Times New Roman;serif"/>
          <w:b w:val="false"/>
          <w:sz w:val="20"/>
        </w:rPr>
        <w:t>(A) Certified copies of the Organizational Documents of each Obligor and of resolutions of the Board (or similar governing body) of each Obligor approving and authorizing the execution, delivery and performance of this Agreement and each of the other Loan Documents to which it is a party, certified as of the Closing Date by a Responsible Officer of such Obligor as being in full force and effect without modification or amendment; (B) a good standing certificate and/or compliance certificate from the applicable Governmental Authority of each Obligor’s jurisdiction of incorporation and in each jurisdiction in which it is qualified as a foreign corporation or other entity to do business (except where failure to be in good standing would not, either individually or in the aggregate, reasonably be expected to have a Material Adverse Effect), each dated a recent date prior to the Closing Date; and (C) such other documents as the Administrative Agent may reasonably request.</w:t>
      </w:r>
    </w:p>
    <w:p>
      <w:pPr>
        <w:pStyle w:val="TextBody"/>
        <w:bidi w:val="0"/>
        <w:spacing w:before="320" w:after="0"/>
        <w:jc w:val="both"/>
        <w:rPr>
          <w:rFonts w:ascii="Times New Roman" w:hAnsi="Times New Roman"/>
          <w:sz w:val="20"/>
        </w:rPr>
      </w:pPr>
      <w:r>
        <w:rPr>
          <w:rFonts w:ascii="Times New Roman;serif" w:hAnsi="Times New Roman;serif"/>
          <w:b w:val="false"/>
          <w:sz w:val="20"/>
        </w:rPr>
        <w:t xml:space="preserve">(vi) </w:t>
      </w:r>
      <w:r>
        <w:rPr>
          <w:rFonts w:ascii="Times New Roman;serif" w:hAnsi="Times New Roman;serif"/>
          <w:b w:val="false"/>
          <w:i/>
          <w:sz w:val="20"/>
        </w:rPr>
        <w:t>Incumbency Certificate.</w:t>
      </w:r>
      <w:r>
        <w:rPr>
          <w:rFonts w:ascii="Times New Roman" w:hAnsi="Times New Roman"/>
          <w:sz w:val="20"/>
        </w:rPr>
        <w:t xml:space="preserve"> </w:t>
      </w:r>
      <w:r>
        <w:rPr>
          <w:rFonts w:ascii="Times New Roman;serif" w:hAnsi="Times New Roman;serif"/>
          <w:b w:val="false"/>
          <w:sz w:val="20"/>
        </w:rPr>
        <w:t>A certificate of each Obligor as to the authority, incumbency and specimen signatures of the persons who have executed the Loan Documents and any other documents in connection herewith on behalf of the Obligors.</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(vii) </w:t>
      </w:r>
      <w:r>
        <w:rPr>
          <w:rFonts w:ascii="Times New Roman;serif" w:hAnsi="Times New Roman;serif"/>
          <w:b w:val="false"/>
          <w:i/>
          <w:sz w:val="20"/>
        </w:rPr>
        <w:t>Officer’s Certificate.</w:t>
      </w:r>
      <w:r>
        <w:rPr>
          <w:rFonts w:ascii="Times New Roman" w:hAnsi="Times New Roman"/>
          <w:sz w:val="20"/>
        </w:rPr>
        <w:t xml:space="preserve"> </w:t>
      </w:r>
      <w:r>
        <w:rPr>
          <w:rFonts w:ascii="Times New Roman;serif" w:hAnsi="Times New Roman;serif"/>
          <w:b w:val="false"/>
          <w:sz w:val="20"/>
        </w:rPr>
        <w:t>A certificate, in form and substance satisfactory to the Administrative Agent, dated as of the Closing Date and signed by a Responsible Officer of the Borrower, confirming compliance with the conditions set forth in subsections (f) and (g) of this Section 6.01.</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(viii) </w:t>
      </w:r>
      <w:r>
        <w:rPr>
          <w:rFonts w:ascii="Times New Roman;serif" w:hAnsi="Times New Roman;serif"/>
          <w:b w:val="false"/>
          <w:i/>
          <w:sz w:val="20"/>
        </w:rPr>
        <w:t>Opinion of Counsel.</w:t>
      </w:r>
      <w:r>
        <w:rPr>
          <w:rFonts w:ascii="Times New Roman" w:hAnsi="Times New Roman"/>
          <w:sz w:val="20"/>
        </w:rPr>
        <w:t xml:space="preserve"> </w:t>
      </w:r>
      <w:r>
        <w:rPr>
          <w:rFonts w:ascii="Times New Roman;serif" w:hAnsi="Times New Roman;serif"/>
          <w:b w:val="false"/>
          <w:sz w:val="20"/>
        </w:rPr>
        <w:t>A favorable opinion, dated as of the Closing Date, of Sidley Austin LLP, counsel to each Obligor in form reasonably acceptable to the Administrative Agent and its counsel.</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(ix) </w:t>
      </w:r>
      <w:r>
        <w:rPr>
          <w:rFonts w:ascii="Times New Roman;serif" w:hAnsi="Times New Roman;serif"/>
          <w:b w:val="false"/>
          <w:i/>
          <w:sz w:val="20"/>
        </w:rPr>
        <w:t>Evidence of Insurance.</w:t>
      </w:r>
      <w:r>
        <w:rPr>
          <w:rFonts w:ascii="Times New Roman" w:hAnsi="Times New Roman"/>
          <w:sz w:val="20"/>
        </w:rPr>
        <w:t xml:space="preserve"> </w:t>
      </w:r>
      <w:r>
        <w:rPr>
          <w:rFonts w:ascii="Times New Roman;serif" w:hAnsi="Times New Roman;serif"/>
          <w:b w:val="false"/>
          <w:sz w:val="20"/>
        </w:rPr>
        <w:t>Certificates from each Obligor’s insurance broker or other evidence reasonably satisfactory to the Administrative Agent that all insurance required to be maintained pursuant to Section 8.05 is in full force and effect.</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(d) </w:t>
      </w:r>
      <w:r>
        <w:rPr>
          <w:rFonts w:ascii="Times New Roman;serif" w:hAnsi="Times New Roman;serif"/>
          <w:b w:val="false"/>
          <w:i/>
          <w:sz w:val="20"/>
        </w:rPr>
        <w:t>Documents in Agreed Form.</w:t>
      </w:r>
      <w:r>
        <w:rPr>
          <w:rFonts w:ascii="Times New Roman" w:hAnsi="Times New Roman"/>
          <w:sz w:val="20"/>
        </w:rPr>
        <w:t xml:space="preserve"> </w:t>
      </w:r>
      <w:r>
        <w:rPr>
          <w:rFonts w:ascii="Times New Roman;serif" w:hAnsi="Times New Roman;serif"/>
          <w:b w:val="false"/>
          <w:sz w:val="20"/>
        </w:rPr>
        <w:t>The Administrative Agent shall have received the following documents, each of which shall be in form and substance reasonably satisfactory to the Administrative Agent:</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 UCC-1 financing statement in form and substance satisfactory to the Administrative Agent.</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(ii) the Security Agreement;</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(iii) the Short</w:t>
        <w:noBreakHyphen/>
        <w:t>Form IP Security Agreements; and</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(iv) the Warrant Certificate (Funding Date).</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(e) </w:t>
      </w:r>
      <w:r>
        <w:rPr>
          <w:rFonts w:ascii="Times New Roman;serif" w:hAnsi="Times New Roman;serif"/>
          <w:b w:val="false"/>
          <w:i/>
          <w:sz w:val="20"/>
        </w:rPr>
        <w:t>Indebtedness.</w:t>
      </w:r>
      <w:r>
        <w:rPr>
          <w:rFonts w:ascii="Times New Roman" w:hAnsi="Times New Roman"/>
          <w:sz w:val="20"/>
        </w:rPr>
        <w:t xml:space="preserve"> </w:t>
      </w:r>
      <w:r>
        <w:rPr>
          <w:rFonts w:ascii="Times New Roman;serif" w:hAnsi="Times New Roman;serif"/>
          <w:b w:val="false"/>
          <w:sz w:val="20"/>
        </w:rPr>
        <w:t>As of the Closing Date, no Obligor shall have any Indebtedness other than the Obligations, Permitted Indebtedness, Indebtedness evidenced by the Existing Credit Agreements and any Indebtedness specified on Schedule 7.13A.</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(f) </w:t>
      </w:r>
      <w:r>
        <w:rPr>
          <w:rFonts w:ascii="Times New Roman;serif" w:hAnsi="Times New Roman;serif"/>
          <w:b w:val="false"/>
          <w:i/>
          <w:sz w:val="20"/>
        </w:rPr>
        <w:t>Representations and Warranties</w:t>
      </w:r>
      <w:r>
        <w:rPr>
          <w:rFonts w:ascii="Times New Roman;serif" w:hAnsi="Times New Roman;serif"/>
          <w:b w:val="false"/>
          <w:sz w:val="20"/>
        </w:rPr>
        <w:t xml:space="preserve">. The Specified Representations shall be true and correct in all material respects on and as of the Closing Date;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 xml:space="preserve">that to the extent that such representations and warranties specifically refer to an earlier date, they shall be true and correct in all material respects as of such earlier date; </w:t>
      </w:r>
      <w:r>
        <w:rPr>
          <w:rFonts w:ascii="Times New Roman;serif" w:hAnsi="Times New Roman;serif"/>
          <w:b w:val="false"/>
          <w:i/>
          <w:sz w:val="20"/>
        </w:rPr>
        <w:t>provided further</w:t>
      </w:r>
      <w:r>
        <w:rPr>
          <w:rFonts w:ascii="Times New Roman" w:hAnsi="Times New Roman"/>
          <w:sz w:val="20"/>
        </w:rPr>
        <w:t xml:space="preserve"> </w:t>
      </w:r>
      <w:r>
        <w:rPr>
          <w:rFonts w:ascii="Times New Roman;serif" w:hAnsi="Times New Roman;serif"/>
          <w:b w:val="false"/>
          <w:sz w:val="20"/>
        </w:rPr>
        <w:t>that any representation and warranty that is qualified as to “materiality”, “Material Adverse Effect” or similar language shall be true and correct (after giving effect to any qualification therein) in all respects.</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(g) </w:t>
      </w:r>
      <w:r>
        <w:rPr>
          <w:rFonts w:ascii="Times New Roman;serif" w:hAnsi="Times New Roman;serif"/>
          <w:b w:val="false"/>
          <w:i/>
          <w:sz w:val="20"/>
        </w:rPr>
        <w:t>No Default</w:t>
      </w:r>
      <w:r>
        <w:rPr>
          <w:rFonts w:ascii="Times New Roman;serif" w:hAnsi="Times New Roman;serif"/>
          <w:b w:val="false"/>
          <w:sz w:val="20"/>
        </w:rPr>
        <w:t>. No Default shall exist.</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The execution of this Agreement shall constitute a certification by the Borrower, the Administrative Agent and the Lenders to the effect that the conditions set forth in Section 6.01 have been fulfilled as of the Closing Date.</w:t>
      </w:r>
    </w:p>
    <w:p>
      <w:pPr>
        <w:pStyle w:val="TextBody"/>
        <w:bidi w:val="0"/>
        <w:spacing w:before="280" w:after="0"/>
        <w:jc w:val="both"/>
        <w:rPr>
          <w:rFonts w:ascii="Times New Roman" w:hAnsi="Times New Roman"/>
          <w:sz w:val="20"/>
        </w:rPr>
      </w:pPr>
      <w:r>
        <w:rPr>
          <w:rFonts w:ascii="Times New Roman;serif" w:hAnsi="Times New Roman;serif"/>
          <w:b w:val="false"/>
          <w:i/>
          <w:sz w:val="20"/>
        </w:rPr>
        <w:t xml:space="preserve">Section 6.02. Conditions to Funding Date; Tranche A Loan. </w:t>
      </w:r>
      <w:r>
        <w:rPr>
          <w:rFonts w:ascii="Times New Roman;serif" w:hAnsi="Times New Roman;serif"/>
          <w:b w:val="false"/>
          <w:sz w:val="20"/>
        </w:rPr>
        <w:t>The obligation of each Lender to make the Tranche A Loan on the Funding Date shall not become effective until the following conditions precedent shall have been reasonably satisfied or waived in writing by the Administrative Agent (which satisfaction or waiver may be made simultaneously with the making of the Tranche A Loan hereunder):</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i/>
          <w:sz w:val="20"/>
        </w:rPr>
        <w:t>Documentary Deliveries.</w:t>
      </w:r>
      <w:r>
        <w:rPr>
          <w:rFonts w:ascii="Times New Roman" w:hAnsi="Times New Roman"/>
          <w:sz w:val="20"/>
        </w:rPr>
        <w:t xml:space="preserve"> </w:t>
      </w:r>
      <w:r>
        <w:rPr>
          <w:rFonts w:ascii="Times New Roman;serif" w:hAnsi="Times New Roman;serif"/>
          <w:b w:val="false"/>
          <w:sz w:val="20"/>
        </w:rPr>
        <w:t>The Administrative Agent shall have received the following documents, each of which shall be in form and substance reasonably satisfactory to the Administrative Agent:</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(i) </w:t>
      </w:r>
      <w:r>
        <w:rPr>
          <w:rFonts w:ascii="Times New Roman;serif" w:hAnsi="Times New Roman;serif"/>
          <w:b w:val="false"/>
          <w:i/>
          <w:sz w:val="20"/>
        </w:rPr>
        <w:t>Borrowing Notice.</w:t>
      </w:r>
      <w:r>
        <w:rPr>
          <w:rFonts w:ascii="Times New Roman" w:hAnsi="Times New Roman"/>
          <w:sz w:val="20"/>
        </w:rPr>
        <w:t xml:space="preserve"> </w:t>
      </w:r>
      <w:r>
        <w:rPr>
          <w:rFonts w:ascii="Times New Roman;serif" w:hAnsi="Times New Roman;serif"/>
          <w:b w:val="false"/>
          <w:sz w:val="20"/>
        </w:rPr>
        <w:t>The Administrative Agent shall have received a Borrowing Notice in accordance with Section 2.01(a)(ii) duly executed and delivered by a Responsible Officer of the Borrower, in form and substance satisfactory to the Administrative Agent.</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(ii) </w:t>
      </w:r>
      <w:r>
        <w:rPr>
          <w:rFonts w:ascii="Times New Roman;serif" w:hAnsi="Times New Roman;serif"/>
          <w:b w:val="false"/>
          <w:i/>
          <w:sz w:val="20"/>
        </w:rPr>
        <w:t>Warrant Certificate</w:t>
      </w:r>
      <w:r>
        <w:rPr>
          <w:rFonts w:ascii="Times New Roman;serif" w:hAnsi="Times New Roman;serif"/>
          <w:b w:val="false"/>
          <w:sz w:val="20"/>
        </w:rPr>
        <w:t>. The Administrative Agent shall have received the executed Warrant Certificate (Funding Date), dated as of the Funding Date.</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(iii) </w:t>
      </w:r>
      <w:r>
        <w:rPr>
          <w:rFonts w:ascii="Times New Roman;serif" w:hAnsi="Times New Roman;serif"/>
          <w:b w:val="false"/>
          <w:i/>
          <w:sz w:val="20"/>
        </w:rPr>
        <w:t>Security Documents.</w:t>
      </w:r>
      <w:r>
        <w:rPr>
          <w:rFonts w:ascii="Times New Roman" w:hAnsi="Times New Roman"/>
          <w:sz w:val="20"/>
        </w:rPr>
        <w:t xml:space="preserve">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(A) The Security Documents, including, without limitation, the Security Agreement, each Short</w:t>
        <w:noBreakHyphen/>
        <w:t>Form IP Security Agreement and financing statements, duly executed and delivered by each of the Obligors and the other parties thereto.</w:t>
      </w:r>
    </w:p>
    <w:p>
      <w:pPr>
        <w:pStyle w:val="TextBody"/>
        <w:bidi w:val="0"/>
        <w:spacing w:before="320" w:after="0"/>
        <w:jc w:val="both"/>
        <w:rPr>
          <w:rFonts w:ascii="Times New Roman;serif" w:hAnsi="Times New Roman;serif"/>
          <w:b w:val="false"/>
          <w:sz w:val="20"/>
        </w:rPr>
      </w:pPr>
      <w:r>
        <w:rPr>
          <w:rFonts w:ascii="Times New Roman;serif" w:hAnsi="Times New Roman;serif"/>
          <w:b w:val="false"/>
          <w:sz w:val="20"/>
        </w:rPr>
        <w:t>(B) Without limitation, all other documents and instruments reasonably required to perfect the Lenders’ Lien on, and security interest in, the Collateral required to be delivered on or prior to the Funding Date shall have been duly executed and delivered and be in proper form for filing, and shall create in favor of the Administrative Agent, for the benefit of the Lenders, a perfected Lien on, and security interest in, the Collateral, subject to no Liens other than Permitted Liens.</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(iv) </w:t>
      </w:r>
      <w:r>
        <w:rPr>
          <w:rFonts w:ascii="Times New Roman;serif" w:hAnsi="Times New Roman;serif"/>
          <w:b w:val="false"/>
          <w:i/>
          <w:sz w:val="20"/>
        </w:rPr>
        <w:t>Opinion of Counsel.</w:t>
      </w:r>
      <w:r>
        <w:rPr>
          <w:rFonts w:ascii="Times New Roman" w:hAnsi="Times New Roman"/>
          <w:sz w:val="20"/>
        </w:rPr>
        <w:t xml:space="preserve"> </w:t>
      </w:r>
      <w:r>
        <w:rPr>
          <w:rFonts w:ascii="Times New Roman;serif" w:hAnsi="Times New Roman;serif"/>
          <w:b w:val="false"/>
          <w:sz w:val="20"/>
        </w:rPr>
        <w:t>A favorable opinion, dated as of the Funding Date, of Sidley Austin LLP, counsel to each Obligor in form reasonably acceptable to the Administrative Agent and its counsel.</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(v) </w:t>
      </w:r>
      <w:r>
        <w:rPr>
          <w:rFonts w:ascii="Times New Roman;serif" w:hAnsi="Times New Roman;serif"/>
          <w:b w:val="false"/>
          <w:i/>
          <w:sz w:val="20"/>
        </w:rPr>
        <w:t>Officer’s Certificate.</w:t>
      </w:r>
      <w:r>
        <w:rPr>
          <w:rFonts w:ascii="Times New Roman" w:hAnsi="Times New Roman"/>
          <w:sz w:val="20"/>
        </w:rPr>
        <w:t xml:space="preserve"> </w:t>
      </w:r>
      <w:r>
        <w:rPr>
          <w:rFonts w:ascii="Times New Roman;serif" w:hAnsi="Times New Roman;serif"/>
          <w:b w:val="false"/>
          <w:sz w:val="20"/>
        </w:rPr>
        <w:t>A certificate, in form and substance satisfactory to the Administrative Agent, dated as of the Funding Date and signed by a Responsible Officer of the Borrower: (A) confirming compliance with the conditions set forth in subsections (d), (e) and (f) of this Section 6.02, (B) certifying that the applicable names, titles and officers of each Obligor have not changed since the Closing Date and (C) confirming that the Organizational Documents of each Obligor have not changed since the Closing Date.</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sz w:val="20"/>
        </w:rPr>
        <w:t>(vi) If the Funding Date occurs more than thirty (30) days after the Closing Date:</w:t>
      </w:r>
      <w:r>
        <w:rPr>
          <w:rFonts w:ascii="Times New Roman" w:hAnsi="Times New Roman"/>
          <w:sz w:val="20"/>
        </w:rPr>
        <w:t xml:space="preserve"> </w:t>
      </w:r>
    </w:p>
    <w:p>
      <w:pPr>
        <w:pStyle w:val="TextBody"/>
        <w:bidi w:val="0"/>
        <w:spacing w:before="320" w:after="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i/>
          <w:sz w:val="20"/>
        </w:rPr>
        <w:t>Good Standing Certificates.</w:t>
      </w:r>
      <w:r>
        <w:rPr>
          <w:rFonts w:ascii="Times New Roman" w:hAnsi="Times New Roman"/>
          <w:sz w:val="20"/>
        </w:rPr>
        <w:t xml:space="preserve"> </w:t>
      </w:r>
      <w:r>
        <w:rPr>
          <w:rFonts w:ascii="Times New Roman;serif" w:hAnsi="Times New Roman;serif"/>
          <w:b w:val="false"/>
          <w:sz w:val="20"/>
        </w:rPr>
        <w:t>A good standing certificate and/or compliance certificate from the applicable Governmental Authority of each Obligor’s jurisdiction of incorporation or organization, and in each jurisdiction in which it is qualified as a foreign corporation or other entity to do business (except where failure to be in good standing would not, either individually or in the aggregate, reasonably be expected to have a Material Adverse Effect), each dated a recent date prior to the Funding Date.</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i/>
          <w:sz w:val="20"/>
        </w:rPr>
        <w:t>Bringdown Lien Searches.</w:t>
      </w:r>
      <w:r>
        <w:rPr>
          <w:rFonts w:ascii="Times New Roman" w:hAnsi="Times New Roman"/>
          <w:sz w:val="20"/>
        </w:rPr>
        <w:t xml:space="preserve"> </w:t>
      </w:r>
      <w:r>
        <w:rPr>
          <w:rFonts w:ascii="Times New Roman;serif" w:hAnsi="Times New Roman;serif"/>
          <w:b w:val="false"/>
          <w:sz w:val="20"/>
        </w:rPr>
        <w:t>The Administrative Agent shall be satisfied with bringdown Lien searches regarding the Obligors made prior to the Funding Date.</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i/>
          <w:sz w:val="20"/>
        </w:rPr>
        <w:t>Funding Fees and Expenses.</w:t>
      </w:r>
      <w:r>
        <w:rPr>
          <w:rFonts w:ascii="Times New Roman" w:hAnsi="Times New Roman"/>
          <w:sz w:val="20"/>
        </w:rPr>
        <w:t xml:space="preserve"> </w:t>
      </w:r>
      <w:r>
        <w:rPr>
          <w:rFonts w:ascii="Times New Roman;serif" w:hAnsi="Times New Roman;serif"/>
          <w:b w:val="false"/>
          <w:sz w:val="20"/>
        </w:rPr>
        <w:t>The Lenders and their Affiliates shall have received for their own account, the Funding Fee and all fees, costs and expenses due (including applicable attorney costs and the reasonable and documented out</w:t>
        <w:noBreakHyphen/>
        <w:t>of</w:t>
        <w:noBreakHyphen/>
        <w:t>pocket fees and expenses of any other advisors to the Lenders) and payable pursuant to Section 13.03.</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i/>
          <w:sz w:val="20"/>
        </w:rPr>
        <w:t>Indebtedness.</w:t>
      </w:r>
      <w:r>
        <w:rPr>
          <w:rFonts w:ascii="Times New Roman" w:hAnsi="Times New Roman"/>
          <w:sz w:val="20"/>
        </w:rPr>
        <w:t xml:space="preserve"> </w:t>
      </w:r>
      <w:r>
        <w:rPr>
          <w:rFonts w:ascii="Times New Roman;serif" w:hAnsi="Times New Roman;serif"/>
          <w:b w:val="false"/>
          <w:sz w:val="20"/>
        </w:rPr>
        <w:t>As of the Funding Date, after giving effect to the Transactions, no Obligor shall have any Indebtedness other than the Obligations, the Permitted Indebtedness and any Indebtedness specified on Schedule 7.13A. The Indebtedness evidenced by the Existing Credit Agreements shall have been repaid in full, all commitments (if any) in respect thereof terminated, all guarantees (if any) thereof discharged and released and all security therefor (if any) released, together with all fees and other amounts owing thereon, or documentation in form and substance reasonably satisfactory to the Administrative Agent to effect such release upon such repayment and termination shall have been delivered to the Administrative Agent.</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(d) </w:t>
      </w:r>
      <w:r>
        <w:rPr>
          <w:rFonts w:ascii="Times New Roman;serif" w:hAnsi="Times New Roman;serif"/>
          <w:b w:val="false"/>
          <w:i/>
          <w:sz w:val="20"/>
        </w:rPr>
        <w:t>Representations and Warranties</w:t>
      </w:r>
      <w:r>
        <w:rPr>
          <w:rFonts w:ascii="Times New Roman;serif" w:hAnsi="Times New Roman;serif"/>
          <w:b w:val="false"/>
          <w:sz w:val="20"/>
        </w:rPr>
        <w:t xml:space="preserve">. The representations and warranties of the Obligors contained in Article 7 or any other Loan Document shall be true and correct in all material respects on and as of the Funding Date;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 to the extent that such representations and warranties specifically refer</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to an earlier date, they shall be true and correct in all material respects as of such earlier date; </w:t>
      </w:r>
      <w:r>
        <w:rPr>
          <w:rFonts w:ascii="Times New Roman;serif" w:hAnsi="Times New Roman;serif"/>
          <w:b w:val="false"/>
          <w:i/>
          <w:sz w:val="20"/>
        </w:rPr>
        <w:t>provided further</w:t>
      </w:r>
      <w:r>
        <w:rPr>
          <w:rFonts w:ascii="Times New Roman" w:hAnsi="Times New Roman"/>
          <w:sz w:val="20"/>
        </w:rPr>
        <w:t xml:space="preserve"> </w:t>
      </w:r>
      <w:r>
        <w:rPr>
          <w:rFonts w:ascii="Times New Roman;serif" w:hAnsi="Times New Roman;serif"/>
          <w:b w:val="false"/>
          <w:sz w:val="20"/>
        </w:rPr>
        <w:t>that any representation and warranty that is qualified as to “materiality”, “Material Adverse Effect” or similar language shall be true and correct (after giving effect to any qualification therein) in all respects.</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(e) </w:t>
      </w:r>
      <w:r>
        <w:rPr>
          <w:rFonts w:ascii="Times New Roman;serif" w:hAnsi="Times New Roman;serif"/>
          <w:b w:val="false"/>
          <w:i/>
          <w:sz w:val="20"/>
        </w:rPr>
        <w:t>Required Equity Financing</w:t>
      </w:r>
      <w:r>
        <w:rPr>
          <w:rFonts w:ascii="Times New Roman;serif" w:hAnsi="Times New Roman;serif"/>
          <w:b w:val="false"/>
          <w:sz w:val="20"/>
        </w:rPr>
        <w:t>. The Borrower shall have raised new equity resulting in gross proceeds of at least $30,000,000, on terms reasonably satisfactory to the Administrative Agent.</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(f) </w:t>
      </w:r>
      <w:r>
        <w:rPr>
          <w:rFonts w:ascii="Times New Roman;serif" w:hAnsi="Times New Roman;serif"/>
          <w:b w:val="false"/>
          <w:i/>
          <w:sz w:val="20"/>
        </w:rPr>
        <w:t>No Default</w:t>
      </w:r>
      <w:r>
        <w:rPr>
          <w:rFonts w:ascii="Times New Roman;serif" w:hAnsi="Times New Roman;serif"/>
          <w:b w:val="false"/>
          <w:sz w:val="20"/>
        </w:rPr>
        <w:t>. No Default shall exist, or would result from such proposed Borrowing or from the application of the proceeds therefrom.</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6.03. Conditions to Tranche B Loan; Tranche B Loan Borrowing Date.</w:t>
      </w:r>
      <w:r>
        <w:rPr>
          <w:rFonts w:ascii="Times New Roman" w:hAnsi="Times New Roman"/>
          <w:sz w:val="20"/>
        </w:rPr>
        <w:t xml:space="preserve"> </w:t>
      </w:r>
      <w:r>
        <w:rPr>
          <w:rFonts w:ascii="Times New Roman;serif" w:hAnsi="Times New Roman;serif"/>
          <w:b w:val="false"/>
          <w:sz w:val="20"/>
        </w:rPr>
        <w:t>The obligation of each Lender to make the Tranche B Loan on the Tranche B Loan Borrowing Date shall not become effective until the following conditions precedent shall have been satisfied or waived in writing by the Administrative Agent (which satisfaction or waiver may be made simultaneously with the making of the Tranche B Loan hereunder):</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i/>
          <w:sz w:val="20"/>
        </w:rPr>
        <w:t>Tranche B Loan Commitment Termination Date</w:t>
      </w:r>
      <w:r>
        <w:rPr>
          <w:rFonts w:ascii="Times New Roman;serif" w:hAnsi="Times New Roman;serif"/>
          <w:b w:val="false"/>
          <w:sz w:val="20"/>
        </w:rPr>
        <w:t>. The Tranche B Loan Commitment Termination Date shall not have occurred.</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i/>
          <w:sz w:val="20"/>
        </w:rPr>
        <w:t>Borrowing Notice.</w:t>
      </w:r>
      <w:r>
        <w:rPr>
          <w:rFonts w:ascii="Times New Roman" w:hAnsi="Times New Roman"/>
          <w:sz w:val="20"/>
        </w:rPr>
        <w:t xml:space="preserve"> </w:t>
      </w:r>
      <w:r>
        <w:rPr>
          <w:rFonts w:ascii="Times New Roman;serif" w:hAnsi="Times New Roman;serif"/>
          <w:b w:val="false"/>
          <w:sz w:val="20"/>
        </w:rPr>
        <w:t>The Administrative Agent shall have received a Borrowing Notice in accordance with Section 2.01(b)(ii) requesting the Borrowing of the Tranche B Loan duly executed by a Responsible Officer of the Borrower and the Borrower’s updated Schedules to this Agreement (if any), in form and substance reasonably satisfactory to the Administrative Agent.</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i/>
          <w:sz w:val="20"/>
        </w:rPr>
        <w:t>Representations and Warranties</w:t>
      </w:r>
      <w:r>
        <w:rPr>
          <w:rFonts w:ascii="Times New Roman;serif" w:hAnsi="Times New Roman;serif"/>
          <w:b w:val="false"/>
          <w:sz w:val="20"/>
        </w:rPr>
        <w:t xml:space="preserve">. The representations and warranties of the Obligors contained in Article 7 or any other Loan Document shall be true and correct in all material respects on and as of the Tranche B Loan Borrowing Date;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 xml:space="preserve">that to the extent that such representations and warranties specifically refer to an earlier date, they shall be true and correct in all material respects as of such earlier date; </w:t>
      </w:r>
      <w:r>
        <w:rPr>
          <w:rFonts w:ascii="Times New Roman;serif" w:hAnsi="Times New Roman;serif"/>
          <w:b w:val="false"/>
          <w:i/>
          <w:sz w:val="20"/>
        </w:rPr>
        <w:t>provided further</w:t>
      </w:r>
      <w:r>
        <w:rPr>
          <w:rFonts w:ascii="Times New Roman" w:hAnsi="Times New Roman"/>
          <w:sz w:val="20"/>
        </w:rPr>
        <w:t xml:space="preserve"> </w:t>
      </w:r>
      <w:r>
        <w:rPr>
          <w:rFonts w:ascii="Times New Roman;serif" w:hAnsi="Times New Roman;serif"/>
          <w:b w:val="false"/>
          <w:sz w:val="20"/>
        </w:rPr>
        <w:t>that any representation and warranty that is qualified as to “materiality”, “Material Adverse Effect” or similar language shall be true and correct (after giving effect to any qualification therein) in all respects.</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(d) </w:t>
      </w:r>
      <w:r>
        <w:rPr>
          <w:rFonts w:ascii="Times New Roman;serif" w:hAnsi="Times New Roman;serif"/>
          <w:b w:val="false"/>
          <w:i/>
          <w:sz w:val="20"/>
        </w:rPr>
        <w:t>No Default</w:t>
      </w:r>
      <w:r>
        <w:rPr>
          <w:rFonts w:ascii="Times New Roman;serif" w:hAnsi="Times New Roman;serif"/>
          <w:b w:val="false"/>
          <w:sz w:val="20"/>
        </w:rPr>
        <w:t>. No Default shall exist, or would result from such proposed Borrowing or from the application of the proceeds therefrom.</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(e) </w:t>
      </w:r>
      <w:r>
        <w:rPr>
          <w:rFonts w:ascii="Times New Roman;serif" w:hAnsi="Times New Roman;serif"/>
          <w:b w:val="false"/>
          <w:i/>
          <w:sz w:val="20"/>
        </w:rPr>
        <w:t>Officer’s Certificate.</w:t>
      </w:r>
      <w:r>
        <w:rPr>
          <w:rFonts w:ascii="Times New Roman" w:hAnsi="Times New Roman"/>
          <w:sz w:val="20"/>
        </w:rPr>
        <w:t xml:space="preserve"> </w:t>
      </w:r>
      <w:r>
        <w:rPr>
          <w:rFonts w:ascii="Times New Roman;serif" w:hAnsi="Times New Roman;serif"/>
          <w:b w:val="false"/>
          <w:sz w:val="20"/>
        </w:rPr>
        <w:t>A certificate, dated as of the Tranche B Borrowing Date and signed by a Responsible Officer of the Borrower, confirming compliance with the conditions set forth in subsections (c), (d) and (f) of this Section 6.03.</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(f) </w:t>
      </w:r>
      <w:r>
        <w:rPr>
          <w:rFonts w:ascii="Times New Roman;serif" w:hAnsi="Times New Roman;serif"/>
          <w:b w:val="false"/>
          <w:i/>
          <w:sz w:val="20"/>
        </w:rPr>
        <w:t>Milestone.</w:t>
      </w:r>
      <w:r>
        <w:rPr>
          <w:rFonts w:ascii="Times New Roman" w:hAnsi="Times New Roman"/>
          <w:sz w:val="20"/>
        </w:rPr>
        <w:t xml:space="preserve"> </w:t>
      </w:r>
      <w:r>
        <w:rPr>
          <w:rFonts w:ascii="Times New Roman;serif" w:hAnsi="Times New Roman;serif"/>
          <w:b w:val="false"/>
          <w:sz w:val="20"/>
        </w:rPr>
        <w:t>The Administrative Agent shall have received evidence reasonably satisfactory to the Administrative Agent that the Borrower has (i) achieved Net Revenue of at least $43,600,000 for any twelve (12) consecutive month period prior to the Tranche B Borrowing Date and (ii) received aggregate cash proceeds of at least $27,500,000 from the sale or issuance of Equity Interests of the Borrower prior to the Tranche B Borrowing Date.</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(g) </w:t>
      </w:r>
      <w:r>
        <w:rPr>
          <w:rFonts w:ascii="Times New Roman;serif" w:hAnsi="Times New Roman;serif"/>
          <w:b w:val="false"/>
          <w:i/>
          <w:sz w:val="20"/>
        </w:rPr>
        <w:t>Expenses.</w:t>
      </w:r>
      <w:r>
        <w:rPr>
          <w:rFonts w:ascii="Times New Roman" w:hAnsi="Times New Roman"/>
          <w:sz w:val="20"/>
        </w:rPr>
        <w:t xml:space="preserve"> </w:t>
      </w:r>
      <w:r>
        <w:rPr>
          <w:rFonts w:ascii="Times New Roman;serif" w:hAnsi="Times New Roman;serif"/>
          <w:b w:val="false"/>
          <w:sz w:val="20"/>
        </w:rPr>
        <w:t>The Lenders and their Affiliates shall have received for their own account, all fees, costs and expenses due (including applicable attorney costs and the reasonable and documented out-of-pocket fees and expenses of any other advisors to the Lenders) and payable pursuant to Section 13.03.</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6.04. Conditions to Tranche C Loan; Tranche C Loan Borrowing Date.</w:t>
      </w:r>
      <w:r>
        <w:rPr>
          <w:rFonts w:ascii="Times New Roman" w:hAnsi="Times New Roman"/>
          <w:sz w:val="20"/>
        </w:rPr>
        <w:t xml:space="preserve"> </w:t>
      </w:r>
      <w:r>
        <w:rPr>
          <w:rFonts w:ascii="Times New Roman;serif" w:hAnsi="Times New Roman;serif"/>
          <w:b w:val="false"/>
          <w:sz w:val="20"/>
        </w:rPr>
        <w:t>The obligation of each Lender to make the Tranche C Loan on the Tranche C Loan Borrowing Date shall not become effective until the following conditions precedent shall have been satisfied or waived in writing by the Administrative Agent (which satisfaction or waiver may be made simultaneously with the making of the Tranche C Loan hereunder):</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i/>
          <w:sz w:val="20"/>
        </w:rPr>
        <w:t>Tranche C Loan Commitment Termination Date</w:t>
      </w:r>
      <w:r>
        <w:rPr>
          <w:rFonts w:ascii="Times New Roman;serif" w:hAnsi="Times New Roman;serif"/>
          <w:b w:val="false"/>
          <w:sz w:val="20"/>
        </w:rPr>
        <w:t>. The Tranche C Loan Commitment Termination Date shall not have occurred.</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i/>
          <w:sz w:val="20"/>
        </w:rPr>
        <w:t>Borrowing Notice.</w:t>
      </w:r>
      <w:r>
        <w:rPr>
          <w:rFonts w:ascii="Times New Roman" w:hAnsi="Times New Roman"/>
          <w:sz w:val="20"/>
        </w:rPr>
        <w:t xml:space="preserve"> </w:t>
      </w:r>
      <w:r>
        <w:rPr>
          <w:rFonts w:ascii="Times New Roman;serif" w:hAnsi="Times New Roman;serif"/>
          <w:b w:val="false"/>
          <w:sz w:val="20"/>
        </w:rPr>
        <w:t>The Administrative Agent shall have received a Borrowing Notice in accordance with Section 2.01(c)(ii) requesting the Borrowing of the Tranche C Loan duly executed by a Responsible Officer of the Borrower and the Borrower’s updated Schedules to this Agreement (if any), in form and substance reasonably satisfactory to the Administrative Agent.</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i/>
          <w:sz w:val="20"/>
        </w:rPr>
        <w:t>Representations and Warranties</w:t>
      </w:r>
      <w:r>
        <w:rPr>
          <w:rFonts w:ascii="Times New Roman;serif" w:hAnsi="Times New Roman;serif"/>
          <w:b w:val="false"/>
          <w:sz w:val="20"/>
        </w:rPr>
        <w:t xml:space="preserve">. The representations and warranties of the Obligors contained in Article 7 or any other Loan Document shall be true and correct in all material respects on and as of the Tranche C Loan Borrowing Date;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 xml:space="preserve">that to the extent that such representations and warranties specifically refer to an earlier date, they shall be true and correct in all material respects as of such earlier date; </w:t>
      </w:r>
      <w:r>
        <w:rPr>
          <w:rFonts w:ascii="Times New Roman;serif" w:hAnsi="Times New Roman;serif"/>
          <w:b w:val="false"/>
          <w:i/>
          <w:sz w:val="20"/>
        </w:rPr>
        <w:t>provided further</w:t>
      </w:r>
      <w:r>
        <w:rPr>
          <w:rFonts w:ascii="Times New Roman" w:hAnsi="Times New Roman"/>
          <w:sz w:val="20"/>
        </w:rPr>
        <w:t xml:space="preserve"> </w:t>
      </w:r>
      <w:r>
        <w:rPr>
          <w:rFonts w:ascii="Times New Roman;serif" w:hAnsi="Times New Roman;serif"/>
          <w:b w:val="false"/>
          <w:sz w:val="20"/>
        </w:rPr>
        <w:t>that any representation and warranty that is qualified as to “materiality”, “Material Adverse Effect” or similar language shall be true and correct (after giving effect to any qualification therein) in all respects.</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(d) </w:t>
      </w:r>
      <w:r>
        <w:rPr>
          <w:rFonts w:ascii="Times New Roman;serif" w:hAnsi="Times New Roman;serif"/>
          <w:b w:val="false"/>
          <w:i/>
          <w:sz w:val="20"/>
        </w:rPr>
        <w:t>No Default</w:t>
      </w:r>
      <w:r>
        <w:rPr>
          <w:rFonts w:ascii="Times New Roman;serif" w:hAnsi="Times New Roman;serif"/>
          <w:b w:val="false"/>
          <w:sz w:val="20"/>
        </w:rPr>
        <w:t>. No Default shall exist, or would result from such proposed Borrowing or from the application of the proceeds therefrom.</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(e) </w:t>
      </w:r>
      <w:r>
        <w:rPr>
          <w:rFonts w:ascii="Times New Roman;serif" w:hAnsi="Times New Roman;serif"/>
          <w:b w:val="false"/>
          <w:i/>
          <w:sz w:val="20"/>
        </w:rPr>
        <w:t>Officer’s Certificate.</w:t>
      </w:r>
      <w:r>
        <w:rPr>
          <w:rFonts w:ascii="Times New Roman" w:hAnsi="Times New Roman"/>
          <w:sz w:val="20"/>
        </w:rPr>
        <w:t xml:space="preserve"> </w:t>
      </w:r>
      <w:r>
        <w:rPr>
          <w:rFonts w:ascii="Times New Roman;serif" w:hAnsi="Times New Roman;serif"/>
          <w:b w:val="false"/>
          <w:sz w:val="20"/>
        </w:rPr>
        <w:t>A certificate, dated as of the Tranche C Borrowing Date and signed by a Responsible Officer of the Borrower, confirming compliance with the conditions set forth in subsections (c), (d) and (f) of this Section 6.04.</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(f) </w:t>
      </w:r>
      <w:r>
        <w:rPr>
          <w:rFonts w:ascii="Times New Roman;serif" w:hAnsi="Times New Roman;serif"/>
          <w:b w:val="false"/>
          <w:i/>
          <w:sz w:val="20"/>
        </w:rPr>
        <w:t>Milestone.</w:t>
      </w:r>
      <w:r>
        <w:rPr>
          <w:rFonts w:ascii="Times New Roman" w:hAnsi="Times New Roman"/>
          <w:sz w:val="20"/>
        </w:rPr>
        <w:t xml:space="preserve"> </w:t>
      </w:r>
      <w:r>
        <w:rPr>
          <w:rFonts w:ascii="Times New Roman;serif" w:hAnsi="Times New Roman;serif"/>
          <w:b w:val="false"/>
          <w:sz w:val="20"/>
        </w:rPr>
        <w:t>The Administrative Agent shall have received evidence reasonably satisfactory to the Administrative Agent that the Borrower has achieved Net Revenue of at least $95,000,000 for any twelve (12) consecutive month period prior to the Tranche C Borrowing Date.</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(g) </w:t>
      </w:r>
      <w:r>
        <w:rPr>
          <w:rFonts w:ascii="Times New Roman;serif" w:hAnsi="Times New Roman;serif"/>
          <w:b w:val="false"/>
          <w:i/>
          <w:sz w:val="20"/>
        </w:rPr>
        <w:t>Expenses.</w:t>
      </w:r>
      <w:r>
        <w:rPr>
          <w:rFonts w:ascii="Times New Roman" w:hAnsi="Times New Roman"/>
          <w:sz w:val="20"/>
        </w:rPr>
        <w:t xml:space="preserve"> </w:t>
      </w:r>
      <w:r>
        <w:rPr>
          <w:rFonts w:ascii="Times New Roman;serif" w:hAnsi="Times New Roman;serif"/>
          <w:b w:val="false"/>
          <w:sz w:val="20"/>
        </w:rPr>
        <w:t>The Lenders and their Affiliates shall have received for their own account, all fees, costs and expenses due (including applicable attorney costs and the reasonable and documented out-of-pocket fees and expenses of any other advisors to the Lenders) and payable pursuant to Section 13.03.</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The borrowing of the Term Loans shall constitute a certification by the Borrower to the effect that the conditions set forth in Section 6.02, 6.03 and 6.04, as applicable, have been fulfilled as of the Funding Date, the Tranche B Loan Borrowing Date or the Tranche C Loan Borrowing Date, as applicable.</w:t>
      </w:r>
    </w:p>
    <w:p>
      <w:pPr>
        <w:pStyle w:val="TextBody"/>
        <w:bidi w:val="0"/>
        <w:spacing w:before="360" w:after="0"/>
        <w:jc w:val="center"/>
        <w:rPr>
          <w:rFonts w:ascii="Times New Roman;serif" w:hAnsi="Times New Roman;serif"/>
          <w:b/>
          <w:smallCaps/>
          <w:sz w:val="20"/>
        </w:rPr>
      </w:pPr>
      <w:r>
        <w:rPr>
          <w:rFonts w:ascii="Times New Roman;serif" w:hAnsi="Times New Roman;serif"/>
          <w:b/>
          <w:smallCaps/>
          <w:sz w:val="20"/>
        </w:rPr>
        <w:t>Article 7</w:t>
        <w:br/>
        <w:br/>
        <w:t>Representations and Warranties</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In order to induce the Lenders to enter into this Agreement and to extend the Term Loans hereunder, each Obligor represents and warrants to the Lenders and the Administrative Agent, on the Closing Date (solely with respect to the Specified Representations), on the Funding Date, on the Tranche B Loan Borrowing Date and on the Tranche C Loan Borrowing Date, as applicable, that the following statements are true and correct:</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7.01. Power and Authority.</w:t>
      </w:r>
      <w:r>
        <w:rPr>
          <w:rFonts w:ascii="Times New Roman" w:hAnsi="Times New Roman"/>
          <w:sz w:val="20"/>
        </w:rPr>
        <w:t xml:space="preserve"> </w:t>
      </w:r>
      <w:r>
        <w:rPr>
          <w:rFonts w:ascii="Times New Roman;serif" w:hAnsi="Times New Roman;serif"/>
          <w:b w:val="false"/>
          <w:sz w:val="20"/>
        </w:rPr>
        <w:t>Each Obligor and each of its Subsidiaries (a) is duly organized, validly existing and in good standing under the Laws of its jurisdiction of organization, (b) has all requisite corporate (or equivalent) power, (c) has all material Governmental Approvals necessary to own its assets and carry on its business as now being or as proposed to be conducted except to the extent that failure to have the same would not reasonably be expected to have a Material Adverse Effect, (d) is qualified to do business and is in good standing in all jurisdictions in which the nature of the business conducted by it makes such qualification necessary except where failure to so</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qualify would not (either individually or in the aggregate) reasonably be expected to result in a Material Adverse Effect, and (e) has full power, authority and legal right to make and perform its obligations under each of the Loan Documents to which it is a party and, in the case of the Borrower, to borrow the Term Loans hereunder.</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7.02. Authorization; Enforceability.</w:t>
      </w:r>
      <w:r>
        <w:rPr>
          <w:rFonts w:ascii="Times New Roman" w:hAnsi="Times New Roman"/>
          <w:sz w:val="20"/>
        </w:rPr>
        <w:t xml:space="preserve"> </w:t>
      </w:r>
      <w:r>
        <w:rPr>
          <w:rFonts w:ascii="Times New Roman;serif" w:hAnsi="Times New Roman;serif"/>
          <w:b w:val="false"/>
          <w:sz w:val="20"/>
        </w:rPr>
        <w:t>The Transactions are within each Obligor’s corporate (or equivalent) powers and have been duly authorized by all necessary corporate (or equivalent) action and, if required, by all necessary shareholder or other equity holder action. The Loan Documents have been duly executed and delivered by each Obligor party thereto and constitutes, and each of the other Loan Documents to which it is a party when executed and delivered by such Obligor will constitute, a legal, valid and binding obligation of such Obligor, enforceable against each Obligor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7.03. Governmental and Other Approvals; No Conflicts.</w:t>
      </w:r>
      <w:r>
        <w:rPr>
          <w:rFonts w:ascii="Times New Roman" w:hAnsi="Times New Roman"/>
          <w:sz w:val="20"/>
        </w:rPr>
        <w:t xml:space="preserve"> </w:t>
      </w:r>
      <w:r>
        <w:rPr>
          <w:rFonts w:ascii="Times New Roman;serif" w:hAnsi="Times New Roman;serif"/>
          <w:b w:val="false"/>
          <w:sz w:val="20"/>
        </w:rPr>
        <w:t>The Transactions (a) do not require any consent or approval of, registration or filing with, or any other action by, any Governmental Authority or any other Person, except for (i) prior to the Funding Date, those consents and approvals required by the Indebtedness set forth on Schedule 7.13(A) which is subject to the Refinancing, (ii) such as have been obtained or made and are in full force and effect and (iii) filings and recordings in respect of perfecting or recording the Liens created pursuant to the Security Documents, (b) will not violate any applicable Requirement of Law or any applicable order of any Governmental Authority, in each case, other than any such violations that, individually or in the aggregate, would not reasonably be expected to have a Material Adverse Effect, (c) will not violate the Organizational Documents of any Obligor other than any such violations that, individually or in the aggregate, would not reasonably be expected to have a Material Adverse Effect, (d) will not violate or result in a default under any Material Agreement, or give rise to a right thereunder to require any payment to be made by any such Person and (e) will not result in the creation or imposition of any Lien (other than Permitted Liens) on any asset of any Obligor or any of its Subsidiaries.</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7.04. Financial Statements; Projections; Material Adverse Change</w:t>
      </w:r>
      <w:r>
        <w:rPr>
          <w:rFonts w:ascii="Times New Roman;serif" w:hAnsi="Times New Roman;serif"/>
          <w:b w:val="false"/>
          <w:sz w:val="20"/>
        </w:rPr>
        <w:t>.</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i/>
          <w:sz w:val="20"/>
        </w:rPr>
        <w:t xml:space="preserve">Financial Statements. </w:t>
      </w:r>
      <w:r>
        <w:rPr>
          <w:rFonts w:ascii="Times New Roman;serif" w:hAnsi="Times New Roman;serif"/>
          <w:b w:val="false"/>
          <w:sz w:val="20"/>
        </w:rPr>
        <w:t>The Borrower has heretofore furnished to the Administrative Agent certain consolidated financial statements as provided for in Section 8.01. Such financial statements present fairly, in all material respects, the consolidated financial position and results of operations and cash flows of the Obligors as of such dates and for such periods substantially in accordance with GAAP, subject to quarterly or year</w:t>
        <w:noBreakHyphen/>
        <w:t>end adjustments and the absence of footnotes. As of the date of such financial statements, no Obligor has any material contingent liabilities, long</w:t>
        <w:noBreakHyphen/>
        <w:t>term lease or unusual forward or long</w:t>
        <w:noBreakHyphen/>
        <w:t>term commitments not disclosed in the aforementioned financial statements.</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i/>
          <w:sz w:val="20"/>
        </w:rPr>
        <w:t>Projections.</w:t>
      </w:r>
      <w:r>
        <w:rPr>
          <w:rFonts w:ascii="Times New Roman" w:hAnsi="Times New Roman"/>
          <w:sz w:val="20"/>
        </w:rPr>
        <w:t xml:space="preserve"> </w:t>
      </w:r>
      <w:r>
        <w:rPr>
          <w:rFonts w:ascii="Times New Roman;serif" w:hAnsi="Times New Roman;serif"/>
          <w:b w:val="false"/>
          <w:sz w:val="20"/>
        </w:rPr>
        <w:t xml:space="preserve">On and as of the Closing Date, the projections of the Obligors (collectively, the </w:t>
      </w:r>
      <w:r>
        <w:rPr>
          <w:rFonts w:ascii="Times New Roman" w:hAnsi="Times New Roman"/>
          <w:sz w:val="20"/>
        </w:rPr>
        <w:t>“</w:t>
      </w:r>
      <w:r>
        <w:rPr>
          <w:rFonts w:ascii="Times New Roman;serif" w:hAnsi="Times New Roman;serif"/>
          <w:b w:val="false"/>
          <w:i/>
          <w:sz w:val="20"/>
        </w:rPr>
        <w:t>Projections”</w:t>
      </w:r>
      <w:r>
        <w:rPr>
          <w:rFonts w:ascii="Times New Roman;serif" w:hAnsi="Times New Roman;serif"/>
          <w:b w:val="false"/>
          <w:sz w:val="20"/>
        </w:rPr>
        <w:t xml:space="preserve">) are based on good faith estimates and reasonable assumptions made by the management of the Borrower;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 xml:space="preserve">the Projections are not to be viewed as facts and that actual results during the period or periods covered by the Projections may differ from such Projections and that the differences may be material; </w:t>
      </w:r>
      <w:r>
        <w:rPr>
          <w:rFonts w:ascii="Times New Roman;serif" w:hAnsi="Times New Roman;serif"/>
          <w:b w:val="false"/>
          <w:i/>
          <w:sz w:val="20"/>
        </w:rPr>
        <w:t>provided, further,</w:t>
      </w:r>
      <w:r>
        <w:rPr>
          <w:rFonts w:ascii="Times New Roman" w:hAnsi="Times New Roman"/>
          <w:sz w:val="20"/>
        </w:rPr>
        <w:t xml:space="preserve"> </w:t>
      </w:r>
      <w:r>
        <w:rPr>
          <w:rFonts w:ascii="Times New Roman;serif" w:hAnsi="Times New Roman;serif"/>
          <w:b w:val="false"/>
          <w:sz w:val="20"/>
        </w:rPr>
        <w:t>as of the Closing Date, the management of the Borrower believes that the Projections are reasonable and attainable, as of the date prepared.</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i/>
          <w:sz w:val="20"/>
        </w:rPr>
        <w:t>No Material Adverse Change.</w:t>
      </w:r>
      <w:r>
        <w:rPr>
          <w:rFonts w:ascii="Times New Roman" w:hAnsi="Times New Roman"/>
          <w:sz w:val="20"/>
        </w:rPr>
        <w:t xml:space="preserve"> </w:t>
      </w:r>
      <w:r>
        <w:rPr>
          <w:rFonts w:ascii="Times New Roman;serif" w:hAnsi="Times New Roman;serif"/>
          <w:b w:val="false"/>
          <w:sz w:val="20"/>
        </w:rPr>
        <w:t>Since December 31, 2021 no event, circumstance or change has occurred that has caused or evidences, either in individually or in the aggregate, a Material Adverse Change.</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7.05. Properties</w:t>
      </w:r>
      <w:r>
        <w:rPr>
          <w:rFonts w:ascii="Times New Roman;serif" w:hAnsi="Times New Roman;serif"/>
          <w:b w:val="false"/>
          <w:sz w:val="20"/>
        </w:rPr>
        <w:t>.</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i/>
          <w:sz w:val="20"/>
        </w:rPr>
        <w:t>Property Generally.</w:t>
      </w:r>
      <w:r>
        <w:rPr>
          <w:rFonts w:ascii="Times New Roman" w:hAnsi="Times New Roman"/>
          <w:sz w:val="20"/>
        </w:rPr>
        <w:t xml:space="preserve"> </w:t>
      </w:r>
      <w:r>
        <w:rPr>
          <w:rFonts w:ascii="Times New Roman;serif" w:hAnsi="Times New Roman;serif"/>
          <w:b w:val="false"/>
          <w:sz w:val="20"/>
        </w:rPr>
        <w:t>With respect to all real and personal assets and properties of each Obligor and each of its Subsidiaries (other than Intellectual Property which is covered by clause (b) below), such Obligor and each of its Subsidiaries has valid fee simple title to, or valid leasehold or license interests in, all its real and personal Property material to its business, including all Product Assets, subject only to Permitted Liens and except as would not reasonably be expected to materially interfere with its ability to conduct its business as currently conducted or to utilize such properties for their intended purposes. No Obligor or any Subsidiary thereof owns any real property in fee simple as of the Closing Date and the Funding Date.</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i/>
          <w:sz w:val="20"/>
        </w:rPr>
        <w:t>Intellectual Property.</w:t>
      </w:r>
      <w:r>
        <w:rPr>
          <w:rFonts w:ascii="Times New Roman" w:hAnsi="Times New Roman"/>
          <w:sz w:val="20"/>
        </w:rPr>
        <w:t xml:space="preserve">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 Schedule 7.05(b) lists, with respect to each Obligor, all United States and foreign registrations of and applications for Patents, Trademarks, Copyrights, and Industrial Designs that are Obligor Intellectual Property owned by or exclusively licensed to such Obligor, including the applicable jurisdiction, registration or application number and date, as applicable thereto, a designation as to whether it is Material Intellectual Property.</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(ii) Each Obligor (A) owns or possesses all legal rights, title and interest in and to the Material Intellectual Property designated on Schedule 7.05(b) as being owned by such Obligor and (B) has the right to use the Material Intellectual Property licensed to such Obligor, in each case free and clear of any Liens or Claims of any kind, other than Permitted Liens, in each case, except as described in Schedule 7.05(b).</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(iii) The Material Intellectual Property does not violate any license or infringe any valid and enforceable Intellectual Property right of another, that either individually or in the aggregate would reasonably be expected to have a Material Adverse Effect.</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(iv) Other than with respect to the Material Agreements, or as permitted by this Agreement, the Obligors have not assigned or otherwise transferred ownership of, or agreed to assign or otherwise transfer ownership of, any Material Intellectual Property owned by an Obligor, in whole or in part, to any Person who is not an Obligor.</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(v) Other than as set forth on Schedule 7.05(b), the Obligors have not received any written communications in the past twelve (12) months, nor is there any pending or, to each Obligor’s knowledge, threatened action in writing, suit, proceeding or claim in writing by another, alleging that any of the Obligors has violated, infringed, diluted or misappropriated any Intellectual Property of another.</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(vi) There is no pending or, to any Obligor’s knowledge, threatened action in writing, suit, proceeding or Claim in writing by another: (A) challenging an Obligor’s rights in or to any Material Intellectual Property owned by such Obligor; or (B) challenging the validity, enforceability or scope of any Material Intellectual Property owned by an Obligor.</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(vii) Each Obligor has taken commercially reasonable precautions to protect the secrecy, confidentiality and value of the Material Intellectual Property (including without limitation, by requiring that all relevant current and former employees, contractors and consultants of the Obligors execute written confidentiality and Invention assignment Contracts).</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(viii) Each Obligor has complied in all material respects with the terms of each Material Agreement pursuant to which Intellectual Property has been licensed to the Obligors (which material terms shall include, but not be limited to, pricing and duration of the agreement).</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(ix) All maintenance fees, annuities, and the like due or payable on the Patents within the Material Intellectual Property owned by an Obligor and, to each Obligor’s knowledge, the Patents within the Material Intellectual Property licensed to such Obligor have been timely paid or the failure to so pay was the result of an intentional decision by the applicable Obligor, which would not reasonably be expected to result in a Material Adverse Change. All documents and instruments necessary to register or apply for or renew registration of all Patents, Trademarks and Copyrights within the Material Intellectual Property owned by an Obligor and, to each Obligor’s knowledge, the Material Intellectual Property licensed to such Obligor have been validly executed, delivered and filed in a timely manner with the United States Patent and Trademark Office or the United States Copyright Office, as applicable.</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(x) To each Obligor’s knowledge, (A) there are no material defects in the applicable applications for any of the Patents within the Material Intellectual Property owned by an Obligor and (B) no such Patents within the Material Intellectual Property owned by an Obligor have ever been finally adjudicated to be invalid, unpatentable or unenforceable for any reason in any administrative, arbitration, judicial or other proceeding.</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(xi) To each Obligor’s knowledge, no Obligor has received any written notice in the past twelve (12) months asserting that the Patents within the Material Intellectual Property owned by an Obligor are invalid, unpatentable or unenforceable and, to each Obligor’s knowledge, no Obligor has engaged in any conduct, or omitted to perform any necessary act, the result of which would invalidate or render unpatentable or unenforceable any such Patent within the Material Intellectual Property.</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(xii) Each employee and consultant with access to Material Intellectual Property has signed a written agreement assigning to the applicable Obligor all intellectual property rights that are created or developed by such employee or consultant, as applicable, on behalf of such Obligor with respect to such Obligor’s business as now conducted and as presently proposed to be conducted and confidentiality provisions protecting trade secrets and confidentiality information of the Obligors.</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(xiii) To the knowledge of each Obligor, no third party is infringing upon or misappropriating any Material Intellectual Property, or violating any material license or agreement with such Obligor relating to any Material Intellectual Property.</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7.06. No Actions or Proceedings</w:t>
      </w:r>
      <w:r>
        <w:rPr>
          <w:rFonts w:ascii="Times New Roman;serif" w:hAnsi="Times New Roman;serif"/>
          <w:b w:val="false"/>
          <w:sz w:val="20"/>
        </w:rPr>
        <w:t>.</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i/>
          <w:sz w:val="20"/>
        </w:rPr>
        <w:t>Litigation.</w:t>
      </w:r>
      <w:r>
        <w:rPr>
          <w:rFonts w:ascii="Times New Roman" w:hAnsi="Times New Roman"/>
          <w:sz w:val="20"/>
        </w:rPr>
        <w:t xml:space="preserve"> </w:t>
      </w:r>
      <w:r>
        <w:rPr>
          <w:rFonts w:ascii="Times New Roman;serif" w:hAnsi="Times New Roman;serif"/>
          <w:b w:val="false"/>
          <w:sz w:val="20"/>
        </w:rPr>
        <w:t>There is no litigation, investigation or enforcement proceeding pending or threatened in writing with respect to any Obligor by or before any Governmental Authority or arbitrator (i) that either individually or in the aggregate would reasonably be expected to have a Material Adverse Effect or (ii) that involves this Agreement or the Transactions.</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i/>
          <w:sz w:val="20"/>
        </w:rPr>
        <w:t>Environmental Matters.</w:t>
      </w:r>
      <w:r>
        <w:rPr>
          <w:rFonts w:ascii="Times New Roman" w:hAnsi="Times New Roman"/>
          <w:sz w:val="20"/>
        </w:rPr>
        <w:t xml:space="preserve"> </w:t>
      </w:r>
      <w:r>
        <w:rPr>
          <w:rFonts w:ascii="Times New Roman;serif" w:hAnsi="Times New Roman;serif"/>
          <w:b w:val="false"/>
          <w:sz w:val="20"/>
        </w:rPr>
        <w:t>The operations and the real Property of the Obligors comply with all applicable Environmental Laws, except to the extent the failure to so comply, either individually or in the aggregate, would not reasonably be expected to have a Material Adverse Effect. To each Obligor’s knowledge, there have been no conditions, occurrences or release of Hazardous Materials which would reasonably be expected to have a Material Adverse Effect.</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i/>
          <w:sz w:val="20"/>
        </w:rPr>
        <w:t>Labor Matters.</w:t>
      </w:r>
      <w:r>
        <w:rPr>
          <w:rFonts w:ascii="Times New Roman" w:hAnsi="Times New Roman"/>
          <w:sz w:val="20"/>
        </w:rPr>
        <w:t xml:space="preserve"> </w:t>
      </w:r>
      <w:r>
        <w:rPr>
          <w:rFonts w:ascii="Times New Roman;serif" w:hAnsi="Times New Roman;serif"/>
          <w:b w:val="false"/>
          <w:sz w:val="20"/>
        </w:rPr>
        <w:t>No Obligor has engaged in unfair labor practices and there are no pending or, to any Obligor’s knowledge, threatened in writing labor actions, disputes, grievance or arbitration proceedings involving the employees of any Obligor, in each case that would reasonably be expected to have a Material Adverse Effect. There is no material strike or work stoppage in existence or threatened in writing against any Obligor and to the knowledge of such Obligor, no union organization activity is taking place.</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7.07. Compliance with Laws and Agreements</w:t>
      </w:r>
      <w:r>
        <w:rPr>
          <w:rFonts w:ascii="Times New Roman;serif" w:hAnsi="Times New Roman;serif"/>
          <w:b w:val="false"/>
          <w:sz w:val="20"/>
        </w:rPr>
        <w:t>.</w:t>
      </w:r>
      <w:r>
        <w:rPr>
          <w:rFonts w:ascii="Times New Roman" w:hAnsi="Times New Roman"/>
          <w:sz w:val="20"/>
        </w:rPr>
        <w:t xml:space="preserve">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(a) Each Obligor is in compliance with all Requirements of Law (including Healthcare Laws and Environmental Laws) and all Contracts binding upon it or its Property, except (other than with respect to Material Intellectual Property) where the failure to do so, individually or in the aggregate, would not reasonably be expected to result in a Material Adverse Effect.</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(b) Without limiting the generality of the foregoing, except as, individually or in the aggregate, would not reasonably be expected to result in a Material Adverse Effect:</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(i) Any financial relationships between or among the Borrower, any other Obligor, or any of their respective Subsidiaries, on the one hand, and any Person who is in a position to refer patients or other Federal Health Care Program to the Borrower, any other Obligor or any Subsidiaries (collectively a </w:t>
      </w:r>
      <w:r>
        <w:rPr>
          <w:rFonts w:ascii="Times New Roman" w:hAnsi="Times New Roman"/>
          <w:sz w:val="20"/>
        </w:rPr>
        <w:t>“</w:t>
      </w:r>
      <w:r>
        <w:rPr>
          <w:rFonts w:ascii="Times New Roman;serif" w:hAnsi="Times New Roman;serif"/>
          <w:b w:val="false"/>
          <w:i/>
          <w:sz w:val="20"/>
        </w:rPr>
        <w:t>Referral Source”</w:t>
      </w:r>
      <w:r>
        <w:rPr>
          <w:rFonts w:ascii="Times New Roman;serif" w:hAnsi="Times New Roman;serif"/>
          <w:b w:val="false"/>
          <w:sz w:val="20"/>
        </w:rPr>
        <w:t>), on the other hand, (A) comply with all applicable Healthcare Laws, (B) reflect fair market value, have commercially reasonable terms and were negotiated at arm’s length; and (C) do not obligate the Referral Source to purchase, use, recommend or arrange for the use of any products or services of the Borrower, any other Obligor, or any of their respective Subsidiaries in any manner that could reasonably be expected to constitute a violation of a state, federal or foreign health care fraud and abuse law. No Obligor, nor any of its respective Subsidiaries, directly or indirectly, has guaranteed a loan, made a payment toward a loan or otherwise subsidized a loan for any Referral Source including, without limitation, any loans related to financing the Referral Source’s ownership, investment or financial interest in any Obligor or any such Subsidiary in any manner that could reasonably be expected to constitute a violation of a state, federal or foreign health care fraud and abuse law.</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(ii) Except as disclosed on Schedule 7.19(b) or 7.19(e), all Products have been developed, tested, manufactured, distributed, marketed and sold in compliance with all applicable FDA Laws, including, without limitation, all requirements relating to pre</w:t>
        <w:noBreakHyphen/>
        <w:t>market notification, good manufacturing practices/quality system regulations (21 CFR Part 820), labeling, advertising, record</w:t>
        <w:noBreakHyphen/>
        <w:t>keeping, and adverse event reporting.</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(iii) The Borrower, each other Obligor, and each of their respective Subsidiaries are in compliance with the Physician Payments Sunshine Act (Section 6002 of the Affordable Care Act of 2010) and its implementing regulations and any applicable state disclosure and transparency laws.</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(iv) To the extent any Obligor and any Subsidiary participates in or receives reimbursement from any Federal Health Care Program or other third-party payor program, each such Obligor and each such Subsidiary shall have the requisite provider number or authorization necessary to bill any third-party payor program in which it participates and there are no audits, inquiries, adjustments, appeals or recoupment efforts by any third-party payor program of or against any Obligor or Subsidiary with respect to any prior Claims, reports or billings.</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(v) Each Obligor will maintain and adhere to a commercially reasonable compliance program designed to promote compliance with and to detect, prevent and address violations of all material Healthcare Laws (a </w:t>
      </w:r>
      <w:r>
        <w:rPr>
          <w:rFonts w:ascii="Times New Roman" w:hAnsi="Times New Roman"/>
          <w:sz w:val="20"/>
        </w:rPr>
        <w:t>“</w:t>
      </w:r>
      <w:r>
        <w:rPr>
          <w:rFonts w:ascii="Times New Roman;serif" w:hAnsi="Times New Roman;serif"/>
          <w:b w:val="false"/>
          <w:i/>
          <w:sz w:val="20"/>
        </w:rPr>
        <w:t>Health Care Compliance Program”</w:t>
      </w:r>
      <w:r>
        <w:rPr>
          <w:rFonts w:ascii="Times New Roman;serif" w:hAnsi="Times New Roman;serif"/>
          <w:b w:val="false"/>
          <w:sz w:val="20"/>
        </w:rPr>
        <w:t>). No Obligor or Subsidiary thereof is aware of any complaints from any employees, independent contractors, vendors, physicians, customers, patients or other persons that would reasonably be considered to indicate a violation of Healthcare Laws.</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7.08. Taxes.</w:t>
      </w:r>
      <w:r>
        <w:rPr>
          <w:rFonts w:ascii="Times New Roman" w:hAnsi="Times New Roman"/>
          <w:sz w:val="20"/>
        </w:rPr>
        <w:t xml:space="preserve"> </w:t>
      </w:r>
      <w:r>
        <w:rPr>
          <w:rFonts w:ascii="Times New Roman;serif" w:hAnsi="Times New Roman;serif"/>
          <w:b w:val="false"/>
          <w:sz w:val="20"/>
        </w:rPr>
        <w:t>Each Obligor has timely filed or caused to be filed all federal income and other material Tax returns and reports required to have been filed and has paid or caused to be paid all federal income and other material Taxes required to have been paid by it, except Taxes that are being contested in good faith by appropriate</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proceedings and for which such Obligor has set aside on its books adequate reserves with respect thereto substantially in accordance with GAAP.</w:t>
      </w:r>
    </w:p>
    <w:p>
      <w:pPr>
        <w:pStyle w:val="TextBody"/>
        <w:bidi w:val="0"/>
        <w:spacing w:before="280" w:after="0"/>
        <w:jc w:val="both"/>
        <w:rPr>
          <w:rFonts w:ascii="Times New Roman" w:hAnsi="Times New Roman"/>
          <w:sz w:val="20"/>
        </w:rPr>
      </w:pPr>
      <w:r>
        <w:rPr>
          <w:rFonts w:ascii="Times New Roman;serif" w:hAnsi="Times New Roman;serif"/>
          <w:b w:val="false"/>
          <w:i/>
          <w:sz w:val="20"/>
        </w:rPr>
        <w:t xml:space="preserve">Section 7.09. Full Disclosure. </w:t>
      </w:r>
      <w:r>
        <w:rPr>
          <w:rFonts w:ascii="Times New Roman;serif" w:hAnsi="Times New Roman;serif"/>
          <w:b w:val="false"/>
          <w:sz w:val="20"/>
        </w:rPr>
        <w:t xml:space="preserve">The Borrower has disclosed to the Lenders all Material Agreements to which any Obligor is party, and all other matters to its knowledge, that, individually or in the aggregate, would reasonably be expected to result in a Material Adverse Effect. None of the reports, financial statements, certificates or other written information furnished by or on behalf of the Obligors to the Lenders in connection with the negotiation of this Agreement and the other Loan Documents or delivered hereunder or thereunder (as modified or supplemented by other information so furnished), taken as whole, contains any material misstatement of material fact or omits to state any material fact necessary to make the statements therein, in the light of the circumstances under which they were made, not misleading;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 with respect to the Projections, the Borrower represents only that such information was prepared in good faith based upon assumptions believed to be reasonable at the time.</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7.10. Regulation</w:t>
      </w:r>
      <w:r>
        <w:rPr>
          <w:rFonts w:ascii="Times New Roman;serif" w:hAnsi="Times New Roman;serif"/>
          <w:b w:val="false"/>
          <w:sz w:val="20"/>
        </w:rPr>
        <w:t>.</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i/>
          <w:sz w:val="20"/>
        </w:rPr>
        <w:t>Investment Company Act.</w:t>
      </w:r>
      <w:r>
        <w:rPr>
          <w:rFonts w:ascii="Times New Roman" w:hAnsi="Times New Roman"/>
          <w:sz w:val="20"/>
        </w:rPr>
        <w:t xml:space="preserve"> </w:t>
      </w:r>
      <w:r>
        <w:rPr>
          <w:rFonts w:ascii="Times New Roman;serif" w:hAnsi="Times New Roman;serif"/>
          <w:b w:val="false"/>
          <w:sz w:val="20"/>
        </w:rPr>
        <w:t>No Obligor is an “investment company” as defined in, or subject to regulation under, the Investment Company Act of 1940.</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i/>
          <w:sz w:val="20"/>
        </w:rPr>
        <w:t>Margin Stock.</w:t>
      </w:r>
      <w:r>
        <w:rPr>
          <w:rFonts w:ascii="Times New Roman" w:hAnsi="Times New Roman"/>
          <w:sz w:val="20"/>
        </w:rPr>
        <w:t xml:space="preserve"> </w:t>
      </w:r>
      <w:r>
        <w:rPr>
          <w:rFonts w:ascii="Times New Roman;serif" w:hAnsi="Times New Roman;serif"/>
          <w:b w:val="false"/>
          <w:sz w:val="20"/>
        </w:rPr>
        <w:t>No Obligor is engaged principally, or as one of its important activities, in the business of extending credit for the purpose, whether immediate, incidental or ultimate, of buying or carrying Margin Stock and no part of the proceeds of the Term Loans will be used to buy or carry any Margin Stock in violation of Regulation T, U or X.</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7.11. Solvency.</w:t>
      </w:r>
      <w:r>
        <w:rPr>
          <w:rFonts w:ascii="Times New Roman" w:hAnsi="Times New Roman"/>
          <w:sz w:val="20"/>
        </w:rPr>
        <w:t xml:space="preserve"> </w:t>
      </w:r>
      <w:r>
        <w:rPr>
          <w:rFonts w:ascii="Times New Roman;serif" w:hAnsi="Times New Roman;serif"/>
          <w:b w:val="false"/>
          <w:sz w:val="20"/>
        </w:rPr>
        <w:t>The Obligors, on a consolidated basis, are, and, immediately after giving effect to the Borrowings, the use of proceeds thereof, and the consummation of the Transactions, will be, Solvent.</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7.12. Subsidiaries.</w:t>
      </w:r>
      <w:r>
        <w:rPr>
          <w:rFonts w:ascii="Times New Roman" w:hAnsi="Times New Roman"/>
          <w:sz w:val="20"/>
        </w:rPr>
        <w:t xml:space="preserve"> </w:t>
      </w:r>
      <w:r>
        <w:rPr>
          <w:rFonts w:ascii="Times New Roman;serif" w:hAnsi="Times New Roman;serif"/>
          <w:b w:val="false"/>
          <w:sz w:val="20"/>
        </w:rPr>
        <w:t>Except as set forth on Schedule 7.12 (as such Schedule may be updated by Borrower from time to time), Borrower has no direct or indirect Subsidiaries. For the avoidance of doubt, the Borrower does not have any direct or indirect Subsidiaries as of the Closing Date and the Funding Date.</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7.13. Indebtedness and Liens.</w:t>
      </w:r>
      <w:r>
        <w:rPr>
          <w:rFonts w:ascii="Times New Roman" w:hAnsi="Times New Roman"/>
          <w:sz w:val="20"/>
        </w:rPr>
        <w:t xml:space="preserve"> </w:t>
      </w:r>
      <w:r>
        <w:rPr>
          <w:rFonts w:ascii="Times New Roman;serif" w:hAnsi="Times New Roman;serif"/>
          <w:b w:val="false"/>
          <w:sz w:val="20"/>
        </w:rPr>
        <w:t>Set forth on Schedule 7.13A is a complete and correct list of all Indebtedness of each Obligor that exceeds $50,000 as of the Closing Date (other than Permitted Indebtedness and Indebtedness evidenced by the Existing Credit Agreements). Set forth on Schedule 7.13B is a complete and correct list of all Liens described in Section 9.02(b) granted by an Obligor with respect to its respective Property and outstanding as of the Closing Date (other than liens incurred in connection with the Existing Credit Agreements).</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7.14. Material Agreements.</w:t>
      </w:r>
      <w:r>
        <w:rPr>
          <w:rFonts w:ascii="Times New Roman" w:hAnsi="Times New Roman"/>
          <w:sz w:val="20"/>
        </w:rPr>
        <w:t xml:space="preserve"> </w:t>
      </w:r>
      <w:r>
        <w:rPr>
          <w:rFonts w:ascii="Times New Roman;serif" w:hAnsi="Times New Roman;serif"/>
          <w:b w:val="false"/>
          <w:sz w:val="20"/>
        </w:rPr>
        <w:t>Set forth on Schedule 7.14 (as such Schedule may be updated by the Borrower from time to time) is a complete and correct list of (a) each Material Agreement and (b) each Contract creating or evidencing any Material Indebtedness. Accurate and complete copies of each such Contract listed on such schedule have been made available to the Administrative Agent. No Obligor is in default in any respect under any such Material Agreement or such Contract, in each case, other than bona fide disputes and defaults which would not, individually or in the aggregate, be reasonably expected to have a Material Adverse Effect creating or evidencing any Material Indebtedness listed on such schedule, and no Obligor has knowledge of any default in any material respect by any counterparty to such Material Agreement or such Contract. Except as otherwise disclosed on Schedule 7.14 (as such Schedule may be updated by the Borrower from time to time), all material vendor purchase agreements and provider Contracts of the Obligors, and all Material Agreements including a grant of rights under any Intellectual</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Property to an Obligor, are in full force and effect without material modification from the form in which the same were disclosed to the Lenders.</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7.15. Restrictive Agreements.</w:t>
      </w:r>
      <w:r>
        <w:rPr>
          <w:rFonts w:ascii="Times New Roman" w:hAnsi="Times New Roman"/>
          <w:sz w:val="20"/>
        </w:rPr>
        <w:t xml:space="preserve"> </w:t>
      </w:r>
      <w:r>
        <w:rPr>
          <w:rFonts w:ascii="Times New Roman;serif" w:hAnsi="Times New Roman;serif"/>
          <w:b w:val="false"/>
          <w:sz w:val="20"/>
        </w:rPr>
        <w:t>None of the Obligors is party to any Restrictive Agreement, except (a) those listed on Schedule 7.15 or otherwise permitted under Section 9.11, (b) restrictions and conditions imposed by Law or by the Loan Documents, (c) any stockholder agreement, investor rights agreement, charter, bylaws or other Organizational Documents of an Obligor, and (d) limitations associated with Permitted Liens.</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7.16. Real Property.</w:t>
      </w:r>
      <w:r>
        <w:rPr>
          <w:rFonts w:ascii="Times New Roman" w:hAnsi="Times New Roman"/>
          <w:sz w:val="20"/>
        </w:rPr>
        <w:t xml:space="preserve"> </w:t>
      </w:r>
      <w:r>
        <w:rPr>
          <w:rFonts w:ascii="Times New Roman;serif" w:hAnsi="Times New Roman;serif"/>
          <w:b w:val="false"/>
          <w:sz w:val="20"/>
        </w:rPr>
        <w:t>No Obligor or any of its Subsidiaries owns or leases (as tenant thereof) any real Property on the date hereof, except as described on Schedule 7.16.</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7.17. Pension and Other Benefit Plans</w:t>
      </w:r>
      <w:r>
        <w:rPr>
          <w:rFonts w:ascii="Times New Roman;serif" w:hAnsi="Times New Roman;serif"/>
          <w:b w:val="false"/>
          <w:sz w:val="20"/>
        </w:rPr>
        <w:t>. Schedule 7.17 sets forth, as of the date hereof, a complete and correct list of, and that separately identifies, (a) all Title IV Plans, and (b) all Multiemployer Plans. Except as would not, in the aggregate, have a Material Adverse Effect, (i) each Benefit Plan is in compliance with applicable provisions of ERISA, the Code and other Requirements of Law, (ii) there are no existing or pending (or to the knowledge of any Obligor or Subsidiary thereof, threatened) Claims (other than routine Claims for benefits in the normal course), sanctions, actions, lawsuits or other proceedings or investigations involving any Benefit Plan, and (iii) no ERISA Event has occurred or is reasonably expected to occur.</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7.18. Collateral; Security Interest.</w:t>
      </w:r>
      <w:r>
        <w:rPr>
          <w:rFonts w:ascii="Times New Roman" w:hAnsi="Times New Roman"/>
          <w:sz w:val="20"/>
        </w:rPr>
        <w:t xml:space="preserve">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(a) Each Security Document is effective to create in favor of the Administrative Agent for the benefit of the Lenders a legal, valid and enforceable security interest in the Collateral subject thereto and each such security interest is perfected to the extent required by (and has the priority required by) the applicable Security Document, subject to Permitted Liens. The Security Documents collectively are effective to create in favor of the Administrative Agent for the benefit of the Lenders a legal, valid and enforceable security interest in the Collateral, which upon the filing of financing statements and other similar statements filed in the appropriate offices, such security interests are perfected security interests (subject only to Permitted Liens) to the extent that such perfection may be obtained by such filing.</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(b) In the case of any location as to which (i) Collateral with a value in excess of $500,000 is located or (ii) an Obligor maintains its chief executive office, the Obligors will use commercially reasonable efforts to provide the Administrative Agent with a Collateral Access Agreement from the applicable landlord, bailee or similar Person within sixty (60) days after the Funding Date or sixty (60) days after the date such Collateral is so located.</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7.19. Regulatory Approvals</w:t>
      </w:r>
      <w:r>
        <w:rPr>
          <w:rFonts w:ascii="Times New Roman;serif" w:hAnsi="Times New Roman;serif"/>
          <w:b w:val="false"/>
          <w:sz w:val="20"/>
        </w:rPr>
        <w:t>.</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(a) Except as set forth on Schedule 7.19(a), each Obligor and each of its Subsidiaries holds either directly or through licensees and agents, all Regulatory Approvals and Permits necessary or required for each Obligor and its Subsidiaries to conduct all material Product Development and Commercialization Activities conducted by such Obligor and its respective Subsidiaries with respect to the Products.</w:t>
      </w:r>
    </w:p>
    <w:p>
      <w:pPr>
        <w:pStyle w:val="TextBody"/>
        <w:bidi w:val="0"/>
        <w:spacing w:before="280" w:after="0"/>
        <w:jc w:val="both"/>
        <w:rPr>
          <w:rFonts w:ascii="Times New Roman" w:hAnsi="Times New Roman"/>
          <w:sz w:val="20"/>
        </w:rPr>
      </w:pPr>
      <w:r>
        <w:rPr>
          <w:rFonts w:ascii="Times New Roman;serif" w:hAnsi="Times New Roman;serif"/>
          <w:b w:val="false"/>
          <w:sz w:val="20"/>
        </w:rPr>
        <w:t>(b) Set forth on Schedule 7.19(b) is a complete and accurate list as of the date hereof of all Regulatory Approvals referred to in clause (a) above, if any, setting forth (on a per Product basis) the Obligor that holds such Regulatory Approval and identifying the Product related to such Regulatory Approval. All such Regulatory Approvals are (i) legally and beneficially owned exclusively by the Obligor identified on Schedule 7.19(b), free and clear of all Liens other than Permitted Liens, (ii) validly registered and on file with the applicable Regulatory Authority, in material compliance with all registration, filing and maintenance requirements (including any fee requirements) thereof, and (iii) in good standing, valid and enforceable with</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the applicable Regulatory Authority. All required and material notices, registrations and listings, supplemental applications or notifications, reports (including annual reports, field alerts, Device reports or other reports of adverse experiences) and all other required and material filings with respect to the Products or any related Product Development and Commercialization Activities by such Obligor have been filed with the FDA and all other applicable Governmental Authorities.</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(c) (i) All material regulatory filings required by any Regulatory Authority or in respect of any Regulatory Approval or Product Authorization with respect to any Product or any Product Development and Commercialization Activities by such Obligor have been made, and all such filings are complete and correct in all material respects and have complied in all material respects with all applicable Requirements of Law, (ii) all clinical and pre</w:t>
        <w:noBreakHyphen/>
        <w:t>clinical trials, if any, of investigational Products have been and are being conducted by each Obligor according to all applicable Requirements of Law in all material respects along with appropriate monitoring of clinical investigator trial sites for their compliance, and (iii) each Obligor has disclosed to the Lenders all such material regulatory filings and, to the extent reasonably requested by the Administrative Agent, any written material communications between representatives of each Obligor and any Regulatory Authority.</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(d) Each Obligor and, to each Obligor’s knowledge, each of its agents are in compliance in all material respects with all applicable statutes, rules and regulations (including all Regulatory Approvals and Product Authorizations) of all applicable Governmental Authorities, including the FDA and all other Regulatory Authorities, with respect to each Product and all Product Development and Commercialization Activities by such Obligor related thereto. Each Obligor has and maintains in full force and effect all the necessary and requisite Regulatory Approvals and Product Authorizations for its Products. Each Obligor is in compliance in all material respects with all applicable registration and listing requirements set forth in all applicable FDA Laws or equivalent regulation of each other Governmental Authority having jurisdiction over such Person. Each Obligor adheres in all material respects to all applicable regulations of all Regulatory Authorities with respect to the Products and all Product Development and Commercialization Activities by such Obligor related thereto.</w:t>
      </w:r>
    </w:p>
    <w:p>
      <w:pPr>
        <w:pStyle w:val="TextBody"/>
        <w:bidi w:val="0"/>
        <w:spacing w:before="280" w:after="0"/>
        <w:jc w:val="both"/>
        <w:rPr>
          <w:rFonts w:ascii="Times New Roman" w:hAnsi="Times New Roman"/>
          <w:sz w:val="20"/>
        </w:rPr>
      </w:pPr>
      <w:r>
        <w:rPr>
          <w:rFonts w:ascii="Times New Roman;serif" w:hAnsi="Times New Roman;serif"/>
          <w:b w:val="false"/>
          <w:sz w:val="20"/>
        </w:rPr>
        <w:t>(e) Except as set forth on Schedule 7.19(e), (i) no Obligor has received from any Regulatory Authority any notice of adverse findings with respect to any Product or any Product Development and Commercialization Activities by such Obligor related thereto, including any FDA Form 483 inspectional observations, notices of violations, warning letters, criminal proceeding notices under Section 305 of the FD&amp;C Act, or any other similar communication from any Regulatory Authority, (ii) there have been no seizures conducted or, to each Obligor’s knowledge, threatened by any Regulatory Authority with respect to any Product, and no recalls, market withdrawals, field notifications, notifications of misbranding or adulteration or safety alerts conducted, requested or, to any Obligor’s knowledge, threatened by any Regulatory Authority with respect to any Product, and no recalls, market withdrawals, field notifications, notifications of misbranding or adulteration or safety alerts have been conducted, requested or, to each Obligor’s knowledge, threatened by any Regulatory Authority relating to any Product, and (iii) no Obligor has received any written notification that remains unresolved from the FDA or any other Regulatory Authority indicating any breach or violation of any applicable Product Authorization or Regulatory Approval, including that any Product is misbranded or adulterated as defined in the FD&amp;C Act or the rules and regulations promulgated thereunder, in each case of (i), (ii) and (iii) that has had, or would reasonably be expected to have, a Material Adverse Effect.</w:t>
      </w:r>
      <w:r>
        <w:rPr>
          <w:rFonts w:ascii="Times New Roman" w:hAnsi="Times New Roman"/>
          <w:sz w:val="20"/>
        </w:rPr>
        <w:t xml:space="preserve">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(f) Neither any Obligor nor, to any Obligor’s knowledge, any officer, employee or agent thereof, has made an untrue statement of a material fact or fraudulent statements to the FDA or any other Regulatory Authority, failed to disclose a material fact required to be disclosed to the FDA or any other Regulatory Authority, or committed an act, made a statement, or failed to make a statement that, at the time such disclosure was made (or was not made), would reasonably be expected to provide a basis for the FDA or any other Regulatory Authority to invoke its policy respecting Fraud, Untrue Statements of Material Facts, Bribery and Illegal Gratuities, set forth in 56 Fed. Reg. 46191 (September 10, 1991) or any similar policy.</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(g) No Obligor has received any written notice that the FDA or any other applicable Regulatory Authority has commenced or initiated, or, to the knowledge of any such Obligor, threatened to commence or initiate, any action to withdraw any Regulatory Approval or Product Authorization or requested the recall of any Products or commenced or initiated or, to the knowledge of such Obligor, threatened to commence or initiate, any action to enjoin any Product Development and Commercialization Activities of such Obligor.</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(h) The clinical, preclinical, safety and other studies and tests conducted by or on behalf of or sponsored by each Obligor, or in respect of which any Products or Product candidates under development have participated, were (and if still pending, are) being conducted materially in accordance with standard medical and scientific research procedures and all applicable Product Authorizations. Each Obligor has operated within, and currently is in compliance in all material respects with, all applicable Laws, Product Authorizations and Regulatory Approvals, as well as the rules and regulations of the FDA and each other Regulatory Authority. No Obligor has received any notices or other correspondence from the FDA or any other Regulatory Authority requiring the termination or suspension of any clinical, preclinical, safety or other studies or tests used to support regulatory clearance of, or any Product Authorization or Regulatory Approval for, any Product.</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 No material debarment or exclusionary Claims, actions, proceedings or investigations in respect of any Obligor’s business is pending, or to such Obligor’s knowledge, threatened in writing against such Obligor or its officers, employees or agents. No Obligor or, to such Obligor’s knowledge, any officer, employee or agent of such Obligor, has been convicted of any crime or engaged in any conduct that would reasonably be expected to result in a debarment or exclusion pursuant to (i) Section 335a of the FD&amp;C Act or (ii) any similar applicable Law.</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7.20. Capitalization.</w:t>
      </w:r>
      <w:r>
        <w:rPr>
          <w:rFonts w:ascii="Times New Roman" w:hAnsi="Times New Roman"/>
          <w:sz w:val="20"/>
        </w:rPr>
        <w:t xml:space="preserve"> </w:t>
      </w:r>
      <w:r>
        <w:rPr>
          <w:rFonts w:ascii="Times New Roman;serif" w:hAnsi="Times New Roman;serif"/>
          <w:b w:val="false"/>
          <w:sz w:val="20"/>
        </w:rPr>
        <w:t>All of the issued and outstanding securities of each Obligor have been duly authorized, are validly issued, fully paid, and non</w:t>
        <w:noBreakHyphen/>
        <w:t>assessable. As of the Funding Date and except as set forth on Schedule 7.20, there are no outstanding or authorized options, warrants (other than the Warrant Certificate (Funding Date)), purchase rights, subscription rights, conversion rights, exchange rights, or other Contracts or commitments that would require the Obligors to issue, sell, or otherwise cause to become outstanding any of their ownership interests. There are no outstanding or authorized stock appreciation, phantom stock, profit participation, or similar rights with respect to the Obligors. None of the Equity Interests in any Obligor has been mortgaged, assigned or pledged in favor of any Person, other than pursuant to the Security Agreement.</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7.21. Insurance.</w:t>
      </w:r>
      <w:r>
        <w:rPr>
          <w:rFonts w:ascii="Times New Roman" w:hAnsi="Times New Roman"/>
          <w:sz w:val="20"/>
        </w:rPr>
        <w:t xml:space="preserve"> </w:t>
      </w:r>
      <w:r>
        <w:rPr>
          <w:rFonts w:ascii="Times New Roman;serif" w:hAnsi="Times New Roman;serif"/>
          <w:b w:val="false"/>
          <w:sz w:val="20"/>
        </w:rPr>
        <w:t>Each Obligor has obtained (and is maintaining), insurance for its assets (including the Collateral) and business as required under the Loan Documents.</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7.22. Certain Fees.</w:t>
      </w:r>
      <w:r>
        <w:rPr>
          <w:rFonts w:ascii="Times New Roman" w:hAnsi="Times New Roman"/>
          <w:sz w:val="20"/>
        </w:rPr>
        <w:t xml:space="preserve"> </w:t>
      </w:r>
      <w:r>
        <w:rPr>
          <w:rFonts w:ascii="Times New Roman;serif" w:hAnsi="Times New Roman;serif"/>
          <w:b w:val="false"/>
          <w:sz w:val="20"/>
        </w:rPr>
        <w:t>Except as described on Schedule 7.22, no broker’s or finder’s fee will be payable in connection with the execution and delivery of this Agreement.</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7.23. Economic Sanctions Laws.</w:t>
      </w:r>
      <w:r>
        <w:rPr>
          <w:rFonts w:ascii="Times New Roman" w:hAnsi="Times New Roman"/>
          <w:sz w:val="20"/>
        </w:rPr>
        <w:t xml:space="preserve"> </w:t>
      </w:r>
      <w:r>
        <w:rPr>
          <w:rFonts w:ascii="Times New Roman;serif" w:hAnsi="Times New Roman;serif"/>
          <w:b w:val="false"/>
          <w:sz w:val="20"/>
        </w:rPr>
        <w:t>Obligors and, to the knowledge of the Obligors, any director, officer or employee of an Obligor acting on behalf of the Obligors, are in compliance with Economic Sanctions Laws.</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7.24. Anti</w:t>
        <w:noBreakHyphen/>
        <w:t>Corruption Laws.</w:t>
      </w:r>
      <w:r>
        <w:rPr>
          <w:rFonts w:ascii="Times New Roman" w:hAnsi="Times New Roman"/>
          <w:sz w:val="20"/>
        </w:rPr>
        <w:t xml:space="preserve"> </w:t>
      </w:r>
      <w:r>
        <w:rPr>
          <w:rFonts w:ascii="Times New Roman;serif" w:hAnsi="Times New Roman;serif"/>
          <w:b w:val="false"/>
          <w:sz w:val="20"/>
        </w:rPr>
        <w:t>No Obligor nor any of its Subsidiaries has, nor, to the knowledge of any Responsible Officer of any Obligor, has any director, officer, agent or employee of any Obligor acting on behalf of such Obligor (a) taken any action, directly or indirectly, that would result in a violation by such Persons of the Anti</w:t>
        <w:noBreakHyphen/>
        <w:t>Corruption Laws, (b) made, offered to make, promised to make or authorized the payment or giving of, directly or indirectly, any Prohibited Payment or (c) been subject to any investigation by any Governmental Authority with regard to any actual or alleged Prohibited Payment.</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7.25. Anti-Terrorism Laws.</w:t>
      </w:r>
      <w:r>
        <w:rPr>
          <w:rFonts w:ascii="Times New Roman" w:hAnsi="Times New Roman"/>
          <w:sz w:val="20"/>
        </w:rPr>
        <w:t xml:space="preserve"> </w:t>
      </w:r>
      <w:r>
        <w:rPr>
          <w:rFonts w:ascii="Times New Roman;serif" w:hAnsi="Times New Roman;serif"/>
          <w:b w:val="false"/>
          <w:sz w:val="20"/>
        </w:rPr>
        <w:t>The Obligors (a) have taken reasonable measures to ensure compliance with applicable Economic Sanctions Laws and Anti</w:t>
        <w:noBreakHyphen/>
        <w:t>Terrorism Laws, (b) are not Designated Persons and (c) have not used any part of the proceeds from any advance on behalf of any Designated Person or has not used, directly by it or indirectly through any Subsidiary, such proceeds in connection with any investment in, or any transactions or dealings with, any Designated Person.</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7.26. Royalty and Other Payments</w:t>
      </w:r>
      <w:r>
        <w:rPr>
          <w:rFonts w:ascii="Times New Roman;serif" w:hAnsi="Times New Roman;serif"/>
          <w:b w:val="false"/>
          <w:sz w:val="20"/>
        </w:rPr>
        <w:t>. Except as set forth on Schedule 7.26, no Obligor, nor any of its Subsidiaries, is obligated to pay any royalty, milestone payment, deferred payment or any other contingent payment in respect of any Product, in an amount in excess of $1,500,000 in the aggregate.</w:t>
      </w:r>
    </w:p>
    <w:p>
      <w:pPr>
        <w:pStyle w:val="TextBody"/>
        <w:bidi w:val="0"/>
        <w:spacing w:before="360" w:after="0"/>
        <w:jc w:val="center"/>
        <w:rPr>
          <w:rFonts w:ascii="Times New Roman;serif" w:hAnsi="Times New Roman;serif"/>
          <w:b/>
          <w:smallCaps/>
          <w:sz w:val="20"/>
        </w:rPr>
      </w:pPr>
      <w:r>
        <w:rPr>
          <w:rFonts w:ascii="Times New Roman;serif" w:hAnsi="Times New Roman;serif"/>
          <w:b/>
          <w:smallCaps/>
          <w:sz w:val="20"/>
        </w:rPr>
        <w:t>Article 8</w:t>
        <w:br/>
        <w:br/>
        <w:t>Affirmative Covenants and Financial Covenants</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Each Obligor covenants and agrees with the Lenders that, commencing with the Funding Date and until the Commitments have expired or been terminated and all Obligations (other than the Warrant Obligations and contingent and unmatured indemnity and expense reimbursement obligations) have been paid in full in cash:</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8.01. Financial Statements and Other Information</w:t>
      </w:r>
      <w:r>
        <w:rPr>
          <w:rFonts w:ascii="Times New Roman;serif" w:hAnsi="Times New Roman;serif"/>
          <w:b w:val="false"/>
          <w:sz w:val="20"/>
        </w:rPr>
        <w:t>. It will furnish to the Administrative Agent for distribution to the Lenders:</w:t>
      </w:r>
    </w:p>
    <w:p>
      <w:pPr>
        <w:pStyle w:val="TextBody"/>
        <w:bidi w:val="0"/>
        <w:spacing w:before="280" w:after="0"/>
        <w:jc w:val="both"/>
        <w:rPr>
          <w:rFonts w:ascii="Times New Roman" w:hAnsi="Times New Roman"/>
          <w:sz w:val="20"/>
        </w:rPr>
      </w:pPr>
      <w:r>
        <w:rPr>
          <w:rFonts w:ascii="Times New Roman;serif" w:hAnsi="Times New Roman;serif"/>
          <w:b w:val="false"/>
          <w:sz w:val="20"/>
        </w:rPr>
        <w:t>(a) (i) as soon as available and in any event within five (5) Business Days following the date the Borrower is required to file its Form 10-Q with the SEC (commencing with the fiscal quarter ending March 31, 2023) (other than each fiscal quarter ended December 31st), the consolidated balance sheet of the Borrower and its Subsidiaries as at the end of such fiscal quarter and the related consolidated statement of income, stockholders’ equity and cash flows of the Borrower and its Subsidiaries for such fiscal quarter and for the period from the beginning of the then current fiscal year to the end of such fiscal quarter, setting forth in each case in comparative form the corresponding figures for the corresponding periods of the previous fiscal year, all in reasonable detail together with (A) a certificate of a Responsible Officer of the Borrower stating that such financial statements fairly present in all material respects the financial condition of the Borrower and its Subsidiaries as at such date and the results of operations of the Borrower and its Subsidiaries for the period ended on such date and have been prepared substantially in accordance with GAAP consistently applied, subject to changes resulting from normal quarterly or year</w:t>
        <w:noBreakHyphen/>
        <w:t>end adjustments and except for the absence of footnotes and (B) a management’s discussion and analysis of the financial condition and results of operations, including the Borrower and its Subsidiaries’ liquidity and capital resources;</w:t>
      </w:r>
      <w:r>
        <w:rPr>
          <w:rFonts w:ascii="Times New Roman" w:hAnsi="Times New Roman"/>
          <w:sz w:val="20"/>
        </w:rPr>
        <w:t xml:space="preserve"> </w:t>
      </w:r>
      <w:r>
        <w:rPr>
          <w:rFonts w:ascii="Times New Roman;serif" w:hAnsi="Times New Roman;serif"/>
          <w:b w:val="false"/>
          <w:i/>
          <w:sz w:val="20"/>
        </w:rPr>
        <w:t xml:space="preserve">provided </w:t>
      </w:r>
      <w:r>
        <w:rPr>
          <w:rFonts w:ascii="Times New Roman;serif" w:hAnsi="Times New Roman;serif"/>
          <w:b w:val="false"/>
          <w:sz w:val="20"/>
        </w:rPr>
        <w:t>that documents required to be furnished pursuant to this Section 8.01(a)(i) shall be deemed furnished on the date that such documents are publicly available on “EDGAR” so long as such filings include quarterly income statements, balance sheets and cash flow statements and (ii) as soon as available and in any event within forty-five (45) days after the end of each fiscal quarter ending December 31st, the unaudited consolidated balance sheet of the Borrower and its Subsidiaries as at the end of such fiscal quarter and the related consolidated statement of income, stockholders’ equity and cash flows of the Borrower and its Subsidiaries for such fiscal quarter, setting forth in comparative form the corresponding figures for the fiscal quarter ending December 31</w:t>
      </w:r>
      <w:r>
        <w:rPr>
          <w:rFonts w:ascii="Times New Roman;serif" w:hAnsi="Times New Roman;serif"/>
          <w:b w:val="false"/>
          <w:sz w:val="13"/>
        </w:rPr>
        <w:t>st</w:t>
      </w:r>
      <w:r>
        <w:rPr>
          <w:rFonts w:ascii="Times New Roman" w:hAnsi="Times New Roman"/>
          <w:sz w:val="20"/>
        </w:rPr>
        <w:t xml:space="preserve"> </w:t>
      </w:r>
      <w:r>
        <w:rPr>
          <w:rFonts w:ascii="Times New Roman;serif" w:hAnsi="Times New Roman;serif"/>
          <w:b w:val="false"/>
          <w:sz w:val="20"/>
        </w:rPr>
        <w:t>of the previous fiscal year, all in reasonable detail and prepared substantially in accordance with GAAP consistently applied, subject to changes resulting from normal quarterly or year</w:t>
        <w:noBreakHyphen/>
        <w:t>end adjustments and except for the absence of footnotes;</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sz w:val="20"/>
        </w:rPr>
        <w:t>(b) as soon as available and in any event within five (5) Business Days following the date Borrower is required to file its Form 10-K with the SEC (commencing with the fiscal year ending December 31, 2022), the consolidated balance sheet of the Borrower and its Subsidiaries as of the end of such fiscal year, and the related consolidated statement of income, shareholders’ equity and cash flows of the Borrower and its Subsidiaries for such fiscal year, setting forth in each case in comparative form the corresponding</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figures for the previous fiscal year, prepared substantially in accordance with GAAP consistently applied, all in reasonable detail accompanied by (i) a report and opinion thereon of KPMG LLP or another firm of independent certified public accountants of recognized national standing which report and opinion shall be prepared in accordance with generally accepted auditing standards and, commencing with the fiscal year ending December 31, 2023, shall not be subject to any “going concern” or like qualification or exception audit (other than (A) with respect to, or resulting solely from the upcoming Stated Maturity Date occurring within one year from the time such report is delivered or (B) with respect to the extent the components of such consolidated financial statements relating to a prior fiscal period are separately audited by different independent public accounting firms, the audit report of any such accounting firm may contain a qualification or exception as to scope of such consolidated financial statements as they relate to such components) or any qualification or exception as to the scope of such audit or related to the maturity of the Term Loans and (ii) a management’s discussion and analysis of the financial condition and results of operations, including the Obligors’ liquidity and capital resources;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 so long as the Borrower is a Publicly Reporting Company, the Borrower’s filing of an annual report with the SEC shall be deemed to satisfy the requirements of this Section 8.01(b) on the date on which such report is first available via the SEC’s EDGAR system or a successor system related thereto;</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(c) concurrently with the notification that the reports described in Section 8.01(a) and 8.01(b) are available, a compliance certificate of a Responsible Officer of the Borrower as of the end of the applicable accounting period (which delivery may, unless a Lender requests executed originals, be by electronic communication including email and shall be deemed to be an original authentic counterpart thereof for all purposes) in the form of Exhibit E (a </w:t>
      </w:r>
      <w:r>
        <w:rPr>
          <w:rFonts w:ascii="Times New Roman" w:hAnsi="Times New Roman"/>
          <w:sz w:val="20"/>
        </w:rPr>
        <w:t>“</w:t>
      </w:r>
      <w:r>
        <w:rPr>
          <w:rFonts w:ascii="Times New Roman;serif" w:hAnsi="Times New Roman;serif"/>
          <w:b w:val="false"/>
          <w:i/>
          <w:sz w:val="20"/>
        </w:rPr>
        <w:t>Compliance Certificate”</w:t>
      </w:r>
      <w:r>
        <w:rPr>
          <w:rFonts w:ascii="Times New Roman;serif" w:hAnsi="Times New Roman;serif"/>
          <w:b w:val="false"/>
          <w:sz w:val="20"/>
        </w:rPr>
        <w:t xml:space="preserve">) which, for purposes of clarification, shall (i) confirm the Obligors’ compliance with Section 8.11 and Section 8.15, (ii) state the representations and warranties made by the Obligors in Article 7 are true and correct in all material respects on and as of the date thereof;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 xml:space="preserve">that to the extent that such representations and warranties specifically refer to an earlier date, they shall be true and correct in all material respects as of such earlier date; </w:t>
      </w:r>
      <w:r>
        <w:rPr>
          <w:rFonts w:ascii="Times New Roman;serif" w:hAnsi="Times New Roman;serif"/>
          <w:b w:val="false"/>
          <w:i/>
          <w:sz w:val="20"/>
        </w:rPr>
        <w:t>provided, further</w:t>
      </w:r>
      <w:r>
        <w:rPr>
          <w:rFonts w:ascii="Times New Roman" w:hAnsi="Times New Roman"/>
          <w:sz w:val="20"/>
        </w:rPr>
        <w:t xml:space="preserve"> </w:t>
      </w:r>
      <w:r>
        <w:rPr>
          <w:rFonts w:ascii="Times New Roman;serif" w:hAnsi="Times New Roman;serif"/>
          <w:b w:val="false"/>
          <w:sz w:val="20"/>
        </w:rPr>
        <w:t xml:space="preserve">that any representation and warranty that is qualified as to “materiality”, “Material Adverse Effect” or similar language shall be true and correct (after giving effect to any qualification therein) in all respects (and if a representation and warranty is untrue or incorrect, state the proposed actions that the Obligors intend to take in connection with such untrue or incorrect representation and warranty), (iii) confirm that no Default or Event of Default is continuing (and if a Default or Event of Default has occurred and is continuing state the proposed actions that the Obligors intend to take in connection with such Default or Event of Default), (iv) for Compliance Certificates delivered at the end of any fiscal year, attach updated Schedules (if any) to this Agreement and (v) provide a copy of any new Material Agreement;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 xml:space="preserve">that the Borrower’s filing of any such material with the SEC shall be deemed to satisfy the requirements of this Section 8.01(c)(v) on the date on which such report is first available via the SEC’s EDGAR system or a successor system related thereto; </w:t>
      </w:r>
      <w:r>
        <w:rPr>
          <w:rFonts w:ascii="Times New Roman;serif" w:hAnsi="Times New Roman;serif"/>
          <w:b w:val="false"/>
          <w:i/>
          <w:sz w:val="20"/>
        </w:rPr>
        <w:t>provided further</w:t>
      </w:r>
      <w:r>
        <w:rPr>
          <w:rFonts w:ascii="Times New Roman;serif" w:hAnsi="Times New Roman;serif"/>
          <w:b w:val="false"/>
          <w:sz w:val="20"/>
        </w:rPr>
        <w:t>, notwithstanding the foregoing, Compliance Certificates delivered in connection with Section 8.01(a)(ii) shall only be required to confirm the Obligor’s compliance with Section 8.11 and Section 8.15;</w:t>
      </w:r>
      <w:r>
        <w:rPr>
          <w:rFonts w:ascii="Times New Roman" w:hAnsi="Times New Roman"/>
          <w:sz w:val="20"/>
        </w:rPr>
        <w:t xml:space="preserve">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(d) promptly, and in any event within five (5) Business Days after receipt thereof by an Obligor thereof, copies of each notice or other correspondence received from any securities regulator or exchange to the authority of which an Obligor is subject concerning any investigation or possible investigation or other inquiry by such agency regarding financial or other operational results of such Obligor;</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(e) the information regarding insurance maintained by Obligors as and when required under Section 8.05;</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(f) promptly following the Lenders’ written request at any time, proof of the Obligors’ compliance with Section 8.15(a), which may include statements showing the current balance of each account of the Obligors holding Unrestricted Cash necessary to establish compliance with Section 8.15(a);</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(g) within ten (10) days of delivery, copies of all periodic reports distributed by the Borrower to its shareholders generally;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 (i) any such material may be redacted by the Borrower to exclude information relating to the Loan Documents or the Lenders and (ii) the Lenders shall not be entitled to receive</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z w:val="20"/>
        </w:rPr>
        <w:t>statements, reports and notices relating to topics that (A) are subject to attorney</w:t>
        <w:noBreakHyphen/>
        <w:t xml:space="preserve">client privilege or (B) present a conflict of interest for the Lenders;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 so long as the Borrower is a Publicly Reporting Company, the Borrower’s filing of any such material with the SEC shall be deemed to satisfy the requirements of this Section 8.01(g) on the date on which such report is first available via the SEC’s EDGAR system or a successor system related thereto;</w:t>
      </w:r>
    </w:p>
    <w:p>
      <w:pPr>
        <w:pStyle w:val="TextBody"/>
        <w:bidi w:val="0"/>
        <w:spacing w:before="280" w:after="0"/>
        <w:jc w:val="both"/>
        <w:rPr>
          <w:rFonts w:ascii="Times New Roman" w:hAnsi="Times New Roman"/>
          <w:sz w:val="20"/>
        </w:rPr>
      </w:pPr>
      <w:r>
        <w:rPr>
          <w:rFonts w:ascii="Times New Roman;serif" w:hAnsi="Times New Roman;serif"/>
          <w:b w:val="false"/>
          <w:sz w:val="20"/>
        </w:rPr>
        <w:t>(h) a financial forecast for the Borrower and its Subsidiaries for each fiscal year, including forecasted balance sheets, statements of income and cash flows of the Borrower and its Subsidiaries (the “</w:t>
      </w:r>
      <w:r>
        <w:rPr>
          <w:rFonts w:ascii="Times New Roman;serif" w:hAnsi="Times New Roman;serif"/>
          <w:b w:val="false"/>
          <w:i/>
          <w:sz w:val="20"/>
        </w:rPr>
        <w:t>Financial Plan</w:t>
      </w:r>
      <w:r>
        <w:rPr>
          <w:rFonts w:ascii="Times New Roman" w:hAnsi="Times New Roman"/>
          <w:sz w:val="20"/>
        </w:rPr>
        <w:t>”</w:t>
      </w:r>
      <w:r>
        <w:rPr>
          <w:rFonts w:ascii="Times New Roman;serif" w:hAnsi="Times New Roman;serif"/>
          <w:b w:val="false"/>
          <w:sz w:val="20"/>
        </w:rPr>
        <w:t>), all of which shall be prepared on a consolidated basis and delivered not later than February 28 of such fiscal year;</w:t>
      </w:r>
    </w:p>
    <w:p>
      <w:pPr>
        <w:pStyle w:val="TextBody"/>
        <w:bidi w:val="0"/>
        <w:spacing w:before="280" w:after="0"/>
        <w:jc w:val="both"/>
        <w:rPr>
          <w:rFonts w:ascii="Times New Roman" w:hAnsi="Times New Roman"/>
          <w:sz w:val="20"/>
        </w:rPr>
      </w:pPr>
      <w:r>
        <w:rPr>
          <w:rFonts w:ascii="Times New Roman;serif" w:hAnsi="Times New Roman;serif"/>
          <w:b w:val="false"/>
          <w:sz w:val="20"/>
        </w:rPr>
        <w:t>(i) within five (5) Business Days following any Lender’s written request, certification that such Obligor is not a passive foreign investment company (</w:t>
      </w:r>
      <w:r>
        <w:rPr>
          <w:rFonts w:ascii="Times New Roman" w:hAnsi="Times New Roman"/>
          <w:sz w:val="20"/>
        </w:rPr>
        <w:t>“</w:t>
      </w:r>
      <w:r>
        <w:rPr>
          <w:rFonts w:ascii="Times New Roman;serif" w:hAnsi="Times New Roman;serif"/>
          <w:b w:val="false"/>
          <w:i/>
          <w:sz w:val="20"/>
        </w:rPr>
        <w:t>PFIC”</w:t>
      </w:r>
      <w:r>
        <w:rPr>
          <w:rFonts w:ascii="Times New Roman;serif" w:hAnsi="Times New Roman;serif"/>
          <w:b w:val="false"/>
          <w:sz w:val="20"/>
        </w:rPr>
        <w:t>) within the meaning of Sections 1291 through 1297 of the Code, or, if such Obligor determines that it is a PFIC, such information as would allow the Lender to make a qualified electing fund election with respect to the Equity Interest of the Obligor; and</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(j) so long as the Borrower is a Publicly Reporting Company, the Borrower shall within five (5) Business Days of the Borrower filing, provide access (via posting and/or links on the Borrower’s web site) to all reports on Form 10-K and Form 10-Q filed with the SEC, any Governmental Authority succeeding to any or all of the functions of the SEC or with any national securities exchange; and within five (5) Business Days of filing, provide notice and access (via posting and/or links on the Borrower’s web site) to all reports on Form 8-K filed with the SEC, and copies of (or access to, via posting and/or links on the Borrower’s web site) all other reports, proxy statements and other materials filed by the Borrower with the SEC, any Governmental Authority succeeding to any of the functions of the SEC or with any national securities exchange.</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Notwithstanding anything to the contrary herein, neither the Borrower nor any Subsidiary shall be required to deliver, disclose, permit the inspection, examination or making of copies of or excerpts from, or any discussion of, any document, information, or other matter (i) in respect of which disclosure to the Administrative Agent (or any Lender (or their respective representatives or contractors)) is prohibited by applicable law, (ii) that is subject to attorney-client or similar privilege or constitutes attorney work product or (iii) with respect to which any Loan Party owes confidentiality obligations (to the extent not created in contemplation of such Loan Party’s Obligations under this Section 8.01) to any third party.</w:t>
      </w:r>
    </w:p>
    <w:p>
      <w:pPr>
        <w:pStyle w:val="TextBody"/>
        <w:bidi w:val="0"/>
        <w:spacing w:before="280" w:after="0"/>
        <w:jc w:val="both"/>
        <w:rPr>
          <w:rFonts w:ascii="Times New Roman" w:hAnsi="Times New Roman"/>
          <w:sz w:val="20"/>
        </w:rPr>
      </w:pPr>
      <w:r>
        <w:rPr>
          <w:rFonts w:ascii="Times New Roman;serif" w:hAnsi="Times New Roman;serif"/>
          <w:b w:val="false"/>
          <w:i/>
          <w:sz w:val="20"/>
        </w:rPr>
        <w:t xml:space="preserve">Section 8.02. Notices of Material Events. </w:t>
      </w:r>
      <w:r>
        <w:rPr>
          <w:rFonts w:ascii="Times New Roman;serif" w:hAnsi="Times New Roman;serif"/>
          <w:b w:val="false"/>
          <w:sz w:val="20"/>
        </w:rPr>
        <w:t>It will furnish to the Administrative Agent for distribution to the Lenders written notice of the following promptly after a Responsible Officer of Borrower and its Subsidiaries first learns of the existence of:</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(a) promptly after the occurrence of any Default or Event of Default;</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(b) within three (3) Business Days after the occurrence of any Casualty Event with respect to any Obligor’s Property resulting in a Loss, to the extent not covered by insurance, aggregating $250,000 or more;</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(c) (i) prior to the execution of a definitive agreement for any proposed Acquisition by any Obligor that would reasonably be expected to result in environmental liability under Environmental Laws in excess of $250,000, and (ii) in each case, to the extent that any of the following would reasonably be expected to result in liability in excess of $1,000,000: (A) spillage, leakage, discharge, disposal, leaching, migration or release of any Hazardous Material required to be reported to any Governmental Authority under applicable Environmental Laws, and (B) all actions, suits, Claims, notices of violation, hearings, investigations or proceedings pending, or threatened in writing against or affecting any Obligor or any of its Subsidiaries or with respect to the ownership, use, maintenance and operation of their respective businesses, operations or properties, relating to Environmental Laws or Hazardous Material;</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(d) within three (3) Business Days of obtaining written notice or knowledge thereof, the assertion of any environmental matter by any Person in writing against, or with respect to the activities of, any Obligor or any of its Subsidiaries and any alleged violation of or non</w:t>
        <w:noBreakHyphen/>
        <w:t>compliance with any Environmental Laws or any Permits, licenses or authorizations, in each case, which would reasonably be expected to (either individually or in the aggregate) have a Material Adverse Effect;</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(e) within three (3) Business Days of obtaining notice to an Obligor of the filing or commencement of any action, suit or proceeding by or before any arbitrator or Governmental Authority against or directly affecting any Obligor or any of its Subsidiaries, in each case, that would reasonably be expected to result in a Material Adverse Effect;</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(f) (i) within ten (10) days after receipt by any Obligor from the PBGC of a notice of intent to terminate any Title IV Plan or to have a trustee appointed to administer any Title IV Plan, a copy of such notice and (ii) promptly, and in any event within ten (10) days, after any Responsible Officer of any Obligor knows or has reason to know that a request for a minimum funding waiver under Section 412 of the Code has been filed with respect to any Title IV Plan or Multiemployer Plan, a notice (which may be made by telephone if promptly confirmed in writing) describing such waiver request, together with a copy of any notice filed with the PBGC or the IRS pertaining thereto;</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(g) within ten (10) Business Days of obtaining written notice or knowledge thereof, (i) the termination of any Material Agreement (other than in the Ordinary Course of Business); (ii) the receipt by any Obligor or any of its Subsidiaries of a written notice under any Material Agreement (and a copy thereof) asserting a default by such Obligor or any of its Subsidiaries where such alleged default would permit such counterparty to terminate such Material Agreement; (iii) the entering into any new Material Agreement by an Obligor (and a copy thereof, solely to the extent such Material Agreement is not made publicly available on “EDGAR”); or (iv) any amendment to a Material Agreement that would be materially adverse to the Lenders (and a copy thereof) (which includes, but is not limited to, any amendments to provisions relating to pricing and term);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 notices required under this subsection (g) may be delivered with the next Compliance Certificate unless any of the foregoing events would reasonably be expected to have a Material Adverse Effect;</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(h) within three (3) Business Days of obtaining written notice or knowledge thereof, any product recalls, safety alerts, corrections, withdrawals, marketing suspensions, removals or the like conducted, to be undertaken or issued by any Obligor or any of its Subsidiaries, whether or not at the request, demand or order of any Governmental Authority or otherwise with respect to any Product;</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 within five (5) Business Days of obtaining written notice or knowledge thereof, any infringement or other violation by any Person of any Obligor Intellectual Property that would reasonably be expected to result in a Material Adverse Effect;</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(j) within five (5) Business Days of obtaining written notice or knowledge thereof, a material licensing agreement or arrangement entered into by any Obligor or any of its Subsidiaries in connection with any infringement or alleged infringement of the Intellectual Property of another Person that would reasonably be expected to have a Material Adverse Effect;</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(k) within five (5) Business Days of obtaining written notice or knowledge thereof, any written Claim by any Person that the conduct of any Obligor’s (or any Subsidiary thereof) business, including the development, manufacture, use, sale or other commercialization of any Product, infringes any Intellectual Property of such Person, except to the extent any such Claim would not reasonably be expected to result in a Material Adverse Effect;</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(l) the distribution of reports and notices as and when required by the Security Documents;</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(m) within thirty (30) days of the date thereof, or, if earlier, on the date of delivery of any financial statements pursuant to Section 8.01, notice of any material change in accounting policies or financial reporting practices by the Obligors;</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(n) within five (5) Business Days of the occurrence thereof, notice of any labor controversy resulting in or threatening to result in any strike, work stoppage, boycott, shutdown or other labor disruption against or involving an Obligor (or any Subsidiary thereof) that would reasonably be expected to have a Material Adverse Effect;</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(o) within five (5) Business Days of any other failure to pay or any other development that results in, or would reasonably be expected to result in, a Material Adverse Effect;</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(p) within five (5) Business Days of the acceleration of the maturity of any Material Indebtedness owed by any Obligor or of any default by Obligors under any indenture, mortgage, agreement, contract or other instrument to which any of them is a party or by which any of them or any of their properties is bound, if such acceleration or default could, in the reasonable opinion of the Borrower, cause a Material Adverse Effect;</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(q) within five (5) Business Days of the failure to pay any Taxes or obligations that are not paid in accordance with Section 8.04;</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(r) concurrently with the delivery of financial statements under Section 8.01, the creation or other acquisition of any Intellectual Property by any Obligor or any Subsidiary after the date hereof and during such prior fiscal year which is registered or becomes registered or the subject of an application for registration with the United States Copyright Office or the United States Patent and Trademark Office, as applicable, or with any other equivalent foreign Governmental Authority; and</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(s) five (5) Business Days prior to any change to any Obligor’s ownership of Deposit Accounts, Securities Accounts and Commodity Accounts, by delivering to the Lenders an updated Schedule 7 to the Security Agreement setting forth a complete and correct list of all such accounts as of the date of such change.</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The specified time periods in this Section 8.02 shall begin accruing after a Responsible Officer of an Obligor first learns of the existence of a circumstance requiring notice.</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Each notice delivered under this Section 8.02 shall be accompanied by a statement of a Responsible Officer of the Borrower setting forth in reasonable detail the event or development requiring such notice and any action taken or proposed to be taken with respect thereto; </w:t>
      </w:r>
      <w:r>
        <w:rPr>
          <w:rFonts w:ascii="Times New Roman;serif" w:hAnsi="Times New Roman;serif"/>
          <w:b w:val="false"/>
          <w:i/>
          <w:sz w:val="20"/>
        </w:rPr>
        <w:t xml:space="preserve">provided </w:t>
      </w:r>
      <w:r>
        <w:rPr>
          <w:rFonts w:ascii="Times New Roman;serif" w:hAnsi="Times New Roman;serif"/>
          <w:b w:val="false"/>
          <w:sz w:val="20"/>
        </w:rPr>
        <w:t>that, so long as the Borrower is a Publicly Reporting Company, the Borrower’s filing of notice of any such event with the SEC shall be deemed to satisfy the requirements of this Section 8.02 on the date on which such report is first available via the SEC’s EDGAR system or a successor system related thereto.</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Notwithstanding any contrary provision of this Agreement or any other Loan Document (including, without limitation, Sections 8.01 and 8.02), so long as the Borrower is a Publicly Reporting Company, in the event that the Administrative Agent provides notice to the Borrower that it no longer desires to receive any information that constitutes material non-public information, the Obligors shall not be required to provide any information pursuant to the terms hereof or thereof unless the Borrower is disclosing such information pursuant to a filing with the SEC; </w:t>
      </w:r>
      <w:r>
        <w:rPr>
          <w:rFonts w:ascii="Times New Roman;serif" w:hAnsi="Times New Roman;serif"/>
          <w:b w:val="false"/>
          <w:i/>
          <w:sz w:val="20"/>
        </w:rPr>
        <w:t xml:space="preserve">provided </w:t>
      </w:r>
      <w:r>
        <w:rPr>
          <w:rFonts w:ascii="Times New Roman;serif" w:hAnsi="Times New Roman;serif"/>
          <w:b w:val="false"/>
          <w:sz w:val="20"/>
        </w:rPr>
        <w:t>that notwithstanding the foregoing, the Obligors shall at all times comply with Section 8.01(c) and 8.02(a).</w:t>
      </w:r>
    </w:p>
    <w:p>
      <w:pPr>
        <w:pStyle w:val="TextBody"/>
        <w:bidi w:val="0"/>
        <w:spacing w:before="280" w:after="0"/>
        <w:jc w:val="both"/>
        <w:rPr>
          <w:rFonts w:ascii="Times New Roman" w:hAnsi="Times New Roman"/>
          <w:sz w:val="20"/>
        </w:rPr>
      </w:pPr>
      <w:r>
        <w:rPr>
          <w:rFonts w:ascii="Times New Roman;serif" w:hAnsi="Times New Roman;serif"/>
          <w:b w:val="false"/>
          <w:sz w:val="20"/>
        </w:rPr>
        <w:t>Notwithstanding anything to the contrary herein, neither the Borrower nor any Subsidiary shall be required to deliver, disclose, permit the inspection, examination or making of copies of or excerpts from, or any discussion of,</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z w:val="20"/>
        </w:rPr>
        <w:t>any document, information, or other matter (i) in respect of which disclosure to the Administrative Agent (or any Lender (or their respective representatives or contractors)) is prohibited by applicable law, (ii) that is subject to attorney-client or similar privilege or constitutes attorney work product or (iii) with respect to which any Loan Party owes confidentiality obligations (to the extent not created in contemplation of such Loan Party’s Obligations under this Section 8.02) to any third party.</w:t>
      </w:r>
      <w:r>
        <w:rPr>
          <w:rFonts w:ascii="Times New Roman" w:hAnsi="Times New Roman"/>
          <w:sz w:val="20"/>
        </w:rPr>
        <w:t xml:space="preserve"> </w:t>
      </w:r>
    </w:p>
    <w:p>
      <w:pPr>
        <w:pStyle w:val="TextBody"/>
        <w:bidi w:val="0"/>
        <w:spacing w:before="280" w:after="0"/>
        <w:jc w:val="both"/>
        <w:rPr>
          <w:rFonts w:ascii="Times New Roman;serif" w:hAnsi="Times New Roman;serif"/>
          <w:b w:val="false"/>
          <w:i/>
          <w:sz w:val="20"/>
        </w:rPr>
      </w:pPr>
      <w:r>
        <w:rPr>
          <w:rFonts w:ascii="Times New Roman;serif" w:hAnsi="Times New Roman;serif"/>
          <w:b w:val="false"/>
          <w:i/>
          <w:sz w:val="20"/>
        </w:rPr>
        <w:t>Section 8.03. Existence; Maintenance of Properties.</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(a) It will, and will cause each of its Subsidiaries to, do or cause to be done all things necessary to preserve, renew and keep in full force and effect its legal existence;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 the foregoing shall not prohibit any merger, amalgamation, plan of arrangement, consolidation, liquidation or dissolution permitted under Section 9.03.</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(b) Each Obligor shall, and shall cause each of its Subsidiaries to, maintain and preserve all rights, licenses, Permits, privileges and franchises material to the conduct of its business, and maintain and preserve all of its assets and properties, including all Product Assets, necessary to the conduct of its business in good working order and condition, except for ordinary wear and tear and damage from casualty or condemnation and, with respect to Intellectual Property, abandonment, lapse or other disposition of Intellectual Property in the Ordinary Course of Business that is, in the reasonable good faith judgment of such Obligor, immaterial to the business of such Obligor, no longer economically practicable or commercially desirable to maintain or used or useful in the business of such Obligor, or the expiration of such Intellectual Property is in accordance with its statutory term (provided that such term is not renewable), except to the extent the failure to do so would not reasonably be expected to result in a Material Adverse Effect.</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(c) Each Obligor shall use commercially reasonable efforts to cause each new employee and each contractor with access to Material Intellectual Property to execute and deliver a customary confidentiality, non-disclosure and Intellectual Property assignment agreement that includes a waiver or moral rights to the extent permitted by Law and such agreements are customary in the applicable jurisdiction.</w:t>
      </w:r>
    </w:p>
    <w:p>
      <w:pPr>
        <w:pStyle w:val="TextBody"/>
        <w:bidi w:val="0"/>
        <w:spacing w:before="280" w:after="0"/>
        <w:jc w:val="both"/>
        <w:rPr>
          <w:rFonts w:ascii="Times New Roman" w:hAnsi="Times New Roman"/>
          <w:sz w:val="20"/>
        </w:rPr>
      </w:pPr>
      <w:r>
        <w:rPr>
          <w:rFonts w:ascii="Times New Roman;serif" w:hAnsi="Times New Roman;serif"/>
          <w:b w:val="false"/>
          <w:sz w:val="20"/>
        </w:rPr>
        <w:t>(d) The Borrower shall maintain sufficient authorized but unissued share capital to satisfy in full, without the need for the passing of any further resolutions of its shareholders, the outstanding rights represented by the Warrant Certificates.</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8.04. Payment of Obligations.</w:t>
      </w:r>
      <w:r>
        <w:rPr>
          <w:rFonts w:ascii="Times New Roman" w:hAnsi="Times New Roman"/>
          <w:sz w:val="20"/>
        </w:rPr>
        <w:t xml:space="preserve"> </w:t>
      </w:r>
      <w:r>
        <w:rPr>
          <w:rFonts w:ascii="Times New Roman;serif" w:hAnsi="Times New Roman;serif"/>
          <w:b w:val="false"/>
          <w:sz w:val="20"/>
        </w:rPr>
        <w:t>It will, and will cause each of its Subsidiaries to, pay and discharge (a) all federal income and other material Taxes, fees, assessments and governmental charges or levies imposed upon it or upon its properties or assets prior to the date on which penalties attach thereto, and all lawful Claims for labor, materials and supplies which, if unpaid, might become a Lien (other than a Permitted Lien) upon any properties or assets of any Obligor, except to the extent such Taxes, fees, assessments or governmental charges or levies, or such Claims, are being contested in good faith by appropriate proceedings and are adequately reserved against substantially in accordance with GAAP, (b) all lawful Claims which, if unpaid, would by Law become a Lien upon its Property not constituting a Permitted Lien and (c) all other obligations if the failure to discharge such obligation would reasonably be expected to result in a Material Adverse Effect.</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8.05. Insurance.</w:t>
      </w:r>
      <w:r>
        <w:rPr>
          <w:rFonts w:ascii="Times New Roman" w:hAnsi="Times New Roman"/>
          <w:sz w:val="20"/>
        </w:rPr>
        <w:t xml:space="preserve"> </w:t>
      </w:r>
      <w:r>
        <w:rPr>
          <w:rFonts w:ascii="Times New Roman;serif" w:hAnsi="Times New Roman;serif"/>
          <w:b w:val="false"/>
          <w:sz w:val="20"/>
        </w:rPr>
        <w:t>At its own cost and expense, it will, and will cause each of its Subsidiaries, to obtain and maintain, with financially sound and reputable insurers, insurance of the kinds, and in the amounts, as are consistent with customary practices and standards of its industry in the same or similar locations, it being understood and agreed that the insurance held by the Obligors on the Closing Date is deemed to fulfill this requirement on the date hereof. All of the insurance policies required pursuant to this Section 8.05 will name the Administrative Agent as a “lender’s loss payee,” “additional insured” or “mortgagee,” as applicable and as its interests may appear. The</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Borrower will use its commercially reasonable efforts to ensure, or to cause others to ensure, that all insurance policies required pursuant to this Section 8.05 shall provide that they shall not be terminated or cancelled nor shall any policy be materially changed in a manner adverse to the insured Person without at least thirty (30) days’ written notice (or ten (10) days’ written notice if termination is due to non-payment) to the insured Person and the Administrative Agent. Receipt of notice of termination or cancellation of any such insurance policies shall entitle the Administrative Agent to renew any such policies, all in accordance with the first sentence of this Section 8.05 or otherwise to obtain similar insurance in place of such policies, in each case at the expense of the Borrower (payable within three (3) Business Days of the Borrower’s receipt of written demand therefor) and, unless an Event of Default has occurred and is continuing, with the prior written consent of the Borrower (such consent not to be unreasonably withheld). The amount of any such expenses shall accrue interest at the Default Rate if not paid when due and shall constitute “Obligations.” All of the insurance policies required hereby will be evidenced by one or more certificates of insurance, together with appropriate lender’s loss payee or additional insured clauses or endorsements in favor of the Administrative Agent as required by this Section 8.05, delivered to the Administrative Agent on or before the Closing Date (or, with respect to such endorsements, within the time period set forth in Section 8.18) and at such other times as the Administrative Agent may request from time to time.</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8.06. Books and Records; Inspection Rights.</w:t>
      </w:r>
      <w:r>
        <w:rPr>
          <w:rFonts w:ascii="Times New Roman" w:hAnsi="Times New Roman"/>
          <w:sz w:val="20"/>
        </w:rPr>
        <w:t xml:space="preserve"> </w:t>
      </w:r>
      <w:r>
        <w:rPr>
          <w:rFonts w:ascii="Times New Roman;serif" w:hAnsi="Times New Roman;serif"/>
          <w:b w:val="false"/>
          <w:sz w:val="20"/>
        </w:rPr>
        <w:t>It will, and will cause each of its Subsidiaries to, keep proper books of record and account in which full, true and correct entries are made of all dealings and transactions in relation to its business and activities. It will, and will cause each of its Subsidiaries to, permit any representatives designated by the Administrative Agent, upon reasonable prior notice and at reasonable times, to visit and inspect its properties, to examine and make extracts from its books and records, and to discuss its affairs, finances and condition with its officers and independent accountants, all at such reasonable times during normal business hours and with reasonable advance notice as the Administrative Agent may request. It will, and will cause each of its Subsidiaries to, pay all reasonable and documented out</w:t>
        <w:noBreakHyphen/>
        <w:t>of</w:t>
        <w:noBreakHyphen/>
        <w:t>pocket expenses incurred by the Administrative Agent (a) so long as no Default has occurred and is continuing, for no more than two (2) such inspections each calendar year and (b) during a continuing Default, all such inspections.</w:t>
      </w:r>
    </w:p>
    <w:p>
      <w:pPr>
        <w:pStyle w:val="TextBody"/>
        <w:bidi w:val="0"/>
        <w:spacing w:before="280" w:after="0"/>
        <w:jc w:val="both"/>
        <w:rPr>
          <w:rFonts w:ascii="Times New Roman" w:hAnsi="Times New Roman"/>
          <w:sz w:val="20"/>
        </w:rPr>
      </w:pPr>
      <w:r>
        <w:rPr>
          <w:rFonts w:ascii="Times New Roman;serif" w:hAnsi="Times New Roman;serif"/>
          <w:b w:val="false"/>
          <w:sz w:val="20"/>
        </w:rPr>
        <w:t>During the course any inspections, audits and other visits and discussions permitted under this Section 8.06 or elsewhere under the Loan Documents, representatives of the Administrative Agent (or any Lender (or their respective representatives or contractors)) may encounter individually identifiable healthcare information as defined under HIPAA, or other confidential information relating to healthcare patients (collectively, the “</w:t>
      </w:r>
      <w:r>
        <w:rPr>
          <w:rFonts w:ascii="Times New Roman;serif" w:hAnsi="Times New Roman;serif"/>
          <w:b w:val="false"/>
          <w:i/>
          <w:sz w:val="20"/>
        </w:rPr>
        <w:t>Confidential Healthcare Information</w:t>
      </w:r>
      <w:r>
        <w:rPr>
          <w:rFonts w:ascii="Times New Roman" w:hAnsi="Times New Roman"/>
          <w:sz w:val="20"/>
        </w:rPr>
        <w:t>”</w:t>
      </w:r>
      <w:r>
        <w:rPr>
          <w:rFonts w:ascii="Times New Roman;serif" w:hAnsi="Times New Roman;serif"/>
          <w:b w:val="false"/>
          <w:sz w:val="20"/>
        </w:rPr>
        <w:t>). Unless otherwise required by any applicable laws, the Administrative Agent, the Lenders and their representatives shall not require or perform any act that would cause the Borrower or any other Person to violate any Healthcare Laws, including HIPAA, including, without limitation, as a result of the disclosure of any Confidential Healthcare Information. In the event that the Administrative Agent (or any Lender (or their respective representatives or contractors)) proposes to undertake activities that the Borrower reasonably believes would constitute services of a “business associate” under HIPAA, including the disclosure of any protected Confidential Healthcare Information, the parties hereto agree to review the matter and, where appropriate, the Administrative Agent (or applicable Lender (or such respective representatives or contractors)) may take action to comply with HIPAA, and shall, upon the Borrower’s reasonable request and at the Borrower’s expense, execute a business associate agreement with the applicable Person.</w:t>
      </w:r>
    </w:p>
    <w:p>
      <w:pPr>
        <w:pStyle w:val="TextBody"/>
        <w:bidi w:val="0"/>
        <w:spacing w:before="280" w:after="0"/>
        <w:jc w:val="both"/>
        <w:rPr>
          <w:rFonts w:ascii="Times New Roman" w:hAnsi="Times New Roman"/>
          <w:sz w:val="20"/>
        </w:rPr>
      </w:pPr>
      <w:r>
        <w:rPr>
          <w:rFonts w:ascii="Times New Roman;serif" w:hAnsi="Times New Roman;serif"/>
          <w:b w:val="false"/>
          <w:sz w:val="20"/>
        </w:rPr>
        <w:t>Notwithstanding anything to the contrary herein, neither the Borrower nor any Subsidiary shall be required to deliver, disclose, permit the inspection, examination or making of copies of or excerpts from, or any discussion of, any document, information, or other matter (i) in respect of which disclosure to the Administrative Agent (or any Lender (or their respective representatives or contractors)) is prohibited by applicable law, (ii) that is subject to</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z w:val="20"/>
        </w:rPr>
        <w:t>attorney-client or similar privilege or constitutes attorney work product or (iii) with respect to which any Loan Party owes confidentiality obligations (to the extent not created in contemplation of such Loan Party’s Obligations under this Section 8.06) to any third party.</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8.07. Compliance with Laws.</w:t>
      </w:r>
      <w:r>
        <w:rPr>
          <w:rFonts w:ascii="Times New Roman" w:hAnsi="Times New Roman"/>
          <w:sz w:val="20"/>
        </w:rPr>
        <w:t xml:space="preserve">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(a) It will, and will cause each of its Subsidiaries to, (i) comply in all material respects with all Requirements of Law (including Healthcare Laws and Environmental Laws) and (ii) comply in all material respects with all terms of outstanding Indebtedness and all Material Agreements, except (other than with respect to Material Intellectual Property) where the failure to do so, individually or in the aggregate, would not reasonably be expected to result in a Material Adverse Effect.</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(b) Each Obligor will maintain, and will cause each of its Subsidiaries to maintain, all records required to be maintained by a Governmental Authority or otherwise under any applicable Healthcare Law, except where failure to do so, individually or in the aggregate, would not reasonably be expected to have a Material Adverse Effect.</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(c) Each Obligor will maintain, and will cause each of its Subsidiaries to maintain, in all material respects, a Health Care Compliance Program, which will be reviewed and updated annually, as necessary.</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8.08. Licenses.</w:t>
      </w:r>
      <w:r>
        <w:rPr>
          <w:rFonts w:ascii="Times New Roman" w:hAnsi="Times New Roman"/>
          <w:sz w:val="20"/>
        </w:rPr>
        <w:t xml:space="preserve"> </w:t>
      </w:r>
      <w:r>
        <w:rPr>
          <w:rFonts w:ascii="Times New Roman;serif" w:hAnsi="Times New Roman;serif"/>
          <w:b w:val="false"/>
          <w:sz w:val="20"/>
        </w:rPr>
        <w:t>It will, and will cause each of its Subsidiaries to, obtain and maintain all licenses, authorizations, consents, filings, exemptions, registrations and other Governmental Approvals necessary in connection with the execution, delivery and performance of the Loan Documents, the consummation of the Transactions or the operation and conduct of its business and ownership of its properties, except where failure to do so would not reasonably be expected to have a Material Adverse Effect.</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8.09. Action under Environmental Laws.</w:t>
      </w:r>
      <w:r>
        <w:rPr>
          <w:rFonts w:ascii="Times New Roman" w:hAnsi="Times New Roman"/>
          <w:sz w:val="20"/>
        </w:rPr>
        <w:t xml:space="preserve"> </w:t>
      </w:r>
      <w:r>
        <w:rPr>
          <w:rFonts w:ascii="Times New Roman;serif" w:hAnsi="Times New Roman;serif"/>
          <w:b w:val="false"/>
          <w:sz w:val="20"/>
        </w:rPr>
        <w:t xml:space="preserve">It will, and will cause each of its Subsidiaries to, upon a Responsible Officer becoming aware of the release of any Hazardous Materials in violation of any applicable Environmental Laws or the existence of any environmental liability under applicable Environmental Laws with respect to their respective businesses, operations or properties, take all actions, at their cost and expense, as shall be required by applicable Law to investigate and clean up the condition of their respective businesses, operations or properties, including all required removal, containment and remedial actions, and restore their respective businesses, operations or properties to a condition, except where failure to do so would not reasonably be expected to have a Material Adverse Effect; </w:t>
      </w:r>
      <w:r>
        <w:rPr>
          <w:rFonts w:ascii="Times New Roman;serif" w:hAnsi="Times New Roman;serif"/>
          <w:b w:val="false"/>
          <w:i/>
          <w:sz w:val="20"/>
        </w:rPr>
        <w:t>provided, however</w:t>
      </w:r>
      <w:r>
        <w:rPr>
          <w:rFonts w:ascii="Times New Roman;serif" w:hAnsi="Times New Roman;serif"/>
          <w:b w:val="false"/>
          <w:sz w:val="20"/>
        </w:rPr>
        <w:t>, that neither an Obligor nor any Subsidiary shall be required to undertake any such investigation, clean up, removal, containment, remediation or other corrective action required by Environmental Laws to the extent that its obligation to do so is being contested in good faith and by proper proceedings and appropriate reserves are being maintained with respect to such circumstances in accordance with GAAP.</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8.10. Use of Proceeds.</w:t>
      </w:r>
      <w:r>
        <w:rPr>
          <w:rFonts w:ascii="Times New Roman" w:hAnsi="Times New Roman"/>
          <w:sz w:val="20"/>
        </w:rPr>
        <w:t xml:space="preserve"> </w:t>
      </w:r>
      <w:r>
        <w:rPr>
          <w:rFonts w:ascii="Times New Roman;serif" w:hAnsi="Times New Roman;serif"/>
          <w:b w:val="false"/>
          <w:sz w:val="20"/>
        </w:rPr>
        <w:t>The proceeds of the Term Loans will be used only as provided in Section 2.05. No part of the proceeds of the Term Loans will be used, whether directly or indirectly, for any purpose that violates any of the Regulations of the Board of Governors of the Federal Reserve System, including Regulations T, U and X.</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8.11. Certain Obligations Respecting Subsidiaries; Further Assurances</w:t>
      </w:r>
      <w:r>
        <w:rPr>
          <w:rFonts w:ascii="Times New Roman;serif" w:hAnsi="Times New Roman;serif"/>
          <w:b w:val="false"/>
          <w:sz w:val="20"/>
        </w:rPr>
        <w:t>; Intellectual Property.</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i/>
          <w:sz w:val="20"/>
        </w:rPr>
        <w:t>Subsidiaries.</w:t>
      </w:r>
      <w:r>
        <w:rPr>
          <w:rFonts w:ascii="Times New Roman" w:hAnsi="Times New Roman"/>
          <w:sz w:val="20"/>
        </w:rPr>
        <w:t xml:space="preserve"> </w:t>
      </w:r>
      <w:r>
        <w:rPr>
          <w:rFonts w:ascii="Times New Roman;serif" w:hAnsi="Times New Roman;serif"/>
          <w:b w:val="false"/>
          <w:sz w:val="20"/>
        </w:rPr>
        <w:t>It will take such action, and will cause each of its Subsidiaries to take such action, from time to time as shall be necessary to ensure that all Subsidiaries are “Guarantors” hereunder. Without limiting the generality of the foregoing, in the event that any Obligor shall form or acquire any new</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Subsidiary, it and its Subsidiaries will promptly and in any event within thirty (30) days (or such longer time as consented to by the Administrative Agent in writing) of the formation or Acquisition of such Subsidiary:</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 cause such new Subsidiary to become a “Guarantor” hereunder, and a “Grantor” under the Security Documents, pursuant to a Guarantee Assumption Agreement;</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(ii) take such action or cause such Subsidiary to take such action (including delivering originals of any certificated Equity Interests of such Subsidiary, together with original, executed, undated transfer powers executed in blank and originals of any intercompany notes with undated endorsements executed in blank) as shall be necessary to create and perfect valid and enforceable first priority (subject to Permitted Liens) Liens on substantially all of the personal Property of such new Subsidiary as collateral security for the obligations of such new Subsidiary hereunder;</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(iii) to the extent that the parent of such Subsidiary is not a party to the Security Documents or has not otherwise pledged Equity Interests in its Subsidiaries in accordance with the terms of the Security Documents and this Agreement, cause the parent of such Subsidiary to execute and deliver a pledge agreement in favor of the Lenders, in respect of all outstanding issued shares of such Subsidiary; and</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(iv) deliver such proof of corporate action, incumbency of officers, opinions of counsel and other documents as is consistent with those delivered by each Obligor pursuant to Section 6.01 or as the Majority Lenders shall have requested.</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i/>
          <w:sz w:val="20"/>
        </w:rPr>
        <w:t>Further Assurances.</w:t>
      </w:r>
      <w:r>
        <w:rPr>
          <w:rFonts w:ascii="Times New Roman" w:hAnsi="Times New Roman"/>
          <w:sz w:val="20"/>
        </w:rPr>
        <w:t xml:space="preserve"> </w:t>
      </w:r>
      <w:r>
        <w:rPr>
          <w:rFonts w:ascii="Times New Roman;serif" w:hAnsi="Times New Roman;serif"/>
          <w:b w:val="false"/>
          <w:sz w:val="20"/>
        </w:rPr>
        <w:t xml:space="preserve">It will, and will cause each of its Subsidiaries to, take such action from time to time as shall reasonably be requested in writing by the Majority Lenders to effectuate the purposes and objectives of this Agreement. Without limiting the generality of the foregoing, it will, and will cause each Person that is required to be a Guarantor to, take such action from time to time (including executing and delivering such assignments, security agreements, control agreements and other instruments) as shall be reasonably requested in writing by the Majority Lenders to create, in favor of the Lenders, perfected security interests and Liens (subject to Permitted Liens) in substantially all of the personal Property of such Obligor as collateral security for the Obligations;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 any such security interest or Lien shall be subject to the relevant requirements of the Security Documents.</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i/>
          <w:sz w:val="20"/>
        </w:rPr>
        <w:t>Intellectual Property</w:t>
      </w:r>
      <w:r>
        <w:rPr>
          <w:rFonts w:ascii="Times New Roman;serif" w:hAnsi="Times New Roman;serif"/>
          <w:b w:val="false"/>
          <w:sz w:val="20"/>
        </w:rPr>
        <w:t>. In the event that any Obligor creates, develops or acquires Obligor Intellectual Property during the term of this Agreement, then the provisions of this Agreement shall automatically apply thereto and any such Obligor Intellectual Property shall automatically constitute part of the Collateral under the Security Documents, without further action by any party, in each case from and after the date of such creation, development or acquisition (except that any representations or warranties of any Obligor shall apply to any such Obligor Intellectual Property only from and after the date, if any, subsequent to such acquisition that such representations and warranties are brought down or made anew as provided herein). In the event that any Obligor holds or acquires Obligor Intellectual Property during the term of this Agreement, then, upon the request of the Administrative Agent, such Obligor shall take any action as shall be reasonably necessary and reasonably requested by the Administrative Agent to ensure that the provisions of this Agreement and the Security Agreement shall apply thereto and any such Obligor Intellectual Property shall constitute part of the Collateral under the Security Documents.</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8.12. Termination of Non</w:t>
        <w:noBreakHyphen/>
        <w:t>Permitted Liens.</w:t>
      </w:r>
      <w:r>
        <w:rPr>
          <w:rFonts w:ascii="Times New Roman" w:hAnsi="Times New Roman"/>
          <w:sz w:val="20"/>
        </w:rPr>
        <w:t xml:space="preserve"> </w:t>
      </w:r>
      <w:r>
        <w:rPr>
          <w:rFonts w:ascii="Times New Roman;serif" w:hAnsi="Times New Roman;serif"/>
          <w:b w:val="false"/>
          <w:sz w:val="20"/>
        </w:rPr>
        <w:t>In the event that any Responsible Officer of any Obligor shall become aware or be notified by the Lenders of the existence of any outstanding Lien against any Property of any Obligor or any of its Subsidiaries, which Lien is not a Permitted Lien, such Obligor shall use its best efforts to promptly terminate or cause the termination of such Lien.</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i/>
          <w:sz w:val="20"/>
        </w:rPr>
        <w:t xml:space="preserve">Section 8.13. Non-Consolidation. </w:t>
      </w:r>
      <w:r>
        <w:rPr>
          <w:rFonts w:ascii="Times New Roman;serif" w:hAnsi="Times New Roman;serif"/>
          <w:b w:val="false"/>
          <w:sz w:val="20"/>
        </w:rPr>
        <w:t>The Borrower will cause each of its Subsidiaries (other than an Obligor) to, (a) maintain entity records and books of account separate from those of any other entity which is an Affiliate of such entity and (b) not commingle its funds or assets with those of any other entity which is an Affiliate of such entity.</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8.14. Anti</w:t>
        <w:noBreakHyphen/>
        <w:t>Terrorism and Anti</w:t>
        <w:noBreakHyphen/>
        <w:t>Corruption Laws</w:t>
      </w:r>
      <w:r>
        <w:rPr>
          <w:rFonts w:ascii="Times New Roman;serif" w:hAnsi="Times New Roman;serif"/>
          <w:b w:val="false"/>
          <w:sz w:val="20"/>
        </w:rPr>
        <w:t>. No Obligor shall engage in any transaction that violates any of the applicable prohibitions set forth in any Economic Sanctions Law, Anti</w:t>
        <w:noBreakHyphen/>
        <w:t>Terrorism Law, or any Anti-Corruption Law. None of the funds or assets of such Obligor or any Subsidiary that are used to repay the Term Loans shall constitute property of, or shall be beneficially owned by, any Designated Person or, to such Obligor’s knowledge, be the direct proceeds derived from any transactions that violate the prohibitions set forth in any applicable Economic Sanctions Law, and no Designated Person shall have any direct or indirect interest in such Obligor insofar as such interest would violate any Economic Sanctions Laws applicable to such Obligor.</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8.15. Financial Covenants</w:t>
      </w:r>
      <w:r>
        <w:rPr>
          <w:rFonts w:ascii="Times New Roman;serif" w:hAnsi="Times New Roman;serif"/>
          <w:b w:val="false"/>
          <w:sz w:val="20"/>
        </w:rPr>
        <w:t>.</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i/>
          <w:sz w:val="20"/>
        </w:rPr>
        <w:t>Minimum Liquidity.</w:t>
      </w:r>
      <w:r>
        <w:rPr>
          <w:rFonts w:ascii="Times New Roman" w:hAnsi="Times New Roman"/>
          <w:sz w:val="20"/>
        </w:rPr>
        <w:t xml:space="preserve"> </w:t>
      </w:r>
      <w:r>
        <w:rPr>
          <w:rFonts w:ascii="Times New Roman;serif" w:hAnsi="Times New Roman;serif"/>
          <w:b w:val="false"/>
          <w:sz w:val="20"/>
        </w:rPr>
        <w:t>The Borrower shall ensure that the Obligors shall have aggregate Unrestricted Cash of not less than $2,500,000 at all times.</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i/>
          <w:sz w:val="20"/>
        </w:rPr>
        <w:t>Minimum Net Revenue</w:t>
      </w:r>
      <w:r>
        <w:rPr>
          <w:rFonts w:ascii="Times New Roman;serif" w:hAnsi="Times New Roman;serif"/>
          <w:b w:val="false"/>
          <w:sz w:val="20"/>
        </w:rPr>
        <w:t>. As of the end of the fiscal quarter ended March 31, 2023, and each fiscal quarter thereafter, the Obligors shall maintain, on a consolidated basis, Net Revenue as agreed to in writing between the Borrower and the Administrative Agent from time to time.</w:t>
      </w:r>
    </w:p>
    <w:p>
      <w:pPr>
        <w:pStyle w:val="TextBody"/>
        <w:bidi w:val="0"/>
        <w:spacing w:before="280" w:after="0"/>
        <w:jc w:val="both"/>
        <w:rPr>
          <w:rFonts w:ascii="Times New Roman" w:hAnsi="Times New Roman"/>
          <w:sz w:val="20"/>
        </w:rPr>
      </w:pPr>
      <w:r>
        <w:rPr>
          <w:rFonts w:ascii="Times New Roman;serif" w:hAnsi="Times New Roman;serif"/>
          <w:b w:val="false"/>
          <w:i/>
          <w:sz w:val="20"/>
        </w:rPr>
        <w:t xml:space="preserve">Section 8.16. Maintenance of Regulatory Approvals, Contracts and Intellectual Property. </w:t>
      </w:r>
      <w:r>
        <w:rPr>
          <w:rFonts w:ascii="Times New Roman;serif" w:hAnsi="Times New Roman;serif"/>
          <w:b w:val="false"/>
          <w:sz w:val="20"/>
        </w:rPr>
        <w:t>Each Obligor will, and will cause each of its Subsidiaries (to the extent applicable) to:</w:t>
      </w:r>
      <w:r>
        <w:rPr>
          <w:rFonts w:ascii="Times New Roman" w:hAnsi="Times New Roman"/>
          <w:sz w:val="20"/>
        </w:rPr>
        <w:t xml:space="preserve">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(a) maintain in full force and effect all CLIA laboratory certifications or accreditations, Regulatory Approvals (including the Product Authorizations), Material Agreements, or other rights necessary for the current operations of such Obligor’s or such Subsidiary’s business, as the case may be, except where failure to do so, individually or in the aggregate, would not reasonably be expected to have a Material Adverse Effect;</w:t>
      </w:r>
    </w:p>
    <w:p>
      <w:pPr>
        <w:pStyle w:val="TextBody"/>
        <w:bidi w:val="0"/>
        <w:spacing w:before="280" w:after="0"/>
        <w:jc w:val="both"/>
        <w:rPr>
          <w:rFonts w:ascii="Times New Roman" w:hAnsi="Times New Roman"/>
          <w:sz w:val="20"/>
        </w:rPr>
      </w:pPr>
      <w:r>
        <w:rPr>
          <w:rFonts w:ascii="Times New Roman;serif" w:hAnsi="Times New Roman;serif"/>
          <w:b w:val="false"/>
          <w:sz w:val="20"/>
        </w:rPr>
        <w:t>(b) maintain in full force and effect all Material Intellectual Property that is used in and necessary for current operations; and</w:t>
      </w:r>
      <w:r>
        <w:rPr>
          <w:rFonts w:ascii="Times New Roman" w:hAnsi="Times New Roman"/>
          <w:sz w:val="20"/>
        </w:rPr>
        <w:t xml:space="preserve">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(c) use commercially reasonable efforts to pursue and maintain in full force and effect legal protection for all new, Material Intellectual Property that is used in and necessary in connection with any Product Development and Commercialization Activities by such Obligor relating to any such Product.</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8.17. Cash Management</w:t>
      </w:r>
      <w:r>
        <w:rPr>
          <w:rFonts w:ascii="Times New Roman;serif" w:hAnsi="Times New Roman;serif"/>
          <w:b w:val="false"/>
          <w:sz w:val="20"/>
        </w:rPr>
        <w:t>. It will, and will cause each of their Subsidiaries to:</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(a) subject to Section 8.18, maintain all Deposit Accounts, Securities Accounts, Commodity Accounts and lockboxes (other than Excluded Accounts) with a bank or financial institution that has executed and delivered to the Administrative Agent an account control agreement, in form and substance reasonably acceptable to the Administrative Agent (each such Deposit Account, Securities Account, Commodity Account and lockbox, a </w:t>
      </w:r>
      <w:r>
        <w:rPr>
          <w:rFonts w:ascii="Times New Roman" w:hAnsi="Times New Roman"/>
          <w:sz w:val="20"/>
        </w:rPr>
        <w:t>“</w:t>
      </w:r>
      <w:r>
        <w:rPr>
          <w:rFonts w:ascii="Times New Roman;serif" w:hAnsi="Times New Roman;serif"/>
          <w:b w:val="false"/>
          <w:i/>
          <w:sz w:val="20"/>
        </w:rPr>
        <w:t>Controlled Account”</w:t>
      </w:r>
      <w:r>
        <w:rPr>
          <w:rFonts w:ascii="Times New Roman;serif" w:hAnsi="Times New Roman;serif"/>
          <w:b w:val="false"/>
          <w:sz w:val="20"/>
        </w:rPr>
        <w:t>);</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sz w:val="20"/>
        </w:rPr>
        <w:t>(b) subject to Section 8.18, deposit promptly, and in any event no later than five (5) Business Days after the date of receipt thereof, all cash, checks, drafts or other similar items of payment relating to or constituting payments greater than $75,000 in the aggregate at any time made in respect of any and all accounts and other rights and interests into Controlled Accounts; and</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(c) No Obligor shall deposit any funds to a Segregated Health Care Account or direct or permit any other Person to deposit any funds to a Segregated Health Care Account, other than funds received from third-party payer payments pertaining to clinical diagnostic testing claims including those received from Federal Health Care Programs. Subject to Section 8.18, the Obligors shall cause all amounts deposited into the Segregated Health Care Accounts to be automatically swept on a daily basis to a Controlled Account pursuant to a Sweep Agreement. Any such Sweep Agreement will require such depository bank to waive all of its existing and future rights of recoupment and set-off and banker’s lien against any Segregated Health Care Accounts, but shall permit such depository bank to maintain its existing and future rights of recoupment and set-off and banker’s lien against any Controlled Account.</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8.18. Post-Funding Obligations</w:t>
      </w:r>
      <w:r>
        <w:rPr>
          <w:rFonts w:ascii="Times New Roman;serif" w:hAnsi="Times New Roman;serif"/>
          <w:b w:val="false"/>
          <w:sz w:val="20"/>
        </w:rPr>
        <w:t>. The Obligors will provide the items set forth in Schedule 8.18 within the time periods set forth therein.</w:t>
      </w:r>
      <w:r>
        <w:rPr>
          <w:rFonts w:ascii="Times New Roman" w:hAnsi="Times New Roman"/>
          <w:sz w:val="20"/>
        </w:rPr>
        <w:t xml:space="preserve"> </w:t>
      </w:r>
    </w:p>
    <w:p>
      <w:pPr>
        <w:pStyle w:val="TextBody"/>
        <w:bidi w:val="0"/>
        <w:spacing w:before="360" w:after="0"/>
        <w:jc w:val="center"/>
        <w:rPr>
          <w:rFonts w:ascii="Times New Roman;serif" w:hAnsi="Times New Roman;serif"/>
          <w:b/>
          <w:smallCaps/>
          <w:sz w:val="20"/>
        </w:rPr>
      </w:pPr>
      <w:r>
        <w:rPr>
          <w:rFonts w:ascii="Times New Roman;serif" w:hAnsi="Times New Roman;serif"/>
          <w:b/>
          <w:smallCaps/>
          <w:sz w:val="20"/>
        </w:rPr>
        <w:t>Article 9</w:t>
        <w:br/>
        <w:br/>
        <w:t>Negative Covenants</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Each Obligor covenants and agrees with the Administrative Agent and the Lenders that, commencing on the Funding Date and until the Commitments have expired or been terminated and all Obligations (other than the Warrant Obligations and contingent and unmatured indemnity and expense reimbursement obligations) have been paid in full in cash:</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9.01. Indebtedness.</w:t>
      </w:r>
      <w:r>
        <w:rPr>
          <w:rFonts w:ascii="Times New Roman" w:hAnsi="Times New Roman"/>
          <w:sz w:val="20"/>
        </w:rPr>
        <w:t xml:space="preserve"> </w:t>
      </w:r>
      <w:r>
        <w:rPr>
          <w:rFonts w:ascii="Times New Roman;serif" w:hAnsi="Times New Roman;serif"/>
          <w:b w:val="false"/>
          <w:sz w:val="20"/>
        </w:rPr>
        <w:t>It will not, and will not permit any of its Subsidiaries to, create, incur, assume or permit to exist any Indebtedness, whether directly or indirectly, except:</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(a) the Obligations;</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(b) Indebtedness existing on the date hereof and set forth in Schedule 7.13A;</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(c) accounts payable to trade creditors for goods and services and current operating liabilities (not the result of the borrowing of money) incurred in the Ordinary Course of Business;</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(d) Indebtedness consisting of guarantees resulting from endorsement of negotiable instruments for collection by an Obligor or any of its Subsidiaries in the Ordinary Course of Business;</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(e) unsecured Indebtedness of an Obligor to any other Obligor;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such Indebtedness is pledged to the Administrative Agent for the benefit of the Lenders under the Security Agreement and otherwise subordinate in right of payment to the Obligations on terms reasonably satisfactory to the Administrative Agent in its reasonable discretion;</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(f) Guarantees by any Obligor of Indebtedness of any other Obligor;</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(g) purchase money Indebtedness and Capital Lease Obligations;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 (i) if secured, the collateral therefor consists solely of the assets being financed, the products and proceeds thereof and books and records related thereto, (ii) in the case of purchase money Indebtedness, such Indebtedness shall not constitute less than 75% of the aggregate consideration paid with respect to such asset and (iii) the aggregate outstanding principal amount of such Indebtedness does not exceed $1,500,000 at any time;</w:t>
      </w:r>
    </w:p>
    <w:p>
      <w:pPr>
        <w:pStyle w:val="TextBody"/>
        <w:bidi w:val="0"/>
        <w:spacing w:before="280" w:after="0"/>
        <w:jc w:val="both"/>
        <w:rPr>
          <w:rFonts w:ascii="Times New Roman" w:hAnsi="Times New Roman"/>
          <w:sz w:val="20"/>
        </w:rPr>
      </w:pPr>
      <w:r>
        <w:rPr>
          <w:rFonts w:ascii="Times New Roman;serif" w:hAnsi="Times New Roman;serif"/>
          <w:b w:val="false"/>
          <w:sz w:val="20"/>
        </w:rPr>
        <w:t>(h) unsecured (other than any non-consensual Liens) workers’ compensation Claims, payment obligations in connection with health, disability or other types of social security or other employee related</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benefits, unemployment or other insurance obligations (including premiums related thereto), reclamation and statutory obligations, in each case incurred in the Ordinary Course of Business;</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 unfunded pension fund and other employee benefit plan obligations and liabilities incurred in the Ordinary Course of Business;</w:t>
      </w:r>
    </w:p>
    <w:p>
      <w:pPr>
        <w:pStyle w:val="TextBody"/>
        <w:bidi w:val="0"/>
        <w:spacing w:before="280" w:after="0"/>
        <w:jc w:val="both"/>
        <w:rPr>
          <w:rFonts w:ascii="Times New Roman" w:hAnsi="Times New Roman"/>
          <w:sz w:val="20"/>
        </w:rPr>
      </w:pPr>
      <w:r>
        <w:rPr>
          <w:rFonts w:ascii="Times New Roman;serif" w:hAnsi="Times New Roman;serif"/>
          <w:b w:val="false"/>
          <w:sz w:val="20"/>
        </w:rPr>
        <w:t>(j) Indebtedness under Hedging Agreements permitted pursuant to Section 9.05(f);</w:t>
      </w:r>
      <w:r>
        <w:rPr>
          <w:rFonts w:ascii="Times New Roman" w:hAnsi="Times New Roman"/>
          <w:sz w:val="20"/>
        </w:rPr>
        <w:t xml:space="preserve">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(k) Indebtedness approved in advance in writing by the Majority Lenders;</w:t>
      </w:r>
    </w:p>
    <w:p>
      <w:pPr>
        <w:pStyle w:val="TextBody"/>
        <w:bidi w:val="0"/>
        <w:spacing w:before="280" w:after="0"/>
        <w:jc w:val="both"/>
        <w:rPr>
          <w:rFonts w:ascii="Times New Roman" w:hAnsi="Times New Roman"/>
          <w:sz w:val="20"/>
        </w:rPr>
      </w:pPr>
      <w:r>
        <w:rPr>
          <w:rFonts w:ascii="Times New Roman;serif" w:hAnsi="Times New Roman;serif"/>
          <w:b w:val="false"/>
          <w:sz w:val="20"/>
        </w:rPr>
        <w:t>(l) Indebtedness of the Borrower and its Subsidiaries with respect to overdrafts or corporate credit cards not to exceed $250,000 at any time outstanding;</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sz w:val="20"/>
        </w:rPr>
        <w:t>(m) the Milestone Payments together with any interest accruing with respect thereto;</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sz w:val="20"/>
        </w:rPr>
        <w:t>(n) so long as no Default shall have occurred and is continuing at the time of such Indebtedness is incurred, or after giving effect thereto, other unsecured Indebtedness in an aggregate principal amount not to exceed $1,000,000 at any time outstanding;</w:t>
      </w:r>
      <w:r>
        <w:rPr>
          <w:rFonts w:ascii="Times New Roman" w:hAnsi="Times New Roman"/>
          <w:sz w:val="20"/>
        </w:rPr>
        <w:t xml:space="preserve">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(o) Indebtedness of Borrower and/or any Subsidiary (i) pursuant to tenders, statutory obligations (including health, safety and environmental obligations), bids, leases, governmental contracts, trade contracts, surety, indemnity, stay, customs, judgment, appeal, performance, completion and/or return of money bonds or guaranties, contract manufacturer obligations or other similar obligations incurred in the Ordinary Course of Business, and (ii) in respect of letters of credit, bank guaranties, surety bonds, performance bonds or similar instruments to support any of the foregoing items in the Ordinary Course of Business;</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(p) Indebtedness in respect of any agreement providing for treasury, depositary or cash management services, including in connection with any automated clearing house transfers of funds or any similar transfers, netting services, overdraft protections and other cash management and similar arrangements, in each case, in the Ordinary Course of Business;</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(q) customer deposits and advance payments received in the Ordinary Course of Business from customers for goods and services purchased in the Ordinary Course of Business;</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(r) Indebtedness consisting of the deferred obligations to pay insurance premiums in respect of insurance policies pursuant to Section 8.05 insuring assets or businesses of an Obligor written or arranged in such Obligor’s Ordinary Course of Business and which are payable within one (1) year;</w:t>
      </w:r>
    </w:p>
    <w:p>
      <w:pPr>
        <w:pStyle w:val="TextBody"/>
        <w:bidi w:val="0"/>
        <w:spacing w:before="280" w:after="0"/>
        <w:jc w:val="both"/>
        <w:rPr>
          <w:rFonts w:ascii="Times New Roman" w:hAnsi="Times New Roman"/>
          <w:sz w:val="20"/>
        </w:rPr>
      </w:pPr>
      <w:r>
        <w:rPr>
          <w:rFonts w:ascii="Times New Roman;serif" w:hAnsi="Times New Roman;serif"/>
          <w:b w:val="false"/>
          <w:sz w:val="20"/>
        </w:rPr>
        <w:t>(s) Indebtedness incurred in connection with letters of credit that are secured solely by cash or Permitted Cash Equivalent Investments and issued on behalf of the Borrower in the Ordinary Course of Business in an aggregate amount outstanding not to exceed $1,000,000 at any time;</w:t>
      </w:r>
      <w:r>
        <w:rPr>
          <w:rFonts w:ascii="Times New Roman" w:hAnsi="Times New Roman"/>
          <w:sz w:val="20"/>
        </w:rPr>
        <w:t xml:space="preserve">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(t) Indebtedness constituting of deposits or prepayments received from customers in the Ordinary Course of Business; and</w:t>
      </w:r>
    </w:p>
    <w:p>
      <w:pPr>
        <w:pStyle w:val="TextBody"/>
        <w:bidi w:val="0"/>
        <w:spacing w:before="280" w:after="0"/>
        <w:jc w:val="both"/>
        <w:rPr>
          <w:rFonts w:ascii="Times New Roman" w:hAnsi="Times New Roman"/>
          <w:sz w:val="20"/>
        </w:rPr>
      </w:pPr>
      <w:r>
        <w:rPr>
          <w:rFonts w:ascii="Times New Roman;serif" w:hAnsi="Times New Roman;serif"/>
          <w:b w:val="false"/>
          <w:sz w:val="20"/>
        </w:rPr>
        <w:t>(u) Permitted Refinancings of any of the foregoing clauses (b) through (t).</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9.02. Liens.</w:t>
      </w:r>
      <w:r>
        <w:rPr>
          <w:rFonts w:ascii="Times New Roman" w:hAnsi="Times New Roman"/>
          <w:sz w:val="20"/>
        </w:rPr>
        <w:t xml:space="preserve"> </w:t>
      </w:r>
      <w:r>
        <w:rPr>
          <w:rFonts w:ascii="Times New Roman;serif" w:hAnsi="Times New Roman;serif"/>
          <w:b w:val="false"/>
          <w:sz w:val="20"/>
        </w:rPr>
        <w:t>It will not, and will not permit any of its Subsidiaries to, create, incur, assume or permit to exist any Lien on any Property now owned by it, except:</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(a) Liens securing the Obligations;</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(b) any Lien on any Property of any Obligor existing on the date hereof and set forth in Schedule 7.13B;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 (i) no such Lien shall extend to any other Property of such Obligor and (ii) any such Lien shall secure only those obligations which it secures on the date hereof and extensions, renewals and replacements thereof that do not increase the outstanding principal amount thereof;</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(c) Liens securing Indebtedness permitted under Section 9.01(g);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 such Liens are restricted solely to the collateral described in Section 9.01(g);</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(d) Liens imposed by Law which were incurred in the Ordinary Course of Business, including (but not limited to) carriers’, warehousemen’s, landlords’ and mechanics’ Liens, Liens relating to leasehold improvements and other similar liens arising in the Ordinary Course of Business and which (i) do not in the aggregate materially detract from the value of the Property subject thereto or materially impair the use thereof in the operations of the business of such Person or (ii) are being contested in good faith by appropriate proceedings, which proceedings have the effect of preventing the forfeiture or sale of the Property subject to such Liens and for which adequate reserves have been made if required substantially in accordance with GAAP;</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(e) Liens, pledges or deposits made in the Ordinary Course of Business in connection with bids, grant applications, Contracts, leases, surety, performance and appeal bonds, workers’ compensation, unemployment insurance or other similar social security or employment Laws;</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(f) Liens securing Taxes, assessments and other governmental charges, the payment of which is not yet due or is being contested in good faith by appropriate proceedings promptly initiated and diligently conducted and for which such reserve or other appropriate provisions, if any, as shall be required by GAAP shall have been made;</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(g) servitudes, easements, rights of way, restrictions and other similar encumbrances on real Property imposed by applicable Laws and encumbrances consisting of zoning or building restrictions, easements, licenses, restrictions on the use of Property or minor imperfections in title thereto which, in the aggregate, are not material, and which do not in any case materially detract from the value of the Property subject thereto or materially interfere with the ordinary conduct of the business of any of the Obligors;</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(h) bankers’ Liens, rights of setoff and similar Liens incurred on deposits in the Ordinary Course of Business or otherwise arising in connection with the Obligors’ Deposit Accounts or Securities Accounts or credit card programs held at financial institutions to secure payment of fees and similar costs and expenses of such financial institutions with respect to such accounts or programs;</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 Liens in connection with transfers permitted under Section 9.09;</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(j) any judgment Lien or Lien arising from decrees or attachments not constituting an Event of Default;</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(k) leases or subleases of real property granted in the Ordinary Course of Business, and leases, subleases, nonexclusive licenses or sublicenses of personal property (other than Intellectual Property) granted in the Ordinary Course of Business;</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(l) Liens in favor of customs and revenue authorities arising as a matter of law to secure the payment of custom duties in connection with the importation of goods, not securing an amount in the aggregate in excess of $500,000 at any given time;</w:t>
      </w:r>
    </w:p>
    <w:p>
      <w:pPr>
        <w:pStyle w:val="TextBody"/>
        <w:bidi w:val="0"/>
        <w:spacing w:before="280" w:after="0"/>
        <w:jc w:val="both"/>
        <w:rPr>
          <w:rFonts w:ascii="Times New Roman" w:hAnsi="Times New Roman"/>
          <w:sz w:val="20"/>
        </w:rPr>
      </w:pPr>
      <w:r>
        <w:rPr>
          <w:rFonts w:ascii="Times New Roman;serif" w:hAnsi="Times New Roman;serif"/>
          <w:b w:val="false"/>
          <w:sz w:val="20"/>
        </w:rPr>
        <w:t>(m) Liens on a Deposit Account of the Obligors and the cash and Permitted Cash Equivalent Investments therein, in each case, securing Indebtedness described in Section 9.01(l);</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z w:val="20"/>
        </w:rPr>
        <w:t>(n) Liens on cash collateral securing reimbursement obligations in respect of Indebtedness permitted under Section 9.01(s);</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sz w:val="20"/>
        </w:rPr>
        <w:t>(o) Liens on insurance policies and the proceeds thereof securing the financing of the premiums with respect thereto;</w:t>
      </w:r>
      <w:r>
        <w:rPr>
          <w:rFonts w:ascii="Times New Roman" w:hAnsi="Times New Roman"/>
          <w:sz w:val="20"/>
        </w:rPr>
        <w:t xml:space="preserve">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(p) other Liens securing other obligations to the extent permitted hereby not to exceed $500,000 in an aggregate principal amount at any time outstanding; and</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(q) Permitted Licenses;</w:t>
      </w:r>
    </w:p>
    <w:p>
      <w:pPr>
        <w:pStyle w:val="TextBody"/>
        <w:bidi w:val="0"/>
        <w:spacing w:before="280" w:after="0"/>
        <w:jc w:val="both"/>
        <w:rPr>
          <w:rFonts w:ascii="Times New Roman" w:hAnsi="Times New Roman"/>
          <w:sz w:val="20"/>
        </w:rPr>
      </w:pP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 no Lien otherwise permitted under any of the foregoing Sections 9.02 (excluding Sections 9.02(a), 9.02(b) and 9.02(q)) shall apply to any Material Intellectual Property.</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9.03. Fundamental Changes and Acquisitions.</w:t>
      </w:r>
      <w:r>
        <w:rPr>
          <w:rFonts w:ascii="Times New Roman" w:hAnsi="Times New Roman"/>
          <w:sz w:val="20"/>
        </w:rPr>
        <w:t xml:space="preserve"> </w:t>
      </w:r>
      <w:r>
        <w:rPr>
          <w:rFonts w:ascii="Times New Roman;serif" w:hAnsi="Times New Roman;serif"/>
          <w:b w:val="false"/>
          <w:sz w:val="20"/>
        </w:rPr>
        <w:t>It will not, and will not permit any of its Subsidiaries to:</w:t>
      </w:r>
      <w:r>
        <w:rPr>
          <w:rFonts w:ascii="Times New Roman" w:hAnsi="Times New Roman"/>
          <w:sz w:val="20"/>
        </w:rPr>
        <w:t xml:space="preserve">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(a) enter into or consummate any transaction of merger, amalgamation, plan of arrangement or consolidation, including without limitation, a reverse</w:t>
        <w:noBreakHyphen/>
        <w:t>triangular merger, or other similar transaction or series of related transactions;</w:t>
      </w:r>
    </w:p>
    <w:p>
      <w:pPr>
        <w:pStyle w:val="TextBody"/>
        <w:bidi w:val="0"/>
        <w:spacing w:before="280" w:after="0"/>
        <w:jc w:val="both"/>
        <w:rPr>
          <w:rFonts w:ascii="Times New Roman" w:hAnsi="Times New Roman"/>
          <w:sz w:val="20"/>
        </w:rPr>
      </w:pPr>
      <w:r>
        <w:rPr>
          <w:rFonts w:ascii="Times New Roman;serif" w:hAnsi="Times New Roman;serif"/>
          <w:b w:val="false"/>
          <w:sz w:val="20"/>
        </w:rPr>
        <w:t>(b) liquidate, wind up or dissolve itself (or suffer any liquidation, wind up or dissolution) (including in connection with any division or plan of division under Delaware law or any comparable event under a different jurisdiction’s laws); or</w:t>
      </w:r>
      <w:r>
        <w:rPr>
          <w:rFonts w:ascii="Times New Roman" w:hAnsi="Times New Roman"/>
          <w:sz w:val="20"/>
        </w:rPr>
        <w:t xml:space="preserve">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(c) make or consummate any Acquisition or sell or issue any Disqualified Equity Interests, except, in each case:</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 Investments permitted under Section 9.05;</w:t>
      </w:r>
    </w:p>
    <w:p>
      <w:pPr>
        <w:pStyle w:val="TextBody"/>
        <w:bidi w:val="0"/>
        <w:spacing w:before="280" w:after="0"/>
        <w:jc w:val="both"/>
        <w:rPr>
          <w:rFonts w:ascii="Times New Roman" w:hAnsi="Times New Roman"/>
          <w:sz w:val="20"/>
        </w:rPr>
      </w:pPr>
      <w:r>
        <w:rPr>
          <w:rFonts w:ascii="Times New Roman;serif" w:hAnsi="Times New Roman;serif"/>
          <w:b w:val="false"/>
          <w:sz w:val="20"/>
        </w:rPr>
        <w:t>(ii) Permitted Acquisitions for (i) aggregate cash consideration not to exceed $2,000,000 and (ii) total consideration not to exceed $5,000,000, in each case, for the duration of this Agreement;</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(iii) the merger, amalgamation or consolidation of any Obligor with or into any other Obligor,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 if the Borrower is a party to such merger, amalgamation or consolidation, the Borrower shall be the surviving entity;</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(iv) the sale, transfer or other disposition by any Obligor of any or all of its property to any other Obligor; and</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(v) sales and other transfers permitted under Section 9.09.</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9.04. Lines of Business.</w:t>
      </w:r>
      <w:r>
        <w:rPr>
          <w:rFonts w:ascii="Times New Roman" w:hAnsi="Times New Roman"/>
          <w:sz w:val="20"/>
        </w:rPr>
        <w:t xml:space="preserve"> </w:t>
      </w:r>
      <w:r>
        <w:rPr>
          <w:rFonts w:ascii="Times New Roman;serif" w:hAnsi="Times New Roman;serif"/>
          <w:b w:val="false"/>
          <w:sz w:val="20"/>
        </w:rPr>
        <w:t>It will not, and will not permit any of its Subsidiaries to, engage to any material extent in any business other than the business engaged in on the date hereof by such Obligor, or a business reasonably related, incidental or complementary thereto or reasonable extensions thereof.</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9.05. Investments.</w:t>
      </w:r>
      <w:r>
        <w:rPr>
          <w:rFonts w:ascii="Times New Roman" w:hAnsi="Times New Roman"/>
          <w:sz w:val="20"/>
        </w:rPr>
        <w:t xml:space="preserve"> </w:t>
      </w:r>
      <w:r>
        <w:rPr>
          <w:rFonts w:ascii="Times New Roman;serif" w:hAnsi="Times New Roman;serif"/>
          <w:b w:val="false"/>
          <w:sz w:val="20"/>
        </w:rPr>
        <w:t>It will not, and will not permit any of its Subsidiaries to, make, directly or indirectly, or permit to remain outstanding any Investments except:</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(a) Investments outstanding on the date hereof and identified in Schedule 9.05 and any modification, replacement, renewal or extension thereof to the extent not involving new or additional Investments;</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(b) operating Deposit Accounts, Securities Accounts or Commodity Accounts with banks or other financial institutions;</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(c) extensions of credit in the nature of accounts receivable, notes receivable of, or prepaid royalties and other credit extensions to, customers and suppliers in the Ordinary Course of Business;</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(d) cash and Permitted Cash Equivalent Investments;</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(e) (i) Investments consisting of 100% of the ownership of the Equity Interests of its Subsidiaries, (ii) intercompany Investments by Borrower or a Subsidiary in any Guarantor or (iii) Investments by Borrower or any Subsidiary acquired in connection with a Permitted Acquisition;</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(f) Hedging Agreements (i) entered into in the ordinary course of any Obligor’s financial planning solely to hedge interest rate risks or foreign currency exchange risks (and not, in either case, for speculative purposes) and in an aggregate net exposure amount for all such Hedging Agreements not in excess of $500,000 or (ii) entered into to hedge interest rate risks in respect of the Obligations hereunder;</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(g) Investments consisting of prepaid expenses, negotiable instruments held for collection or deposit, security deposits with utilities, landlords and other like Persons, and deposits in connection with workers’ compensation and similar deposits, in each case made in the Ordinary Course of Business;</w:t>
      </w:r>
    </w:p>
    <w:p>
      <w:pPr>
        <w:pStyle w:val="TextBody"/>
        <w:bidi w:val="0"/>
        <w:spacing w:before="280" w:after="0"/>
        <w:jc w:val="both"/>
        <w:rPr>
          <w:rFonts w:ascii="Times New Roman" w:hAnsi="Times New Roman"/>
          <w:sz w:val="20"/>
        </w:rPr>
      </w:pPr>
      <w:r>
        <w:rPr>
          <w:rFonts w:ascii="Times New Roman;serif" w:hAnsi="Times New Roman;serif"/>
          <w:b w:val="false"/>
          <w:sz w:val="20"/>
        </w:rPr>
        <w:t>(h) Investments received in connection with any Insolvency Proceedings in respect of any customers, suppliers or clients and in settlement of delinquent obligations of, and other disputes with, customers, suppliers or clients;</w:t>
      </w:r>
      <w:r>
        <w:rPr>
          <w:rFonts w:ascii="Times New Roman" w:hAnsi="Times New Roman"/>
          <w:sz w:val="20"/>
        </w:rPr>
        <w:t xml:space="preserve">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 Investments permitted under Section 9.01(e) and Section 9.03;</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(j) Investments consisting of notes receivable of, or prepaid royalties and other credit extensions, to customers and suppliers who are not Affiliates, in the Ordinary Course of Business;</w:t>
      </w:r>
    </w:p>
    <w:p>
      <w:pPr>
        <w:pStyle w:val="TextBody"/>
        <w:bidi w:val="0"/>
        <w:spacing w:before="280" w:after="0"/>
        <w:jc w:val="both"/>
        <w:rPr>
          <w:rFonts w:ascii="Times New Roman" w:hAnsi="Times New Roman"/>
          <w:sz w:val="20"/>
        </w:rPr>
      </w:pPr>
      <w:r>
        <w:rPr>
          <w:rFonts w:ascii="Times New Roman;serif" w:hAnsi="Times New Roman;serif"/>
          <w:b w:val="false"/>
          <w:sz w:val="20"/>
        </w:rPr>
        <w:t>(k) Investments consisting of (i) travel advances and employee relocation loans and other employee loans and advances in the Ordinary Course of Business, and (ii) loans to employees, officers or directors relating to the purchase of equity securities of the Borrower or its Subsidiaries pursuant to employee stock purchase plans or agreements approved by the Borrower’s Board in an aggregate amount not to exceed $100,000 for subclauses (i) and (ii) in any fiscal year;</w:t>
      </w:r>
      <w:r>
        <w:rPr>
          <w:rFonts w:ascii="Times New Roman" w:hAnsi="Times New Roman"/>
          <w:sz w:val="20"/>
        </w:rPr>
        <w:t xml:space="preserve">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(l) so long as no Default or Event of Default shall have occurred and is continuing at the time of such Investment, or after giving effect thereto, Investments not to exceed $1,000,000 at any time outstanding in joint ventures and counterparties to collaboration and license agreements; and</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(m) so long as no Default or Event of Default shall have occurred and is continuing at the time of such Investment, or after giving effect thereto, other Investments in an amount not to exceed $1,000,000 in any fiscal year.</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9.06. Restricted Payments.</w:t>
      </w:r>
      <w:r>
        <w:rPr>
          <w:rFonts w:ascii="Times New Roman" w:hAnsi="Times New Roman"/>
          <w:sz w:val="20"/>
        </w:rPr>
        <w:t xml:space="preserve"> </w:t>
      </w:r>
      <w:r>
        <w:rPr>
          <w:rFonts w:ascii="Times New Roman;serif" w:hAnsi="Times New Roman;serif"/>
          <w:b w:val="false"/>
          <w:sz w:val="20"/>
        </w:rPr>
        <w:t>It will not, and will not permit any of its Subsidiaries to, declare or make, or agree to pay or make, directly or indirectly, any Restricted Payment, other than:</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(a) dividends, stock splits or distributions with respect to any Equity Interests of the Borrower or any of its Subsidiaries payable solely in additional units or shares of its Qualified Equity Interests;</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(b) any Restricted Payment by an Obligor or a Subsidiary of an Obligor to an Obligor;</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(c) any purchase, redemption, retirement, or other Acquisition by the Borrower or any of its Subsidiaries of shares of its capital stock or other Equity Interests with the proceeds received from a substantially concurrent issue of new shares of its capital stock or other Equity Interests;</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 xml:space="preserve">(d) Dividends paid by any Obligor to any other Obligor;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(e) cashless exercises of options and warrants;</w:t>
      </w:r>
    </w:p>
    <w:p>
      <w:pPr>
        <w:pStyle w:val="TextBody"/>
        <w:bidi w:val="0"/>
        <w:spacing w:before="280" w:after="0"/>
        <w:jc w:val="both"/>
        <w:rPr>
          <w:rFonts w:ascii="Times New Roman" w:hAnsi="Times New Roman"/>
          <w:sz w:val="20"/>
        </w:rPr>
      </w:pPr>
      <w:r>
        <w:rPr>
          <w:rFonts w:ascii="Times New Roman;serif" w:hAnsi="Times New Roman;serif"/>
          <w:b w:val="false"/>
          <w:sz w:val="20"/>
        </w:rPr>
        <w:t>(f) repurchases pursuant to the terms of employee stock purchase plans, employee restricted stock agreements, stockholder rights plans, director or consultant stock option plans, or similar plans in an aggregate amount not to exceed $100,000 in any fiscal year;</w:t>
      </w:r>
      <w:r>
        <w:rPr>
          <w:rFonts w:ascii="Times New Roman" w:hAnsi="Times New Roman"/>
          <w:sz w:val="20"/>
        </w:rPr>
        <w:t xml:space="preserve">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(g) the making of cash payments in lieu of the issuance of fractional shares upon the conversion of convertible securities (or in connection with the exercise of warrants or similar securities) not to exceed $25,000 in any fiscal year; and</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(h) the issuance of the Warrant Certificates and cash payments made to redeem, purchase, repurchase or retire the Warrant Obligations in accordance with the terms of the Warrant Certificates.</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9.07. Payments of Indebtedness and Milestone Payments.</w:t>
      </w:r>
      <w:r>
        <w:rPr>
          <w:rFonts w:ascii="Times New Roman" w:hAnsi="Times New Roman"/>
          <w:sz w:val="20"/>
        </w:rPr>
        <w:t xml:space="preserve"> </w:t>
      </w:r>
      <w:r>
        <w:rPr>
          <w:rFonts w:ascii="Times New Roman;serif" w:hAnsi="Times New Roman;serif"/>
          <w:b w:val="false"/>
          <w:sz w:val="20"/>
        </w:rPr>
        <w:t>(a) It will not, and will not permit any of its Subsidiaries to, make any payments in respect of any Material Indebtedness (other than the Milestone Payments) except (i) payments of the Obligations and (ii) so long as no Default has occurred and is continuing or would result therefrom, scheduled payments of Permitted Indebtedness and repayment of intercompany Indebtedness permitted in reliance upon Section 9.01(e) (subject in each case to any subordination agreement entered into in connection therewith).</w:t>
      </w:r>
    </w:p>
    <w:p>
      <w:pPr>
        <w:pStyle w:val="TextBody"/>
        <w:bidi w:val="0"/>
        <w:spacing w:before="280" w:after="0"/>
        <w:jc w:val="both"/>
        <w:rPr>
          <w:rFonts w:ascii="Times New Roman" w:hAnsi="Times New Roman"/>
          <w:sz w:val="20"/>
        </w:rPr>
      </w:pPr>
      <w:r>
        <w:rPr>
          <w:rFonts w:ascii="Times New Roman;serif" w:hAnsi="Times New Roman;serif"/>
          <w:b w:val="false"/>
          <w:sz w:val="20"/>
        </w:rPr>
        <w:t>(b) It will not, and will not permit any of its Subsidiaries to, make any Milestone Payments except (i) prior to December 31, 2023, so long as no Default has occurred and is continuing or would result therefrom, scheduled Milestone Payments and accrued interest payable with respect thereto and (ii) commencing January 1, 2024 and thereafter, so long as (A) no Default has occurred and is continuing or would result therefrom and (B) consented to by the Administrative Agent, scheduled Milestone Payments and accrued interest payable with respect thereto.</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9.08. Change in Fiscal Year.</w:t>
      </w:r>
      <w:r>
        <w:rPr>
          <w:rFonts w:ascii="Times New Roman" w:hAnsi="Times New Roman"/>
          <w:sz w:val="20"/>
        </w:rPr>
        <w:t xml:space="preserve"> </w:t>
      </w:r>
      <w:r>
        <w:rPr>
          <w:rFonts w:ascii="Times New Roman;serif" w:hAnsi="Times New Roman;serif"/>
          <w:b w:val="false"/>
          <w:sz w:val="20"/>
        </w:rPr>
        <w:t>It will not, and will not permit any of its Subsidiaries to, change the last day of its fiscal year from that in effect on the date hereof, without prior written notice to the Administrative Agent, except to change the fiscal year of a Subsidiary acquired in connection with a Permitted Acquisition to conform its fiscal year to that of the Borrower.</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9.09. Sales of Assets.</w:t>
      </w:r>
      <w:r>
        <w:rPr>
          <w:rFonts w:ascii="Times New Roman" w:hAnsi="Times New Roman"/>
          <w:sz w:val="20"/>
        </w:rPr>
        <w:t xml:space="preserve"> </w:t>
      </w:r>
      <w:r>
        <w:rPr>
          <w:rFonts w:ascii="Times New Roman;serif" w:hAnsi="Times New Roman;serif"/>
          <w:b w:val="false"/>
          <w:sz w:val="20"/>
        </w:rPr>
        <w:t>It will not, and will not permit any of its Subsidiaries to, sell, lease, exclusively license (in terms of geography or field of use) as a licensor, transfer (including in connection with any division or plan of division under Delaware law or any comparable event under a different jurisdiction’s laws) or</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otherwise dispose of any of its Property (including accounts receivable and Equity Interests of Subsidiaries), or forgive, release or compromise any amount owed to an Obligor or any of its Subsidiaries, in each case, in one transaction or series of transactions (any thereof, an </w:t>
      </w:r>
      <w:r>
        <w:rPr>
          <w:rFonts w:ascii="Times New Roman" w:hAnsi="Times New Roman"/>
          <w:sz w:val="20"/>
        </w:rPr>
        <w:t>“</w:t>
      </w:r>
      <w:r>
        <w:rPr>
          <w:rFonts w:ascii="Times New Roman;serif" w:hAnsi="Times New Roman;serif"/>
          <w:b w:val="false"/>
          <w:i/>
          <w:sz w:val="20"/>
        </w:rPr>
        <w:t>Asset Sale”</w:t>
      </w:r>
      <w:r>
        <w:rPr>
          <w:rFonts w:ascii="Times New Roman;serif" w:hAnsi="Times New Roman;serif"/>
          <w:b w:val="false"/>
          <w:sz w:val="20"/>
        </w:rPr>
        <w:t>), except:</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(a) transfers of cash or Permitted Cash Equivalent Investments in the Ordinary Course of Business in a manner not prohibited by the terms of this Agreement;</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(b) sales or leases of inventory, products or services in the Ordinary Course of Business;</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(c) the forgiveness, release or compromise of any amount owed to any Obligor in the Ordinary Course of Business;</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(d) entering into, or becoming bound, by a Permitted License to the extent not otherwise prohibited by this Agreement;</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(e) development and other collaborative arrangements where such arrangements provide for the license or disclosure of Patents, Trademarks, Copyrights or other Intellectual Property rights of any Obligor or any of its Subsidiaries in the Ordinary Course of Business and consistent with general market practices;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 such licenses must be true licenses that do not result in a legal transfer of title of the licensed Property or otherwise constitute sales transactions in substance;</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(f) a sale, lease, exclusive license, transfer or other disposition (including by way of abandonment, cancellation or trade-in) of any Property that is obsolete, worn out, surplus or no longer used or useful in connection with the business of the Obligors or with respect to which a newer and improved version is available, and with respect to Intellectual Property, the conveyance, sale, lease, license, abandonment, lapse or other disposition in the Ordinary Course of Business that is, in the reasonable good faith judgment of such Obligor, immaterial to the business of such Obligor, no longer economically practicable or commercially desirable to maintain or used or useful in the business of such Obligor, or the expiration of such Intellectual Property is in accordance with its statutory term (provided that such term is not renewable);</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(g) dispositions resulting from Casualty Events;</w:t>
      </w:r>
    </w:p>
    <w:p>
      <w:pPr>
        <w:pStyle w:val="TextBody"/>
        <w:bidi w:val="0"/>
        <w:spacing w:before="280" w:after="0"/>
        <w:jc w:val="both"/>
        <w:rPr>
          <w:rFonts w:ascii="Times New Roman" w:hAnsi="Times New Roman"/>
          <w:sz w:val="20"/>
        </w:rPr>
      </w:pPr>
      <w:r>
        <w:rPr>
          <w:rFonts w:ascii="Times New Roman;serif" w:hAnsi="Times New Roman;serif"/>
          <w:b w:val="false"/>
          <w:sz w:val="20"/>
        </w:rPr>
        <w:t>(h) any transaction permitted under Section 9.02, 9.03, 9.05, 9.06, 9.15 and 9.20;</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sz w:val="20"/>
        </w:rPr>
        <w:t>(i) so long as no Default or Event of Default shall have occurred and is continuing at the time of such Asset Sale, or after giving effect thereto, Asset Sales of other property not to exceed $1,000,000 in the aggregate per fiscal year;</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sz w:val="20"/>
        </w:rPr>
        <w:t>(j) transfers to customers of Equipment located at a customer’s site for research and collaboration;</w:t>
      </w:r>
      <w:r>
        <w:rPr>
          <w:rFonts w:ascii="Times New Roman" w:hAnsi="Times New Roman"/>
          <w:sz w:val="20"/>
        </w:rPr>
        <w:t xml:space="preserve">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(k) the sale or issuance of any Equity Interests of the Borrower permitted under this Agreement;</w:t>
      </w:r>
    </w:p>
    <w:p>
      <w:pPr>
        <w:pStyle w:val="TextBody"/>
        <w:bidi w:val="0"/>
        <w:spacing w:before="280" w:after="0"/>
        <w:jc w:val="both"/>
        <w:rPr>
          <w:rFonts w:ascii="Times New Roman" w:hAnsi="Times New Roman"/>
          <w:sz w:val="20"/>
        </w:rPr>
      </w:pPr>
      <w:r>
        <w:rPr>
          <w:rFonts w:ascii="Times New Roman;serif" w:hAnsi="Times New Roman;serif"/>
          <w:b w:val="false"/>
          <w:sz w:val="20"/>
        </w:rPr>
        <w:t>(l) transfers of assets or property by any Obligor to any other Obligor;</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sz w:val="20"/>
        </w:rPr>
        <w:t>(m) transfers of non-exclusive licenses or sublicenses of Intellectual Property or software (including the rights to royalty payments and the provision of software under an open source license) in the Ordinary Course of Business;</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z w:val="20"/>
        </w:rPr>
        <w:t>(n) abandonments, cancellations or lapses of Intellectual Property rights or issuances or registrations, or applications for issuances or registrations, of Intellectual Property rights in the Ordinary Course of Business, which, in the good faith determination of Borrower, are not material to the conduct of the business of Borrower or its Subsidiaries;</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sz w:val="20"/>
        </w:rPr>
        <w:t>(o) the leasing or subleasing of real property in the Ordinary Course of Business;</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sz w:val="20"/>
        </w:rPr>
        <w:t>(p) transfers and/or terminations of, or constituting, leases, subleases, licenses, sublicenses or cross-licenses (including the provision of software under any open source license and any related transfer of improvements made to leased real property resulting therefrom), the transfers or terminations of which (i) do not materially interfere with the business of the Borrower and its Subsidiaries or (ii) relate to closed facilities or the discontinuation of any product line, and in each case are made in the Ordinary Course of Business;</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sz w:val="20"/>
        </w:rPr>
        <w:t>(q) any surrender or waiver of contractual rights or the settlement, release or surrender of contractual rights or litigation claims (including in tort) in the Ordinary Course of Business;</w:t>
      </w:r>
      <w:r>
        <w:rPr>
          <w:rFonts w:ascii="Times New Roman" w:hAnsi="Times New Roman"/>
          <w:sz w:val="20"/>
        </w:rPr>
        <w:t xml:space="preserve">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(r) non-exclusive licenses for the use of the Borrower’s or any Subsidiary’s Intellectual Property entered into in the Ordinary Course of Business;</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(s) exclusive licenses for the use of non-material and non-core Intellectual Property owned or co-owned by the Borrower or any Subsidiary, which in the good faith business judgment of the Borrower is expected to remain non-material and non-core to the Borrower in perpetuity, entered into in the Ordinary Course of Business;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 (i) the Borrower must deliver ten (10) days’ prior written notice and a brief summary of the terms of the proposed license to the Administrative Agent and deliver to the Administrative Agent copies of the final executed licensing documents in connection with the exclusive license promptly upon consummation thereof, and (ii) any such license could not result in a legal transfer of title of the licensed property but may be exclusive in respects other than territory and may be exclusive as to territory only as to discrete geographical areas outside of the United States; and</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(t) transfers or sales of licenses or Intellectual Property and other related assets or rights to a third party, or solely to the extent formed in connection with such transaction, a wholly owned Subsidiary of the Borrower, so long as such Subsidiary is thereafter sold, merged with or acquired by such third party within thirty (30) days of formation; </w:t>
      </w:r>
      <w:r>
        <w:rPr>
          <w:rFonts w:ascii="Times New Roman;serif" w:hAnsi="Times New Roman;serif"/>
          <w:b w:val="false"/>
          <w:i/>
          <w:sz w:val="20"/>
        </w:rPr>
        <w:t>provided</w:t>
      </w:r>
      <w:r>
        <w:rPr>
          <w:rFonts w:ascii="Times New Roman;serif" w:hAnsi="Times New Roman;serif"/>
          <w:b w:val="false"/>
          <w:sz w:val="20"/>
        </w:rPr>
        <w:t>, (i) the aggregate amount of all such transfers, sales or licenses during the term of this Agreement shall not to exceed $2,500,000 (or such greater amount that may be consented to by the Administrative Agent) and (ii) any royalty payments or other such payments owing to the Borrower pursuant to such sale shall be Collateral in which the Administrative Agent for the benefit of the Lenders has been granted a security interest under the Security Documents.</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9.10. Transactions with Affiliates.</w:t>
      </w:r>
      <w:r>
        <w:rPr>
          <w:rFonts w:ascii="Times New Roman" w:hAnsi="Times New Roman"/>
          <w:sz w:val="20"/>
        </w:rPr>
        <w:t xml:space="preserve"> </w:t>
      </w:r>
      <w:r>
        <w:rPr>
          <w:rFonts w:ascii="Times New Roman;serif" w:hAnsi="Times New Roman;serif"/>
          <w:b w:val="false"/>
          <w:sz w:val="20"/>
        </w:rPr>
        <w:t>It will not, and will not permit any of its Subsidiaries to, sell, lease, license or otherwise transfer any assets to, or purchase, lease, license or otherwise acquire any assets from, or otherwise engage in any other transactions with, any of its Affiliates, except:</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(a) transactions between or among the Obligors;</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(b) any transaction permitted under Section 9.01, 9.03, 9.05, 9.06 or 9.09;</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(c) customary compensation and indemnification of, and other employment arrangements with, directors, officers and employees of any Obligor in the Ordinary Course of Business;</w:t>
      </w:r>
    </w:p>
    <w:p>
      <w:pPr>
        <w:pStyle w:val="TextBody"/>
        <w:bidi w:val="0"/>
        <w:spacing w:before="280" w:after="0"/>
        <w:jc w:val="both"/>
        <w:rPr>
          <w:rFonts w:ascii="Times New Roman" w:hAnsi="Times New Roman"/>
          <w:sz w:val="20"/>
        </w:rPr>
      </w:pPr>
      <w:r>
        <w:rPr>
          <w:rFonts w:ascii="Times New Roman;serif" w:hAnsi="Times New Roman;serif"/>
          <w:b w:val="false"/>
          <w:sz w:val="20"/>
        </w:rPr>
        <w:t>(d) any other transaction is (i) on fair, reasonable and arm’s-length terms that are no less favorable (including with respect to the amount of cash or other consideration receivable or payable in connection therewith) to such Obligor or any such Subsidiary than it could obtain in a transaction with a</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Person that is not an Affiliate of such Obligor or any such Subsidiary, as applicable, and (ii) of the kind which would be entered into by a prudent Person in the position of such Obligor or any such Subsidiary with another Person that is not an Affiliate of such Obligor or any such Subsidiary, as applicable;</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(e) transactions upon fair and reasonable terms that are no less favorable to any Obligor than would be obtained in a comparable arm’s</w:t>
        <w:noBreakHyphen/>
        <w:t>length transaction with a Person not an Affiliate; and</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(f) the transactions set forth on Schedule 9.10.</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9.11. Restrictive Agreements.</w:t>
      </w:r>
      <w:r>
        <w:rPr>
          <w:rFonts w:ascii="Times New Roman" w:hAnsi="Times New Roman"/>
          <w:sz w:val="20"/>
        </w:rPr>
        <w:t xml:space="preserve"> </w:t>
      </w:r>
      <w:r>
        <w:rPr>
          <w:rFonts w:ascii="Times New Roman;serif" w:hAnsi="Times New Roman;serif"/>
          <w:b w:val="false"/>
          <w:sz w:val="20"/>
        </w:rPr>
        <w:t xml:space="preserve">It will not, and will not permit any of its Subsidiaries to, directly or indirectly, enter into, incur or permit to exist any Restrictive Agreement other than (a) restrictions and conditions imposed by Law or by the Loan Documents, (b) Restrictive Agreements listed on Schedule 7.15, (c) any stockholder agreement, investor rights agreement, charter, bylaws or other Organizational Documents of an Obligor as in effect on the date hereof, (d) limitations associated with Permitted Liens or with any transaction permitted under Section 9.01, 9.03, 9.05, 9.06 or 9.09, (e) restrictions on cash (or Permitted Cash Equivalent Investments) or other deposits imposed by agreements entered into with customers in the Ordinary Course of Business (or other restrictions on cash or deposits constituting Permitted Liens), (f) customary provisions in leases and other agreements restricting the assignment thereof, (g) any restrictions and conditions imposed by any agreement relating to Indebtedness of any Subsidiary in existence at the time such Subsidiary became a Subsidiary (and any extension, renewal, amendment, modification or replacement thereof, expect to the extent any such amendment, modification or replacement materially expands the scope of any such restriction or condition), (h) in the case of any Subsidiary that is not a wholly-owned Subsidiary, restrictions and conditions imposed by its organizational documents or any related joint venture or similar agreements;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 xml:space="preserve">that such restrictions and conditions apply only to such Subsidiary and to the Equity Interests of such Subsidiary, (i) restrictions and conditions imposed by any agreement relating to secured Indebtedness permitted by Section 9.01(g) if such restrictions and conditions apply only to the assets securing such Indebtedness and (j) customary restrictions and conditions (and any extension, renewal, amendment, modification or replacement thereof, except to the extent any such amendment, modification or replacement expands the scope of any such restriction or condition) contained in agreements relating to the sale of a Subsidiary or any assets of the Borrower or any Subsidiary, in each case pending such sale;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 such restrictions and conditions apply only to such Subsidiary or the assets that are to be sole and, in each case, such sale is permitted hereunder.</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9.12. Organizational Documents, Material Agreements</w:t>
      </w:r>
      <w:r>
        <w:rPr>
          <w:rFonts w:ascii="Times New Roman;serif" w:hAnsi="Times New Roman;serif"/>
          <w:b w:val="false"/>
          <w:sz w:val="20"/>
        </w:rPr>
        <w:t>.</w:t>
      </w:r>
      <w:r>
        <w:rPr>
          <w:rFonts w:ascii="Times New Roman" w:hAnsi="Times New Roman"/>
          <w:sz w:val="20"/>
        </w:rPr>
        <w:t xml:space="preserve">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(a) It will not, and will not permit any of its Subsidiaries to, enter into any amendment to or modification of any Organizational Document that would be reasonably expected to adversely affect the Lenders in any material respect, without the prior written consent of the Administrative Agent.</w:t>
      </w:r>
    </w:p>
    <w:p>
      <w:pPr>
        <w:pStyle w:val="TextBody"/>
        <w:bidi w:val="0"/>
        <w:spacing w:before="280" w:after="0"/>
        <w:jc w:val="both"/>
        <w:rPr>
          <w:rFonts w:ascii="Times New Roman" w:hAnsi="Times New Roman"/>
          <w:sz w:val="20"/>
        </w:rPr>
      </w:pPr>
      <w:r>
        <w:rPr>
          <w:rFonts w:ascii="Times New Roman;serif" w:hAnsi="Times New Roman;serif"/>
          <w:b w:val="false"/>
          <w:sz w:val="20"/>
        </w:rPr>
        <w:t>(b) It will not, and will not permit any of its Subsidiaries to (i) enter into any material waiver, amendment or modification of any Material Agreement (including, but not limited to, any amendments to provisions relating to pricing and term) that would be reasonably expected to materially and adversely affect the Lenders in any material respect or (ii) take or omit to take any action that results in the termination of, or permits any other Person to terminate, any Material Agreement or Material Intellectual Property that would be reasonably expected to have a Material Adverse Effect, without, in each case, the prior written consent of the Administrative Agent. For the avoidance of doubt, with respect to the Indi Purchase Agreement, (A) increasing interest rates payable by the Obligors, (B) increasing or adding fees or charges payable by the Obligors and (C) changing (to earlier dates) any dates upon which payments by the Obligors are due shall be deemed to adversely affect the Lenders in a material respect.</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9.13. [Reserved]</w:t>
      </w:r>
      <w:r>
        <w:rPr>
          <w:rFonts w:ascii="Times New Roman;serif" w:hAnsi="Times New Roman;serif"/>
          <w:b w:val="false"/>
          <w:sz w:val="20"/>
        </w:rPr>
        <w:t>.</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9.14. Sales and Leasebacks.</w:t>
      </w:r>
      <w:r>
        <w:rPr>
          <w:rFonts w:ascii="Times New Roman" w:hAnsi="Times New Roman"/>
          <w:sz w:val="20"/>
        </w:rPr>
        <w:t xml:space="preserve"> </w:t>
      </w:r>
      <w:r>
        <w:rPr>
          <w:rFonts w:ascii="Times New Roman;serif" w:hAnsi="Times New Roman;serif"/>
          <w:b w:val="false"/>
          <w:sz w:val="20"/>
        </w:rPr>
        <w:t>Except as permitted by Section 9.01(g), it will not, and will not permit any of its Subsidiaries to, become liable, directly or indirectly, with respect to any lease, whether an operating lease or a Capital Lease Obligation, of any Property (whether real, personal, or mixed), whether now owned or hereafter acquired, which (a) any Obligor has sold or transferred or is to sell or transfer to any other Person and (b) any Obligor intends to use for substantially the same purposes as Property which has been or is to be sold or transferred.</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9.15. Hazardous Material.</w:t>
      </w:r>
      <w:r>
        <w:rPr>
          <w:rFonts w:ascii="Times New Roman" w:hAnsi="Times New Roman"/>
          <w:sz w:val="20"/>
        </w:rPr>
        <w:t xml:space="preserve"> </w:t>
      </w:r>
      <w:r>
        <w:rPr>
          <w:rFonts w:ascii="Times New Roman;serif" w:hAnsi="Times New Roman;serif"/>
          <w:b w:val="false"/>
          <w:sz w:val="20"/>
        </w:rPr>
        <w:t>It will not, and will not permit any of its Subsidiaries to, use, generate, manufacture, install, treat, release, store or dispose of any Hazardous Material, except in compliance with all applicable Environmental Laws or where the failure to comply would not reasonably be expected to result in a Material Adverse Change.</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9.16. Accounting Changes.</w:t>
      </w:r>
      <w:r>
        <w:rPr>
          <w:rFonts w:ascii="Times New Roman" w:hAnsi="Times New Roman"/>
          <w:sz w:val="20"/>
        </w:rPr>
        <w:t xml:space="preserve"> </w:t>
      </w:r>
      <w:r>
        <w:rPr>
          <w:rFonts w:ascii="Times New Roman;serif" w:hAnsi="Times New Roman;serif"/>
          <w:b w:val="false"/>
          <w:sz w:val="20"/>
        </w:rPr>
        <w:t>It will not, and will not permit any of its Subsidiaries to, make any significant change in accounting treatment, except as required or permitted by GAAP, without the consent of the Lenders, such consent not to be unreasonably withheld or delayed.</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9.17. Compliance with ERISA.</w:t>
      </w:r>
      <w:r>
        <w:rPr>
          <w:rFonts w:ascii="Times New Roman" w:hAnsi="Times New Roman"/>
          <w:sz w:val="20"/>
        </w:rPr>
        <w:t xml:space="preserve"> </w:t>
      </w:r>
      <w:r>
        <w:rPr>
          <w:rFonts w:ascii="Times New Roman;serif" w:hAnsi="Times New Roman;serif"/>
          <w:b w:val="false"/>
          <w:sz w:val="20"/>
        </w:rPr>
        <w:t>No Obligor or ERISA Affiliate shall cause or suffer to exist (a) any event that would result in the imposition of a Lien with respect to any Title IV Plan or Multiemployer Plan or (b) any other ERISA Event, in the case of (a) and (b), that would, in the aggregate, have a Material Adverse Effect.</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9.18. Deposit Accounts.</w:t>
      </w:r>
      <w:r>
        <w:rPr>
          <w:rFonts w:ascii="Times New Roman" w:hAnsi="Times New Roman"/>
          <w:sz w:val="20"/>
        </w:rPr>
        <w:t xml:space="preserve"> </w:t>
      </w:r>
      <w:r>
        <w:rPr>
          <w:rFonts w:ascii="Times New Roman;serif" w:hAnsi="Times New Roman;serif"/>
          <w:b w:val="false"/>
          <w:sz w:val="20"/>
        </w:rPr>
        <w:t>It will not, and will not permit any of its Subsidiaries to, establish or maintain any bank account that is not a Controlled Account (other than an Excluded Account) and will not, and will not permit any of its Subsidiaries to, deposit proceeds in a bank account that is not a Controlled Account.</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9.19. Outbound Licenses.</w:t>
      </w:r>
      <w:r>
        <w:rPr>
          <w:rFonts w:ascii="Times New Roman" w:hAnsi="Times New Roman"/>
          <w:sz w:val="20"/>
        </w:rPr>
        <w:t xml:space="preserve"> </w:t>
      </w:r>
      <w:r>
        <w:rPr>
          <w:rFonts w:ascii="Times New Roman;serif" w:hAnsi="Times New Roman;serif"/>
          <w:b w:val="false"/>
          <w:sz w:val="20"/>
        </w:rPr>
        <w:t>It will not, and will not permit any of its Subsidiaries to, enter into or become bound by any outbound license or agreement unless such outbound license or agreement is a Permitted License.</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9.20. Inbound Licenses.</w:t>
      </w:r>
      <w:r>
        <w:rPr>
          <w:rFonts w:ascii="Times New Roman" w:hAnsi="Times New Roman"/>
          <w:sz w:val="20"/>
        </w:rPr>
        <w:t xml:space="preserve"> </w:t>
      </w:r>
      <w:r>
        <w:rPr>
          <w:rFonts w:ascii="Times New Roman;serif" w:hAnsi="Times New Roman;serif"/>
          <w:b w:val="false"/>
          <w:sz w:val="20"/>
        </w:rPr>
        <w:t xml:space="preserve">It will not, and will not permit any of its Subsidiaries to, enter into or become bound by any inbound license or agreement (other than Permitted Licenses) unless (a) no Default has occurred and is continuing, (b) such Obligor has provided written notice to the Administrative Agent of the material terms of such license or agreement with a description of its anticipated and projected impact on such Obligor’s business or financial condition and (c) such Obligor has taken such commercially reasonable actions as the Administrative Agent may reasonably request to obtain the consent of, or waiver by, any Person whose consent or waiver is necessary for the Administrative Agent to be granted a valid and perfected security interest in such license or agreement and to allow the Administrative Agent to fully exercise its rights under any of the Loan Documents in the event of a disposition or liquidation of the rights, assets or property that is the subject of such license or agreement;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 the aggregate amounts to be paid under all such inbound licenses pursuant to this Section 9.20 shall not exceed an amount equal to $2,000,000 per fiscal year.</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center"/>
        <w:rPr>
          <w:rFonts w:ascii="Times New Roman;serif" w:hAnsi="Times New Roman;serif"/>
          <w:b/>
          <w:smallCaps/>
          <w:sz w:val="20"/>
        </w:rPr>
      </w:pPr>
      <w:r>
        <w:rPr>
          <w:rFonts w:ascii="Times New Roman;serif" w:hAnsi="Times New Roman;serif"/>
          <w:b/>
          <w:smallCaps/>
          <w:sz w:val="20"/>
        </w:rPr>
        <w:t>Article 10</w:t>
        <w:br/>
        <w:br/>
        <w:t>Events of Default</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10.01. Events of Default.</w:t>
      </w:r>
      <w:r>
        <w:rPr>
          <w:rFonts w:ascii="Times New Roman" w:hAnsi="Times New Roman"/>
          <w:sz w:val="20"/>
        </w:rPr>
        <w:t xml:space="preserve"> </w:t>
      </w:r>
      <w:r>
        <w:rPr>
          <w:rFonts w:ascii="Times New Roman;serif" w:hAnsi="Times New Roman;serif"/>
          <w:b w:val="false"/>
          <w:sz w:val="20"/>
        </w:rPr>
        <w:t xml:space="preserve">Each of the following events shall constitute an </w:t>
      </w:r>
      <w:r>
        <w:rPr>
          <w:rFonts w:ascii="Times New Roman" w:hAnsi="Times New Roman"/>
          <w:sz w:val="20"/>
        </w:rPr>
        <w:t>“</w:t>
      </w:r>
      <w:r>
        <w:rPr>
          <w:rFonts w:ascii="Times New Roman;serif" w:hAnsi="Times New Roman;serif"/>
          <w:b w:val="false"/>
          <w:i/>
          <w:sz w:val="20"/>
        </w:rPr>
        <w:t>Event of Default”</w:t>
      </w:r>
      <w:r>
        <w:rPr>
          <w:rFonts w:ascii="Times New Roman;serif" w:hAnsi="Times New Roman;serif"/>
          <w:b w:val="false"/>
          <w:sz w:val="20"/>
        </w:rPr>
        <w:t>:</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(a) the Borrower shall fail to pay any principal on the Term Loans when and as the same shall become due and payable at the due date thereof; or</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(b) any Obligor shall fail to pay any Obligation (other than an amount referred to in Section 10.01(a)) when and as the same shall become due and payable, and such failure shall continue unremedied for a period of three (3) Business Days; or</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(c) any representation or warranty made in writing by or on behalf of an Obligor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(i) prove to have been incorrect when made or deemed made to the extent that such representation or warranty contains any materiality or Material Adverse Effect qualifier; or (ii) prove to have been incorrect in any material respect when made or deemed made to the extent that such representation or warranty does not otherwise contain any materiality or Material Adverse Effect qualifier; or</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(d) any Obligor shall fail to observe or perform any covenant, condition or agreement contained in Sections 8.01(a)-(d), 8.02(a), 8.02(b), 8.03(a) (with respect to such Obligor’s existence), 8.10, 8.11, 8.15, 8.18 or Article 9; or</w:t>
      </w:r>
    </w:p>
    <w:p>
      <w:pPr>
        <w:pStyle w:val="TextBody"/>
        <w:bidi w:val="0"/>
        <w:spacing w:before="280" w:after="0"/>
        <w:jc w:val="both"/>
        <w:rPr>
          <w:rFonts w:ascii="Times New Roman" w:hAnsi="Times New Roman"/>
          <w:sz w:val="20"/>
        </w:rPr>
      </w:pPr>
      <w:r>
        <w:rPr>
          <w:rFonts w:ascii="Times New Roman;serif" w:hAnsi="Times New Roman;serif"/>
          <w:b w:val="false"/>
          <w:sz w:val="20"/>
        </w:rPr>
        <w:t>(e) any Obligor shall fail to observe or perform any covenant, condition or agreement contained in Section 8.01 (other than in clauses (a)-(d) and 8.02 (other than in clauses (a) and (b)), and in the case of any failure that is capable of cure, such failure shall continue unremedied for a period of five (5) or more days; or</w:t>
      </w:r>
      <w:r>
        <w:rPr>
          <w:rFonts w:ascii="Times New Roman" w:hAnsi="Times New Roman"/>
          <w:sz w:val="20"/>
        </w:rPr>
        <w:t xml:space="preserve">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(f) any Obligor shall fail to observe or perform any covenant, condition or agreement contained in this Agreement (other than those specified in Section 10.01(a), (b), (d) or (e)) or any other Loan Document, and, in the case of any failure that is capable of cure, such failure shall continue unremedied for a period of thirty (30) or more days, after actual knowledge by a Responsible Office or receipt of notice from the Administrative Agent; or</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(g) any Obligor shall fail to make any payment (whether of principal or interest and regardless of amount) in respect of any Material Indebtedness, when and as the same shall become due and payable after giving effect to any applicable grace or cure period as originally provided by the terms of such Indebtedness; or</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(h) (i) any material breach of, or “event of default” or similar event under, the Contract governing any Material Indebtedness shall occur and such breach or “event of default” or similar event shall continue unremedied, uncured or unwaived after a period of five (5) Business Days after the expiration of any cure period thereunder, or (ii) any event or condition occurs (A) that results in any Material Indebtedness becoming due prior to its scheduled maturity or (B) that enables or permits (with or without the giving of notice, the lapse of time or both) the holder or holders of such Material Indebtedness or any trustee or agent on its or their behalf to cause such Material Indebtedness to become due, or to require the prepayment, repurchase, redemption or defeasance thereof, prior to its scheduled maturity;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 this Section 10.01(h) shall not apply to secured Indebtedness that becomes due as a result of the voluntary sale or transfer of the Property securing such Material Indebtedness; or</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 any Obligor or any of its Subsidiaries:</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 ceases to be Solvent, or generally does not or becomes unable to pay its debts or meet its liabilities as the same become due, or admits in writing its inability to pay its debts generally, or declares any general moratorium on its Indebtedness, or proposes a compromise or arrangement or deed of company arrangement between it and any class of its creditors; or</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(ii) shall (A) voluntarily commence any proceeding or file any petition seeking liquidation, reorganization or other relief under any Federal, state or foreign bankruptcy, insolvency, receivership or similar law now or hereafter in effect, (B) consent to the institution of, or fail to contest in a timely and appropriate manner, any proceeding or petition described in Section 10.01(j), (C) apply for or consent to the appointment of a receiver, trustee, custodian, sequestrator, conservator or similar official for an Obligor or for a substantial part of its assets, (D) file an answer admitting the material allegations of a petition filed against it in any such proceeding, (E) make a general assignment for the benefit of creditors or (F) take any action for the purpose of effecting any of the foregoing; or</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(j) an involuntary proceeding shall be commenced or an involuntary petition shall be filed seeking (i) liquidation, reorganization or other relief in respect of an Obligor or any Subsidiary of an Obligor or its debts, or of a substantial part of its assets, under any Federal, state or foreign bankruptcy, insolvency, receivership or similar law now or hereafter in effect or (ii) the appointment of a receiver, trustee, custodian, sequestrator, conservator or similar official for an Obligor or any Subsidiary of an Obligor or for a substantial part of its assets, and, in any such case, such proceeding or petition shall continue undismissed for sixty (60) days or an order or decree approving or ordering any of the foregoing shall be entered; or</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(k) one or more judgments for the payment of money in an aggregate amount in excess of $500,000 (excluding any amounts covered by insurance as to which the applicable carrier has not denied coverage) shall be rendered against any Obligor or any combination thereof and the same shall remain undischarged for a period of forty-five (45) consecutive days during which execution shall not be effectively stayed, or any action shall be legally taken by a judgment creditor to attach or levy upon any assets of any Obligor to enforce any such judgment; or</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(l) an ERISA Event shall have occurred that, in the reasonable opinion of the Lenders, when taken together with all other ERISA Events that have occurred, would reasonably be expected to have a Material Adverse Effect; or</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(m) a Change of Control shall have occurred; or</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(n) [reserved]; or</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(o) a Material Adverse Change shall have occurred; or</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(p) (i) any Lien created by any of the Security Documents shall at any time not constitute a valid and perfected Lien in favor of the Administrative Agent on Collateral with an aggregate value in excess of $250,000, free and clear of all other Liens (other than Permitted Liens) except due to the action or inaction of the Administrative Agent or any Lender(s), (ii) except for expiration in accordance with its terms and except due to the action or inaction of the Administrative Agent or any Lender(s), any material provision of the Security Documents or any Guarantee of any of the Obligations shall for whatever reason cease to be in full force and effect, or (iii) any of the Security Documents or any Guarantee of any of the Obligations, or the enforceability thereof, shall be repudiated or contested by any Obligor; or</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(q) any injunction, whether temporary or permanent, shall be rendered against any Obligor that prevents the Obligors from selling or manufacturing any Product that has a Material Adverse Effect; or</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(r) (i) the FDA or any other Governmental Authority (A) issues a letter or other communication asserting that any Product lacks a required Product Authorization (other than the revocation of any emergency use authorization issued pursuant to Section 564 of the FD&amp;C Act), including in respect of CE marks or 510(k)s or (B) initiates enforcement action against, or issues a warning letter with respect to, any Obligor, or any of their Products or the manufacturing facilities therefor, that causes any Obligor thereof to discontinue marketing or withdraw any of its Products, or causes a delay in the manufacture of any of its Products, which discontinuance, withdrawal or delay would reasonably be expected to last for more than ninety (90) days, (ii) any material Permit (including all Product Authorizations or clinical laboratory Permits), or any of the Obligors’ material rights or interests thereunder, is terminated, adversely amended or otherwise determined to be ineffective in any manner materially adverse to any of the Obligors, in each case, for more than ninety (90) days, (iii) there is a recall of any Product in any territory in the case of (i) or (ii) that would reasonably be expected to result in a loss of revenue equal to at least $3,000,000 over the twelve (12) month period following such event or (iv) any Obligor is required to pay a fine, penalty, settlement amount or other payment to any Governmental Authority which individually or in the aggregate is in excess of $1,500,000 (except to the extent covered by insurance as to which the insurer does not dispute coverage) for any violation or alleged violation of any Healthcare Law.</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10.02. Remedies</w:t>
      </w:r>
      <w:r>
        <w:rPr>
          <w:rFonts w:ascii="Times New Roman;serif" w:hAnsi="Times New Roman;serif"/>
          <w:b w:val="false"/>
          <w:sz w:val="20"/>
        </w:rPr>
        <w:t>.</w:t>
      </w:r>
      <w:r>
        <w:rPr>
          <w:rFonts w:ascii="Times New Roman" w:hAnsi="Times New Roman"/>
          <w:sz w:val="20"/>
        </w:rPr>
        <w:t xml:space="preserve">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(a) Upon the occurrence of any Event of Default, then, and in every such event (other than an Event of Default described in Section 10.01(i) or (j)), and at any time thereafter during the continuance of such event, the Majority Lenders may, by notice to the Borrower, take either or both of the following actions, at the same or different times: (i) terminate the Commitments, and thereupon the Commitments shall terminate immediately, and (ii) declare the Term Loans then outstanding to be due and payable in whole (or in part, in which case any principal not so declared to be due and payable may thereafter be declared to be due and payable), and thereupon the principal of the Term Loans so declared to be due and payable, together with accrued interest thereon and all fees and other Obligations, shall become due and payable immediately (in the case of the Term Loans, at the Redemption Price therefor), without presentment, demand, protest or other notice of any kind, all of which are hereby waived by each Obligor.</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(b) Upon the occurrence of any Event of Default described in Section 10.01(i) or (j), the Commitments shall automatically terminate and the principal amount of the Term Loans then outstanding, together with accrued interest thereon and all fees and other Obligations, shall automatically become due and payable immediately (in the case of the Term Loan, at the Redemption Price therefor), without presentment, demand, protest or other notice of any kind, all of which are hereby waived by each Obligor.</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(c) If any Lender collects any money or property pursuant to this Article 10, they shall pay out the money or property in the order set forth in Section 4.01(b).</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10.03. Prepayment Premium and Redemption Price.</w:t>
      </w:r>
      <w:r>
        <w:rPr>
          <w:rFonts w:ascii="Times New Roman" w:hAnsi="Times New Roman"/>
          <w:sz w:val="20"/>
        </w:rPr>
        <w:t xml:space="preserve"> </w:t>
      </w:r>
      <w:r>
        <w:rPr>
          <w:rFonts w:ascii="Times New Roman;serif" w:hAnsi="Times New Roman;serif"/>
          <w:b w:val="false"/>
          <w:sz w:val="20"/>
        </w:rPr>
        <w:t>For the avoidance of doubt, if any Prepayment Premium (as a component of the Redemption Price) shall be due and payable at any time the Term Loans become due and payable prior to the Stated Maturity Date for any reason, whether due to acceleration pursuant to the terms of this Agreement (in which case it shall be due immediately, upon the giving of notice to Borrower in accordance with Section 10.02(a), or automatically, in accordance with Section 10.02(b)), by operation of law or otherwise (including, without limitation, on account of any bankruptcy filing). In view of the impracticability and extreme difficulty of ascertaining the actual amount of damages to the Lenders or profits lost by the Lenders as a result of such acceleration, and by mutual agreement of the parties as to a reasonable estimation and calculation of the lost profits or damages of the Lenders, any Prepayment Premium shall be due and payable upon such date. Each Obligor hereby waives any defense to payment, whether such defense may be based in public policy, ambiguity, or otherwise. The Obligors and the Lenders acknowledge and agree that any Prepayment Premium due and payable in accordance with this Agreement shall not constitute unmatured interest, whether under Section 502(b)(3) of the Bankruptcy Code or otherwise. Each</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Obligor further acknowledges and agrees, and waives any argument to the contrary, that payment of such amount does not constitute a penalty or an otherwise unenforceable or invalid obligation.</w:t>
      </w:r>
    </w:p>
    <w:p>
      <w:pPr>
        <w:pStyle w:val="TextBody"/>
        <w:bidi w:val="0"/>
        <w:spacing w:before="360" w:after="0"/>
        <w:jc w:val="center"/>
        <w:rPr>
          <w:rFonts w:ascii="Times New Roman;serif" w:hAnsi="Times New Roman;serif"/>
          <w:b/>
          <w:smallCaps/>
          <w:sz w:val="20"/>
        </w:rPr>
      </w:pPr>
      <w:r>
        <w:rPr>
          <w:rFonts w:ascii="Times New Roman;serif" w:hAnsi="Times New Roman;serif"/>
          <w:b/>
          <w:smallCaps/>
          <w:sz w:val="20"/>
        </w:rPr>
        <w:t>Article 11</w:t>
        <w:br/>
        <w:br/>
        <w:t>Guarantee</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11.01. The Guarantee.</w:t>
      </w:r>
      <w:r>
        <w:rPr>
          <w:rFonts w:ascii="Times New Roman" w:hAnsi="Times New Roman"/>
          <w:sz w:val="20"/>
        </w:rPr>
        <w:t xml:space="preserve"> </w:t>
      </w:r>
      <w:r>
        <w:rPr>
          <w:rFonts w:ascii="Times New Roman;serif" w:hAnsi="Times New Roman;serif"/>
          <w:b w:val="false"/>
          <w:sz w:val="20"/>
        </w:rPr>
        <w:t xml:space="preserve">The Guarantors hereby jointly and severally guarantee to the Administrative Agent and each Lender, and its successors and assigns, the prompt payment in full when due (whether at stated maturity, by acceleration or otherwise) of the principal of and interest on the Term Loans, all fees and other amounts and Obligations from time to time owing to the Administrative Agent and any Lender by the Borrower under this Agreement or under any other Loan Document and by any other Obligor under any of the Loan Documents, in each case strictly in accordance with the terms thereof (such obligations being herein collectively called the </w:t>
      </w:r>
      <w:r>
        <w:rPr>
          <w:rFonts w:ascii="Times New Roman" w:hAnsi="Times New Roman"/>
          <w:sz w:val="20"/>
        </w:rPr>
        <w:t>“</w:t>
      </w:r>
      <w:r>
        <w:rPr>
          <w:rFonts w:ascii="Times New Roman;serif" w:hAnsi="Times New Roman;serif"/>
          <w:b w:val="false"/>
          <w:i/>
          <w:sz w:val="20"/>
        </w:rPr>
        <w:t>Guaranteed Obligations”</w:t>
      </w:r>
      <w:r>
        <w:rPr>
          <w:rFonts w:ascii="Times New Roman;serif" w:hAnsi="Times New Roman;serif"/>
          <w:b w:val="false"/>
          <w:sz w:val="20"/>
        </w:rPr>
        <w:t>). The Guarantors hereby further jointly and severally agree that if the Borrower shall fail to pay in full when due (whether at stated maturity, by acceleration or otherwise) any of the Guaranteed Obligations, the Guarantors will promptly pay the same,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11.02. Obligations Unconditional.</w:t>
      </w:r>
      <w:r>
        <w:rPr>
          <w:rFonts w:ascii="Times New Roman" w:hAnsi="Times New Roman"/>
          <w:sz w:val="20"/>
        </w:rPr>
        <w:t xml:space="preserve"> </w:t>
      </w:r>
      <w:r>
        <w:rPr>
          <w:rFonts w:ascii="Times New Roman;serif" w:hAnsi="Times New Roman;serif"/>
          <w:b w:val="false"/>
          <w:sz w:val="20"/>
        </w:rPr>
        <w:t>The Obligations of the Guarantors under Section 11.01 are irrevocable, continuing, absolute and unconditional, joint and several, irrespective of the value, genuineness, validity, regularity or enforceability of the obligations of the Borrower under this Agreement or any other agreement or instrument referred to herein, or any substitution, release or exchange of any other guarantee of or security for any of the Guaranteed Obligations, and, to the fullest extent permitted by applicable Law, irrespective of any other circumstance whatsoever that might otherwise constitute a legal or equitable discharge or defense of a surety or Guarantor, it being the intent of this Section 11.02 that the Obligations of the Guarantors hereunder shall be absolute and unconditional, joint and several, under any and all circumstances. Without limiting the generality of the foregoing, other than the defense of the payment in full of the Obligations, it is agreed that the occurrence of any one or more of the following shall not alter or impair the liability of the Guarantors hereunder, which shall remain absolute and unconditional as described above:</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(a) at any time or from time to time, without notice to the Guarantors, the time for any performance of or compliance with any of the Guaranteed Obligations shall be extended, or such performance or compliance shall be waived;</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(b) any of the acts mentioned in any of the provisions of this Agreement or any other agreement or instrument referred to herein shall be done or omitted;</w:t>
      </w:r>
    </w:p>
    <w:p>
      <w:pPr>
        <w:pStyle w:val="TextBody"/>
        <w:bidi w:val="0"/>
        <w:spacing w:before="280" w:after="0"/>
        <w:jc w:val="both"/>
        <w:rPr>
          <w:rFonts w:ascii="Times New Roman" w:hAnsi="Times New Roman"/>
          <w:sz w:val="20"/>
        </w:rPr>
      </w:pPr>
      <w:r>
        <w:rPr>
          <w:rFonts w:ascii="Times New Roman;serif" w:hAnsi="Times New Roman;serif"/>
          <w:b w:val="false"/>
          <w:sz w:val="20"/>
        </w:rPr>
        <w:t>(c) the maturity of any of the Guaranteed Obligations shall be accelerated, or any of the Guaranteed Obligations shall be modified, supplemented or amended in any respect (including, without limitation, any modification, supplement, or amendment that results in any increase in the Guaranteed Obligations, any change in the interest or fees payable, any renewal, extension, amendment, rescission, waiver, release, discharge, indulgence, compromise, arrangement, or any other variation in connection with the Guaranteed Obligations, any Loan Document, or any other agreement), or any right under this Agreement or any other agreement or instrument referred to herein shall be waived or any other Guarantee of any of the Guaranteed Obligations or any security therefor shall be released or exchanged in whole or in part or otherwise dealt with;</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z w:val="20"/>
        </w:rPr>
        <w:t>(d) any Lien or security interest granted to, or in favor of, any Lender as security for any of the Guaranteed Obligations shall fail to be perfected or otherwise be taken, exchanged, substituted, varied, released, impaired, or subordinated;</w:t>
      </w:r>
      <w:r>
        <w:rPr>
          <w:rFonts w:ascii="Times New Roman" w:hAnsi="Times New Roman"/>
          <w:sz w:val="20"/>
        </w:rPr>
        <w:t xml:space="preserve">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(e) any Guarantee of the Guaranteed Obligations shall be taken, released, impaired, amended, waived or otherwise modified;</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(f) any of the Guaranteed Obligations, any Loan Document, or any related agreement, security, or instrument shall be illegal, invalid or unenforceable for any reason whatsoever;</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(g) any Collateral or other assets shall be sold or disposed, and/or the proceeds of such sale or disposition applied, to satisfy all or part of the Guaranteed Obligations;</w:t>
      </w:r>
    </w:p>
    <w:p>
      <w:pPr>
        <w:pStyle w:val="TextBody"/>
        <w:bidi w:val="0"/>
        <w:spacing w:before="280" w:after="0"/>
        <w:jc w:val="both"/>
        <w:rPr>
          <w:rFonts w:ascii="Times New Roman" w:hAnsi="Times New Roman"/>
          <w:sz w:val="20"/>
        </w:rPr>
      </w:pPr>
      <w:r>
        <w:rPr>
          <w:rFonts w:ascii="Times New Roman;serif" w:hAnsi="Times New Roman;serif"/>
          <w:b w:val="false"/>
          <w:sz w:val="20"/>
        </w:rPr>
        <w:t>(h) any of the security or Collateral held for the Guaranteed Obligations shall lose or diminish in value, whether such loss or diminution arises from any act or omission of the Administrative Agent or any Lender;</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sz w:val="20"/>
        </w:rPr>
        <w:t>(i) there shall be any Default, failure, or delay, willful or otherwise, in the payment and/or performance of the Guaranteed Obligations;</w:t>
      </w:r>
      <w:r>
        <w:rPr>
          <w:rFonts w:ascii="Times New Roman" w:hAnsi="Times New Roman"/>
          <w:sz w:val="20"/>
        </w:rPr>
        <w:t xml:space="preserve">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(j) there shall be any change, restructuring or termination of the corporate structure, ownership or existence of any Obligor or any of its Subsidiaries or any insolvency, bankruptcy, reorganization or other similar proceeding affecting any Obligor or its assets or any resulting restructuring, compromise, release or discharge of any Guaranteed Obligations;</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(k) there shall be any failure of any of the Administrative Agent or any Lender to disclose to any Obligor any information relating to the business, condition (financial or otherwise), operations, performance, properties or prospects of any other Obligor, or any other information now or hereafter known to the Administrative Agent or such Lender;</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(l) any person shall fail to execute or deliver this Agreement (including the Guarantee in this Article 11) or any other Guarantee or agreement or the release or reduction of liability of any Obligor or surety with respect to the Guaranteed Obligations;</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(m) any of the Administrative Agent or any Lender shall fail to assert any claim or demand or to exercise or enforce any right or remedy under the provisions of any Loan Document or otherwise;</w:t>
      </w:r>
    </w:p>
    <w:p>
      <w:pPr>
        <w:pStyle w:val="TextBody"/>
        <w:bidi w:val="0"/>
        <w:spacing w:before="280" w:after="0"/>
        <w:jc w:val="both"/>
        <w:rPr>
          <w:rFonts w:ascii="Times New Roman" w:hAnsi="Times New Roman"/>
          <w:sz w:val="20"/>
        </w:rPr>
      </w:pPr>
      <w:r>
        <w:rPr>
          <w:rFonts w:ascii="Times New Roman;serif" w:hAnsi="Times New Roman;serif"/>
          <w:b w:val="false"/>
          <w:sz w:val="20"/>
        </w:rPr>
        <w:t>(n) any Obligor shall assert any defense, set-off or counterclaim (other than a defense of payment or performance) that may at any time be available to, or be asserted by, such against any of the Administrative Agent or any Lender; or</w:t>
      </w:r>
      <w:r>
        <w:rPr>
          <w:rFonts w:ascii="Times New Roman" w:hAnsi="Times New Roman"/>
          <w:sz w:val="20"/>
        </w:rPr>
        <w:t xml:space="preserve">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(o) any other circumstance (including, without limitation, any statute of limitations) or manner of administering the Guaranteed Obligations shall exist or occur, or any of the Administrative Agent or any Lender shall rely on any representation, in each case, that might vary the risk of any Obligor or otherwise operate as a defense available to, or a legal or equitable discharge of, any Obligor or surety.</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The Guarantors hereby expressly waive diligence, presentment, demand of payment, protest and all notices whatsoever, and any requirement that the Administrative Agent or any Lender exhaust any right, power or remedy or proceed against the Borrower under this Agreement or any other agreement or instrument referred to herein, or against any other Person under any other Guarantee of, or security for, any of the Guaranteed Obligations.</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11.03. Reinstatement.</w:t>
      </w:r>
      <w:r>
        <w:rPr>
          <w:rFonts w:ascii="Times New Roman" w:hAnsi="Times New Roman"/>
          <w:sz w:val="20"/>
        </w:rPr>
        <w:t xml:space="preserve"> </w:t>
      </w:r>
      <w:r>
        <w:rPr>
          <w:rFonts w:ascii="Times New Roman;serif" w:hAnsi="Times New Roman;serif"/>
          <w:b w:val="false"/>
          <w:sz w:val="20"/>
        </w:rPr>
        <w:t>The obligations of the Guarantors under this Article 11 shall be automatically reinstated if and to the extent that for any reason any payment by or on behalf of the Borrower in respect of the Guaranteed Obligations is rescinded or must be otherwise restored by any holder of any of the Guaranteed Obligations, whether as a result of any proceedings in bankruptcy or reorganization or otherwise, and the Guarantors jointly and severally agree that they will indemnify the Administrative Agent and each Lender on demand for all reasonable costs and expenses (including reasonable and documented out-of-pocket fees of counsel) incurred by such Persons in connection with such rescission or restoration, including any such reasonable costs and expenses incurred in defending against any Claim alleging that such payment constituted a preference, fraudulent transfer or similar payment under any bankruptcy, insolvency or similar Law.</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11.04. Subrogation.</w:t>
      </w:r>
      <w:r>
        <w:rPr>
          <w:rFonts w:ascii="Times New Roman" w:hAnsi="Times New Roman"/>
          <w:sz w:val="20"/>
        </w:rPr>
        <w:t xml:space="preserve"> </w:t>
      </w:r>
      <w:r>
        <w:rPr>
          <w:rFonts w:ascii="Times New Roman;serif" w:hAnsi="Times New Roman;serif"/>
          <w:b w:val="false"/>
          <w:sz w:val="20"/>
        </w:rPr>
        <w:t>The Guarantors hereby jointly and severally agree that, until the payment and satisfaction in full of all Guaranteed Obligations (other than the Warrant Obligations and contingent and unmatured indemnity and expense reimbursement obligations) and the expiration and termination of the Commitments and the repayment, satisfaction or discharge of all Obligations under any Loan Document, they shall not exercise any right or remedy arising by reason of any performance by them of their Guarantee in Section 11.01, whether by subrogation or otherwise, against the Borrower or any other guarantor of any of the Guaranteed Obligations or any security for any of the Guaranteed Obligations.</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11.05. Remedies.</w:t>
      </w:r>
      <w:r>
        <w:rPr>
          <w:rFonts w:ascii="Times New Roman" w:hAnsi="Times New Roman"/>
          <w:sz w:val="20"/>
        </w:rPr>
        <w:t xml:space="preserve"> </w:t>
      </w:r>
      <w:r>
        <w:rPr>
          <w:rFonts w:ascii="Times New Roman;serif" w:hAnsi="Times New Roman;serif"/>
          <w:b w:val="false"/>
          <w:sz w:val="20"/>
        </w:rPr>
        <w:t>The Guarantors jointly and severally agree that, as between the Guarantors, on one hand, and the Lenders, on the other hand, the obligations of the Borrower under this Agreement and under the other Loan Documents may be declared to be forthwith due and payable as provided in Article 10 (and shall be deemed to have become automatically due and payable in the circumstances provided in Article 10) for purposes of Section 11.01 notwithstanding any stay, injunction or other prohibition preventing such declaration (or such obligations from becoming automatically due and payable) as against the Borrower and that, in the event of such declaration (or such obligations being deemed to have become automatically due and payable), such obligations (whether or not due and payable by the Borrower) shall forthwith become due and payable by the Guarantors for purposes of Section 11.01.</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11.06. Instrument for the Payment of Money.</w:t>
      </w:r>
      <w:r>
        <w:rPr>
          <w:rFonts w:ascii="Times New Roman" w:hAnsi="Times New Roman"/>
          <w:sz w:val="20"/>
        </w:rPr>
        <w:t xml:space="preserve"> </w:t>
      </w:r>
      <w:r>
        <w:rPr>
          <w:rFonts w:ascii="Times New Roman;serif" w:hAnsi="Times New Roman;serif"/>
          <w:b w:val="false"/>
          <w:sz w:val="20"/>
        </w:rPr>
        <w:t>Each Guarantor hereby acknowledges that the Guarantee in this Article 11 constitutes an instrument for the payment of money, and consents and agrees that each Lender, at its sole option, in the event of a dispute by such Guarantor in the payment of any moneys due hereunder, shall have the right to proceed by motion for summary judgment in lieu of complaint pursuant to N.Y. Civ. Prac. L&amp;R § 3213.</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11.07. Continuing Guarantee.</w:t>
      </w:r>
      <w:r>
        <w:rPr>
          <w:rFonts w:ascii="Times New Roman" w:hAnsi="Times New Roman"/>
          <w:sz w:val="20"/>
        </w:rPr>
        <w:t xml:space="preserve"> </w:t>
      </w:r>
      <w:r>
        <w:rPr>
          <w:rFonts w:ascii="Times New Roman;serif" w:hAnsi="Times New Roman;serif"/>
          <w:b w:val="false"/>
          <w:sz w:val="20"/>
        </w:rPr>
        <w:t>The Guarantee in this Article 11 is a continuing guarantee, and shall apply to all Guaranteed Obligations whenever arising. Without limiting the generality of the foregoing, the Guarantors hereby unconditionally and irrevocably waive any right to revoke this Guarantee in this Article 11 and acknowledge that the Guarantee in this Article 11 is continuing in nature, shall guarantee any ultimate balance owing to any of the Administrative Agent or any Lender, and applies to all presently existing and future Guaranteed Obligations, until the complete, irrevocable and indefeasible payment and satisfaction in full of the Guaranteed Obligations.</w:t>
      </w:r>
      <w:r>
        <w:rPr>
          <w:rFonts w:ascii="Times New Roman" w:hAnsi="Times New Roman"/>
          <w:sz w:val="20"/>
        </w:rPr>
        <w:t xml:space="preserve"> </w:t>
      </w:r>
      <w:r>
        <w:rPr>
          <w:rFonts w:ascii="Times New Roman;serif" w:hAnsi="Times New Roman;serif"/>
          <w:b w:val="false"/>
          <w:sz w:val="20"/>
        </w:rPr>
        <w:t>The Guarantee in this Article 11 shall continue to apply to all Guaranteed Obligations owing to the Administrative Agent and the Lenders by any entity resulting from any Obligor merging, amalgamating, or otherwise entering into any other business combination transaction with one or more other entities.</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11.08. Rights of Contribution.</w:t>
      </w:r>
      <w:r>
        <w:rPr>
          <w:rFonts w:ascii="Times New Roman" w:hAnsi="Times New Roman"/>
          <w:sz w:val="20"/>
        </w:rPr>
        <w:t xml:space="preserve"> </w:t>
      </w:r>
      <w:r>
        <w:rPr>
          <w:rFonts w:ascii="Times New Roman;serif" w:hAnsi="Times New Roman;serif"/>
          <w:b w:val="false"/>
          <w:sz w:val="20"/>
        </w:rPr>
        <w:t>The Guarantors hereby agree, as between themselves, that if any Guarantor shall become an Excess Funding Guarantor (as defined below) by reason of the payment by such Guarantor of any Guaranteed Obligations, each other Guarantor shall, on demand of such Excess Funding Guarantor (but subject</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to the next sentence), pay to such Excess Funding Guarantor an amount equal to such Guarantor’s Pro Rata Share (as defined below and determined, for this purpose, without reference to the properties, debts and liabilities of such Excess Funding Guarantor) of the Excess Payment (as defined below) in respect of such Guaranteed Obligations. The payment obligation of a Guarantor to any Excess Funding Guarantor under this Section 11.08 shall be subordinate and subject in right of payment to the prior payment in full of the obligations of such Guarantor under the other provisions of this Article 11 and such Excess Funding Guarantor shall not exercise any right or remedy with respect to such excess until payment and satisfaction in full of all of such obligations.</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For purposes of this Section 11.08, (a) </w:t>
      </w:r>
      <w:r>
        <w:rPr>
          <w:rFonts w:ascii="Times New Roman" w:hAnsi="Times New Roman"/>
          <w:sz w:val="20"/>
        </w:rPr>
        <w:t>“</w:t>
      </w:r>
      <w:r>
        <w:rPr>
          <w:rFonts w:ascii="Times New Roman;serif" w:hAnsi="Times New Roman;serif"/>
          <w:b w:val="false"/>
          <w:i/>
          <w:sz w:val="20"/>
        </w:rPr>
        <w:t>Excess Funding Guarantor”</w:t>
      </w:r>
      <w:r>
        <w:rPr>
          <w:rFonts w:ascii="Times New Roman" w:hAnsi="Times New Roman"/>
          <w:sz w:val="20"/>
        </w:rPr>
        <w:t xml:space="preserve"> </w:t>
      </w:r>
      <w:r>
        <w:rPr>
          <w:rFonts w:ascii="Times New Roman;serif" w:hAnsi="Times New Roman;serif"/>
          <w:b w:val="false"/>
          <w:sz w:val="20"/>
        </w:rPr>
        <w:t xml:space="preserve">means, in respect of any Guaranteed Obligations, a Guarantor that has paid an amount in excess of its Pro Rata Share of such Guaranteed Obligations, (b) </w:t>
      </w:r>
      <w:r>
        <w:rPr>
          <w:rFonts w:ascii="Times New Roman" w:hAnsi="Times New Roman"/>
          <w:sz w:val="20"/>
        </w:rPr>
        <w:t>“</w:t>
      </w:r>
      <w:r>
        <w:rPr>
          <w:rFonts w:ascii="Times New Roman;serif" w:hAnsi="Times New Roman;serif"/>
          <w:b w:val="false"/>
          <w:i/>
          <w:sz w:val="20"/>
        </w:rPr>
        <w:t>Excess Payment”</w:t>
      </w:r>
      <w:r>
        <w:rPr>
          <w:rFonts w:ascii="Times New Roman" w:hAnsi="Times New Roman"/>
          <w:sz w:val="20"/>
        </w:rPr>
        <w:t xml:space="preserve"> </w:t>
      </w:r>
      <w:r>
        <w:rPr>
          <w:rFonts w:ascii="Times New Roman;serif" w:hAnsi="Times New Roman;serif"/>
          <w:b w:val="false"/>
          <w:sz w:val="20"/>
        </w:rPr>
        <w:t xml:space="preserve">means, in respect of any Guaranteed Obligations, the amount paid by an Excess Funding Guarantor in excess of its Pro Rata Share of such Guaranteed Obligations and (c) </w:t>
      </w:r>
      <w:r>
        <w:rPr>
          <w:rFonts w:ascii="Times New Roman" w:hAnsi="Times New Roman"/>
          <w:sz w:val="20"/>
        </w:rPr>
        <w:t>“</w:t>
      </w:r>
      <w:r>
        <w:rPr>
          <w:rFonts w:ascii="Times New Roman;serif" w:hAnsi="Times New Roman;serif"/>
          <w:b w:val="false"/>
          <w:i/>
          <w:sz w:val="20"/>
        </w:rPr>
        <w:t>Pro Rata Share”</w:t>
      </w:r>
      <w:r>
        <w:rPr>
          <w:rFonts w:ascii="Times New Roman" w:hAnsi="Times New Roman"/>
          <w:sz w:val="20"/>
        </w:rPr>
        <w:t xml:space="preserve"> </w:t>
      </w:r>
      <w:r>
        <w:rPr>
          <w:rFonts w:ascii="Times New Roman;serif" w:hAnsi="Times New Roman;serif"/>
          <w:b w:val="false"/>
          <w:sz w:val="20"/>
        </w:rPr>
        <w:t>means, as of the date of determination, for any Guarantor, the ratio (expressed as a percentage) of (i) the amount by which the aggregate present fair saleable value of all properties of such Guarantor (excluding any shares of stock of any other Guarantor) exceeds the amount of all the debts and liabilities of such Guarantor (including contingent, subordinated, unmatured and unliquidated liabilities, but excluding the obligations of such Guarantor hereunder and any obligations of any other Guarantor that have been guaranteed by such Guarantor) to (ii) the amount by which the aggregate fair saleable value of all properties of all of the Guarantors exceeds the amount of all the debts and liabilities (including contingent, subordinated, unmatured and unliquidated liabilities, but excluding the obligations of the Borrower and the Guarantors hereunder and under the other Loan Documents) of all of the Guarantors, determined (A) with respect to any Guarantor that is a party hereto on the Closing Date, as of such date, and (B) with respect to any other Guarantor, as of the date such Guarantor becomes a Guarantor hereunder.</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11.09. General Limitation on Guarantee Obligations.</w:t>
      </w:r>
      <w:r>
        <w:rPr>
          <w:rFonts w:ascii="Times New Roman" w:hAnsi="Times New Roman"/>
          <w:sz w:val="20"/>
        </w:rPr>
        <w:t xml:space="preserve"> </w:t>
      </w:r>
      <w:r>
        <w:rPr>
          <w:rFonts w:ascii="Times New Roman;serif" w:hAnsi="Times New Roman;serif"/>
          <w:b w:val="false"/>
          <w:sz w:val="20"/>
        </w:rPr>
        <w:t>In any action or proceeding involving any provincial, territorial or state corporate Law, or any state, federal, provincial, territorial or foreign bankruptcy, insolvency, reorganization or other Law affecting the rights of creditors generally, if the obligations of any Guarantor under Section 11.01 would otherwise, taking into account the provisions of Section 11.08, be held or determined to be void, invalid or unenforceable, or subordinated to the Claims of any other creditors, on account of the amount of its liability under Section 11.01, then, notwithstanding any other provision hereof to the contrary, the amount of such liability shall, without any further action by such Guarantor, the Administrative Agent, the Lenders or any other Person, be automatically limited and reduced to the highest amount that is valid and enforceable and not subordinated to the Claims of other creditors as determined in such action or proceeding.</w:t>
      </w:r>
    </w:p>
    <w:p>
      <w:pPr>
        <w:pStyle w:val="TextBody"/>
        <w:bidi w:val="0"/>
        <w:spacing w:before="360" w:after="0"/>
        <w:jc w:val="center"/>
        <w:rPr>
          <w:rFonts w:ascii="Times New Roman;serif" w:hAnsi="Times New Roman;serif"/>
          <w:b/>
          <w:smallCaps/>
          <w:sz w:val="20"/>
        </w:rPr>
      </w:pPr>
      <w:r>
        <w:rPr>
          <w:rFonts w:ascii="Times New Roman;serif" w:hAnsi="Times New Roman;serif"/>
          <w:b/>
          <w:smallCaps/>
          <w:sz w:val="20"/>
        </w:rPr>
        <w:t>Article 12</w:t>
        <w:br/>
        <w:br/>
        <w:t>Administrative Agent</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12.01. Appointment</w:t>
      </w:r>
      <w:r>
        <w:rPr>
          <w:rFonts w:ascii="Times New Roman;serif" w:hAnsi="Times New Roman;serif"/>
          <w:b w:val="false"/>
          <w:sz w:val="20"/>
        </w:rPr>
        <w:t>. Each of the Lenders hereby irrevocably appoints Perceptive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12 (other than as set forth in Section 12.06) are solely for the benefit of the Administrative Agent and the Lenders, and neither the Borrower nor any other Obligor will have rights as a third</w:t>
        <w:noBreakHyphen/>
        <w:t>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z w:val="20"/>
        </w:rPr>
        <w:t>matter of market custom, and is intended to create or reflect only an administrative relationship between contracting parties.</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12.02. Rights as a Lender</w:t>
      </w:r>
      <w:r>
        <w:rPr>
          <w:rFonts w:ascii="Times New Roman;serif" w:hAnsi="Times New Roman;serif"/>
          <w:b w:val="false"/>
          <w:sz w:val="20"/>
        </w:rPr>
        <w:t>. The Person serving as the Administrative Agent hereunder will have the same rights and powers in its capacity as a Lender as any other Lender and may exercise the same as though it were not the Administrative Agent, and the term “Lender” or “Lenders” will, unless otherwise expressly indicated or unless the context otherwise requires, include the Person serving as the Administrative Agent hereunder in its individual capacity to the extent such Person is a Lender. The Lenders acknowledge and agree that such Person and its Affiliates may accept deposits from, lend money to, own securities of, act as the financial advisor or in any other advisory capacity for, and generally engage in any kind of business with, the Borrower, the other Obligors or any other Subsidiaries or Affiliates of the Obligors as if such Person were not the Administrative Agent hereunder and without any duty to account therefor to the Lenders.</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12.03. Exculpatory Provisions</w:t>
      </w:r>
      <w:r>
        <w:rPr>
          <w:rFonts w:ascii="Times New Roman;serif" w:hAnsi="Times New Roman;serif"/>
          <w:b w:val="false"/>
          <w:sz w:val="20"/>
        </w:rPr>
        <w:t>.</w:t>
      </w:r>
      <w:r>
        <w:rPr>
          <w:rFonts w:ascii="Times New Roman" w:hAnsi="Times New Roman"/>
          <w:sz w:val="20"/>
        </w:rPr>
        <w:t xml:space="preserve">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(a) The Administrative Agent will not have any duties or obligations except those expressly set forth herein and in the other Loan Documents, and its duties hereunder are administrative in nature. Without limiting the generality of the foregoing, the Administrative Agent:</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 will not be subject to any fiduciary or other implied duties, regardless of whether a Default has occurred and is continuing;</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(ii) will not have any duty to take any discretionary action or exercise any discretionary powers, except discretionary rights and powers expressly contemplated hereby or by the other Loan Documents that the Administrative Agent is required to exercise as directed in writing by the Majority Lenders (or such other number or percentage of the Lenders as will be expressly provided for herein or in the other Loan Documents);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 the Administrative Agent will not be required to take any action that, in its opinion or the opinion of its counsel, may expose the Administrative Agent to liability or that is contrary to any Loan Document or applicable Law, including any action that may be in violation of the automatic stay under any Insolvency Proceeding; and</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(iii) will not, except as expressly set forth herein and in the other Loan Documents, have any duty to disclose, and will not be liable for the failure to disclose, any information relating to the Obligors or any of its Subsidiaries or Affiliates that is communicated to or obtained by the Person serving as the Administrative Agent or any of its Affiliates in any capacity.</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(b) The Administrative Agent will not be liable for any action taken or not taken by it (i) with the consent or at the request of the Majority Lenders (or such other number or percentage of the Lenders as will be necessary, or as the Administrative Agent believes in good faith will be necessary, under the circumstances), or (ii) in the absence of its own gross negligence or willful misconduct as determined by a court of competent jurisdiction by final and non</w:t>
        <w:noBreakHyphen/>
        <w:t>appealable judgment. The Administrative Agent will be deemed not to have knowledge of any Default unless and until notice describing such Default is given to the Administrative Agent in writing by the Borrower or a Lender.</w:t>
      </w:r>
    </w:p>
    <w:p>
      <w:pPr>
        <w:pStyle w:val="TextBody"/>
        <w:bidi w:val="0"/>
        <w:spacing w:before="280" w:after="0"/>
        <w:jc w:val="both"/>
        <w:rPr>
          <w:rFonts w:ascii="Times New Roman" w:hAnsi="Times New Roman"/>
          <w:sz w:val="20"/>
        </w:rPr>
      </w:pPr>
      <w:r>
        <w:rPr>
          <w:rFonts w:ascii="Times New Roman;serif" w:hAnsi="Times New Roman;serif"/>
          <w:b w:val="false"/>
          <w:sz w:val="20"/>
        </w:rPr>
        <w:t>(c) The Administrative Agent will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in Article 6 or elsewhere herein, other than to confirm receipt of items expressly required to be delivered to the Administrative Agent.</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12.04. Reliance by Administrative Agent</w:t>
      </w:r>
      <w:r>
        <w:rPr>
          <w:rFonts w:ascii="Times New Roman;serif" w:hAnsi="Times New Roman;serif"/>
          <w:b w:val="false"/>
          <w:sz w:val="20"/>
        </w:rPr>
        <w:t>. The Administrative Agent will be entitled to rely upon, and will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will not incur any liability for relying thereon. In determining compliance with any condition hereunder to the making of the Term Loans that by its terms must be fulfilled to the satisfaction of a Lender, the Administrative Agent may presume that such condition is satisfactory to such Lender unless the Administrative Agent has received notice to the contrary from such Lender prior to the making of the Term Loans. The Administrative Agent may consult with legal counsel (who may be counsel for the Borrower), independent accountants and other experts selected by it, and will not be liable for any action taken or not taken by it in accordance with the advice of any such counsel, accountants or experts.</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12.05. Delegation of Duties</w:t>
      </w:r>
      <w:r>
        <w:rPr>
          <w:rFonts w:ascii="Times New Roman;serif" w:hAnsi="Times New Roman;serif"/>
          <w:b w:val="false"/>
          <w:sz w:val="20"/>
        </w:rPr>
        <w:t>. The Administrative Agent may perform any and all of its duties and exercise its rights and powers hereunder or under any other Loan Document by or through any one or more sub</w:t>
        <w:noBreakHyphen/>
        <w:t>agents appointed by the Administrative Agent. The Administrative Agent and any such sub</w:t>
        <w:noBreakHyphen/>
        <w:t>agent may perform any and all of its duties and exercise its rights and powers by or through their respective Affiliates. The exculpatory provisions of this Article 12 will apply to any such sub</w:t>
        <w:noBreakHyphen/>
        <w:t>agent and to the Affiliates of the Administrative Agent and any such sub</w:t>
        <w:noBreakHyphen/>
        <w:t>agent, and will apply to their respective activities in connection with the syndication of the facility as well as activities as Administrative Agent. The Administrative Agent will not be responsible for the negligence or misconduct of any sub</w:t>
        <w:noBreakHyphen/>
        <w:t>agents except to the extent that a court of competent jurisdiction determines in a final and non</w:t>
        <w:noBreakHyphen/>
        <w:t>appealable judgment that the Administrative Agent acted with gross negligence or willful misconduct in the selection of such sub</w:t>
        <w:noBreakHyphen/>
        <w:t>agents.</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12.06. Resignation of Agent</w:t>
      </w:r>
      <w:r>
        <w:rPr>
          <w:rFonts w:ascii="Times New Roman;serif" w:hAnsi="Times New Roman;serif"/>
          <w:b w:val="false"/>
          <w:sz w:val="20"/>
        </w:rPr>
        <w:t>.</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(a) The Administrative Agent may at any time give notice of its resignation to the Lenders and the Borrower, which notice shall set forth the effective date of such resignation (the </w:t>
      </w:r>
      <w:r>
        <w:rPr>
          <w:rFonts w:ascii="Times New Roman" w:hAnsi="Times New Roman"/>
          <w:sz w:val="20"/>
        </w:rPr>
        <w:t>“</w:t>
      </w:r>
      <w:r>
        <w:rPr>
          <w:rFonts w:ascii="Times New Roman;serif" w:hAnsi="Times New Roman;serif"/>
          <w:b w:val="false"/>
          <w:i/>
          <w:sz w:val="20"/>
        </w:rPr>
        <w:t>Resignation Effective Date”</w:t>
      </w:r>
      <w:r>
        <w:rPr>
          <w:rFonts w:ascii="Times New Roman;serif" w:hAnsi="Times New Roman;serif"/>
          <w:b w:val="false"/>
          <w:sz w:val="20"/>
        </w:rPr>
        <w:t>), such date not to be earlier than the thirtieth (30</w:t>
      </w:r>
      <w:r>
        <w:rPr>
          <w:rFonts w:ascii="Times New Roman;serif" w:hAnsi="Times New Roman;serif"/>
          <w:b w:val="false"/>
          <w:sz w:val="13"/>
        </w:rPr>
        <w:t>th</w:t>
      </w:r>
      <w:r>
        <w:rPr>
          <w:rFonts w:ascii="Times New Roman;serif" w:hAnsi="Times New Roman;serif"/>
          <w:b w:val="false"/>
          <w:sz w:val="20"/>
        </w:rPr>
        <w:t>) day following the date of such notice. The Majority Lenders and the Borrower shall mutually agree upon a successor to the Administrative Agent. If the Majority Lenders and the Borrower are unable to so mutually agree and no successor shall have been appointed within twenty</w:t>
        <w:noBreakHyphen/>
        <w:t>five (25) days after the retiring Administrative Agent gives notice of its resignation, then the retiring Administrative Agent may (but will not be obligated to), on behalf of the Lenders, appoint a successor Administrative Agent it shall designate (in its reasonable discretion after consultation with the Borrower and the Majority Lenders). Whether or not a successor has been appointed, such resignation will become effective in accordance with such notice on the Resignation Effective Date.</w:t>
      </w:r>
    </w:p>
    <w:p>
      <w:pPr>
        <w:pStyle w:val="TextBody"/>
        <w:bidi w:val="0"/>
        <w:spacing w:before="280" w:after="0"/>
        <w:jc w:val="both"/>
        <w:rPr>
          <w:rFonts w:ascii="Times New Roman" w:hAnsi="Times New Roman"/>
          <w:sz w:val="20"/>
        </w:rPr>
      </w:pPr>
      <w:r>
        <w:rPr>
          <w:rFonts w:ascii="Times New Roman;serif" w:hAnsi="Times New Roman;serif"/>
          <w:b w:val="false"/>
          <w:sz w:val="20"/>
        </w:rPr>
        <w:t>(b) With effect from the Resignation Effective Date (i) the retiring Administrative Agent will be discharged from its duties and obligations hereunder and under the other Loan Documents (except that in the case of any Collateral held by the Administrative Agent on behalf of the Lenders under any of the Loan Documents, the retiring Administrative Agent will continue to hold such Collateral until such time as a successor Administrative Agent is appointed) and (ii) except for any indemnity payments owed to the retiring Administrative Agent, all payments, communications and determinations provided to be made by, to or through the Administrative Agent will instead be made by or to each Lender directly, until such time, if any, as the Majority Lenders appoint a successor Administrative Agent as provided for above. Upon the acceptance of a successor’s appointment as Administrative Agent hereunder, such successor will succeed to and become vested with all of the rights, powers, privileges and duties of the retiring Administrative Agent</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z w:val="20"/>
        </w:rPr>
        <w:t>(other than any rights to indemnity payments owed to the retiring Administrative Agent), and the retiring Administrative Agent will be discharged from all of its duties and obligations hereunder or under the other Loan Documents. The fees payable by the Borrower to a successor Administrative Agent will be the same as those payable to its predecessor unless otherwise agreed between the Borrower and such successor. After the retiring Administrative Agent’s resignation hereunder and under the other Loan Documents, the provisions of this Article 12 and Sections 13.03 and 13.06 will continue in effect for the benefit of such retiring Administrative Agent, its sub</w:t>
        <w:noBreakHyphen/>
        <w:t>agents and their respective Affiliates in respect of any actions taken or omitted to be taken by any of them while the retiring Administrative Agent was acting as Administrative Agent.</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12.07. Non</w:t>
        <w:noBreakHyphen/>
        <w:t>Reliance on Administrative Agent and Other Lenders</w:t>
      </w:r>
      <w:r>
        <w:rPr>
          <w:rFonts w:ascii="Times New Roman;serif" w:hAnsi="Times New Roman;serif"/>
          <w:b w:val="false"/>
          <w:sz w:val="20"/>
        </w:rPr>
        <w:t>. Each Lender acknowledges that it has, independently and without reliance upon the Administrative Agent or any other Lender or any of their Affiliates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Affiliates and based on such documents and information as it will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12.08. Administrative Agent May File Proofs of Claim</w:t>
      </w:r>
      <w:r>
        <w:rPr>
          <w:rFonts w:ascii="Times New Roman;serif" w:hAnsi="Times New Roman;serif"/>
          <w:b w:val="false"/>
          <w:sz w:val="20"/>
        </w:rPr>
        <w:t>. In case of the pendency of any Insolvency Proceeding or any other judicial proceeding relative to the Borrower, the Administrative Agent (irrespective of whether the principal of the Term Loans will then be due and payable as herein expressed or by declaration or otherwise and irrespective of whether the Administrative Agent has made any demand on the Borrower) will be entitled and empowered (but not obligated), by intervention in such proceeding or otherwise:</w:t>
      </w:r>
      <w:r>
        <w:rPr>
          <w:rFonts w:ascii="Times New Roman" w:hAnsi="Times New Roman"/>
          <w:sz w:val="20"/>
        </w:rPr>
        <w:t xml:space="preserve">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(a) to file and prove a Claim for the whole amount of the principal and interest owing and unpaid in respect of the Term Loans and all other Obligations that are owing and unpaid hereunder or under any other Loan Document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this Agreement or any other Loan Document) allowed in such judicial proceeding; and</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(b) to collect and receive any monies or other property payable or deliverable on any such Claims and to distribute the same.</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Any custodian, receiver, assignee, trustee, liquidator, sequestrator or other similar official in any such judicial proceeding is hereby authorized by each Lender to make any payments of the type described above in this Section 12.08 to the Administrative Agent and, in the event that the Administrative Agent consents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this Agreement or any other Loan Document.</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12.09. Collateral and Guaranty Matters; Appointment of Collateral Agent</w:t>
      </w:r>
      <w:r>
        <w:rPr>
          <w:rFonts w:ascii="Times New Roman;serif" w:hAnsi="Times New Roman;serif"/>
          <w:b w:val="false"/>
          <w:sz w:val="20"/>
        </w:rPr>
        <w:t>.</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sz w:val="20"/>
        </w:rPr>
        <w:t>(a) Without limiting the provisions of Section 12.08, the Lenders irrevocably agree as follows:</w:t>
      </w:r>
      <w:r>
        <w:rPr>
          <w:rFonts w:ascii="Times New Roman" w:hAnsi="Times New Roman"/>
          <w:sz w:val="20"/>
        </w:rPr>
        <w:t xml:space="preserve"> </w:t>
      </w:r>
    </w:p>
    <w:p>
      <w:pPr>
        <w:pStyle w:val="TextBody"/>
        <w:bidi w:val="0"/>
        <w:spacing w:before="280" w:after="0"/>
        <w:jc w:val="both"/>
        <w:rPr>
          <w:rFonts w:ascii="Times New Roman" w:hAnsi="Times New Roman"/>
          <w:sz w:val="20"/>
        </w:rPr>
      </w:pPr>
      <w:r>
        <w:rPr>
          <w:rFonts w:ascii="Times New Roman;serif" w:hAnsi="Times New Roman;serif"/>
          <w:b w:val="false"/>
          <w:sz w:val="20"/>
        </w:rPr>
        <w:t>(i) the Administrative Agent is authorized, at its option and in its discretion, to release any Lien on any property granted to or held by the Administrative Agent under any Loan</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Document (A) on the date when all Obligations have been satisfied in full in cash (other than Warrant Obligations and contingent obligations as to which no Claims have been asserted), (B) that is sold or otherwise disposed of or to be sold or otherwise disposed of as part of or in connection with any sale or other disposition permitted under the Loan Documents, or (C) subject to Sections 13.01 and 13.04, if approved, authorized or ratified in writing by the Majority Lenders; and</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(ii) the Administrative Agent is authorized, at its option and discretion, to release any Guarantor from its obligations hereunder if such Person ceases to be a Subsidiary as a result of a transaction permitted under the Loan Documents.</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Upon request by the Administrative Agent at any time, each Lender will confirm in writing the Administrative Agent’s authority to release or subordinate its interest in particular types or items of Collateral, or to release any Guarantor from its obligations under its guaranty pursuant to this Section 12.09.</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(b) The Administrative Agent will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Obligor in connection therewith, nor will the Administrative Agent be responsible or liable to the Lenders for any failure to monitor or maintain any portion of the Collateral.</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(c) Each Lender hereby appoints the Administrative Agent as its collateral agent under each of the Security Documents and agrees that, in so acting, the Administrative Agent will have all of the rights, protections, exculpations, indemnities and other benefits provided to the Administrative Agent under this Agreement, and hereby authorizes and directs the Administrative Agent, on behalf of such Lender and all Lenders, without the necessity of any notice to or further consent from any of the Lenders, from time to time to (i) take any action with respect to any Collateral or any Security Document which may be necessary to perfect and maintain perfected the Liens on the Collateral granted pursuant to any such Security Document or protect and preserve the Administrative Agent’s ability to enforce the Liens or realize upon the Collateral, (ii) act as collateral agent for each Lender for purposes of acquiring, holding, enforcing and perfecting all Liens created by the Loan Documents and all other purposes stated therein, (iii) enter into intercreditor or subordination agreements, as the case may be, in connection with Indebtedness permitted pursuant to Sections 9.01(e), (iv) enter into non</w:t>
        <w:noBreakHyphen/>
        <w:t>disturbance or similar agreements in connection with licensing agreements and arrangements permitted by this Agreement and the other Loan Documents and (v) otherwise to take or refrain from taking any and all action that the Administrative Agent shall deem necessary or advisable in fulfilling its role as collateral agent under any of the Security Documents.</w:t>
      </w:r>
    </w:p>
    <w:p>
      <w:pPr>
        <w:pStyle w:val="TextBody"/>
        <w:bidi w:val="0"/>
        <w:spacing w:before="360" w:after="0"/>
        <w:jc w:val="center"/>
        <w:rPr>
          <w:rFonts w:ascii="Times New Roman;serif" w:hAnsi="Times New Roman;serif"/>
          <w:b/>
          <w:smallCaps/>
          <w:sz w:val="20"/>
        </w:rPr>
      </w:pPr>
      <w:r>
        <w:rPr>
          <w:rFonts w:ascii="Times New Roman;serif" w:hAnsi="Times New Roman;serif"/>
          <w:b/>
          <w:smallCaps/>
          <w:sz w:val="20"/>
        </w:rPr>
        <w:t>Article 13</w:t>
        <w:br/>
        <w:br/>
        <w:t>Miscellaneous</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13.01. No Waiver.</w:t>
      </w:r>
      <w:r>
        <w:rPr>
          <w:rFonts w:ascii="Times New Roman" w:hAnsi="Times New Roman"/>
          <w:sz w:val="20"/>
        </w:rPr>
        <w:t xml:space="preserve"> </w:t>
      </w:r>
      <w:r>
        <w:rPr>
          <w:rFonts w:ascii="Times New Roman;serif" w:hAnsi="Times New Roman;serif"/>
          <w:b w:val="false"/>
          <w:sz w:val="20"/>
        </w:rPr>
        <w:t>No failure on the part of the Administrative Agent or the Lenders to exercise and no delay in exercising, and no course of dealing with respect to, any right, power or privilege under any Loan Document shall operate as a waiver thereof, nor shall any single or partial exercise of any right, power or privilege under any Loan Document preclude any other or further exercise thereof or the exercise of any other right, power or privilege. The remedies provided herein are cumulative and not exclusive of any remedies provided by Law.</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13.02. Notices.</w:t>
      </w:r>
      <w:r>
        <w:rPr>
          <w:rFonts w:ascii="Times New Roman" w:hAnsi="Times New Roman"/>
          <w:sz w:val="20"/>
        </w:rPr>
        <w:t xml:space="preserve"> </w:t>
      </w:r>
      <w:r>
        <w:rPr>
          <w:rFonts w:ascii="Times New Roman;serif" w:hAnsi="Times New Roman;serif"/>
          <w:b w:val="false"/>
          <w:sz w:val="20"/>
        </w:rPr>
        <w:t>All notices, requests, instructions, directions and other communications provided for herein (including any modifications of, or waivers, requests or consents under, the Loan Documents) shall be given or made in writing (including by telecopy or electronic mail) delivered, if to the Borrower, another Obligor, the Administrative Agent or the Lenders, to its address specified on Schedule 2 hereto or its Guarantee Assumption Agreement, as the case may be, or at such other address as shall be designated by such party in a written notice to the</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z w:val="20"/>
        </w:rPr>
        <w:t>other parties. Except as otherwise provided in this Agreement, all such communications shall be deemed to have been duly given upon receipt of a legible copy thereof, in each case given or addressed as aforesaid.</w:t>
      </w:r>
      <w:r>
        <w:rPr>
          <w:rFonts w:ascii="Times New Roman" w:hAnsi="Times New Roman"/>
          <w:sz w:val="20"/>
        </w:rPr>
        <w:t xml:space="preserve"> </w:t>
      </w:r>
    </w:p>
    <w:p>
      <w:pPr>
        <w:pStyle w:val="TextBody"/>
        <w:bidi w:val="0"/>
        <w:spacing w:before="280" w:after="0"/>
        <w:jc w:val="both"/>
        <w:rPr>
          <w:rFonts w:ascii="Times New Roman;serif" w:hAnsi="Times New Roman;serif"/>
          <w:b w:val="false"/>
          <w:i/>
          <w:sz w:val="20"/>
        </w:rPr>
      </w:pPr>
      <w:r>
        <w:rPr>
          <w:rFonts w:ascii="Times New Roman;serif" w:hAnsi="Times New Roman;serif"/>
          <w:b w:val="false"/>
          <w:i/>
          <w:sz w:val="20"/>
        </w:rPr>
        <w:t>Section 13.03. Expenses and Indemnification.</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i/>
          <w:sz w:val="20"/>
        </w:rPr>
        <w:t xml:space="preserve">Expenses. </w:t>
      </w:r>
      <w:r>
        <w:rPr>
          <w:rFonts w:ascii="Times New Roman;serif" w:hAnsi="Times New Roman;serif"/>
          <w:b w:val="false"/>
          <w:sz w:val="20"/>
        </w:rPr>
        <w:t>The Borrower agrees to pay or reimburse (i) the Administrative Agent and the Lenders for all of their reasonable and documented out of pocket costs and expenses (including the reasonable and documented fees and expenses of Chapman and Cutler LLP, counsel to the Administrative Agent) in connection with (A) the negotiation, preparation, execution and delivery of this Agreement and the other Loan Documents and the making of the Term Loans (exclusive of post</w:t>
        <w:noBreakHyphen/>
        <w:t xml:space="preserve">funding costs);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 so long as the Borrowing of the Tranche A Loan is made, such fees shall be credited against the Expense Deposit paid by the Borrower, (B) post</w:t>
        <w:noBreakHyphen/>
        <w:t>funding costs and (C) the negotiation or preparation of any amendment, modification, supplement or waiver of any of the terms of this Agreement or any of the other Loan Documents (whether or not consummated) and (ii) the Administrative Agent and the Lenders for all of their reasonable and documented out of pocket costs and expenses (including the reasonable and documented out of pocket fees and expenses of legal counsel) in connection with any enforcement or collection proceedings resulting from the occurrence and continuance of an Event of Default.</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i/>
          <w:sz w:val="20"/>
        </w:rPr>
        <w:t xml:space="preserve">Indemnification. </w:t>
      </w:r>
      <w:r>
        <w:rPr>
          <w:rFonts w:ascii="Times New Roman;serif" w:hAnsi="Times New Roman;serif"/>
          <w:b w:val="false"/>
          <w:sz w:val="20"/>
        </w:rPr>
        <w:t xml:space="preserve">Each Obligor hereby indemnifies the Administrative Agent, the Lenders, their respective Affiliates, and their respective directors, officers, employees, attorneys, agents and advisors (each, an </w:t>
      </w:r>
      <w:r>
        <w:rPr>
          <w:rFonts w:ascii="Times New Roman" w:hAnsi="Times New Roman"/>
          <w:sz w:val="20"/>
        </w:rPr>
        <w:t>“</w:t>
      </w:r>
      <w:r>
        <w:rPr>
          <w:rFonts w:ascii="Times New Roman;serif" w:hAnsi="Times New Roman;serif"/>
          <w:b w:val="false"/>
          <w:i/>
          <w:sz w:val="20"/>
        </w:rPr>
        <w:t>Indemnified Party”</w:t>
      </w:r>
      <w:r>
        <w:rPr>
          <w:rFonts w:ascii="Times New Roman;serif" w:hAnsi="Times New Roman;serif"/>
          <w:b w:val="false"/>
          <w:sz w:val="20"/>
        </w:rPr>
        <w:t>) from and against, and agrees to hold them harmless against, any and all Claims and Losses of any kind (including reasonable and documented out of pocket fees and disbursements of counsel), joint or several, that is incurred by or asserted or awarded against any Indemnified Party, in each case arising out of or in connection with or relating to any investigation, litigation or proceeding or the preparation of any defense with respect thereto arising out of or in connection with or relating to this Agreement or any of the other Loan Documents or the Transactions or any use made or proposed to be made with the proceeds of the Term Loans, whether or not such investigation, litigation or proceeding is brought by an Obligor, any of its shareholders or creditors, an Indemnified Party or any other Person, or an Indemnified Party is otherwise a party thereto, and whether or not any of the conditions precedent set forth in Article 6 are satisfied or the other Transactions contemplated by this Agreement are consummated, except to the extent such Claim or Loss (x) is found in a final, non</w:t>
        <w:noBreakHyphen/>
        <w:t>appealable judgment by a court of competent jurisdiction to have resulted from any Indemnified Party’s gross negligence, willful misconduct, (y) results from a Claim brought by an Obligor against an Indemnified Party for breach of such Indemnified Party’s obligations hereunder or under any other Loan Document, if such Obligor has obtained a final and non-appealable judgment in its favor on such Claim as determined by a court of competent jurisdiction or (z) results from a Claim not involving an act or omission of an Obligor and that is brought by an Indemnified Party against another Indemnified Party (other than against the Administrative Agent in its capacity as such). No Obligor shall assert any Claim against any Indemnified Party, on any theory of liability, for consequential, indirect, special or punitive damages arising out of or otherwise relating to this Agreement or any of the other Loan Documents or any of the Transactions or the actual or proposed use of the proceeds of the Term Loans. This Section 13.03(b) shall not apply to Taxes other than Taxes relating to a non</w:t>
        <w:noBreakHyphen/>
        <w:t>Tax Claim or Loss governed by this Section 13.03(b).</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13.04. Amendments.</w:t>
      </w:r>
      <w:r>
        <w:rPr>
          <w:rFonts w:ascii="Times New Roman" w:hAnsi="Times New Roman"/>
          <w:sz w:val="20"/>
        </w:rPr>
        <w:t xml:space="preserve"> </w:t>
      </w:r>
      <w:r>
        <w:rPr>
          <w:rFonts w:ascii="Times New Roman;serif" w:hAnsi="Times New Roman;serif"/>
          <w:b w:val="false"/>
          <w:sz w:val="20"/>
        </w:rPr>
        <w:t xml:space="preserve">Except as otherwise expressly provided in this Agreement, any provision of this Agreement or any other Loan Document (except for the Warrant Certificates, which may be amended, modified, waived or supplemented in accordance with the terms thereof) may be amended, modified, waived or supplemented only by an instrument in writing signed by the Borrower, the Administrative Agent and the Majority Lenders;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(a) no amendment, waiver or consent shall, unless in writing and signed by all of the Lenders and the Borrower, do any of the following at any time:</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(i) change the number of Lenders or the percentage of (A) the Commitments or (B) the aggregate unpaid principal amount of the Term Loans that, in each case, shall be required for the Lenders or any of them to take any action hereunder (including pursuant to any change to the definition of </w:t>
      </w:r>
      <w:r>
        <w:rPr>
          <w:rFonts w:ascii="Times New Roman" w:hAnsi="Times New Roman"/>
          <w:sz w:val="20"/>
        </w:rPr>
        <w:t>“</w:t>
      </w:r>
      <w:r>
        <w:rPr>
          <w:rFonts w:ascii="Times New Roman;serif" w:hAnsi="Times New Roman;serif"/>
          <w:b w:val="false"/>
          <w:i/>
          <w:sz w:val="20"/>
        </w:rPr>
        <w:t>Majority Lenders”</w:t>
      </w:r>
      <w:r>
        <w:rPr>
          <w:rFonts w:ascii="Times New Roman;serif" w:hAnsi="Times New Roman;serif"/>
          <w:b w:val="false"/>
          <w:sz w:val="20"/>
        </w:rPr>
        <w:t>);</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(ii) release one or more Guarantors (or otherwise limit such Guarantors’ liability with respect to the Obligations owing to the Lenders under the Guarantees) if such release or limitation is in respect of all or substantially all of the value represented by the Guarantees to the Lenders;</w:t>
      </w:r>
    </w:p>
    <w:p>
      <w:pPr>
        <w:pStyle w:val="TextBody"/>
        <w:bidi w:val="0"/>
        <w:spacing w:before="280" w:after="0"/>
        <w:jc w:val="both"/>
        <w:rPr>
          <w:rFonts w:ascii="Times New Roman" w:hAnsi="Times New Roman"/>
          <w:sz w:val="20"/>
        </w:rPr>
      </w:pPr>
      <w:r>
        <w:rPr>
          <w:rFonts w:ascii="Times New Roman;serif" w:hAnsi="Times New Roman;serif"/>
          <w:b w:val="false"/>
          <w:sz w:val="20"/>
        </w:rPr>
        <w:t>(iii) release, or subordinate the Lenders’ Liens in, all or substantially all of the Collateral in any transaction or series of related transactions (other than in connection with any sale of Collateral permitted herein);</w:t>
      </w:r>
      <w:r>
        <w:rPr>
          <w:rFonts w:ascii="Times New Roman" w:hAnsi="Times New Roman"/>
          <w:sz w:val="20"/>
        </w:rPr>
        <w:t xml:space="preserve">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(iv) amend any provision of this Section 13.04; or</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(v) amend the terms of the Fee Letter.</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(b) no amendment, waiver or consent shall, unless in writing and signed by the Borrower and each Lender specified below for such amendment, waiver or consent:</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 increase the Commitments of a Lender without the consent of such Lender;</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(ii) reduce the principal of, or stated rate of interest on, or any Prepayment Premium payable on, the Term Loans owed to a Lender or any fees or other amounts stated to be payable hereunder or under the other Loan Documents to such Lender without the consent of such Lender;</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(iii) postpone any date scheduled for any payment of principal of, or interest on, the Term Loans, any date scheduled for payment or for any date fixed for any payment of fees hereunder (excluding the due date of any mandatory prepayment of a Term Loan), in each case payable to a Lender without the consent of such Lender;</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(iv) change the order of application of prepayment of the Term Loans from the application thereof set forth in the applicable provisions of Section 4.01(b) in any manner that adversely affects the Lenders without the consent of holders of a majority of the Commitments or Term Loans outstanding or otherwise change any provision requiring the pro rata distributions hereunder among the Lenders without all Lenders’ consent; or</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(v) modify Section 2.02 without the consent of each Lender directly and adversely affected thereby.</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13.05. Successors and Assigns</w:t>
      </w:r>
      <w:r>
        <w:rPr>
          <w:rFonts w:ascii="Times New Roman;serif" w:hAnsi="Times New Roman;serif"/>
          <w:b w:val="false"/>
          <w:sz w:val="20"/>
        </w:rPr>
        <w:t>.</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i/>
          <w:sz w:val="20"/>
        </w:rPr>
        <w:t>General.</w:t>
      </w:r>
      <w:r>
        <w:rPr>
          <w:rFonts w:ascii="Times New Roman" w:hAnsi="Times New Roman"/>
          <w:sz w:val="20"/>
        </w:rPr>
        <w:t xml:space="preserve"> </w:t>
      </w:r>
      <w:r>
        <w:rPr>
          <w:rFonts w:ascii="Times New Roman;serif" w:hAnsi="Times New Roman;serif"/>
          <w:b w:val="false"/>
          <w:sz w:val="20"/>
        </w:rPr>
        <w:t>The provisions of this Agreement shall be binding upon and inure to the benefit of the parties hereto and their respective successors and assigns permitted hereby, except that (i) no Obligor may assign or otherwise transfer any of its rights or obligations hereunder without the prior written consent of the Administrative Agent and each Lender (and any attempted assignment or transfer by such Obligor without such consent shall be null and void) and (ii) no Lender may assign or otherwise transfer its rights or obligations hereunder except in accordance with this Section 13.05. Nothing in this Agreement, expressed or implied, shall be construed to confer upon any Person (other than the parties hereto, their respective successors and assigns permitted hereby, Participants (to the extent provided in paragraph (e) of this Section 13.05) and, to the extent expressly contemplated hereby, the Indemnified Parties of the Lenders) any legal or equitable right, remedy or Claim under or by reason of this Agreement.</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i/>
          <w:sz w:val="20"/>
        </w:rPr>
        <w:t>Amendments to Loan Documents.</w:t>
      </w:r>
      <w:r>
        <w:rPr>
          <w:rFonts w:ascii="Times New Roman" w:hAnsi="Times New Roman"/>
          <w:sz w:val="20"/>
        </w:rPr>
        <w:t xml:space="preserve"> </w:t>
      </w:r>
      <w:r>
        <w:rPr>
          <w:rFonts w:ascii="Times New Roman;serif" w:hAnsi="Times New Roman;serif"/>
          <w:b w:val="false"/>
          <w:sz w:val="20"/>
        </w:rPr>
        <w:t>Each of the Lenders and the Obligors agrees to enter into such amendments to the Loan Documents, and such additional Security Documents and other instruments and agreements, in each case in form and substance reasonably acceptable to the Lenders and the Obligors, as shall reasonably be necessary to implement and give effect to any assignment made by any Lender (or any direct or indirect assignee thereof) from time to time under this Section 13.05.</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i/>
          <w:sz w:val="20"/>
        </w:rPr>
        <w:t>Assignments by Lenders</w:t>
      </w:r>
      <w:r>
        <w:rPr>
          <w:rFonts w:ascii="Times New Roman;serif" w:hAnsi="Times New Roman;serif"/>
          <w:b w:val="false"/>
          <w:sz w:val="20"/>
        </w:rPr>
        <w:t>.</w:t>
      </w:r>
      <w:r>
        <w:rPr>
          <w:rFonts w:ascii="Times New Roman" w:hAnsi="Times New Roman"/>
          <w:sz w:val="20"/>
        </w:rPr>
        <w:t xml:space="preserve">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 Subject to the conditions set forth in paragraph (c)(ii) below, any Lender may assign to one or more Persons (other than an Ineligible Assignee) all or a portion of its rights and obligations under the Loan Documents (including all or a portion of its Commitment and the Term Loans at the time owing to it) with the prior written consent (such consent not to be unreasonably withheld) of the Administrative Agent, provided that no consent of the Administrative Agent shall be required for an assignment of any Commitment or of all or any portion of a Term Loan to a Lender, an Affiliate of a Lender or an Approved Fund.</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(ii) Assignments shall be subject to the following additional conditions:</w:t>
      </w:r>
    </w:p>
    <w:p>
      <w:pPr>
        <w:pStyle w:val="TextBody"/>
        <w:bidi w:val="0"/>
        <w:spacing w:before="320" w:after="0"/>
        <w:jc w:val="both"/>
        <w:rPr>
          <w:rFonts w:ascii="Times New Roman" w:hAnsi="Times New Roman"/>
          <w:sz w:val="20"/>
        </w:rPr>
      </w:pPr>
      <w:r>
        <w:rPr>
          <w:rFonts w:ascii="Times New Roman;serif" w:hAnsi="Times New Roman;serif"/>
          <w:b w:val="false"/>
          <w:sz w:val="20"/>
        </w:rPr>
        <w:t>(A) except in the case of an assignment to a Lender or an Affiliate of a Lender or an assignment of the entire remaining amount of the assigning Lender’s Commitment or Term Loans, the amount of the Commitment or Term Loans of the assigning Lender subject to each such assignment (determined as of the date the Assignment Agreement with respect to such assignment is delivered to the Administrative Agent) shall not be less than $500,000, unless the Administrative Agent otherwise consents;</w:t>
      </w:r>
      <w:r>
        <w:rPr>
          <w:rFonts w:ascii="Times New Roman" w:hAnsi="Times New Roman"/>
          <w:sz w:val="20"/>
        </w:rPr>
        <w:t xml:space="preserve"> </w:t>
      </w:r>
    </w:p>
    <w:p>
      <w:pPr>
        <w:pStyle w:val="TextBody"/>
        <w:bidi w:val="0"/>
        <w:spacing w:before="320" w:after="0"/>
        <w:jc w:val="both"/>
        <w:rPr>
          <w:rFonts w:ascii="Times New Roman;serif" w:hAnsi="Times New Roman;serif"/>
          <w:b w:val="false"/>
          <w:sz w:val="20"/>
        </w:rPr>
      </w:pPr>
      <w:r>
        <w:rPr>
          <w:rFonts w:ascii="Times New Roman;serif" w:hAnsi="Times New Roman;serif"/>
          <w:b w:val="false"/>
          <w:sz w:val="20"/>
        </w:rPr>
        <w:t>(B) each partial assignment shall be made as an assignment of a proportionate part of all the assigning Lender’s rights and obligations under this Agreement and the other Loan Documents; and</w:t>
      </w:r>
    </w:p>
    <w:p>
      <w:pPr>
        <w:pStyle w:val="TextBody"/>
        <w:bidi w:val="0"/>
        <w:spacing w:before="320" w:after="0"/>
        <w:jc w:val="both"/>
        <w:rPr>
          <w:rFonts w:ascii="Times New Roman" w:hAnsi="Times New Roman"/>
          <w:sz w:val="20"/>
        </w:rPr>
      </w:pPr>
      <w:r>
        <w:rPr>
          <w:rFonts w:ascii="Times New Roman;serif" w:hAnsi="Times New Roman;serif"/>
          <w:b w:val="false"/>
          <w:sz w:val="20"/>
        </w:rPr>
        <w:t xml:space="preserve">(C) the parties to each assignment shall execute and deliver to the Administrative Agent (with a copy to the Borrower,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 the failure to give such copy to the Borrower shall not affect the validity of such Assignment Agreement) an Assignment Agreement in form and substance reasonably satisfactory to the Administrative Agent.</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(iii) Subject to acceptance and recording thereof pursuant to paragraph (d) of this Section 13.05, from and after the effective date specified in each Assignment Agreement, the assignee thereunder shall be a party hereto and, to the extent of the interest assigned by such Assignment Agreement, have the rights and obligations of a Lender under the Loan Documents, and the assigning Lender thereunder shall, to the extent of the interest assigned by such Assignment Agreement, be released from its obligations under the Loan Documents (and, in the case of an Assignment Agreement covering all of the assigning Lender’s rights and obligations under the Loan Documents, such Lender shall cease to be a party hereto). Any assignment or transfer by a Lender of rights or obligations under the Loan Documents that does not comply with this Section 13.05 shall be treated for purposes of the Loan Documents as a sale by such Lender of a participation in such rights and obligations in accordance with paragraph (e) of this Section 13.05.</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(d) </w:t>
      </w:r>
      <w:r>
        <w:rPr>
          <w:rFonts w:ascii="Times New Roman;serif" w:hAnsi="Times New Roman;serif"/>
          <w:b w:val="false"/>
          <w:i/>
          <w:sz w:val="20"/>
        </w:rPr>
        <w:t>Register.</w:t>
      </w:r>
      <w:r>
        <w:rPr>
          <w:rFonts w:ascii="Times New Roman" w:hAnsi="Times New Roman"/>
          <w:sz w:val="20"/>
        </w:rPr>
        <w:t xml:space="preserve"> </w:t>
      </w:r>
      <w:r>
        <w:rPr>
          <w:rFonts w:ascii="Times New Roman;serif" w:hAnsi="Times New Roman;serif"/>
          <w:b w:val="false"/>
          <w:sz w:val="20"/>
        </w:rPr>
        <w:t>The Administrative Agent, acting for this purpose as a non</w:t>
        <w:noBreakHyphen/>
        <w:t>fiduciary agent of the Borrower, shall maintain at one of its offices a copy of each Assignment Agreement delivered to it and a register for the recordation of the names and addresses of the Lenders, and the Commitment of, and principal amount (and stated interest) of the Term Loans owing to, each Lender pursuant to the terms hereof from time to time (the “</w:t>
      </w:r>
      <w:r>
        <w:rPr>
          <w:rFonts w:ascii="Times New Roman;serif" w:hAnsi="Times New Roman;serif"/>
          <w:b w:val="false"/>
          <w:i/>
          <w:sz w:val="20"/>
        </w:rPr>
        <w:t>Register</w:t>
      </w:r>
      <w:r>
        <w:rPr>
          <w:rFonts w:ascii="Times New Roman" w:hAnsi="Times New Roman"/>
          <w:sz w:val="20"/>
        </w:rPr>
        <w:t>”</w:t>
      </w:r>
      <w:r>
        <w:rPr>
          <w:rFonts w:ascii="Times New Roman;serif" w:hAnsi="Times New Roman;serif"/>
          <w:b w:val="false"/>
          <w:sz w:val="20"/>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notwithstanding notice to the contrary. The Register shall be available for inspection by the Borrower and any Lender, at any reasonable time and from time to time upon reasonable prior notice. No assignment shall be effective for purposes of this Agreement unless (i) it has been recorded in the Register as provided in this paragraph and (ii) any written consent to such assignment required by paragraph (a) of this Section 13.05 has been obtained.</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(e) </w:t>
      </w:r>
      <w:r>
        <w:rPr>
          <w:rFonts w:ascii="Times New Roman;serif" w:hAnsi="Times New Roman;serif"/>
          <w:b w:val="false"/>
          <w:i/>
          <w:sz w:val="20"/>
        </w:rPr>
        <w:t>Participations.</w:t>
      </w:r>
      <w:r>
        <w:rPr>
          <w:rFonts w:ascii="Times New Roman" w:hAnsi="Times New Roman"/>
          <w:sz w:val="20"/>
        </w:rPr>
        <w:t xml:space="preserve"> </w:t>
      </w:r>
      <w:r>
        <w:rPr>
          <w:rFonts w:ascii="Times New Roman;serif" w:hAnsi="Times New Roman;serif"/>
          <w:b w:val="false"/>
          <w:sz w:val="20"/>
        </w:rPr>
        <w:t>Any Lender may at any time, without the consent of, or notice to, the Borrower, sell participations to any Person (a “</w:t>
      </w:r>
      <w:r>
        <w:rPr>
          <w:rFonts w:ascii="Times New Roman;serif" w:hAnsi="Times New Roman;serif"/>
          <w:b w:val="false"/>
          <w:i/>
          <w:sz w:val="20"/>
        </w:rPr>
        <w:t>Participant</w:t>
      </w:r>
      <w:r>
        <w:rPr>
          <w:rFonts w:ascii="Times New Roman" w:hAnsi="Times New Roman"/>
          <w:sz w:val="20"/>
        </w:rPr>
        <w:t>”</w:t>
      </w:r>
      <w:r>
        <w:rPr>
          <w:rFonts w:ascii="Times New Roman;serif" w:hAnsi="Times New Roman;serif"/>
          <w:b w:val="false"/>
          <w:sz w:val="20"/>
        </w:rPr>
        <w:t xml:space="preserve">), other than an Ineligible Assignee, in all or a portion of such Lender’s rights and obligations under the Loan Documents (including all or a portion of its Commitment and the Term Loans owing to it);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 (i) such Lender’s obligations under the Loan Documents shall remain unchanged, (ii) such Lender shall remain solely responsible to the other parties hereto for the performance of such obligations and (iii) the Borrower shall continue to deal solely and directly with such Lender in connection therewith.</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(f)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 xml:space="preserve">that such agreement or instrument may provide that such Lender will not, without the consent of the Participant, agree to any amendment, modification or waiver that would (i) increase or extend the term of such Lender’s Commitment, (ii) extend the date fixed for the payment of principal of or interest on the Term Loans or any portion of any fee hereunder payable to the Participant, (iii) reduce the amount of any such payment of principal, or (iv) reduce the rate at which interest is payable thereon to a level below the rate at which the Participant is entitled to receive such interest. The Borrower agrees that each Participant shall be entitled to the benefits of Section 5.03 (subject to the requirements and limitations therein, including the requirements under Section 5.03(f) (it being understood that the documentation required under Section 5.03(f) shall be delivered to the Borrower and the participating Lender)) to the same extent as if it were a Lender and had acquired its interest by assignment pursuant to Section 13.05(a),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 such Participant (A) agrees to be subject to the provisions of Section 5.03(h) as if it were an assignee under Section 13.05(a); and (B) shall not be entitled to receive any greater payment under Section 5.03, with respect to any participation, than its participating Lender would have been entitled to receive, unless the sale of the participation to such Participant is made with the Borrower’s prior written consent. To the extent permitted by Law, each Participant also shall be entitled to the benefits of Section 4.04(a) as though it were a Lender. Each Lender that sells a participation shall, acting solely for this purpose as a non</w:t>
        <w:noBreakHyphen/>
        <w:t xml:space="preserve">fiduciary agent of the Borrower, maintain a register on which it enters the name and address of each Participant and the principal amounts (and stated interest) of each Participant’s interest in the Term Loans or other obligations under the Loan Documents (the </w:t>
      </w:r>
      <w:r>
        <w:rPr>
          <w:rFonts w:ascii="Times New Roman" w:hAnsi="Times New Roman"/>
          <w:sz w:val="20"/>
        </w:rPr>
        <w:t>“</w:t>
      </w:r>
      <w:r>
        <w:rPr>
          <w:rFonts w:ascii="Times New Roman;serif" w:hAnsi="Times New Roman;serif"/>
          <w:b w:val="false"/>
          <w:i/>
          <w:sz w:val="20"/>
        </w:rPr>
        <w:t>Participant Register”</w:t>
      </w:r>
      <w:r>
        <w:rPr>
          <w:rFonts w:ascii="Times New Roman;serif" w:hAnsi="Times New Roman;serif"/>
          <w:b w:val="false"/>
          <w:sz w:val="20"/>
        </w:rPr>
        <w:t xml:space="preserve">);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w:t>
        <w:noBreakHyphen/>
        <w:t>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(g) </w:t>
      </w:r>
      <w:r>
        <w:rPr>
          <w:rFonts w:ascii="Times New Roman;serif" w:hAnsi="Times New Roman;serif"/>
          <w:b w:val="false"/>
          <w:i/>
          <w:sz w:val="20"/>
        </w:rPr>
        <w:t>Certain Pledges.</w:t>
      </w:r>
      <w:r>
        <w:rPr>
          <w:rFonts w:ascii="Times New Roman" w:hAnsi="Times New Roman"/>
          <w:sz w:val="20"/>
        </w:rPr>
        <w:t xml:space="preserve"> </w:t>
      </w:r>
      <w:r>
        <w:rPr>
          <w:rFonts w:ascii="Times New Roman;serif" w:hAnsi="Times New Roman;serif"/>
          <w:b w:val="false"/>
          <w:sz w:val="20"/>
        </w:rPr>
        <w:t xml:space="preserve">Subject to Section 13.05(d), the Lenders may at any time pledge or assign a security interest in all or any portion of its rights under this Agreement and any other Loan Document to secure obligations of the Lenders, including any pledge or assignment to secure obligations to a Federal Reserve Bank or another central bank; </w:t>
      </w:r>
      <w:r>
        <w:rPr>
          <w:rFonts w:ascii="Times New Roman;serif" w:hAnsi="Times New Roman;serif"/>
          <w:b w:val="false"/>
          <w:i/>
          <w:sz w:val="20"/>
        </w:rPr>
        <w:t>provided</w:t>
      </w:r>
      <w:r>
        <w:rPr>
          <w:rFonts w:ascii="Times New Roman" w:hAnsi="Times New Roman"/>
          <w:sz w:val="20"/>
        </w:rPr>
        <w:t xml:space="preserve"> </w:t>
      </w:r>
      <w:r>
        <w:rPr>
          <w:rFonts w:ascii="Times New Roman;serif" w:hAnsi="Times New Roman;serif"/>
          <w:b w:val="false"/>
          <w:sz w:val="20"/>
        </w:rPr>
        <w:t>that no such pledge or assignment shall release the Lenders from any of their obligations hereunder or substitute any such pledgee or assignee for the Lenders as a party hereto.</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13.06. Survival.</w:t>
      </w:r>
      <w:r>
        <w:rPr>
          <w:rFonts w:ascii="Times New Roman" w:hAnsi="Times New Roman"/>
          <w:sz w:val="20"/>
        </w:rPr>
        <w:t xml:space="preserve"> </w:t>
      </w:r>
      <w:r>
        <w:rPr>
          <w:rFonts w:ascii="Times New Roman;serif" w:hAnsi="Times New Roman;serif"/>
          <w:b w:val="false"/>
          <w:sz w:val="20"/>
        </w:rPr>
        <w:t>The obligations of the Borrower under Sections 5.01, 5.02, 5.03, 13.03, 13.05, 13.09, 13.10, 13.11, 13.12, 13.13, 13.14 and Article 11 (solely to the extent guaranteeing any of the obligations under the foregoing Sections) shall survive the repayment of the Obligations and the termination of the Commitments and,</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in the case of any Lender’s assignment of any interest in the Commitments or the Term Loans hereunder, shall survive, in the case of any event or circumstance that occurred prior to the effective date of such assignment, the making of such assignment, notwithstanding that such Lenders may cease to be a “Lender” hereunder. In addition, each representation and warranty made, or deemed to be made by a notice of the Term Loans, herein or pursuant hereto shall survive the making of such representation and warranty.</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13.07. Captions.</w:t>
      </w:r>
      <w:r>
        <w:rPr>
          <w:rFonts w:ascii="Times New Roman" w:hAnsi="Times New Roman"/>
          <w:sz w:val="20"/>
        </w:rPr>
        <w:t xml:space="preserve"> </w:t>
      </w:r>
      <w:r>
        <w:rPr>
          <w:rFonts w:ascii="Times New Roman;serif" w:hAnsi="Times New Roman;serif"/>
          <w:b w:val="false"/>
          <w:sz w:val="20"/>
        </w:rPr>
        <w:t>The table of contents and captions and section headings appearing herein are included solely for convenience of reference and are not intended to affect the interpretation of any provision of this Agreement.</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13.08. Counterparts.</w:t>
      </w:r>
      <w:r>
        <w:rPr>
          <w:rFonts w:ascii="Times New Roman" w:hAnsi="Times New Roman"/>
          <w:sz w:val="20"/>
        </w:rPr>
        <w:t xml:space="preserve"> </w:t>
      </w:r>
      <w:r>
        <w:rPr>
          <w:rFonts w:ascii="Times New Roman;serif" w:hAnsi="Times New Roman;serif"/>
          <w:b w:val="false"/>
          <w:sz w:val="20"/>
        </w:rPr>
        <w:t>This Agreement may be executed in any number of counterparts, all of which taken together shall constitute one and the same instrument and any of the parties hereto may execute this Agreement by signing any such counterpart. Delivery of an executed signature page of this Agreement by facsimile transmission, electronic transmission (in PDF format) or DocuSign shall be effective as delivery of a manually executed counterpart hereof. The words “execution,” “signed,” “signature,” and words of like import in any Assignment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13.09. GOVERNING LAW.</w:t>
      </w:r>
      <w:r>
        <w:rPr>
          <w:rFonts w:ascii="Times New Roman" w:hAnsi="Times New Roman"/>
          <w:sz w:val="20"/>
        </w:rPr>
        <w:t xml:space="preserve"> </w:t>
      </w:r>
      <w:r>
        <w:rPr>
          <w:rFonts w:ascii="Times New Roman;serif" w:hAnsi="Times New Roman;serif"/>
          <w:b w:val="false"/>
          <w:sz w:val="20"/>
        </w:rPr>
        <w:t>THIS AGREEMENT AND THE OTHER LOAN DOCUMENTS, THE RIGHTS AND OBLIGATIONS OF THE PARTIES HEREUNDER AND THEREUNDER, AND ALL CLAIMS, DISPUTES AND MATTERS ARISING HEREUNDER OR THEREUNDER OR RELATED HERETO OR THERETO, SHALL BE GOVERNED BY, AND CONSTRUED IN ACCORDANCE WITH, THE LAWS OF THE STATE OF NEW YORK APPLICABLE TO CONTRACTS EXECUTED IN AND TO BE PERFORMED ENTIRELY WITHIN THAT STATE, WITHOUT REFERENCE TO CONFLICTS OF LAWS PROVISIONS (OTHER THAN SECTION 5-1401 OF THE NEW YORK GENERAL OBLIGATIONS LAW).</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13.10. Jurisdiction, Service of Process and Venue</w:t>
      </w:r>
      <w:r>
        <w:rPr>
          <w:rFonts w:ascii="Times New Roman;serif" w:hAnsi="Times New Roman;serif"/>
          <w:b w:val="false"/>
          <w:sz w:val="20"/>
        </w:rPr>
        <w:t>.</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(a) </w:t>
      </w:r>
      <w:r>
        <w:rPr>
          <w:rFonts w:ascii="Times New Roman;serif" w:hAnsi="Times New Roman;serif"/>
          <w:b w:val="false"/>
          <w:i/>
          <w:caps/>
          <w:sz w:val="20"/>
        </w:rPr>
        <w:t>Submission to Jurisdiction.</w:t>
      </w:r>
      <w:r>
        <w:rPr>
          <w:rFonts w:ascii="Times New Roman" w:hAnsi="Times New Roman"/>
          <w:caps/>
          <w:sz w:val="20"/>
        </w:rPr>
        <w:t xml:space="preserve"> </w:t>
      </w:r>
      <w:r>
        <w:rPr>
          <w:rFonts w:ascii="Times New Roman;serif" w:hAnsi="Times New Roman;serif"/>
          <w:b w:val="false"/>
          <w:caps/>
          <w:sz w:val="20"/>
        </w:rPr>
        <w:t>Each Obligor agrees that any suit, action or proceeding with respect to this Agreement or any other Loan Document to which it is a party or any judgment entered by any court in respect thereof SHALL be brought in the Supreme Court of the State of New York sitting in New York County or in the United States District Court for the Southern District of New York and irrevocably submits to the exclusive jurisdiction of each such court for the purpose of any such suit, action, proceeding or judgment.</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(b) </w:t>
      </w:r>
      <w:r>
        <w:rPr>
          <w:rFonts w:ascii="Times New Roman;serif" w:hAnsi="Times New Roman;serif"/>
          <w:b w:val="false"/>
          <w:i/>
          <w:sz w:val="20"/>
        </w:rPr>
        <w:t>Alternative Process.</w:t>
      </w:r>
      <w:r>
        <w:rPr>
          <w:rFonts w:ascii="Times New Roman" w:hAnsi="Times New Roman"/>
          <w:sz w:val="20"/>
        </w:rPr>
        <w:t xml:space="preserve"> </w:t>
      </w:r>
      <w:r>
        <w:rPr>
          <w:rFonts w:ascii="Times New Roman;serif" w:hAnsi="Times New Roman;serif"/>
          <w:b w:val="false"/>
          <w:sz w:val="20"/>
        </w:rPr>
        <w:t>Nothing herein shall in any way be deemed to limit the ability of the Lenders to serve any such process or summonses in any other manner permitted by applicable Law.</w:t>
      </w:r>
    </w:p>
    <w:p>
      <w:pPr>
        <w:pStyle w:val="TextBody"/>
        <w:bidi w:val="0"/>
        <w:spacing w:before="280" w:after="0"/>
        <w:jc w:val="both"/>
        <w:rPr>
          <w:rFonts w:ascii="Times New Roman" w:hAnsi="Times New Roman"/>
          <w:sz w:val="20"/>
        </w:rPr>
      </w:pPr>
      <w:r>
        <w:rPr>
          <w:rFonts w:ascii="Times New Roman;serif" w:hAnsi="Times New Roman;serif"/>
          <w:b w:val="false"/>
          <w:sz w:val="20"/>
        </w:rPr>
        <w:t xml:space="preserve">(c) </w:t>
      </w:r>
      <w:r>
        <w:rPr>
          <w:rFonts w:ascii="Times New Roman;serif" w:hAnsi="Times New Roman;serif"/>
          <w:b w:val="false"/>
          <w:i/>
          <w:caps/>
          <w:sz w:val="20"/>
        </w:rPr>
        <w:t>Waiver of Venue.</w:t>
      </w:r>
      <w:r>
        <w:rPr>
          <w:rFonts w:ascii="Times New Roman" w:hAnsi="Times New Roman"/>
          <w:caps/>
          <w:sz w:val="20"/>
        </w:rPr>
        <w:t xml:space="preserve"> </w:t>
      </w:r>
      <w:r>
        <w:rPr>
          <w:rFonts w:ascii="Times New Roman;serif" w:hAnsi="Times New Roman;serif"/>
          <w:b w:val="false"/>
          <w:caps/>
          <w:sz w:val="20"/>
        </w:rPr>
        <w:t>Each Obligor irrevocably waives to the fullest extent permitted by law any objection that it may now or hereafter have to the laying of the venue of any suit, action or proceeding arising out of or relating to this Agreement or any other Loan Document and hereby further irrevocably waives to the fullest extent permitted by law any claim that any such suit, action or proceeding brought in any such court</w:t>
      </w:r>
      <w:r>
        <w:rPr>
          <w:rFonts w:ascii="Times New Roman" w:hAnsi="Times New Roman"/>
          <w:caps/>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caps/>
          <w:sz w:val="20"/>
        </w:rPr>
      </w:pPr>
      <w:r>
        <w:rPr>
          <w:rFonts w:ascii="Times New Roman;serif" w:hAnsi="Times New Roman;serif"/>
          <w:b w:val="false"/>
          <w:caps/>
          <w:sz w:val="20"/>
        </w:rPr>
        <w:t>has been brought in an inconvenient forum. A final judgment (in respect of which time for all appeals has elapsed) in any such suit, action or proceeding shall be conclusive and may be enforced in any court to the jurisdiction of which such Obligor is or may be subject, by suit upon judgment.</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13.11. WAIVER OF JURY TRIAL</w:t>
      </w:r>
      <w:r>
        <w:rPr>
          <w:rFonts w:ascii="Times New Roman;serif" w:hAnsi="Times New Roman;serif"/>
          <w:b w:val="false"/>
          <w:sz w:val="20"/>
        </w:rPr>
        <w:t>. EACH PARTY HERETO HEREBY IRREVOCABLY WAIVES, TO THE FULLEST EXTENT PERMITTED BY APPLICABLE LAW, ANY AND ALL RIGHT TO TRIAL BY JURY IN ANY SUIT, ACTION OR PROCEEDING ARISING OUT OF OR RELATING TO THIS AGREEMENT, THE OTHER LOAN DOCUMENTS OR THE TRANSACTIONS CONTEMPLATED HEREBY OR THEREBY.</w:t>
      </w:r>
    </w:p>
    <w:p>
      <w:pPr>
        <w:pStyle w:val="TextBody"/>
        <w:bidi w:val="0"/>
        <w:spacing w:before="280" w:after="0"/>
        <w:jc w:val="both"/>
        <w:rPr>
          <w:rFonts w:ascii="Times New Roman" w:hAnsi="Times New Roman"/>
          <w:sz w:val="20"/>
        </w:rPr>
      </w:pPr>
      <w:r>
        <w:rPr>
          <w:rFonts w:ascii="Times New Roman;serif" w:hAnsi="Times New Roman;serif"/>
          <w:b w:val="false"/>
          <w:i/>
          <w:sz w:val="20"/>
        </w:rPr>
        <w:t xml:space="preserve">Section 13.12. </w:t>
      </w:r>
      <w:r>
        <w:rPr>
          <w:rFonts w:ascii="Times New Roman;serif" w:hAnsi="Times New Roman;serif"/>
          <w:b w:val="false"/>
          <w:i/>
          <w:smallCaps/>
          <w:sz w:val="20"/>
        </w:rPr>
        <w:t>WAIVER OF IMMUNITY</w:t>
      </w:r>
      <w:r>
        <w:rPr>
          <w:rFonts w:ascii="Times New Roman;serif" w:hAnsi="Times New Roman;serif"/>
          <w:b w:val="false"/>
          <w:sz w:val="20"/>
        </w:rPr>
        <w:t>. TO THE EXTENT THAT ANY OBLIGOR MAY BE OR BECOME ENTITLED TO CLAIM FOR ITSELF OR ITS PROPERTY OR REVENUES ANY IMMUNITY ON THE GROUND OF SOVEREIGNTY OR THE LIKE FROM SUIT, COURT JURISDICTION, ATTACHMENT PRIOR TO JUDGMENT, ATTACHMENT IN AID OF EXECUTION OF A JUDGMENT OR EXECUTION OF A JUDGMENT, AND TO THE EXTENT THAT IN ANY SUCH JURISDICTION THERE MAY BE ATTRIBUTED SUCH AN IMMUNITY (WHETHER OR NOT CLAIMED), SUCH OBLIGOR HEREBY IRREVOCABLY AGREES NOT TO CLAIM AND HEREBY IRREVOCABLY WAIVES SUCH IMMUNITY WITH RESPECT TO ITS OBLIGATIONS UNDER THIS AGREEMENT AND THE OTHER LOAN DOCUMENTS.</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13.13. Entire Agreement.</w:t>
      </w:r>
      <w:r>
        <w:rPr>
          <w:rFonts w:ascii="Times New Roman" w:hAnsi="Times New Roman"/>
          <w:sz w:val="20"/>
        </w:rPr>
        <w:t xml:space="preserve"> </w:t>
      </w:r>
      <w:r>
        <w:rPr>
          <w:rFonts w:ascii="Times New Roman;serif" w:hAnsi="Times New Roman;serif"/>
          <w:b w:val="false"/>
          <w:sz w:val="20"/>
        </w:rPr>
        <w:t>This Agreement and the other Loan Documents constitute the entire agreement among the parties with respect to the subject matter hereof and thereof and supersede any and all previous agreements and understandings, oral or written, relating to the subject matter hereof. Each Obligor acknowledges, represents and warrants that in deciding to enter into this Agreement and the other Loan Documents or in taking or not taking any action hereunder or thereunder, it has not relied, and will not rely, on any statement, representation, warranty, covenant, agreement or understanding, whether written or oral, of or with the Lenders other than those expressly set forth in this Agreement and the other Loan Documents.</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13.14. Severability.</w:t>
      </w:r>
      <w:r>
        <w:rPr>
          <w:rFonts w:ascii="Times New Roman" w:hAnsi="Times New Roman"/>
          <w:sz w:val="20"/>
        </w:rPr>
        <w:t xml:space="preserve"> </w:t>
      </w:r>
      <w:r>
        <w:rPr>
          <w:rFonts w:ascii="Times New Roman;serif" w:hAnsi="Times New Roman;serif"/>
          <w:b w:val="false"/>
          <w:sz w:val="20"/>
        </w:rPr>
        <w:t>If any provision hereof is found by a court to be invalid or unenforceable, to the fullest extent permitted by applicable Law the parties agree that such invalidity or unenforceability shall not impair the validity or enforceability of any other provision hereof.</w:t>
      </w:r>
    </w:p>
    <w:p>
      <w:pPr>
        <w:pStyle w:val="TextBody"/>
        <w:bidi w:val="0"/>
        <w:spacing w:before="280" w:after="0"/>
        <w:jc w:val="both"/>
        <w:rPr>
          <w:rFonts w:ascii="Times New Roman" w:hAnsi="Times New Roman"/>
          <w:sz w:val="20"/>
        </w:rPr>
      </w:pPr>
      <w:r>
        <w:rPr>
          <w:rFonts w:ascii="Times New Roman;serif" w:hAnsi="Times New Roman;serif"/>
          <w:b w:val="false"/>
          <w:i/>
          <w:sz w:val="20"/>
        </w:rPr>
        <w:t xml:space="preserve">Section 13.15. No Fiduciary Relationship. </w:t>
      </w:r>
      <w:r>
        <w:rPr>
          <w:rFonts w:ascii="Times New Roman;serif" w:hAnsi="Times New Roman;serif"/>
          <w:b w:val="false"/>
          <w:sz w:val="20"/>
        </w:rPr>
        <w:t xml:space="preserve">The Administrative Agent, each Lender and their Affiliates (collectively, solely for purposes of this paragraph, the </w:t>
      </w:r>
      <w:r>
        <w:rPr>
          <w:rFonts w:ascii="Times New Roman" w:hAnsi="Times New Roman"/>
          <w:sz w:val="20"/>
        </w:rPr>
        <w:t>“</w:t>
      </w:r>
      <w:r>
        <w:rPr>
          <w:rFonts w:ascii="Times New Roman;serif" w:hAnsi="Times New Roman;serif"/>
          <w:b w:val="false"/>
          <w:i/>
          <w:sz w:val="20"/>
        </w:rPr>
        <w:t>Lenders”</w:t>
      </w:r>
      <w:r>
        <w:rPr>
          <w:rFonts w:ascii="Times New Roman;serif" w:hAnsi="Times New Roman;serif"/>
          <w:b w:val="false"/>
          <w:sz w:val="20"/>
        </w:rPr>
        <w:t xml:space="preserve">), may have economic interests that conflict with those of the Obligors, their stockholders or equity holders and/or their Affiliates (collectively, solely for purposes of this paragraph, the </w:t>
      </w:r>
      <w:r>
        <w:rPr>
          <w:rFonts w:ascii="Times New Roman" w:hAnsi="Times New Roman"/>
          <w:sz w:val="20"/>
        </w:rPr>
        <w:t>“</w:t>
      </w:r>
      <w:r>
        <w:rPr>
          <w:rFonts w:ascii="Times New Roman;serif" w:hAnsi="Times New Roman;serif"/>
          <w:b w:val="false"/>
          <w:i/>
          <w:sz w:val="20"/>
        </w:rPr>
        <w:t>Obligors”</w:t>
      </w:r>
      <w:r>
        <w:rPr>
          <w:rFonts w:ascii="Times New Roman;serif" w:hAnsi="Times New Roman;serif"/>
          <w:b w:val="false"/>
          <w:sz w:val="20"/>
        </w:rPr>
        <w:t>). The Obligors acknowledge that the Lenders have no fiduciary relationship with, or fiduciary duty to, any Obligor arising out of or in connection with this Agreement or the other Loan Documents, and the relationship between each Lender and each Obligor are solely that of creditors and debtors. This Agreement and the other Loan Documents do not create a joint venture among the parties.</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13.16. USA Patriot Act</w:t>
      </w:r>
      <w:r>
        <w:rPr>
          <w:rFonts w:ascii="Times New Roman;serif" w:hAnsi="Times New Roman;serif"/>
          <w:b w:val="false"/>
          <w:sz w:val="20"/>
        </w:rPr>
        <w:t>. The Administrative Agent and the Lenders hereby notify the Obligors that pursuant to the requirements of the Patriot Act and 31 C.F.R. § 1010.230 (the “</w:t>
      </w:r>
      <w:r>
        <w:rPr>
          <w:rFonts w:ascii="Times New Roman;serif" w:hAnsi="Times New Roman;serif"/>
          <w:b w:val="false"/>
          <w:i/>
          <w:sz w:val="20"/>
        </w:rPr>
        <w:t>Beneficial Ownership Regulation</w:t>
      </w:r>
      <w:r>
        <w:rPr>
          <w:rFonts w:ascii="Times New Roman" w:hAnsi="Times New Roman"/>
          <w:sz w:val="20"/>
        </w:rPr>
        <w:t>”</w:t>
      </w:r>
      <w:r>
        <w:rPr>
          <w:rFonts w:ascii="Times New Roman;serif" w:hAnsi="Times New Roman;serif"/>
          <w:b w:val="false"/>
          <w:sz w:val="20"/>
        </w:rPr>
        <w:t>), they are required to obtain, verify and record information that identifies the Obligors, which information includes the name and address of each Obligor and other information that will allow the Administrative Agent and such Lender to identify each Obligor in accordance with the Patriot Act and Beneficial Ownership Regulation, including a beneficial ownership certification in form and substance acceptable to the Administrative Agent.</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13.17. Treatment of Certain Information; Confidentiality.</w:t>
      </w:r>
      <w:r>
        <w:rPr>
          <w:rFonts w:ascii="Times New Roman" w:hAnsi="Times New Roman"/>
          <w:sz w:val="20"/>
        </w:rPr>
        <w:t xml:space="preserve"> </w:t>
      </w:r>
      <w:r>
        <w:rPr>
          <w:rFonts w:ascii="Times New Roman;serif" w:hAnsi="Times New Roman;serif"/>
          <w:b w:val="false"/>
          <w:sz w:val="20"/>
        </w:rPr>
        <w:t xml:space="preserve">The Lenders agree to maintain the confidentiality of the Information (as defined below), except that Information may be disclosed to (a) its Affiliates and to its and its Affiliates’ respective partners, directors, officers, employees, agents, trustees, advisors and representatives (collectively, </w:t>
      </w:r>
      <w:r>
        <w:rPr>
          <w:rFonts w:ascii="Times New Roman" w:hAnsi="Times New Roman"/>
          <w:sz w:val="20"/>
        </w:rPr>
        <w:t>“</w:t>
      </w:r>
      <w:r>
        <w:rPr>
          <w:rFonts w:ascii="Times New Roman;serif" w:hAnsi="Times New Roman;serif"/>
          <w:b w:val="false"/>
          <w:i/>
          <w:sz w:val="20"/>
        </w:rPr>
        <w:t>Representatives”</w:t>
      </w:r>
      <w:r>
        <w:rPr>
          <w:rFonts w:ascii="Times New Roman;serif" w:hAnsi="Times New Roman;serif"/>
          <w:b w:val="false"/>
          <w:sz w:val="20"/>
        </w:rPr>
        <w:t>)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w:t>
        <w:noBreakHyphen/>
        <w:t xml:space="preserve">regulatory authority, such as FINRA or the National Association of Insurance Commissioners) or any exchange, (c) to the extent required by the applicable Laws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in this Section 13.17, to (i) any assignee of or Participant in, or any prospective assignee of or Participant in, any of its rights or obligations under this Agreement or (ii) any actual or prospective counterparty (or its advisors) to any swap or derivative transaction relating to Borrower or any Guarantor and its obligation, (g) with the consent of Borrower or (h) to the extent such Information (i) becomes publicly available other than as a result of a breach of this Section 13.17 or (ii) becomes available to the Lender, or any of its respective Representatives on a nonconfidential basis from a source other than Borrower or any other Obligor. For purposes of this Section 13.17, </w:t>
      </w:r>
      <w:r>
        <w:rPr>
          <w:rFonts w:ascii="Times New Roman" w:hAnsi="Times New Roman"/>
          <w:sz w:val="20"/>
        </w:rPr>
        <w:t>“</w:t>
      </w:r>
      <w:r>
        <w:rPr>
          <w:rFonts w:ascii="Times New Roman;serif" w:hAnsi="Times New Roman;serif"/>
          <w:b w:val="false"/>
          <w:i/>
          <w:sz w:val="20"/>
        </w:rPr>
        <w:t>Information”</w:t>
      </w:r>
      <w:r>
        <w:rPr>
          <w:rFonts w:ascii="Times New Roman" w:hAnsi="Times New Roman"/>
          <w:sz w:val="20"/>
        </w:rPr>
        <w:t xml:space="preserve"> </w:t>
      </w:r>
      <w:r>
        <w:rPr>
          <w:rFonts w:ascii="Times New Roman;serif" w:hAnsi="Times New Roman;serif"/>
          <w:b w:val="false"/>
          <w:sz w:val="20"/>
        </w:rPr>
        <w:t>means all information received from an Obligor relating to such Obligor or its Subsidiary or any of their respective businesses, except that the term “Information” shall not include, and the Lenders shall not be subject to any confidentiality obligation with respect to any information that (A) is or becomes available to the Lender or any of its Representatives on a nonconfidential basis prior to disclosure by an Obligor, (B) becomes available to a Lender or any of its Representatives after disclosure by an Obligor or its Subsidiary from a source that, to the knowledge of such Lender, is not subject to a confidentiality obligation to such Obligor, (C) is or becomes publicly available other than as a result of a breach by such Lender, or (D) is developed by a Lender or any of its Representatives. Any Person required to maintain the confidentiality of Information as provided in this Section 13.17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In the case of any Lender that has elected to receive material non</w:t>
        <w:noBreakHyphen/>
        <w:t>public information pursuant to Section 8.02, such Lender acknowledges that (a) the Information may include material non</w:t>
        <w:noBreakHyphen/>
        <w:t>public information concerning an Obligor or its Subsidiary, as the case may be, (b) it has developed compliance procedures regarding the use of material non</w:t>
        <w:noBreakHyphen/>
        <w:t>public information and (c) it will handle such material non</w:t>
        <w:noBreakHyphen/>
        <w:t>public information in accordance with applicable Law, including United States federal and state securities Laws.</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13.18. Releases of Guarantees and Liens</w:t>
      </w:r>
      <w:r>
        <w:rPr>
          <w:rFonts w:ascii="Times New Roman;serif" w:hAnsi="Times New Roman;serif"/>
          <w:b w:val="false"/>
          <w:sz w:val="20"/>
        </w:rPr>
        <w:t>.</w:t>
      </w:r>
      <w:r>
        <w:rPr>
          <w:rFonts w:ascii="Times New Roman" w:hAnsi="Times New Roman"/>
          <w:sz w:val="20"/>
        </w:rPr>
        <w:t xml:space="preserve">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(a) Notwithstanding anything to the contrary contained herein or in any other Loan Document, each Lender agrees, and the Administrative Agent is hereby irrevocably authorized by each Lender and given a limited power of attorney by each Lender to perform the actions described hereafter in this Section 13.18 (without requirement of notice to or consent of any Lender except as expressly required by Section 13.04) to take any action reasonably requested by the Borrower having the effect of releasing any Collateral or Obligations (i) to the extent necessary to permit consummation of any transaction not prohibited by any Loan Document or that has been consented to by the Lenders or (ii) under the circumstances described in paragraph (b) below.</w:t>
      </w:r>
    </w:p>
    <w:p>
      <w:pPr>
        <w:pStyle w:val="TextBody"/>
        <w:bidi w:val="0"/>
        <w:spacing w:before="280" w:after="0"/>
        <w:jc w:val="both"/>
        <w:rPr>
          <w:rFonts w:ascii="Times New Roman" w:hAnsi="Times New Roman"/>
          <w:sz w:val="20"/>
        </w:rPr>
      </w:pPr>
      <w:r>
        <w:rPr>
          <w:rFonts w:ascii="Times New Roman;serif" w:hAnsi="Times New Roman;serif"/>
          <w:b w:val="false"/>
          <w:sz w:val="20"/>
        </w:rPr>
        <w:t>(b) At such time as the Term Loans and the other Obligations (other than the Warrant Obligations and contingent and unmatured indemnity and expense reimbursement obligations) under the Loan Documents shall have been paid in full in cash and the Commitments have been terminated, the</w:t>
      </w:r>
      <w:r>
        <w:rPr>
          <w:rFonts w:ascii="Times New Roman" w:hAnsi="Times New Roman"/>
          <w:sz w:val="20"/>
        </w:rPr>
        <w:t xml:space="preserve">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Collateral shall be released from the Liens created by the Security Documents, and the Security Documents and all obligations (other than those expressly stated to survive such termination) of the Administrative Agent and each Obligor under the Security Documents shall terminate, all without delivery of any instrument or performance of any act by any Person.</w:t>
      </w:r>
    </w:p>
    <w:p>
      <w:pPr>
        <w:pStyle w:val="TextBody"/>
        <w:bidi w:val="0"/>
        <w:spacing w:before="280" w:after="0"/>
        <w:jc w:val="both"/>
        <w:rPr>
          <w:rFonts w:ascii="Times New Roman" w:hAnsi="Times New Roman"/>
          <w:sz w:val="20"/>
        </w:rPr>
      </w:pPr>
      <w:r>
        <w:rPr>
          <w:rFonts w:ascii="Times New Roman;serif" w:hAnsi="Times New Roman;serif"/>
          <w:b w:val="false"/>
          <w:i/>
          <w:sz w:val="20"/>
        </w:rPr>
        <w:t>Section 13.19. Acknowledgement and Consent to Bail</w:t>
        <w:noBreakHyphen/>
        <w:t>In of Affected Financial Institutions</w:t>
      </w:r>
      <w:r>
        <w:rPr>
          <w:rFonts w:ascii="Times New Roman;serif" w:hAnsi="Times New Roman;serif"/>
          <w:b w:val="false"/>
          <w:sz w:val="20"/>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w:t>
        <w:noBreakHyphen/>
        <w:t>Down and Conversion Powers of the applicable Resolution Authority and agrees and consents to, and acknowledges and agrees to be bound by:</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(a) the application of any Write</w:t>
        <w:noBreakHyphen/>
        <w:t>Down and Conversion Powers by the applicable Resolution Authority to any such liabilities arising hereunder which may be payable to it by any party hereto that is an Affected Financial Institution; and</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(b) the effects of any Bail</w:t>
        <w:noBreakHyphen/>
        <w:t>In Action on any such liability, including, if applicable:</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 a reduction in full or in part or cancellation of any such liability;</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280" w:after="0"/>
        <w:jc w:val="both"/>
        <w:rPr>
          <w:rFonts w:ascii="Times New Roman;serif" w:hAnsi="Times New Roman;serif"/>
          <w:b w:val="false"/>
          <w:sz w:val="20"/>
        </w:rPr>
      </w:pPr>
      <w:r>
        <w:rPr>
          <w:rFonts w:ascii="Times New Roman;serif" w:hAnsi="Times New Roman;serif"/>
          <w:b w:val="false"/>
          <w:sz w:val="20"/>
        </w:rPr>
        <w:t>(iii) the variation of the terms of such liability in connection with the exercise of the Write</w:t>
        <w:noBreakHyphen/>
        <w:t>Down and Conversion Powers of the applicable Resolution Authority.</w:t>
      </w:r>
    </w:p>
    <w:p>
      <w:pPr>
        <w:pStyle w:val="TextBody"/>
        <w:bidi w:val="0"/>
        <w:spacing w:before="280" w:after="0"/>
        <w:jc w:val="center"/>
        <w:rPr>
          <w:rFonts w:ascii="Times New Roman;serif" w:hAnsi="Times New Roman;serif"/>
          <w:b w:val="false"/>
          <w:i/>
          <w:sz w:val="20"/>
        </w:rPr>
      </w:pPr>
      <w:r>
        <w:rPr>
          <w:rFonts w:ascii="Times New Roman;serif" w:hAnsi="Times New Roman;serif"/>
          <w:b w:val="false"/>
          <w:i/>
          <w:sz w:val="20"/>
        </w:rPr>
        <w:t>[Remainder of the Page Intentionally Left Blank; Signature Pages Follow]</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80" w:after="0"/>
        <w:jc w:val="both"/>
        <w:rPr>
          <w:rFonts w:ascii="Times New Roman" w:hAnsi="Times New Roman"/>
          <w:sz w:val="20"/>
        </w:rPr>
      </w:pPr>
      <w:r>
        <w:rPr>
          <w:rFonts w:ascii="Times New Roman;serif" w:hAnsi="Times New Roman;serif"/>
          <w:b w:val="false"/>
          <w:smallCaps/>
          <w:sz w:val="24"/>
        </w:rPr>
        <w:t>In Witness Whereof,</w:t>
      </w:r>
      <w:r>
        <w:rPr>
          <w:rFonts w:ascii="Times New Roman" w:hAnsi="Times New Roman"/>
          <w:sz w:val="20"/>
        </w:rPr>
        <w:t xml:space="preserve"> </w:t>
      </w:r>
      <w:r>
        <w:rPr>
          <w:rFonts w:ascii="Times New Roman;serif" w:hAnsi="Times New Roman;serif"/>
          <w:b w:val="false"/>
          <w:sz w:val="24"/>
        </w:rPr>
        <w:t>the parties hereto have caused this Agreement to be duly executed and delivered as of the day and year first above written.</w:t>
      </w:r>
    </w:p>
    <w:p>
      <w:pPr>
        <w:pStyle w:val="TextBody"/>
        <w:bidi w:val="0"/>
        <w:spacing w:before="280" w:after="0"/>
        <w:jc w:val="left"/>
        <w:rPr>
          <w:rFonts w:ascii="Times New Roman;serif" w:hAnsi="Times New Roman;serif"/>
          <w:b w:val="false"/>
          <w:smallCaps/>
          <w:sz w:val="24"/>
        </w:rPr>
      </w:pPr>
      <w:r>
        <w:rPr>
          <w:rFonts w:ascii="Times New Roman;serif" w:hAnsi="Times New Roman;serif"/>
          <w:b w:val="false"/>
          <w:smallCaps/>
          <w:sz w:val="24"/>
        </w:rPr>
        <w:t>Borrower:</w:t>
      </w:r>
    </w:p>
    <w:p>
      <w:pPr>
        <w:pStyle w:val="TextBody"/>
        <w:bidi w:val="0"/>
        <w:spacing w:before="280" w:after="0"/>
        <w:jc w:val="left"/>
        <w:rPr>
          <w:rFonts w:ascii="Times New Roman;serif" w:hAnsi="Times New Roman;serif"/>
          <w:b w:val="false"/>
          <w:smallCaps/>
          <w:sz w:val="24"/>
        </w:rPr>
      </w:pPr>
      <w:r>
        <w:rPr>
          <w:rFonts w:ascii="Times New Roman;serif" w:hAnsi="Times New Roman;serif"/>
          <w:b w:val="false"/>
          <w:smallCaps/>
          <w:sz w:val="24"/>
        </w:rPr>
        <w:t>Biodesix, Inc.</w:t>
      </w:r>
    </w:p>
    <w:p>
      <w:pPr>
        <w:pStyle w:val="TextBody"/>
        <w:bidi w:val="0"/>
        <w:spacing w:before="560" w:after="0"/>
        <w:jc w:val="left"/>
        <w:rPr>
          <w:rFonts w:ascii="Times New Roman;serif" w:hAnsi="Times New Roman;serif"/>
          <w:b w:val="false"/>
          <w:sz w:val="24"/>
        </w:rPr>
      </w:pPr>
      <w:r>
        <w:rPr>
          <w:rFonts w:ascii="Times New Roman;serif" w:hAnsi="Times New Roman;serif"/>
          <w:b w:val="false"/>
          <w:sz w:val="24"/>
        </w:rPr>
        <w:t xml:space="preserve">By: </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Name:</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Title:</w:t>
      </w:r>
    </w:p>
    <w:p>
      <w:pPr>
        <w:pStyle w:val="TextBody"/>
        <w:bidi w:val="0"/>
        <w:spacing w:before="280" w:after="0"/>
        <w:jc w:val="left"/>
        <w:rPr/>
      </w:pPr>
      <w:r>
        <w:rPr/>
        <w:t> </w:t>
      </w:r>
    </w:p>
    <w:p>
      <w:pPr>
        <w:pStyle w:val="TextBody"/>
        <w:bidi w:val="0"/>
        <w:spacing w:before="0" w:after="0"/>
        <w:jc w:val="left"/>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mallCaps/>
          <w:sz w:val="24"/>
        </w:rPr>
      </w:pPr>
      <w:r>
        <w:rPr>
          <w:rFonts w:ascii="Times New Roman;serif" w:hAnsi="Times New Roman;serif"/>
          <w:b w:val="false"/>
          <w:smallCaps/>
          <w:sz w:val="24"/>
        </w:rPr>
        <w:t>Perceptive Credit Holdings IV, LP</w:t>
      </w:r>
    </w:p>
    <w:p>
      <w:pPr>
        <w:pStyle w:val="TextBody"/>
        <w:bidi w:val="0"/>
        <w:spacing w:before="0" w:after="0"/>
        <w:jc w:val="left"/>
        <w:rPr>
          <w:rFonts w:ascii="Times New Roman;serif" w:hAnsi="Times New Roman;serif"/>
          <w:b w:val="false"/>
          <w:sz w:val="24"/>
        </w:rPr>
      </w:pPr>
      <w:r>
        <w:rPr>
          <w:rFonts w:ascii="Times New Roman;serif" w:hAnsi="Times New Roman;serif"/>
          <w:b w:val="false"/>
          <w:sz w:val="24"/>
        </w:rPr>
        <w:t>as Administrative Agent and a Lender</w:t>
      </w:r>
    </w:p>
    <w:p>
      <w:pPr>
        <w:pStyle w:val="TextBody"/>
        <w:bidi w:val="0"/>
        <w:spacing w:before="280" w:after="0"/>
        <w:jc w:val="left"/>
        <w:rPr>
          <w:rFonts w:ascii="Times New Roman" w:hAnsi="Times New Roman"/>
          <w:sz w:val="20"/>
        </w:rPr>
      </w:pPr>
      <w:r>
        <w:rPr>
          <w:rFonts w:ascii="Times New Roman;serif" w:hAnsi="Times New Roman;serif"/>
          <w:b w:val="false"/>
          <w:smallCaps/>
          <w:sz w:val="24"/>
        </w:rPr>
        <w:t>B</w:t>
      </w:r>
      <w:r>
        <w:rPr>
          <w:rFonts w:ascii="Times New Roman;serif" w:hAnsi="Times New Roman;serif"/>
          <w:b w:val="false"/>
          <w:sz w:val="24"/>
        </w:rPr>
        <w:t>y: Perceptive Credit Opportunities GP, LLC, its general partner</w:t>
      </w:r>
    </w:p>
    <w:p>
      <w:pPr>
        <w:pStyle w:val="TextBody"/>
        <w:bidi w:val="0"/>
        <w:spacing w:before="520" w:after="0"/>
        <w:jc w:val="left"/>
        <w:rPr>
          <w:rFonts w:ascii="Times New Roman" w:hAnsi="Times New Roman"/>
          <w:sz w:val="20"/>
        </w:rPr>
      </w:pPr>
      <w:r>
        <w:rPr>
          <w:rFonts w:ascii="Times New Roman;serif" w:hAnsi="Times New Roman;serif"/>
          <w:b w:val="false"/>
          <w:sz w:val="24"/>
        </w:rPr>
        <w:t xml:space="preserve">By: </w:t>
        <w:br/>
        <w:t>Name: Sandeep Dixit</w:t>
        <w:br/>
        <w:t>Title: Chief Credit Officer</w:t>
      </w:r>
      <w:r>
        <w:rPr>
          <w:rFonts w:ascii="Times New Roman" w:hAnsi="Times New Roman"/>
          <w:sz w:val="20"/>
        </w:rPr>
        <w:t xml:space="preserve"> </w:t>
      </w:r>
    </w:p>
    <w:p>
      <w:pPr>
        <w:pStyle w:val="TextBody"/>
        <w:bidi w:val="0"/>
        <w:spacing w:before="520" w:after="0"/>
        <w:jc w:val="left"/>
        <w:rPr>
          <w:rFonts w:ascii="Times New Roman;serif" w:hAnsi="Times New Roman;serif"/>
          <w:b w:val="false"/>
          <w:sz w:val="24"/>
        </w:rPr>
      </w:pPr>
      <w:r>
        <w:rPr>
          <w:rFonts w:ascii="Times New Roman;serif" w:hAnsi="Times New Roman;serif"/>
          <w:b w:val="false"/>
          <w:sz w:val="24"/>
        </w:rPr>
        <w:t xml:space="preserve">By: </w:t>
        <w:br/>
        <w:t>Name: Sam Chawla</w:t>
        <w:br/>
        <w:t>Title: Portfolio Manager</w:t>
      </w:r>
    </w:p>
    <w:p>
      <w:pPr>
        <w:pStyle w:val="TextBody"/>
        <w:bidi w:val="0"/>
        <w:spacing w:before="520" w:after="0"/>
        <w:jc w:val="left"/>
        <w:rPr/>
      </w:pPr>
      <w:r>
        <w:rPr/>
        <w:t> </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120" w:after="0"/>
        <w:jc w:val="right"/>
        <w:rPr>
          <w:rFonts w:ascii="Times New Roman;serif" w:hAnsi="Times New Roman;serif"/>
          <w:b/>
          <w:sz w:val="20"/>
        </w:rPr>
      </w:pPr>
      <w:bookmarkStart w:id="28" w:name="bdsx-ex31_1.htm"/>
      <w:bookmarkStart w:id="29" w:name="ksbdsxex31_1"/>
      <w:bookmarkEnd w:id="28"/>
      <w:bookmarkEnd w:id="29"/>
      <w:r>
        <w:rPr>
          <w:rFonts w:ascii="Times New Roman;serif" w:hAnsi="Times New Roman;serif"/>
          <w:b/>
          <w:sz w:val="20"/>
        </w:rPr>
        <w:t>Exhibit 31.1</w:t>
      </w:r>
      <w:r>
        <w:br w:type="page"/>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SECTION 302 CERTIFICATION</w:t>
      </w:r>
      <w:r>
        <w:rPr>
          <w:rFonts w:ascii="Times New Roman" w:hAnsi="Times New Roman"/>
          <w:sz w:val="20"/>
        </w:rPr>
        <w:t xml:space="preserve"> </w:t>
      </w:r>
    </w:p>
    <w:p>
      <w:pPr>
        <w:pStyle w:val="TextBody"/>
        <w:bidi w:val="0"/>
        <w:spacing w:before="240" w:after="240"/>
        <w:jc w:val="both"/>
        <w:rPr>
          <w:rFonts w:ascii="Times New Roman;serif" w:hAnsi="Times New Roman;serif"/>
          <w:b w:val="false"/>
          <w:sz w:val="20"/>
        </w:rPr>
      </w:pPr>
      <w:r>
        <w:rPr>
          <w:rFonts w:ascii="Times New Roman;serif" w:hAnsi="Times New Roman;serif"/>
          <w:b w:val="false"/>
          <w:sz w:val="20"/>
        </w:rPr>
        <w:t>I, Scott Hutton, certify that:</w:t>
      </w:r>
    </w:p>
    <w:p>
      <w:pPr>
        <w:pStyle w:val="TextBody"/>
        <w:bidi w:val="0"/>
        <w:spacing w:before="0" w:after="240"/>
        <w:jc w:val="both"/>
        <w:rPr>
          <w:rFonts w:ascii="Times New Roman" w:hAnsi="Times New Roman"/>
          <w:b w:val="false"/>
          <w:sz w:val="22"/>
        </w:rPr>
      </w:pPr>
      <w:r>
        <w:rPr>
          <w:rFonts w:ascii="Times New Roman" w:hAnsi="Times New Roman"/>
          <w:b w:val="false"/>
          <w:sz w:val="22"/>
        </w:rPr>
        <w:t>1.</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I have reviewed this Quarterly Report on Form 10-Q of Biodesix, Inc.;</w:t>
      </w:r>
    </w:p>
    <w:p>
      <w:pPr>
        <w:pStyle w:val="TextBody"/>
        <w:bidi w:val="0"/>
        <w:spacing w:before="0" w:after="240"/>
        <w:jc w:val="both"/>
        <w:rPr>
          <w:rFonts w:ascii="Times New Roman" w:hAnsi="Times New Roman"/>
          <w:b w:val="false"/>
          <w:sz w:val="22"/>
        </w:rPr>
      </w:pPr>
      <w:r>
        <w:rPr>
          <w:rFonts w:ascii="Times New Roman" w:hAnsi="Times New Roman"/>
          <w:b w:val="false"/>
          <w:sz w:val="22"/>
        </w:rPr>
        <w:t>2.</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both"/>
        <w:rPr>
          <w:rFonts w:ascii="Times New Roman" w:hAnsi="Times New Roman"/>
          <w:b w:val="false"/>
          <w:sz w:val="22"/>
        </w:rPr>
      </w:pPr>
      <w:r>
        <w:rPr>
          <w:rFonts w:ascii="Times New Roman" w:hAnsi="Times New Roman"/>
          <w:b w:val="false"/>
          <w:sz w:val="22"/>
        </w:rPr>
        <w:t>3.</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jc w:val="both"/>
        <w:rPr>
          <w:rFonts w:ascii="Times New Roman" w:hAnsi="Times New Roman"/>
          <w:b w:val="false"/>
          <w:sz w:val="22"/>
        </w:rPr>
      </w:pPr>
      <w:r>
        <w:rPr>
          <w:rFonts w:ascii="Times New Roman" w:hAnsi="Times New Roman"/>
          <w:b w:val="false"/>
          <w:sz w:val="22"/>
        </w:rPr>
        <w:t>4.</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jc w:val="both"/>
        <w:rPr>
          <w:rFonts w:ascii="Times New Roman" w:hAnsi="Times New Roman"/>
          <w:b w:val="false"/>
          <w:sz w:val="20"/>
        </w:rPr>
      </w:pPr>
      <w:r>
        <w:rPr>
          <w:rFonts w:ascii="Times New Roman" w:hAnsi="Times New Roman"/>
          <w:b w:val="false"/>
          <w:sz w:val="20"/>
        </w:rPr>
        <w:t>(a)</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jc w:val="both"/>
        <w:rPr>
          <w:rFonts w:ascii="Times New Roman" w:hAnsi="Times New Roman"/>
          <w:b w:val="false"/>
          <w:sz w:val="20"/>
        </w:rPr>
      </w:pPr>
      <w:r>
        <w:rPr>
          <w:rFonts w:ascii="Times New Roman" w:hAnsi="Times New Roman"/>
          <w:b w:val="false"/>
          <w:sz w:val="20"/>
        </w:rPr>
        <w:t>(b)</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jc w:val="both"/>
        <w:rPr>
          <w:rFonts w:ascii="Times New Roman" w:hAnsi="Times New Roman"/>
          <w:b w:val="false"/>
          <w:sz w:val="20"/>
        </w:rPr>
      </w:pPr>
      <w:r>
        <w:rPr>
          <w:rFonts w:ascii="Times New Roman" w:hAnsi="Times New Roman"/>
          <w:b w:val="false"/>
          <w:sz w:val="20"/>
        </w:rPr>
        <w:t>(c)</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both"/>
        <w:rPr>
          <w:rFonts w:ascii="Times New Roman" w:hAnsi="Times New Roman"/>
          <w:b w:val="false"/>
          <w:sz w:val="20"/>
        </w:rPr>
      </w:pPr>
      <w:r>
        <w:rPr>
          <w:rFonts w:ascii="Times New Roman" w:hAnsi="Times New Roman"/>
          <w:b w:val="false"/>
          <w:sz w:val="20"/>
        </w:rPr>
        <w:t>(d)</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jc w:val="both"/>
        <w:rPr>
          <w:rFonts w:ascii="Times New Roman" w:hAnsi="Times New Roman"/>
          <w:b w:val="false"/>
          <w:sz w:val="22"/>
        </w:rPr>
      </w:pPr>
      <w:r>
        <w:rPr>
          <w:rFonts w:ascii="Times New Roman" w:hAnsi="Times New Roman"/>
          <w:b w:val="false"/>
          <w:sz w:val="22"/>
        </w:rPr>
        <w:t>5.</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jc w:val="both"/>
        <w:rPr>
          <w:rFonts w:ascii="Times New Roman" w:hAnsi="Times New Roman"/>
          <w:b w:val="false"/>
          <w:sz w:val="22"/>
        </w:rPr>
      </w:pPr>
      <w:r>
        <w:rPr>
          <w:rFonts w:ascii="Times New Roman" w:hAnsi="Times New Roman"/>
          <w:b w:val="false"/>
          <w:sz w:val="22"/>
        </w:rPr>
        <w:t>(a)</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rFonts w:ascii="Times New Roman" w:hAnsi="Times New Roman"/>
          <w:b w:val="false"/>
          <w:sz w:val="22"/>
        </w:rPr>
      </w:pPr>
      <w:r>
        <w:rPr>
          <w:rFonts w:ascii="Times New Roman" w:hAnsi="Times New Roman"/>
          <w:b w:val="false"/>
          <w:sz w:val="22"/>
        </w:rPr>
        <w:t>(b)</w:t>
      </w:r>
    </w:p>
    <w:p>
      <w:pPr>
        <w:pStyle w:val="TextBody"/>
        <w:bidi w:val="0"/>
        <w:jc w:val="both"/>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4323" w:type="dxa"/>
        <w:jc w:val="left"/>
        <w:tblInd w:w="0" w:type="dxa"/>
        <w:tblLayout w:type="fixed"/>
        <w:tblCellMar>
          <w:top w:w="28" w:type="dxa"/>
          <w:left w:w="28" w:type="dxa"/>
          <w:bottom w:w="28" w:type="dxa"/>
          <w:right w:w="28" w:type="dxa"/>
        </w:tblCellMar>
      </w:tblPr>
      <w:tblGrid>
        <w:gridCol w:w="1846"/>
        <w:gridCol w:w="406"/>
        <w:gridCol w:w="2071"/>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7, 2023</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By:</w:t>
            </w:r>
          </w:p>
        </w:tc>
        <w:tc>
          <w:tcPr>
            <w:tcW w:w="207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Scott Hutton</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2071" w:type="dxa"/>
            <w:tcBorders>
              <w:top w:val="single" w:sz="8" w:space="0" w:color="000000"/>
            </w:tcBorders>
            <w:tcMar>
              <w:top w:w="4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Scott Hutton</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207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0"/>
        <w:jc w:val="right"/>
        <w:rPr>
          <w:rFonts w:ascii="Times New Roman;serif" w:hAnsi="Times New Roman;serif"/>
          <w:b/>
          <w:sz w:val="20"/>
        </w:rPr>
      </w:pPr>
      <w:bookmarkStart w:id="30" w:name="bdsx-ex31_2.htm"/>
      <w:bookmarkStart w:id="31" w:name="ksbdsxex31_2"/>
      <w:bookmarkEnd w:id="30"/>
      <w:bookmarkEnd w:id="31"/>
      <w:r>
        <w:rPr>
          <w:rFonts w:ascii="Times New Roman;serif" w:hAnsi="Times New Roman;serif"/>
          <w:b/>
          <w:sz w:val="20"/>
        </w:rPr>
        <w:t>Exhibit 31.2</w:t>
      </w:r>
      <w:r>
        <w:br w:type="page"/>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SECTION 302 CERTIFICATION</w:t>
      </w:r>
      <w:r>
        <w:rPr>
          <w:rFonts w:ascii="Times New Roman" w:hAnsi="Times New Roman"/>
          <w:sz w:val="20"/>
        </w:rPr>
        <w:t xml:space="preserve"> </w:t>
      </w:r>
    </w:p>
    <w:p>
      <w:pPr>
        <w:pStyle w:val="TextBody"/>
        <w:bidi w:val="0"/>
        <w:spacing w:before="240" w:after="240"/>
        <w:jc w:val="both"/>
        <w:rPr>
          <w:rFonts w:ascii="Times New Roman;serif" w:hAnsi="Times New Roman;serif"/>
          <w:b w:val="false"/>
          <w:sz w:val="20"/>
        </w:rPr>
      </w:pPr>
      <w:r>
        <w:rPr>
          <w:rFonts w:ascii="Times New Roman;serif" w:hAnsi="Times New Roman;serif"/>
          <w:b w:val="false"/>
          <w:sz w:val="20"/>
        </w:rPr>
        <w:t>I, Robin Harper Cowie, certify that:</w:t>
      </w:r>
    </w:p>
    <w:p>
      <w:pPr>
        <w:pStyle w:val="TextBody"/>
        <w:bidi w:val="0"/>
        <w:spacing w:before="0" w:after="240"/>
        <w:jc w:val="both"/>
        <w:rPr>
          <w:rFonts w:ascii="Times New Roman" w:hAnsi="Times New Roman"/>
          <w:b w:val="false"/>
          <w:sz w:val="22"/>
        </w:rPr>
      </w:pPr>
      <w:r>
        <w:rPr>
          <w:rFonts w:ascii="Times New Roman" w:hAnsi="Times New Roman"/>
          <w:b w:val="false"/>
          <w:sz w:val="22"/>
        </w:rPr>
        <w:t>1.</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I have reviewed this Quarterly Report on Form 10-Q of Biodesix, Inc.;</w:t>
      </w:r>
    </w:p>
    <w:p>
      <w:pPr>
        <w:pStyle w:val="TextBody"/>
        <w:bidi w:val="0"/>
        <w:spacing w:before="0" w:after="240"/>
        <w:jc w:val="both"/>
        <w:rPr>
          <w:rFonts w:ascii="Times New Roman" w:hAnsi="Times New Roman"/>
          <w:b w:val="false"/>
          <w:sz w:val="22"/>
        </w:rPr>
      </w:pPr>
      <w:r>
        <w:rPr>
          <w:rFonts w:ascii="Times New Roman" w:hAnsi="Times New Roman"/>
          <w:b w:val="false"/>
          <w:sz w:val="22"/>
        </w:rPr>
        <w:t>2.</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both"/>
        <w:rPr>
          <w:rFonts w:ascii="Times New Roman" w:hAnsi="Times New Roman"/>
          <w:b w:val="false"/>
          <w:sz w:val="22"/>
        </w:rPr>
      </w:pPr>
      <w:r>
        <w:rPr>
          <w:rFonts w:ascii="Times New Roman" w:hAnsi="Times New Roman"/>
          <w:b w:val="false"/>
          <w:sz w:val="22"/>
        </w:rPr>
        <w:t>3.</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jc w:val="both"/>
        <w:rPr>
          <w:rFonts w:ascii="Times New Roman" w:hAnsi="Times New Roman"/>
          <w:b w:val="false"/>
          <w:sz w:val="22"/>
        </w:rPr>
      </w:pPr>
      <w:r>
        <w:rPr>
          <w:rFonts w:ascii="Times New Roman" w:hAnsi="Times New Roman"/>
          <w:b w:val="false"/>
          <w:sz w:val="22"/>
        </w:rPr>
        <w:t>4.</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jc w:val="both"/>
        <w:rPr>
          <w:rFonts w:ascii="Times New Roman" w:hAnsi="Times New Roman"/>
          <w:b w:val="false"/>
          <w:sz w:val="20"/>
        </w:rPr>
      </w:pPr>
      <w:r>
        <w:rPr>
          <w:rFonts w:ascii="Times New Roman" w:hAnsi="Times New Roman"/>
          <w:b w:val="false"/>
          <w:sz w:val="20"/>
        </w:rPr>
        <w:t>(a)</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jc w:val="both"/>
        <w:rPr>
          <w:rFonts w:ascii="Times New Roman" w:hAnsi="Times New Roman"/>
          <w:b w:val="false"/>
          <w:sz w:val="20"/>
        </w:rPr>
      </w:pPr>
      <w:r>
        <w:rPr>
          <w:rFonts w:ascii="Times New Roman" w:hAnsi="Times New Roman"/>
          <w:b w:val="false"/>
          <w:sz w:val="20"/>
        </w:rPr>
        <w:t>(b)</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jc w:val="both"/>
        <w:rPr>
          <w:rFonts w:ascii="Times New Roman" w:hAnsi="Times New Roman"/>
          <w:b w:val="false"/>
          <w:sz w:val="20"/>
        </w:rPr>
      </w:pPr>
      <w:r>
        <w:rPr>
          <w:rFonts w:ascii="Times New Roman" w:hAnsi="Times New Roman"/>
          <w:b w:val="false"/>
          <w:sz w:val="20"/>
        </w:rPr>
        <w:t>(c)</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both"/>
        <w:rPr>
          <w:rFonts w:ascii="Times New Roman" w:hAnsi="Times New Roman"/>
          <w:b w:val="false"/>
          <w:sz w:val="20"/>
        </w:rPr>
      </w:pPr>
      <w:r>
        <w:rPr>
          <w:rFonts w:ascii="Times New Roman" w:hAnsi="Times New Roman"/>
          <w:b w:val="false"/>
          <w:sz w:val="20"/>
        </w:rPr>
        <w:t>(d)</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jc w:val="both"/>
        <w:rPr>
          <w:rFonts w:ascii="Times New Roman" w:hAnsi="Times New Roman"/>
          <w:b w:val="false"/>
          <w:sz w:val="22"/>
        </w:rPr>
      </w:pPr>
      <w:r>
        <w:rPr>
          <w:rFonts w:ascii="Times New Roman" w:hAnsi="Times New Roman"/>
          <w:b w:val="false"/>
          <w:sz w:val="22"/>
        </w:rPr>
        <w:t>5.</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jc w:val="both"/>
        <w:rPr>
          <w:rFonts w:ascii="Times New Roman" w:hAnsi="Times New Roman"/>
          <w:b w:val="false"/>
          <w:sz w:val="22"/>
        </w:rPr>
      </w:pPr>
      <w:r>
        <w:rPr>
          <w:rFonts w:ascii="Times New Roman" w:hAnsi="Times New Roman"/>
          <w:b w:val="false"/>
          <w:sz w:val="22"/>
        </w:rPr>
        <w:t>(a)</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rFonts w:ascii="Times New Roman" w:hAnsi="Times New Roman"/>
          <w:b w:val="false"/>
          <w:sz w:val="22"/>
        </w:rPr>
      </w:pPr>
      <w:r>
        <w:rPr>
          <w:rFonts w:ascii="Times New Roman" w:hAnsi="Times New Roman"/>
          <w:b w:val="false"/>
          <w:sz w:val="22"/>
        </w:rPr>
        <w:t>(b)</w:t>
      </w:r>
    </w:p>
    <w:p>
      <w:pPr>
        <w:pStyle w:val="TextBody"/>
        <w:bidi w:val="0"/>
        <w:jc w:val="both"/>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4308" w:type="dxa"/>
        <w:jc w:val="left"/>
        <w:tblInd w:w="0" w:type="dxa"/>
        <w:tblLayout w:type="fixed"/>
        <w:tblCellMar>
          <w:top w:w="28" w:type="dxa"/>
          <w:left w:w="28" w:type="dxa"/>
          <w:bottom w:w="28" w:type="dxa"/>
          <w:right w:w="28" w:type="dxa"/>
        </w:tblCellMar>
      </w:tblPr>
      <w:tblGrid>
        <w:gridCol w:w="1846"/>
        <w:gridCol w:w="406"/>
        <w:gridCol w:w="2056"/>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7, 2023</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By:</w:t>
            </w:r>
          </w:p>
        </w:tc>
        <w:tc>
          <w:tcPr>
            <w:tcW w:w="205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Robin Harper Cowie</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2056" w:type="dxa"/>
            <w:tcBorders>
              <w:top w:val="single" w:sz="8" w:space="0" w:color="000000"/>
            </w:tcBorders>
            <w:tcMar>
              <w:top w:w="4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Robin Harper Cowie</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205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0"/>
        <w:jc w:val="right"/>
        <w:rPr>
          <w:rFonts w:ascii="Times New Roman;serif" w:hAnsi="Times New Roman;serif"/>
          <w:b/>
          <w:sz w:val="20"/>
        </w:rPr>
      </w:pPr>
      <w:bookmarkStart w:id="32" w:name="bdsx-ex32_1.htm"/>
      <w:bookmarkStart w:id="33" w:name="ksbdsxex32_1"/>
      <w:bookmarkEnd w:id="32"/>
      <w:bookmarkEnd w:id="33"/>
      <w:r>
        <w:rPr>
          <w:rFonts w:ascii="Times New Roman;serif" w:hAnsi="Times New Roman;serif"/>
          <w:b/>
          <w:sz w:val="20"/>
        </w:rPr>
        <w:t>Exhibit 32.1</w:t>
      </w:r>
      <w:r>
        <w:br w:type="page"/>
      </w:r>
    </w:p>
    <w:p>
      <w:pPr>
        <w:pStyle w:val="TextBody"/>
        <w:bidi w:val="0"/>
        <w:spacing w:before="0" w:after="0"/>
        <w:jc w:val="left"/>
        <w:rPr/>
      </w:pPr>
      <w:r>
        <w:rPr/>
        <w:t> </w:t>
      </w:r>
    </w:p>
    <w:p>
      <w:pPr>
        <w:pStyle w:val="TextBody"/>
        <w:bidi w:val="0"/>
        <w:spacing w:before="0" w:after="24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24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24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In connection with the Quarterly Report of Biodesix, Inc. (the “Company”) on Form 10-Q for the period ending June 30, 2023 as filed with the Securities and Exchange Commission on the date hereof (the “Report”), I certify, pursuant to 18 U.S.C. § 1350, as adopted pursuant to § 906 of the Sarbanes-Oxley Act of 2002, that, to my knowledge:</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(1) The Report fully complies with the requirements of section 13(a) or 15(d) of the Securities Exchange Act of 1934; and</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(2) The information contained in the Report fairly presents, in all material respects, the financial condition and results of operations of the Company.</w:t>
      </w:r>
    </w:p>
    <w:p>
      <w:pPr>
        <w:pStyle w:val="TextBody"/>
        <w:bidi w:val="0"/>
        <w:spacing w:before="0" w:after="240"/>
        <w:jc w:val="both"/>
        <w:rPr/>
      </w:pPr>
      <w:r>
        <w:rPr/>
        <w:t> </w:t>
      </w:r>
    </w:p>
    <w:tbl>
      <w:tblPr>
        <w:tblW w:w="4469" w:type="dxa"/>
        <w:jc w:val="left"/>
        <w:tblInd w:w="0" w:type="dxa"/>
        <w:tblLayout w:type="fixed"/>
        <w:tblCellMar>
          <w:top w:w="28" w:type="dxa"/>
          <w:left w:w="28" w:type="dxa"/>
          <w:bottom w:w="28" w:type="dxa"/>
          <w:right w:w="28" w:type="dxa"/>
        </w:tblCellMar>
      </w:tblPr>
      <w:tblGrid>
        <w:gridCol w:w="1846"/>
        <w:gridCol w:w="146"/>
        <w:gridCol w:w="406"/>
        <w:gridCol w:w="207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7, 2023</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07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Scott Hutton</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71" w:type="dxa"/>
            <w:tcBorders>
              <w:top w:val="single" w:sz="8" w:space="0" w:color="000000"/>
            </w:tcBorders>
            <w:tcMar>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Scott Hutton</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Executive Officer</w:t>
            </w:r>
          </w:p>
        </w:tc>
      </w:tr>
    </w:tbl>
    <w:p>
      <w:pPr>
        <w:pStyle w:val="TextBody"/>
        <w:bidi w:val="0"/>
        <w:spacing w:before="0" w:after="0"/>
        <w:jc w:val="both"/>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0"/>
        <w:jc w:val="right"/>
        <w:rPr>
          <w:rFonts w:ascii="Times New Roman;serif" w:hAnsi="Times New Roman;serif"/>
          <w:b/>
          <w:sz w:val="20"/>
        </w:rPr>
      </w:pPr>
      <w:bookmarkStart w:id="34" w:name="bdsx-ex32_2.htm"/>
      <w:bookmarkStart w:id="35" w:name="ksbdsxex32_2"/>
      <w:bookmarkEnd w:id="34"/>
      <w:bookmarkEnd w:id="35"/>
      <w:r>
        <w:rPr>
          <w:rFonts w:ascii="Times New Roman;serif" w:hAnsi="Times New Roman;serif"/>
          <w:b/>
          <w:sz w:val="20"/>
        </w:rPr>
        <w:t>Exhibit 32.2</w:t>
      </w:r>
      <w:r>
        <w:br w:type="page"/>
      </w:r>
    </w:p>
    <w:p>
      <w:pPr>
        <w:pStyle w:val="TextBody"/>
        <w:bidi w:val="0"/>
        <w:spacing w:before="0" w:after="0"/>
        <w:jc w:val="both"/>
        <w:rPr/>
      </w:pPr>
      <w:r>
        <w:rPr/>
        <w:t> </w:t>
      </w:r>
    </w:p>
    <w:p>
      <w:pPr>
        <w:pStyle w:val="TextBody"/>
        <w:bidi w:val="0"/>
        <w:spacing w:before="0" w:after="24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24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24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In connection with the Quarterly Report of Biodesix, Inc. (the “Company”) on Form 10-Q for the period ending June 30, 2023 as filed with the Securities and Exchange Commission on the date hereof (the “Report”), I certify, pursuant to 18 U.S.C. § 1350, as adopted pursuant to § 906 of the Sarbanes-Oxley Act of 2002, that, to my knowledge:</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(1) The Report fully complies with the requirements of section 13(a) or 15(d) of the Securities Exchange Act of 1934; and</w:t>
      </w:r>
    </w:p>
    <w:p>
      <w:pPr>
        <w:pStyle w:val="TextBody"/>
        <w:bidi w:val="0"/>
        <w:spacing w:before="0" w:after="240"/>
        <w:jc w:val="both"/>
        <w:rPr>
          <w:rFonts w:ascii="Times New Roman;serif" w:hAnsi="Times New Roman;serif"/>
          <w:b w:val="false"/>
          <w:sz w:val="20"/>
        </w:rPr>
      </w:pPr>
      <w:r>
        <w:rPr>
          <w:rFonts w:ascii="Times New Roman;serif" w:hAnsi="Times New Roman;serif"/>
          <w:b w:val="false"/>
          <w:sz w:val="20"/>
        </w:rPr>
        <w:t>(2) The information contained in the Report fairly presents, in all material respects, the financial condition and results of operations of the Company.</w:t>
      </w:r>
    </w:p>
    <w:p>
      <w:pPr>
        <w:pStyle w:val="TextBody"/>
        <w:bidi w:val="0"/>
        <w:spacing w:before="0" w:after="240"/>
        <w:jc w:val="both"/>
        <w:rPr/>
      </w:pPr>
      <w:r>
        <w:rPr/>
        <w:t> </w:t>
      </w:r>
    </w:p>
    <w:tbl>
      <w:tblPr>
        <w:tblW w:w="4454" w:type="dxa"/>
        <w:jc w:val="left"/>
        <w:tblInd w:w="0" w:type="dxa"/>
        <w:tblLayout w:type="fixed"/>
        <w:tblCellMar>
          <w:top w:w="28" w:type="dxa"/>
          <w:left w:w="28" w:type="dxa"/>
          <w:bottom w:w="28" w:type="dxa"/>
          <w:right w:w="28" w:type="dxa"/>
        </w:tblCellMar>
      </w:tblPr>
      <w:tblGrid>
        <w:gridCol w:w="1846"/>
        <w:gridCol w:w="146"/>
        <w:gridCol w:w="406"/>
        <w:gridCol w:w="205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Date: August 7, 2023</w:t>
            </w:r>
          </w:p>
        </w:tc>
        <w:tc>
          <w:tcPr>
            <w:tcW w:w="146"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rFonts w:ascii="Times New Roman;serif" w:hAnsi="Times New Roman;serif"/>
                <w:b w:val="false"/>
                <w:sz w:val="20"/>
              </w:rPr>
            </w:pPr>
            <w:r>
              <w:rPr>
                <w:rFonts w:ascii="Times New Roman;serif" w:hAnsi="Times New Roman;serif"/>
                <w:b w:val="false"/>
                <w:sz w:val="20"/>
              </w:rPr>
              <w:t>By:</w:t>
            </w:r>
          </w:p>
        </w:tc>
        <w:tc>
          <w:tcPr>
            <w:tcW w:w="20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Robin Harper Cowie</w:t>
            </w:r>
          </w:p>
        </w:tc>
      </w:tr>
      <w:tr>
        <w:trPr/>
        <w:tc>
          <w:tcPr>
            <w:tcW w:w="1846"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2056" w:type="dxa"/>
            <w:tcBorders>
              <w:top w:val="single" w:sz="8" w:space="0" w:color="000000"/>
            </w:tcBorders>
            <w:tcMar>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Robin Harper Cowie</w:t>
            </w:r>
          </w:p>
        </w:tc>
      </w:tr>
      <w:tr>
        <w:trPr/>
        <w:tc>
          <w:tcPr>
            <w:tcW w:w="1846"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20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Financial Officer</w:t>
            </w:r>
          </w:p>
        </w:tc>
      </w:tr>
    </w:tbl>
    <w:p>
      <w:pPr>
        <w:pStyle w:val="TextBody"/>
        <w:bidi w:val="0"/>
        <w:spacing w:before="0" w:after="0"/>
        <w:jc w:val="both"/>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98067</Words>
  <Characters>529940</Characters>
  <CharactersWithSpaces>627818</CharactersWithSpaces>
  <Paragraphs>7405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