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Biodesix,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par value $0.001 per share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09075X108</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Arthur McMahon, III, Esq.</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Taft Stettinius &amp; Hollister LLP</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425 Walnut Street, Suite 1800</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color w:val="auto"/>
        </w:rPr>
        <w:t>Cincinnati, OH 45202</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u w:val="single" w:color="auto"/>
          <w:color w:val="auto"/>
        </w:rPr>
        <w:t>(513) 357-9607</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January 3, 2023</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1"/>
          <w:szCs w:val="21"/>
          <w:color w:val="auto"/>
        </w:rPr>
        <w:t>☒</w:t>
      </w:r>
    </w:p>
    <w:p>
      <w:pPr>
        <w:spacing w:after="0" w:line="183"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Rule 13d-7 for other parties to whom copies are to be sent.</w:t>
      </w:r>
    </w:p>
    <w:p>
      <w:pPr>
        <w:spacing w:after="0" w:line="185" w:lineRule="exact"/>
        <w:rPr>
          <w:sz w:val="24"/>
          <w:szCs w:val="24"/>
          <w:color w:val="auto"/>
        </w:rPr>
      </w:pPr>
    </w:p>
    <w:p>
      <w:pPr>
        <w:jc w:val="both"/>
        <w:ind w:firstLine="8"/>
        <w:spacing w:after="0" w:line="244" w:lineRule="auto"/>
        <w:tabs>
          <w:tab w:leader="none" w:pos="16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SCHEDULE 13D</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2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40" w:type="dxa"/>
            <w:vAlign w:val="bottom"/>
            <w:tcBorders>
              <w:bottom w:val="single" w:sz="8" w:color="auto"/>
            </w:tcBorders>
            <w:gridSpan w:val="4"/>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Lawrence T. Kennedy, Jr. Revocable Trust UAD 6/19/01</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40" w:type="dxa"/>
            <w:vAlign w:val="bottom"/>
            <w:tcBorders>
              <w:bottom w:val="single" w:sz="8" w:color="auto"/>
            </w:tcBorders>
            <w:gridSpan w:val="4"/>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8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20" w:type="dxa"/>
            <w:vAlign w:val="bottom"/>
            <w:shd w:val="clear" w:color="auto" w:fill="BFBFBF"/>
          </w:tcPr>
          <w:p>
            <w:pPr>
              <w:spacing w:after="0"/>
              <w:rPr>
                <w:sz w:val="20"/>
                <w:szCs w:val="20"/>
                <w:color w:val="auto"/>
              </w:rPr>
            </w:pPr>
          </w:p>
        </w:tc>
        <w:tc>
          <w:tcPr>
            <w:tcW w:w="108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20" w:type="dxa"/>
            <w:vAlign w:val="bottom"/>
            <w:shd w:val="clear" w:color="auto" w:fill="BFBFBF"/>
          </w:tcPr>
          <w:p>
            <w:pPr>
              <w:spacing w:after="0"/>
              <w:rPr>
                <w:sz w:val="24"/>
                <w:szCs w:val="24"/>
                <w:color w:val="auto"/>
              </w:rPr>
            </w:pPr>
          </w:p>
        </w:tc>
        <w:tc>
          <w:tcPr>
            <w:tcW w:w="108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20" w:type="dxa"/>
            <w:vAlign w:val="bottom"/>
            <w:tcBorders>
              <w:bottom w:val="single" w:sz="8" w:color="auto"/>
            </w:tcBorders>
            <w:shd w:val="clear" w:color="auto" w:fill="BFBFBF"/>
          </w:tcPr>
          <w:p>
            <w:pPr>
              <w:spacing w:after="0"/>
              <w:rPr>
                <w:sz w:val="23"/>
                <w:szCs w:val="23"/>
                <w:color w:val="auto"/>
              </w:rPr>
            </w:pPr>
          </w:p>
        </w:tc>
        <w:tc>
          <w:tcPr>
            <w:tcW w:w="108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40" w:type="dxa"/>
            <w:vAlign w:val="bottom"/>
            <w:tcBorders>
              <w:bottom w:val="single" w:sz="8" w:color="auto"/>
            </w:tcBorders>
            <w:gridSpan w:val="4"/>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Ohio</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9,148,889</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69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6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9,148,889</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9,148,889</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40" w:type="dxa"/>
            <w:vAlign w:val="bottom"/>
            <w:gridSpan w:val="4"/>
            <w:vMerge w:val="continue"/>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12.0% (1)</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80" w:right="160" w:hanging="172"/>
        <w:spacing w:after="0" w:line="28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76,495,568 Shares (as defined herein) outstanding immediately after the closing of the Issuer’s follow-on offering and related private placement of Shares on November 21, 2022, as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SCHEDULE 13D</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3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40" w:type="dxa"/>
            <w:vAlign w:val="bottom"/>
            <w:tcBorders>
              <w:bottom w:val="single" w:sz="8" w:color="auto"/>
            </w:tcBorders>
            <w:gridSpan w:val="4"/>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Lawrence T. Kennedy, Jr. Perpetuity Trust UAD 6/30/16</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40" w:type="dxa"/>
            <w:vAlign w:val="bottom"/>
            <w:tcBorders>
              <w:bottom w:val="single" w:sz="8" w:color="auto"/>
            </w:tcBorders>
            <w:gridSpan w:val="4"/>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8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20" w:type="dxa"/>
            <w:vAlign w:val="bottom"/>
            <w:shd w:val="clear" w:color="auto" w:fill="BFBFBF"/>
          </w:tcPr>
          <w:p>
            <w:pPr>
              <w:spacing w:after="0"/>
              <w:rPr>
                <w:sz w:val="20"/>
                <w:szCs w:val="20"/>
                <w:color w:val="auto"/>
              </w:rPr>
            </w:pPr>
          </w:p>
        </w:tc>
        <w:tc>
          <w:tcPr>
            <w:tcW w:w="108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20" w:type="dxa"/>
            <w:vAlign w:val="bottom"/>
            <w:shd w:val="clear" w:color="auto" w:fill="BFBFBF"/>
          </w:tcPr>
          <w:p>
            <w:pPr>
              <w:spacing w:after="0"/>
              <w:rPr>
                <w:sz w:val="24"/>
                <w:szCs w:val="24"/>
                <w:color w:val="auto"/>
              </w:rPr>
            </w:pPr>
          </w:p>
        </w:tc>
        <w:tc>
          <w:tcPr>
            <w:tcW w:w="108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20" w:type="dxa"/>
            <w:vAlign w:val="bottom"/>
            <w:tcBorders>
              <w:bottom w:val="single" w:sz="8" w:color="auto"/>
            </w:tcBorders>
            <w:shd w:val="clear" w:color="auto" w:fill="BFBFBF"/>
          </w:tcPr>
          <w:p>
            <w:pPr>
              <w:spacing w:after="0"/>
              <w:rPr>
                <w:sz w:val="23"/>
                <w:szCs w:val="23"/>
                <w:color w:val="auto"/>
              </w:rPr>
            </w:pPr>
          </w:p>
        </w:tc>
        <w:tc>
          <w:tcPr>
            <w:tcW w:w="108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40" w:type="dxa"/>
            <w:vAlign w:val="bottom"/>
            <w:tcBorders>
              <w:bottom w:val="single" w:sz="8" w:color="auto"/>
            </w:tcBorders>
            <w:gridSpan w:val="4"/>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4,355,914</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69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6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4,355,914</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4,355,914</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40" w:type="dxa"/>
            <w:vAlign w:val="bottom"/>
            <w:gridSpan w:val="4"/>
            <w:vMerge w:val="continue"/>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5.7% (1)</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80" w:right="160" w:hanging="172"/>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76,495,568 Shares outstanding immediately after the closing of the Issuer’s follow-on offering and related private placement of Shares on November 21, 2022, as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60" w:type="dxa"/>
            <w:vAlign w:val="bottom"/>
          </w:tcPr>
          <w:p>
            <w:pPr>
              <w:spacing w:after="0"/>
              <w:rPr>
                <w:sz w:val="20"/>
                <w:szCs w:val="20"/>
                <w:color w:val="auto"/>
              </w:rPr>
            </w:pPr>
          </w:p>
        </w:tc>
        <w:tc>
          <w:tcPr>
            <w:tcW w:w="69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SCHEDULE 13D</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4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40" w:type="dxa"/>
            <w:vAlign w:val="bottom"/>
            <w:tcBorders>
              <w:bottom w:val="single" w:sz="8" w:color="auto"/>
            </w:tcBorders>
            <w:gridSpan w:val="4"/>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KFDI-B LLC</w:t>
            </w: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40" w:type="dxa"/>
            <w:vAlign w:val="bottom"/>
            <w:tcBorders>
              <w:bottom w:val="single" w:sz="8" w:color="auto"/>
            </w:tcBorders>
            <w:gridSpan w:val="4"/>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8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20" w:type="dxa"/>
            <w:vAlign w:val="bottom"/>
            <w:shd w:val="clear" w:color="auto" w:fill="BFBFBF"/>
          </w:tcPr>
          <w:p>
            <w:pPr>
              <w:spacing w:after="0"/>
              <w:rPr>
                <w:sz w:val="20"/>
                <w:szCs w:val="20"/>
                <w:color w:val="auto"/>
              </w:rPr>
            </w:pPr>
          </w:p>
        </w:tc>
        <w:tc>
          <w:tcPr>
            <w:tcW w:w="108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6920" w:type="dxa"/>
            <w:vAlign w:val="bottom"/>
            <w:shd w:val="clear" w:color="auto" w:fill="BFBFBF"/>
          </w:tcPr>
          <w:p>
            <w:pPr>
              <w:spacing w:after="0"/>
              <w:rPr>
                <w:sz w:val="24"/>
                <w:szCs w:val="24"/>
                <w:color w:val="auto"/>
              </w:rPr>
            </w:pPr>
          </w:p>
        </w:tc>
        <w:tc>
          <w:tcPr>
            <w:tcW w:w="108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20" w:type="dxa"/>
            <w:vAlign w:val="bottom"/>
            <w:tcBorders>
              <w:bottom w:val="single" w:sz="8" w:color="auto"/>
            </w:tcBorders>
            <w:shd w:val="clear" w:color="auto" w:fill="BFBFBF"/>
          </w:tcPr>
          <w:p>
            <w:pPr>
              <w:spacing w:after="0"/>
              <w:rPr>
                <w:sz w:val="23"/>
                <w:szCs w:val="23"/>
                <w:color w:val="auto"/>
              </w:rPr>
            </w:pPr>
          </w:p>
        </w:tc>
        <w:tc>
          <w:tcPr>
            <w:tcW w:w="108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PF</w:t>
            </w:r>
          </w:p>
        </w:tc>
        <w:tc>
          <w:tcPr>
            <w:tcW w:w="5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40" w:type="dxa"/>
            <w:vAlign w:val="bottom"/>
            <w:tcBorders>
              <w:bottom w:val="single" w:sz="8" w:color="auto"/>
            </w:tcBorders>
            <w:gridSpan w:val="4"/>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6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166,666</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9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6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vMerge w:val="continue"/>
          </w:tcPr>
          <w:p>
            <w:pPr>
              <w:spacing w:after="0"/>
              <w:rPr>
                <w:sz w:val="16"/>
                <w:szCs w:val="16"/>
                <w:color w:val="auto"/>
              </w:rPr>
            </w:pPr>
          </w:p>
        </w:tc>
        <w:tc>
          <w:tcPr>
            <w:tcW w:w="69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6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166,666</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166,666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40" w:type="dxa"/>
            <w:vAlign w:val="bottom"/>
            <w:gridSpan w:val="4"/>
            <w:vMerge w:val="continue"/>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 (1)</w:t>
            </w:r>
          </w:p>
        </w:tc>
        <w:tc>
          <w:tcPr>
            <w:tcW w:w="5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5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80" w:right="160" w:hanging="172"/>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76,495,568 Shares outstanding immediately after the closing of the Issuer’s follow-on offering and related private placement of Shares on November 21, 2022, as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SCHEDULE 13D</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5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40" w:type="dxa"/>
            <w:vAlign w:val="bottom"/>
            <w:tcBorders>
              <w:bottom w:val="single" w:sz="8" w:color="auto"/>
            </w:tcBorders>
            <w:gridSpan w:val="4"/>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Lair BDSX GRAT 2022-3.2</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40" w:type="dxa"/>
            <w:vAlign w:val="bottom"/>
            <w:tcBorders>
              <w:bottom w:val="single" w:sz="8" w:color="auto"/>
            </w:tcBorders>
            <w:gridSpan w:val="4"/>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8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20" w:type="dxa"/>
            <w:vAlign w:val="bottom"/>
            <w:shd w:val="clear" w:color="auto" w:fill="BFBFBF"/>
          </w:tcPr>
          <w:p>
            <w:pPr>
              <w:spacing w:after="0"/>
              <w:rPr>
                <w:sz w:val="20"/>
                <w:szCs w:val="20"/>
                <w:color w:val="auto"/>
              </w:rPr>
            </w:pPr>
          </w:p>
        </w:tc>
        <w:tc>
          <w:tcPr>
            <w:tcW w:w="108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20" w:type="dxa"/>
            <w:vAlign w:val="bottom"/>
            <w:shd w:val="clear" w:color="auto" w:fill="BFBFBF"/>
          </w:tcPr>
          <w:p>
            <w:pPr>
              <w:spacing w:after="0"/>
              <w:rPr>
                <w:sz w:val="24"/>
                <w:szCs w:val="24"/>
                <w:color w:val="auto"/>
              </w:rPr>
            </w:pPr>
          </w:p>
        </w:tc>
        <w:tc>
          <w:tcPr>
            <w:tcW w:w="108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20" w:type="dxa"/>
            <w:vAlign w:val="bottom"/>
            <w:tcBorders>
              <w:bottom w:val="single" w:sz="8" w:color="auto"/>
            </w:tcBorders>
            <w:shd w:val="clear" w:color="auto" w:fill="BFBFBF"/>
          </w:tcPr>
          <w:p>
            <w:pPr>
              <w:spacing w:after="0"/>
              <w:rPr>
                <w:sz w:val="23"/>
                <w:szCs w:val="23"/>
                <w:color w:val="auto"/>
              </w:rPr>
            </w:pPr>
          </w:p>
        </w:tc>
        <w:tc>
          <w:tcPr>
            <w:tcW w:w="108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40" w:type="dxa"/>
            <w:vAlign w:val="bottom"/>
            <w:tcBorders>
              <w:bottom w:val="single" w:sz="8" w:color="auto"/>
            </w:tcBorders>
            <w:gridSpan w:val="4"/>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1,155,935</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692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6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1,155,935</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1,155,935</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40" w:type="dxa"/>
            <w:vAlign w:val="bottom"/>
            <w:gridSpan w:val="4"/>
            <w:vMerge w:val="continue"/>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 (1)</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76,495,568 Shares outstanding immediately after the closing of the Issuer’s follow-on offering and related private placement of Shares on November 21, 2022, as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SCHEDULE 13D</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6 of 10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40" w:type="dxa"/>
            <w:vAlign w:val="bottom"/>
            <w:tcBorders>
              <w:bottom w:val="single" w:sz="8" w:color="auto"/>
            </w:tcBorders>
            <w:gridSpan w:val="4"/>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Lawrence T. Kennedy, Jr.</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40" w:type="dxa"/>
            <w:vAlign w:val="bottom"/>
            <w:tcBorders>
              <w:bottom w:val="single" w:sz="8" w:color="auto"/>
            </w:tcBorders>
            <w:gridSpan w:val="4"/>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8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20" w:type="dxa"/>
            <w:vAlign w:val="bottom"/>
            <w:shd w:val="clear" w:color="auto" w:fill="BFBFBF"/>
          </w:tcPr>
          <w:p>
            <w:pPr>
              <w:spacing w:after="0"/>
              <w:rPr>
                <w:sz w:val="20"/>
                <w:szCs w:val="20"/>
                <w:color w:val="auto"/>
              </w:rPr>
            </w:pPr>
          </w:p>
        </w:tc>
        <w:tc>
          <w:tcPr>
            <w:tcW w:w="108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20" w:type="dxa"/>
            <w:vAlign w:val="bottom"/>
            <w:shd w:val="clear" w:color="auto" w:fill="BFBFBF"/>
          </w:tcPr>
          <w:p>
            <w:pPr>
              <w:spacing w:after="0"/>
              <w:rPr>
                <w:sz w:val="24"/>
                <w:szCs w:val="24"/>
                <w:color w:val="auto"/>
              </w:rPr>
            </w:pPr>
          </w:p>
        </w:tc>
        <w:tc>
          <w:tcPr>
            <w:tcW w:w="108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20" w:type="dxa"/>
            <w:vAlign w:val="bottom"/>
            <w:tcBorders>
              <w:bottom w:val="single" w:sz="8" w:color="auto"/>
            </w:tcBorders>
            <w:shd w:val="clear" w:color="auto" w:fill="BFBFBF"/>
          </w:tcPr>
          <w:p>
            <w:pPr>
              <w:spacing w:after="0"/>
              <w:rPr>
                <w:sz w:val="23"/>
                <w:szCs w:val="23"/>
                <w:color w:val="auto"/>
              </w:rPr>
            </w:pPr>
          </w:p>
        </w:tc>
        <w:tc>
          <w:tcPr>
            <w:tcW w:w="108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40" w:type="dxa"/>
            <w:vAlign w:val="bottom"/>
            <w:tcBorders>
              <w:bottom w:val="single" w:sz="8" w:color="auto"/>
            </w:tcBorders>
            <w:gridSpan w:val="4"/>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18,272 (1)</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14,827,404</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2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6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18,272 (1)</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69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14,827,404</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14,845,676 (1)</w:t>
            </w: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40" w:type="dxa"/>
            <w:vAlign w:val="bottom"/>
            <w:gridSpan w:val="4"/>
            <w:vMerge w:val="continue"/>
          </w:tcPr>
          <w:p>
            <w:pPr>
              <w:spacing w:after="0"/>
              <w:rPr>
                <w:sz w:val="7"/>
                <w:szCs w:val="7"/>
                <w:color w:val="auto"/>
              </w:rPr>
            </w:pPr>
          </w:p>
        </w:tc>
        <w:tc>
          <w:tcPr>
            <w:tcW w:w="10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19.4% (2)</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5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18,272 Shares that the Reporting Person has the right to acquire within 60 days of the date of this filing.</w:t>
      </w:r>
    </w:p>
    <w:p>
      <w:pPr>
        <w:spacing w:after="0" w:line="27" w:lineRule="exact"/>
        <w:rPr>
          <w:rFonts w:ascii="Times New Roman" w:cs="Times New Roman" w:eastAsia="Times New Roman" w:hAnsi="Times New Roman"/>
          <w:sz w:val="18"/>
          <w:szCs w:val="18"/>
          <w:color w:val="auto"/>
        </w:rPr>
      </w:pPr>
    </w:p>
    <w:p>
      <w:pPr>
        <w:jc w:val="both"/>
        <w:ind w:left="180" w:hanging="172"/>
        <w:spacing w:after="0" w:line="255"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76,495,568 Shares outstanding immediately after the closing of the Issuer’s follow-on offering and related private placement of Shares on November 21, 2022, as provided by the Issuer, plus 18,272 Shares that the Reporting Person has the right to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4960" w:val="left"/>
          <w:tab w:leader="none" w:pos="986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7 of 10 pages</w:t>
      </w:r>
    </w:p>
    <w:p>
      <w:pPr>
        <w:spacing w:after="0" w:line="171"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22"/>
          <w:szCs w:val="22"/>
          <w:b w:val="1"/>
          <w:bCs w:val="1"/>
          <w:color w:val="auto"/>
        </w:rPr>
        <w:t>Explanatory Note</w:t>
      </w:r>
      <w:r>
        <w:rPr>
          <w:rFonts w:ascii="Times New Roman" w:cs="Times New Roman" w:eastAsia="Times New Roman" w:hAnsi="Times New Roman"/>
          <w:sz w:val="22"/>
          <w:szCs w:val="22"/>
          <w:color w:val="auto"/>
        </w:rPr>
        <w:t>: The Reporting Persons previously reported beneficial ownership of the Shares (as defined herein)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most recently on November 30, 2022, pursuant to the provisions of Rule 13d-1(c) under the Act. This Statement on Schedule 13D is being filed because, effective January 3, 2023, the Reporting Persons no longer qualify to file on Schedule 13G pursuant to Rule 13d-1(c), as a result of Mr. Kennedy’s appointment to the board of directors of the Issuer. As such, the Reporting Persons are filing this Schedule 13D pursuant to Rule 13d-1(e) under the Act.</w:t>
      </w:r>
    </w:p>
    <w:p>
      <w:pPr>
        <w:spacing w:after="0" w:line="21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4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This Schedule 13D relates to the common stock, par value $0.001 per share (the “Shares”), of Biodesix, Inc. (the “Issuer”), whose principal executive offices are located at 2970 Wilderness Place, Suite 100, Boulder, Colorado 80301.</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(a-c,f) This Schedule 13D is filed on behalf of each of the following persons (collectively, the “Reporting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Persons”):</w:t>
      </w:r>
    </w:p>
    <w:p>
      <w:pPr>
        <w:spacing w:after="0" w:line="218" w:lineRule="exact"/>
        <w:rPr>
          <w:sz w:val="20"/>
          <w:szCs w:val="20"/>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T. Kennedy, Jr. Revocable Trust UAD 6/19/01 (the “Revocable Trust”),</w:t>
      </w:r>
    </w:p>
    <w:p>
      <w:pPr>
        <w:spacing w:after="0" w:line="2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T. Kennedy, Jr. Perpetuity Trust UAD 6/30/16 (the “Perpetuity Trust”),</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KFDI-B, LLC (“KFDI-B”),</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Lair BDSX GRAT 2022-3.2 (the “GRAT Trust”), and</w:t>
      </w:r>
    </w:p>
    <w:p>
      <w:pPr>
        <w:spacing w:after="0" w:line="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Lawrence T. Kennedy, Jr. (“Mr. Kennedy”).</w:t>
      </w:r>
    </w:p>
    <w:p>
      <w:pPr>
        <w:spacing w:after="0" w:line="22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Mr. Kennedy is a United States citizen, and is a private investor and a member of the Issuer’s board of directors (the “Board”). The Revocable Trust is organized under the laws of the State of Ohio, and Mr. Kennedy serves as sole trustee to the Revocable Trust. The Perpetuity Trust is organized under the laws of the State of Delaware, and Mr. Kennedy serves as investment direction advisor to the Perpetuity Trust. KFDI-B is organized under the laws of the State of Delaware, and Mr. Kennedy serves as manager of KFDI-B. The GRAT Trust is organized under the laws of the State of Delaware, and Mr. Kennedy serves as trustee to the GRAT Trust.</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The principal address of each of the Reporting Persons is 1700 Madison Road, Suite 200, Cincinnati, Ohio, 45206.</w:t>
      </w:r>
    </w:p>
    <w:p>
      <w:pPr>
        <w:spacing w:after="0" w:line="245" w:lineRule="exact"/>
        <w:rPr>
          <w:sz w:val="20"/>
          <w:szCs w:val="20"/>
          <w:color w:val="auto"/>
        </w:rPr>
      </w:pPr>
    </w:p>
    <w:p>
      <w:pPr>
        <w:ind w:firstLine="1304"/>
        <w:spacing w:after="0" w:line="258" w:lineRule="auto"/>
        <w:tabs>
          <w:tab w:leader="none" w:pos="165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has, during the last five years, been convicted in a criminal proceeding (excluding traffic violations or similar misdemeanors).</w:t>
      </w:r>
    </w:p>
    <w:p>
      <w:pPr>
        <w:spacing w:after="0" w:line="18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59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4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Prior to, in connection with, and subsequent to the Issuer’s initial public offering (the “IPO”), Mr. Kennedy, directly and indirectly through the Revocable Trust, the Perpetuity Trust and KFDI-B, participated in privately-negotiated transactions and equity financings involving Issuer securities, as described below. The following numbers reflect the 0.1684664-for-1 reverse stock split effected on the Shares on October 19, 2020.</w:t>
      </w:r>
    </w:p>
    <w:p>
      <w:pPr>
        <w:spacing w:after="0" w:line="20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Prior to the IPO, the Revocable Trust and the Perpetuity Trust acquired, in a series of transactions, an aggregate of 6,597,236 of the Issuer’s shares of the Issuer’s Series G Preferred Stock and Series H Preferred Stock (collectively, the "Preferred Stock") for an aggregate purchase price of approximately $5,986,821: the Revocable Trust acquired 4,594,651 shares of Preferred Stock and the Perpetuity Trust acquired 2,002,585 shares of Preferred Stock. Each of these shares of Preferred Stock converted into a Share at a conversion rate of 0.1684664 at the closing of the IPO for no additional consideration, for an aggregate 1,111,412 Shares: the Revocable Trust acquired 774,044 Shares and the Perpetuity Trust acquired 337,368 Shares.</w:t>
      </w:r>
    </w:p>
    <w:p>
      <w:pPr>
        <w:spacing w:after="0" w:line="19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Prior to the IPO, the Perpetuity Trust acquired $1,885,111.95 principal of the Issuer’s 3% Convertible Debt, due June 30, 2021. The 3% Convertible Debt paid interest at 3% per annum. Upon closing of the IPO, the outstanding principal and unpaid accrued interest on the Perpetuity Trust’s 3% Convertible Debt automatically converted into an aggregate 133,689 Shares at a conversion price of $14.40, or 80% of the $18 IPO price per Share.</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In connection with the closing of the Issuer’s IPO on October 30, 2020, KFDI-B purchased 166,666 Shares at the IPO price of $18 per Share.</w:t>
      </w:r>
    </w:p>
    <w:p>
      <w:pPr>
        <w:spacing w:after="0" w:line="1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On December 30, 2021, the Revocable Trust purchased 850,917 Shares and the Perpetuity Trust purchased 298,508 Shares, each at a price of $4.35 per Share, in a registered at-the-market offering, for an aggregate purchase price of $4,999,998.75.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1" w:gutter="0" w:footer="0" w:header="0"/>
        </w:sectPr>
      </w:pPr>
    </w:p>
    <w:bookmarkStart w:id="7" w:name="page8"/>
    <w:bookmarkEnd w:id="7"/>
    <w:p>
      <w:pPr>
        <w:spacing w:after="0"/>
        <w:tabs>
          <w:tab w:leader="none" w:pos="4960" w:val="left"/>
          <w:tab w:leader="none" w:pos="986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8 of 10 pages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On March 4, 2022, 1,624,961 Shares previously held by the Revocable Trust were transferred to the GRAT Trust.</w:t>
      </w:r>
    </w:p>
    <w:p>
      <w:pPr>
        <w:spacing w:after="0" w:line="24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On April 7, 2022, the Reporting Persons entered into a subscription agreement with the Issuer, pursuant to which the Revocable Trust agreed to purchase 418,994 Shares and the Perpetuity Trust agreed to purchase 977,653 Shares, each at a price of $1.79 per Share.</w:t>
      </w:r>
    </w:p>
    <w:p>
      <w:pPr>
        <w:spacing w:after="0" w:line="20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On September 27, 2022, 469,026 Shares previously held by the GRAT Trust were transferred back to the Revocable Trust as an annuity payment.</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On November 21, 2022, the Revocable Trust purchased 8,260,869 Shares and the Perpetuity Trust purchased 2,608,696 Shares, each at a price of $1.15 per Share, in a registered underwritten follow-on offering by the Issuer.</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On January 3, 2023, in connection with the appointment of Mr. Kennedy to the Issuer’s Board, Mr. Kennedy was awarded for no additional consideration:</w:t>
      </w:r>
    </w:p>
    <w:p>
      <w:pPr>
        <w:spacing w:after="0" w:line="194" w:lineRule="exact"/>
        <w:rPr>
          <w:sz w:val="20"/>
          <w:szCs w:val="20"/>
          <w:color w:val="auto"/>
        </w:rPr>
      </w:pPr>
    </w:p>
    <w:p>
      <w:pPr>
        <w:jc w:val="both"/>
        <w:ind w:left="1960" w:hanging="656"/>
        <w:spacing w:after="0" w:line="254"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27,408 restricted stock units (“RSUs”), each one of which represents a contingent right to receive one Share, which will vest in full on March 31, 2023, generally subject to Mr. Kennedy’s continued service on the Issuer's Board. The Shares underlying these RSUs will be issued to Mr. Kennedy following Mr. Kennedy’s separation from service to the Issuer. In the event Mr. Kennedy’s continued service on the Board terminates other than for cause, these RSUs will vest on a prorated basis based on the number of full months of service Mr. Kennedy completed during the applicable vesting period. Accordingly, within 60 days of the date of this filing, a total of 18,272 of these RSUs would vest on a prorated basis if Mr. Kennedy’s continued service were to terminate other than for cause; the remaining 9,136 RSUs that would not vest within 60 days of the date of this filing have been omitted from Mr. Kennedy’s beneficial ownership as reported herein.</w:t>
      </w:r>
    </w:p>
    <w:p>
      <w:pPr>
        <w:spacing w:after="0" w:line="218"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91,463 RSUs that will vest in full on January 3, 2024, generally subject to Mr. Kennedy’s continued service on the Issuer's Board. The Shares underlying these RSUs will be issued to Mr. Kennedy following Mr. Kennedy’s separation from service to the Issuer. Accordingly, for purposes of this Schedule 13D filing, the 91,463 RSUs that would not vest within 60 days of the date of this filing have been omitted from Mr. Kennedy’s beneficial ownership as reported herein.</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option representing the right to acquire 124,998 Shares at an exercise price of $2.05, which vests 40% on January 3, 2025, and the remaining 60% in 36 successive, equal monthly installments measured from January 3, 2025, generally subject to Mr. Kennedy’s continued service on the Issuer's Board. Accordingly, for purposes of this Schedule 13D filing, the 124,998 Shares that would not be acquired upon the exercise of this option within 60 days of the date of this filing have been omitted from Mr. Kennedy’s beneficial ownership as reported herein.</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Shares reported herein were acquired using personal funds of the Reporting Persons.</w:t>
      </w:r>
    </w:p>
    <w:p>
      <w:pPr>
        <w:spacing w:after="0" w:line="23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response to Item 3 of this Schedule 13D is incorporated by reference herein.</w:t>
      </w:r>
    </w:p>
    <w:p>
      <w:pPr>
        <w:spacing w:after="0" w:line="23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The Reporting Persons hold their securities of the Issuer for investment purposes in the ordinary course of their business of investing in securities for their own accounts. Mr. Kennedy has served as a director on the Issuer’s Board since January 3, 2023. In such capacity, Mr. Kennedy may engage in communications with the Board, members of management, other shareholders, financial and legal advisers and other parties regarding the Issuer, including but not limited to its operations, governance and control.</w:t>
      </w:r>
    </w:p>
    <w:p>
      <w:pPr>
        <w:spacing w:after="0" w:line="204"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1"/>
          <w:szCs w:val="21"/>
          <w:color w:val="auto"/>
        </w:rPr>
        <w:t>The Reporting Persons expect to review from time to time their investment in the Issuer and may, depending on the market and other conditions and subject to applicable law: (i) acquire beneficial ownership of additional Shares in the open market, in privately negotiated transactions or otherwise; (ii) dispose of all or part of their holdings of securities of the Issuer; or</w:t>
      </w:r>
    </w:p>
    <w:p>
      <w:pPr>
        <w:spacing w:after="0" w:line="1" w:lineRule="exact"/>
        <w:rPr>
          <w:sz w:val="20"/>
          <w:szCs w:val="20"/>
          <w:color w:val="auto"/>
        </w:rPr>
      </w:pPr>
    </w:p>
    <w:p>
      <w:pPr>
        <w:ind w:firstLine="8"/>
        <w:spacing w:after="0" w:line="237" w:lineRule="auto"/>
        <w:tabs>
          <w:tab w:leader="none" w:pos="38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other actions which could involve one or more of the types of transactions or have one or more of the results described in Item 4 of Schedule 13D.</w:t>
      </w:r>
    </w:p>
    <w:p>
      <w:pPr>
        <w:spacing w:after="0" w:line="205"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Except as set forth herein, the Reporting Persons do not have any plans or proposals which relate to, or could result in, any of the matters referred to in paragraphs (a) through (j), inclusive, of the instructions to Item 4 of Schedule 13D. The Reporting Persons may, at any time and from time to time, review or reconsider their position and/or change their purpose and/or formulate plans or proposals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4960" w:val="left"/>
          <w:tab w:leader="none" w:pos="986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9 of 10 pages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4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(a, b) As of the date hereof, Mr. Kennedy may be deemed to beneficially own, in the aggregate, 14,845,676 Shares, which represents approximately 19.4% of the Shares outstanding.</w:t>
      </w:r>
    </w:p>
    <w:p>
      <w:pPr>
        <w:spacing w:after="0" w:line="18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Mr. Kennedy’s beneficial ownership consists of (1) 18,272 Shares that Mr. Kennedy has the right to acquire upon vesting and settlement of RSUs within 60 days of the date of this filing, (2) 9,148,889 Shares held directly by the Revocable Trust, which represents approximately 12.0% of the Shares outstanding, (3) 4,355,914 Shares held directly by the Perpetuity Trust, which represents approximately 5.7% of the Shares outstanding, (4) 166,666 Shares held directly by KFDI-B, which represents approximately 0.2% of the Shares outstanding, and (5) 1,155,935 Shares held directly by the GRAT Trust, which represents approximately 1.5% of the Shares outstanding.</w:t>
      </w:r>
    </w:p>
    <w:p>
      <w:pPr>
        <w:spacing w:after="0" w:line="208"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The foregoing beneficial ownership percentages are based on a total of 76,495,568 Shares outstanding immediately after the closing of the Issuer’s follow-on offering and related private placement of Shares on November 21, 2022, as provided by the Issuer, plus, for purposes of calculating Mr. Kennedy’s beneficial ownership percentage, 18,272 Shares that Mr. Kennedy has the right to acquire within 60 days of the date of this filing.</w:t>
      </w:r>
    </w:p>
    <w:p>
      <w:pPr>
        <w:spacing w:after="0" w:line="207"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As sole trustee of the Revocable Trust, investment direction advisor of the Perpetuity Trust, manager of KFDI-B, and trustee of the GRAT Trust, Mr. Kennedy shares with each of the Revocable Trust, the Perpetuity Trust, KFDI-B and the GRAT Trust the power to vote or direct the vote, and the power to dispose or direct the disposition of, the Shares beneficially owned by each of the Revocable Trust, the Perpetuity Trust, KFDI-B and the GRAT Trust.</w:t>
      </w:r>
    </w:p>
    <w:p>
      <w:pPr>
        <w:spacing w:after="0" w:line="207" w:lineRule="exact"/>
        <w:rPr>
          <w:sz w:val="20"/>
          <w:szCs w:val="20"/>
          <w:color w:val="auto"/>
        </w:rPr>
      </w:pPr>
    </w:p>
    <w:p>
      <w:pPr>
        <w:ind w:firstLine="1304"/>
        <w:spacing w:after="0" w:line="258" w:lineRule="auto"/>
        <w:tabs>
          <w:tab w:leader="none" w:pos="162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 to Item 3 is incorporated by reference herein. Except as set forth in this Schedule 13D, no transactions in the Shares have been effected by the Reporting Persons within the past 60 days.</w:t>
      </w:r>
    </w:p>
    <w:p>
      <w:pPr>
        <w:spacing w:after="0" w:line="185" w:lineRule="exact"/>
        <w:rPr>
          <w:rFonts w:ascii="Times New Roman" w:cs="Times New Roman" w:eastAsia="Times New Roman" w:hAnsi="Times New Roman"/>
          <w:sz w:val="22"/>
          <w:szCs w:val="22"/>
          <w:color w:val="auto"/>
        </w:rPr>
      </w:pPr>
    </w:p>
    <w:p>
      <w:pPr>
        <w:jc w:val="both"/>
        <w:ind w:firstLine="1304"/>
        <w:spacing w:after="0" w:line="239" w:lineRule="auto"/>
        <w:tabs>
          <w:tab w:leader="none" w:pos="160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Kennedy’s descendants have the right to receive or the power to direct the receipt of dividends from, or the proceeds from the sale of, the Shares held directly by the Perpetuity Trust, KFDI-B and the GRAT Trust. Except as set forth in this Schedule 13D, to the knowledge of the Reporting Persons, no other person had the right to receive or the power to direct the receipt of dividends from, or the proceeds from the sale of, the Shares covered by this Schedule 13D.</w:t>
      </w:r>
    </w:p>
    <w:p>
      <w:pPr>
        <w:spacing w:after="0" w:line="207"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responses to Item 3 and Item 4 of this Schedule 13D are incorporated by reference herein.</w:t>
      </w:r>
    </w:p>
    <w:p>
      <w:pPr>
        <w:spacing w:after="0" w:line="233"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Except as otherwise set forth in this Schedule 13D, there are no contracts, arrangements, understandings or relationships between the Reporting Persons and any other person with respect to any securities of the Issuer.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Material to be Filed as Exhibits</w:t>
            </w:r>
          </w:p>
        </w:tc>
      </w:tr>
      <w:tr>
        <w:trPr>
          <w:trHeight w:val="41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Exhibit 1</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Joint Filing Agreement, dated as of January 13, 2023, by and among Lawrence T. Kennedy, Jr. Revocable Trust UAD 6/19/01, Lawrence</w:t>
            </w:r>
          </w:p>
        </w:tc>
      </w:tr>
      <w:tr>
        <w:trPr>
          <w:trHeight w:val="237"/>
        </w:trPr>
        <w:tc>
          <w:tcPr>
            <w:tcW w:w="6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 Kennedy, Jr. Perpetuity Trust UAD 6/30/16, KFDI-B LLC, Lair BDSX GRAT 2022-3.2 and Lawrence T. Kennedy, Jr.</w:t>
            </w:r>
          </w:p>
        </w:tc>
      </w:tr>
      <w:tr>
        <w:trPr>
          <w:trHeight w:val="439"/>
        </w:trPr>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spacing w:after="0"/>
        <w:tabs>
          <w:tab w:leader="none" w:pos="4960" w:val="left"/>
          <w:tab w:leader="none" w:pos="978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10 of 10 pages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LAWRENCE T. KENNEDY, JR. REVOCABLE TRUST UAD 6/19/01</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Lawrence T. Kennedy,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Lawrence T. Kennedy, Jr.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LAWRENCE T. KENNEDY, JR. PERPETUITY TRUST UAD 6/30/16</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Susan Callahan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Susan Callahan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Bryn Mawr Trust Company of Delaware, 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LAIR BDSX GRAT 2022-3.2</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Lawrence T. Kennedy,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Lawrence T. Kennedy, Jr.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KFDI-B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Lawrence T. Kennedy,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-7620</wp:posOffset>
            </wp:positionV>
            <wp:extent cx="1329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Lawrence T. Kennedy, Jr.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Lawrence T. Kennedy, Jr.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Lawrence T. Kennedy, Jr.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Attention: Intentional misstatements or omissions of fact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22"/>
          <w:szCs w:val="22"/>
          <w:color w:val="auto"/>
        </w:rPr>
        <w:t>The undersigned hereby agree that the statement on Schedule 13D with respect to the common stock of Biodesix, Inc. dated as of January 13, 2023 is, and any amendments thereto (including amendments on Schedule 13G) signed by each of the undersigned shall be, filed on behalf of each of us pursuant to and in accordance with the provisions of Rule 13d-1(k) under the Securities Exchange Act of 1934.</w:t>
      </w:r>
    </w:p>
    <w:p>
      <w:pPr>
        <w:spacing w:after="0" w:line="2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LAWRENCE T. KENNEDY, JR. REVOCABLE TRUST UAD 6/19/01</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Lawrence T. Kennedy,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Lawrence T. Kennedy, Jr.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LAWRENCE T. KENNEDY, JR. PERPETUITY TRUST UAD 6/30/16</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Susan Callahan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Susan Callahan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Bryn Mawr Trust Company of Delaware, 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LAIR BDSX GRAT 2022-3.2</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Lawrence T. Kennedy,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Lawrence T. Kennedy, Jr.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KFDI-B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Lawrence T. Kennedy,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Lawrence T. Kennedy, Jr.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Lawrence T. Kennedy, Jr.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Lawrence T. Kennedy, Jr.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2023-01-13T15:49:26Z</dcterms:created>
  <dcterms:modified xsi:type="dcterms:W3CDTF">2023-01-13T15:49:26Z</dcterms:modified>
</cp:coreProperties>
</file>