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16510</wp:posOffset>
            </wp:positionV>
            <wp:extent cx="7045960" cy="48571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857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Pestano Gary Anthony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 w:right="1060"/>
        <w:spacing w:after="0" w:line="30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2970 WILDERNESS PLACE SUITE 100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BIODESIX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BDSX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06/29/2021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65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Development Officer</w:t>
      </w:r>
    </w:p>
    <w:p>
      <w:pPr>
        <w:spacing w:after="0" w:line="4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3" w:space="720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 w:line="9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BOULDER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80301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92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Options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13.72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06/29/2021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06/28/2031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1,000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This option vests in a series of sixty (60) successive equal monthly installments measured from March 12, 2021, subject to the reporting person's continuous service through the applicable vesting date.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Robin H. Cowie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-10795</wp:posOffset>
            </wp:positionV>
            <wp:extent cx="94361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Attorney-in-Fact for Gary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07/01/2021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188150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15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Pestano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-15240</wp:posOffset>
            </wp:positionV>
            <wp:extent cx="333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827711" TargetMode="External"/><Relationship Id="rId13" Type="http://schemas.openxmlformats.org/officeDocument/2006/relationships/hyperlink" Target="http://www.sec.gov/cgi-bin/browse-edgar?action=getcompany&amp;CIK=00014397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2021-07-01T17:28:39Z</dcterms:created>
  <dcterms:modified xsi:type="dcterms:W3CDTF">2021-07-01T17:28:39Z</dcterms:modified>
</cp:coreProperties>
</file>