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8" w:lineRule="exact"/>
        <w:rPr>
          <w:sz w:val="24"/>
          <w:szCs w:val="24"/>
          <w:color w:val="auto"/>
        </w:rPr>
      </w:pPr>
    </w:p>
    <w:p>
      <w:pPr>
        <w:ind w:left="3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-232410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6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-616585</wp:posOffset>
            </wp:positionV>
            <wp:extent cx="57785" cy="629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13335</wp:posOffset>
            </wp:positionV>
            <wp:extent cx="7047230" cy="5375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37591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Hutton Scott</w:t>
        </w:r>
      </w:hyperlink>
    </w:p>
    <w:p>
      <w:pPr>
        <w:spacing w:after="0" w:line="30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right="1100"/>
        <w:spacing w:after="0" w:line="344" w:lineRule="auto"/>
        <w:rPr>
          <w:sz w:val="20"/>
          <w:szCs w:val="20"/>
          <w:color w:val="auto"/>
        </w:rPr>
      </w:pPr>
      <w:r>
        <w:rPr>
          <w:rFonts w:ascii="Arial" w:cs="Arial" w:eastAsia="Arial" w:hAnsi="Arial"/>
          <w:sz w:val="16"/>
          <w:szCs w:val="16"/>
          <w:color w:val="0000FF"/>
        </w:rPr>
        <w:t>2970 WILDERNESS PLACE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BIODESIX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BDSX</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color w:val="0000FF"/>
        </w:rPr>
        <w:t>02/23/2021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2" w:right="660" w:firstLine="2"/>
        <w:spacing w:after="0" w:line="234"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198" w:type="dxa"/>
        <w:tblCellMar>
          <w:top w:w="0" w:type="dxa"/>
          <w:left w:w="0" w:type="dxa"/>
          <w:bottom w:w="0" w:type="dxa"/>
          <w:right w:w="0" w:type="dxa"/>
        </w:tblCellMar>
      </w:tblPr>
      <w:tr>
        <w:trPr>
          <w:trHeight w:val="209"/>
        </w:trPr>
        <w:tc>
          <w:tcPr>
            <w:tcW w:w="220" w:type="dxa"/>
            <w:vAlign w:val="bottom"/>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2"/>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998"/>
        <w:spacing w:after="0"/>
        <w:rPr>
          <w:sz w:val="20"/>
          <w:szCs w:val="20"/>
          <w:color w:val="auto"/>
        </w:rPr>
      </w:pPr>
      <w:r>
        <w:rPr>
          <w:rFonts w:ascii="Arial" w:cs="Arial" w:eastAsia="Arial" w:hAnsi="Arial"/>
          <w:sz w:val="16"/>
          <w:szCs w:val="16"/>
          <w:color w:val="0000FF"/>
        </w:rPr>
        <w:t>President &amp; CEO</w:t>
      </w:r>
    </w:p>
    <w:p>
      <w:pPr>
        <w:spacing w:after="0" w:line="407" w:lineRule="exact"/>
        <w:rPr>
          <w:sz w:val="24"/>
          <w:szCs w:val="24"/>
          <w:color w:val="auto"/>
        </w:rPr>
      </w:pPr>
    </w:p>
    <w:p>
      <w:pPr>
        <w:sectPr>
          <w:pgSz w:w="11900" w:h="16838" w:orient="portrait"/>
          <w:cols w:equalWidth="0" w:num="3">
            <w:col w:w="3200" w:space="720"/>
            <w:col w:w="3102" w:space="720"/>
            <w:col w:w="3338"/>
          </w:cols>
          <w:pgMar w:left="460" w:top="220" w:right="359" w:bottom="144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6"/>
                <w:szCs w:val="16"/>
                <w:color w:val="0000FF"/>
              </w:rPr>
              <w:t>BOULDER</w:t>
            </w:r>
          </w:p>
        </w:tc>
        <w:tc>
          <w:tcPr>
            <w:tcW w:w="1020" w:type="dxa"/>
            <w:vAlign w:val="bottom"/>
          </w:tcPr>
          <w:p>
            <w:pPr>
              <w:ind w:left="220"/>
              <w:spacing w:after="0"/>
              <w:rPr>
                <w:sz w:val="20"/>
                <w:szCs w:val="20"/>
                <w:color w:val="auto"/>
              </w:rPr>
            </w:pPr>
            <w:r>
              <w:rPr>
                <w:rFonts w:ascii="Arial" w:cs="Arial" w:eastAsia="Arial" w:hAnsi="Arial"/>
                <w:sz w:val="16"/>
                <w:szCs w:val="16"/>
                <w:color w:val="0000FF"/>
              </w:rPr>
              <w:t>CO</w:t>
            </w:r>
          </w:p>
        </w:tc>
        <w:tc>
          <w:tcPr>
            <w:tcW w:w="1620" w:type="dxa"/>
            <w:vAlign w:val="bottom"/>
          </w:tcPr>
          <w:p>
            <w:pPr>
              <w:ind w:left="420"/>
              <w:spacing w:after="0"/>
              <w:rPr>
                <w:sz w:val="20"/>
                <w:szCs w:val="20"/>
                <w:color w:val="auto"/>
              </w:rPr>
            </w:pPr>
            <w:r>
              <w:rPr>
                <w:rFonts w:ascii="Arial" w:cs="Arial" w:eastAsia="Arial" w:hAnsi="Arial"/>
                <w:sz w:val="16"/>
                <w:szCs w:val="16"/>
                <w:color w:val="0000FF"/>
              </w:rPr>
              <w:t>80301</w:t>
            </w:r>
          </w:p>
        </w:tc>
      </w:tr>
      <w:tr>
        <w:trPr>
          <w:trHeight w:val="148"/>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5"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42" w:lineRule="exact"/>
        <w:rPr>
          <w:sz w:val="24"/>
          <w:szCs w:val="24"/>
          <w:color w:val="auto"/>
        </w:rPr>
      </w:pPr>
    </w:p>
    <w:p>
      <w:pPr>
        <w:sectPr>
          <w:pgSz w:w="11900" w:h="16838" w:orient="portrait"/>
          <w:cols w:equalWidth="0" w:num="2">
            <w:col w:w="3760" w:space="160"/>
            <w:col w:w="716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ind w:left="84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40" w:type="dxa"/>
            <w:vAlign w:val="bottom"/>
          </w:tcPr>
          <w:p>
            <w:pPr>
              <w:ind w:left="84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5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 of</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Options</w:t>
            </w: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0.77</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02/23/2021</w:t>
            </w:r>
          </w:p>
        </w:tc>
        <w:tc>
          <w:tcPr>
            <w:tcW w:w="108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680" w:type="dxa"/>
            <w:vAlign w:val="bottom"/>
            <w:vMerge w:val="restart"/>
          </w:tcPr>
          <w:p>
            <w:pPr>
              <w:jc w:val="center"/>
              <w:spacing w:after="0" w:line="263" w:lineRule="exact"/>
              <w:rPr>
                <w:sz w:val="20"/>
                <w:szCs w:val="20"/>
                <w:color w:val="auto"/>
              </w:rPr>
            </w:pPr>
            <w:r>
              <w:rPr>
                <w:rFonts w:ascii="Arial" w:cs="Arial" w:eastAsia="Arial" w:hAnsi="Arial"/>
                <w:sz w:val="25"/>
                <w:szCs w:val="25"/>
                <w:color w:val="0000FF"/>
                <w:w w:val="75"/>
                <w:vertAlign w:val="subscript"/>
              </w:rPr>
              <w:t>8,423</w:t>
            </w:r>
            <w:r>
              <w:rPr>
                <w:rFonts w:ascii="Arial" w:cs="Arial" w:eastAsia="Arial" w:hAnsi="Arial"/>
                <w:sz w:val="11"/>
                <w:szCs w:val="11"/>
                <w:color w:val="008000"/>
                <w:w w:val="75"/>
              </w:rPr>
              <w:t>(1)(2)</w:t>
            </w:r>
          </w:p>
        </w:tc>
        <w:tc>
          <w:tcPr>
            <w:tcW w:w="28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96"/>
              </w:rPr>
              <w:t>(1)(2)</w:t>
            </w: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w w:val="95"/>
              </w:rPr>
              <w:t>03/21/2029</w:t>
            </w:r>
          </w:p>
        </w:tc>
        <w:tc>
          <w:tcPr>
            <w:tcW w:w="680" w:type="dxa"/>
            <w:vAlign w:val="bottom"/>
          </w:tcPr>
          <w:p>
            <w:pPr>
              <w:ind w:left="80"/>
              <w:spacing w:after="0" w:line="140"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8,423</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0000FF"/>
                <w:w w:val="85"/>
              </w:rPr>
              <w:t>8,423</w:t>
            </w:r>
          </w:p>
        </w:tc>
        <w:tc>
          <w:tcPr>
            <w:tcW w:w="7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160"/>
              <w:spacing w:after="0" w:line="140" w:lineRule="exact"/>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Options</w:t>
            </w: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0.77</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03/10/2022</w:t>
            </w:r>
          </w:p>
        </w:tc>
        <w:tc>
          <w:tcPr>
            <w:tcW w:w="108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680" w:type="dxa"/>
            <w:vAlign w:val="bottom"/>
            <w:vMerge w:val="restart"/>
          </w:tcPr>
          <w:p>
            <w:pPr>
              <w:jc w:val="center"/>
              <w:spacing w:after="0" w:line="263" w:lineRule="exact"/>
              <w:rPr>
                <w:sz w:val="20"/>
                <w:szCs w:val="20"/>
                <w:color w:val="auto"/>
              </w:rPr>
            </w:pPr>
            <w:r>
              <w:rPr>
                <w:rFonts w:ascii="Arial" w:cs="Arial" w:eastAsia="Arial" w:hAnsi="Arial"/>
                <w:sz w:val="25"/>
                <w:szCs w:val="25"/>
                <w:color w:val="0000FF"/>
                <w:w w:val="75"/>
                <w:vertAlign w:val="subscript"/>
              </w:rPr>
              <w:t>8,423</w:t>
            </w:r>
            <w:r>
              <w:rPr>
                <w:rFonts w:ascii="Arial" w:cs="Arial" w:eastAsia="Arial" w:hAnsi="Arial"/>
                <w:sz w:val="11"/>
                <w:szCs w:val="11"/>
                <w:color w:val="008000"/>
                <w:w w:val="75"/>
              </w:rPr>
              <w:t>(1)(3)</w:t>
            </w:r>
          </w:p>
        </w:tc>
        <w:tc>
          <w:tcPr>
            <w:tcW w:w="28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96"/>
              </w:rPr>
              <w:t>(1)(3)</w:t>
            </w: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w w:val="95"/>
              </w:rPr>
              <w:t>03/21/2029</w:t>
            </w:r>
          </w:p>
        </w:tc>
        <w:tc>
          <w:tcPr>
            <w:tcW w:w="680" w:type="dxa"/>
            <w:vAlign w:val="bottom"/>
          </w:tcPr>
          <w:p>
            <w:pPr>
              <w:ind w:left="80"/>
              <w:spacing w:after="0" w:line="140"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8,423</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0000FF"/>
                <w:w w:val="90"/>
              </w:rPr>
              <w:t>16,846</w:t>
            </w:r>
          </w:p>
        </w:tc>
        <w:tc>
          <w:tcPr>
            <w:tcW w:w="7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160"/>
              <w:spacing w:after="0" w:line="140" w:lineRule="exact"/>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8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2.29</w:t>
            </w:r>
          </w:p>
        </w:tc>
        <w:tc>
          <w:tcPr>
            <w:tcW w:w="1060" w:type="dxa"/>
            <w:vAlign w:val="bottom"/>
          </w:tcPr>
          <w:p>
            <w:pPr>
              <w:jc w:val="center"/>
              <w:spacing w:after="0"/>
              <w:rPr>
                <w:sz w:val="20"/>
                <w:szCs w:val="20"/>
                <w:color w:val="auto"/>
              </w:rPr>
            </w:pPr>
            <w:r>
              <w:rPr>
                <w:rFonts w:ascii="Arial" w:cs="Arial" w:eastAsia="Arial" w:hAnsi="Arial"/>
                <w:sz w:val="13"/>
                <w:szCs w:val="13"/>
                <w:color w:val="0000FF"/>
                <w:w w:val="89"/>
              </w:rPr>
              <w:t>03/10/2022</w:t>
            </w:r>
          </w:p>
        </w:tc>
        <w:tc>
          <w:tcPr>
            <w:tcW w:w="108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680" w:type="dxa"/>
            <w:vAlign w:val="bottom"/>
          </w:tcPr>
          <w:p>
            <w:pPr>
              <w:jc w:val="center"/>
              <w:spacing w:after="0"/>
              <w:rPr>
                <w:sz w:val="20"/>
                <w:szCs w:val="20"/>
                <w:color w:val="auto"/>
              </w:rPr>
            </w:pPr>
            <w:r>
              <w:rPr>
                <w:rFonts w:ascii="Arial" w:cs="Arial" w:eastAsia="Arial" w:hAnsi="Arial"/>
                <w:sz w:val="13"/>
                <w:szCs w:val="13"/>
                <w:color w:val="0000FF"/>
                <w:w w:val="90"/>
              </w:rPr>
              <w:t>85,875</w:t>
            </w:r>
          </w:p>
        </w:tc>
        <w:tc>
          <w:tcPr>
            <w:tcW w:w="28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0000FF"/>
                <w:w w:val="89"/>
              </w:rPr>
              <w:t>03/10/2022</w:t>
            </w:r>
          </w:p>
        </w:tc>
        <w:tc>
          <w:tcPr>
            <w:tcW w:w="700" w:type="dxa"/>
            <w:vAlign w:val="bottom"/>
          </w:tcPr>
          <w:p>
            <w:pPr>
              <w:ind w:left="60"/>
              <w:spacing w:after="0"/>
              <w:rPr>
                <w:sz w:val="20"/>
                <w:szCs w:val="20"/>
                <w:color w:val="auto"/>
              </w:rPr>
            </w:pPr>
            <w:r>
              <w:rPr>
                <w:rFonts w:ascii="Arial" w:cs="Arial" w:eastAsia="Arial" w:hAnsi="Arial"/>
                <w:sz w:val="13"/>
                <w:szCs w:val="13"/>
                <w:color w:val="0000FF"/>
                <w:w w:val="95"/>
              </w:rPr>
              <w:t>03/09/2032</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tcPr>
          <w:p>
            <w:pPr>
              <w:jc w:val="center"/>
              <w:spacing w:after="0"/>
              <w:rPr>
                <w:sz w:val="20"/>
                <w:szCs w:val="20"/>
                <w:color w:val="auto"/>
              </w:rPr>
            </w:pPr>
            <w:r>
              <w:rPr>
                <w:rFonts w:ascii="Arial" w:cs="Arial" w:eastAsia="Arial" w:hAnsi="Arial"/>
                <w:sz w:val="16"/>
                <w:szCs w:val="16"/>
                <w:color w:val="0000FF"/>
                <w:w w:val="93"/>
              </w:rPr>
              <w:t>85,875</w:t>
            </w:r>
          </w:p>
        </w:tc>
        <w:tc>
          <w:tcPr>
            <w:tcW w:w="680" w:type="dxa"/>
            <w:vAlign w:val="bottom"/>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20" w:type="dxa"/>
            <w:vAlign w:val="bottom"/>
          </w:tcPr>
          <w:p>
            <w:pPr>
              <w:jc w:val="center"/>
              <w:spacing w:after="0"/>
              <w:rPr>
                <w:sz w:val="20"/>
                <w:szCs w:val="20"/>
                <w:color w:val="auto"/>
              </w:rPr>
            </w:pPr>
            <w:r>
              <w:rPr>
                <w:rFonts w:ascii="Arial" w:cs="Arial" w:eastAsia="Arial" w:hAnsi="Arial"/>
                <w:sz w:val="13"/>
                <w:szCs w:val="13"/>
                <w:color w:val="0000FF"/>
                <w:w w:val="90"/>
              </w:rPr>
              <w:t>85,875</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680" w:type="dxa"/>
            <w:vAlign w:val="bottom"/>
          </w:tcPr>
          <w:p>
            <w:pPr>
              <w:ind w:left="60"/>
              <w:spacing w:after="0" w:line="103" w:lineRule="exact"/>
              <w:rPr>
                <w:sz w:val="20"/>
                <w:szCs w:val="20"/>
                <w:color w:val="auto"/>
              </w:rPr>
            </w:pPr>
            <w:r>
              <w:rPr>
                <w:rFonts w:ascii="Arial" w:cs="Arial" w:eastAsia="Arial" w:hAnsi="Arial"/>
                <w:sz w:val="11"/>
                <w:szCs w:val="11"/>
                <w:color w:val="0000FF"/>
              </w:rPr>
              <w:t>(Right to</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ind w:left="160"/>
              <w:spacing w:after="0" w:line="103" w:lineRule="exact"/>
              <w:rPr>
                <w:sz w:val="20"/>
                <w:szCs w:val="20"/>
                <w:color w:val="auto"/>
              </w:rPr>
            </w:pPr>
            <w:r>
              <w:rPr>
                <w:rFonts w:ascii="Arial" w:cs="Arial" w:eastAsia="Arial" w:hAnsi="Arial"/>
                <w:sz w:val="11"/>
                <w:szCs w:val="11"/>
                <w:color w:val="0000FF"/>
              </w:rPr>
              <w:t>Stock</w:t>
            </w: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200"/>
        <w:spacing w:after="0" w:line="235"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22, 2019, the Reporting Person was granted an option to purchase 25,269 shares (as-adjusted for the 0.1684664-for-1 reverse stock split effected on October 19, 2020), the vesting of which was subject to the Issuer's satisfaction of certain performance criteria for each of the 2019, 2020 and 2021 fiscal years. The performance criteria was not met for fiscal year 2019, resulting in the cancellation of 8,423 shares underlying the option.</w:t>
      </w:r>
    </w:p>
    <w:p>
      <w:pPr>
        <w:spacing w:after="0" w:line="30" w:lineRule="exact"/>
        <w:rPr>
          <w:rFonts w:ascii="Arial" w:cs="Arial" w:eastAsia="Arial" w:hAnsi="Arial"/>
          <w:sz w:val="13"/>
          <w:szCs w:val="13"/>
          <w:color w:val="008000"/>
        </w:rPr>
      </w:pPr>
    </w:p>
    <w:p>
      <w:pPr>
        <w:ind w:left="40" w:right="260"/>
        <w:spacing w:after="0" w:line="242"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23, 2021, the Compensation Committee of the Issuer's board of directors (the "Compensation Committee") confirmed the performance criteria were met for fiscal year 2020, resulting in the vesting of 8,423 shares underlying the option.</w:t>
      </w:r>
    </w:p>
    <w:p>
      <w:pPr>
        <w:spacing w:after="0" w:line="28"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10, 2022, the Compensation Committee confirmed the performance criteria were met for fiscal year 2021, resulting in the vesting of 8,423 shares underlying the option.</w:t>
      </w:r>
    </w:p>
    <w:p>
      <w:pPr>
        <w:ind w:left="6600"/>
        <w:spacing w:after="0" w:line="184" w:lineRule="auto"/>
        <w:rPr>
          <w:sz w:val="20"/>
          <w:szCs w:val="20"/>
          <w:color w:val="auto"/>
        </w:rPr>
      </w:pPr>
      <w:r>
        <w:rPr>
          <w:rFonts w:ascii="Arial" w:cs="Arial" w:eastAsia="Arial" w:hAnsi="Arial"/>
          <w:sz w:val="16"/>
          <w:szCs w:val="16"/>
          <w:color w:val="0000FF"/>
        </w:rPr>
        <w:t xml:space="preserve">/s/ Robin H. Cowie as Attorney- </w:t>
      </w:r>
      <w:r>
        <w:rPr>
          <w:rFonts w:ascii="Arial" w:cs="Arial" w:eastAsia="Arial" w:hAnsi="Arial"/>
          <w:sz w:val="32"/>
          <w:szCs w:val="32"/>
          <w:color w:val="0000FF"/>
          <w:vertAlign w:val="subscript"/>
        </w:rPr>
        <w:t>03/14/2022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-26035</wp:posOffset>
            </wp:positionV>
            <wp:extent cx="13557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in-Fact for Scott Hutton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-14605</wp:posOffset>
            </wp:positionV>
            <wp:extent cx="10039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0393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-79375</wp:posOffset>
            </wp:positionV>
            <wp:extent cx="4768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4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spacing w:after="0" w:line="327"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97361" TargetMode="External"/><Relationship Id="rId13"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2022-03-14T16:52:56Z</dcterms:created>
  <dcterms:modified xsi:type="dcterms:W3CDTF">2022-03-14T16:52:56Z</dcterms:modified>
</cp:coreProperties>
</file>