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O'Kane Kieran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919 WEST DILLON RD</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LOUISVILLE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80027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BIODESIX INC</w:t>
              </w:r>
            </w:hyperlink>
            <w:r>
              <w:rPr/>
              <w:t xml:space="preserve"> [ </w:t>
            </w:r>
            <w:r>
              <w:rPr>
                <w:rFonts w:ascii="Times;serif" w:hAnsi="Times;serif"/>
                <w:color w:val="0000FF"/>
                <w:sz w:val="24"/>
                <w:shd w:fill="FFFFFF" w:val="clear"/>
              </w:rPr>
              <w:t>BDSX</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Commercial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11/08/2024</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43"/>
        <w:gridCol w:w="902"/>
        <w:gridCol w:w="772"/>
        <w:gridCol w:w="599"/>
        <w:gridCol w:w="347"/>
        <w:gridCol w:w="841"/>
        <w:gridCol w:w="451"/>
        <w:gridCol w:w="881"/>
        <w:gridCol w:w="1156"/>
        <w:gridCol w:w="993"/>
        <w:gridCol w:w="92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4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7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4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4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8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11/08/2024</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1,490</w:t>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97,910</w:t>
            </w:r>
            <w:r>
              <w:rPr>
                <w:rFonts w:ascii="Times;serif" w:hAnsi="Times;serif"/>
                <w:color w:val="008000"/>
                <w:position w:val="7"/>
                <w:sz w:val="16"/>
                <w:sz w:val="20"/>
                <w:shd w:fill="FFFFFF" w:val="clear"/>
              </w:rPr>
              <w:t>(2)</w:t>
            </w:r>
            <w:r>
              <w:rPr/>
              <w:t xml:space="preserve"> </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11/11/2024</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(3)</w:t>
            </w:r>
            <w:r>
              <w:rPr/>
              <w:t xml:space="preserve"> </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238</w:t>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1.3909</w:t>
            </w:r>
            <w:r>
              <w:rPr>
                <w:rFonts w:ascii="Times;serif" w:hAnsi="Times;serif"/>
                <w:color w:val="008000"/>
                <w:position w:val="7"/>
                <w:sz w:val="16"/>
                <w:sz w:val="20"/>
                <w:shd w:fill="FFFFFF" w:val="clear"/>
              </w:rPr>
              <w:t>(4)</w:t>
            </w:r>
            <w:r>
              <w:rPr/>
              <w:t xml:space="preserve"> </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97,672</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4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11/12/2024</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(3)</w:t>
            </w:r>
            <w:r>
              <w:rPr/>
              <w:t xml:space="preserve"> </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224</w:t>
            </w:r>
          </w:p>
        </w:tc>
        <w:tc>
          <w:tcPr>
            <w:tcW w:w="45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1.4008</w:t>
            </w:r>
            <w:r>
              <w:rPr>
                <w:rFonts w:ascii="Times;serif" w:hAnsi="Times;serif"/>
                <w:color w:val="008000"/>
                <w:position w:val="7"/>
                <w:sz w:val="16"/>
                <w:sz w:val="20"/>
                <w:shd w:fill="FFFFFF" w:val="clear"/>
              </w:rPr>
              <w:t>(5)</w:t>
            </w:r>
            <w:r>
              <w:rPr/>
              <w:t xml:space="preserve"> </w:t>
            </w:r>
          </w:p>
        </w:tc>
        <w:tc>
          <w:tcPr>
            <w:tcW w:w="11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97,448</w:t>
            </w:r>
          </w:p>
        </w:tc>
        <w:tc>
          <w:tcPr>
            <w:tcW w:w="99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96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276"/>
        <w:gridCol w:w="606"/>
        <w:gridCol w:w="906"/>
        <w:gridCol w:w="801"/>
        <w:gridCol w:w="891"/>
        <w:gridCol w:w="681"/>
        <w:gridCol w:w="801"/>
        <w:gridCol w:w="936"/>
        <w:gridCol w:w="831"/>
        <w:gridCol w:w="846"/>
      </w:tblGrid>
      <w:tr>
        <w:trPr>
          <w:tblHeader w:val="true"/>
        </w:trPr>
        <w:tc>
          <w:tcPr>
            <w:tcW w:w="1196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11/08/2024</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1,490</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(6)</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(6)</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1,490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7,447</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restricted stock unit (the "RSU") represents a contingent right to receive one share of the Issuer's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Includes 6,792 shares purchased under the Issuer's Employee Stock Purchase Plan on August 30, 2024.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These shares of the Issuer's Common Stock were sold automatically to cover taxes upon the vesting of RSUs.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price reported in Column 4 is a weighted average price of all shares sold on the transaction date by the Issuer's broker to cover taxes upon the vesting of RSUs for certain employees of the Issuer, including the Reporting Person. These shares were sold in multiple transactions at prices ranging from $1.36 to $1.42,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price reported in Column 4 is a weighted average price of all shares sold on the transaction date by the Issuer's broker to cover taxes upon the vesting of RSUs for certain employees of the Issuer, including the Reporting Person. These shares were sold in multiple transactions at prices ranging from $1.39 to $1.43,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These RSUs vest in a series of sixteen successive quarterly installments measured from February 8, 2022, generally subject to the Reporting Person's continued service with the Issuer, and have no expiration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Robin H. Cowie as Attorney-in-Fact for Kieran O'Kane</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11/13/2024</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28131" TargetMode="External"/><Relationship Id="rId5" Type="http://schemas.openxmlformats.org/officeDocument/2006/relationships/hyperlink" Target="http://www.sec.gov/cgi-bin/browse-edgar?action=getcompany&amp;CIK=000143972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890</Words>
  <Characters>4714</Characters>
  <CharactersWithSpaces>5518</CharactersWithSpaces>
  <Paragraphs>128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