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6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610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61004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180" w:space="460"/>
            <w:col w:w="8440"/>
          </w:cols>
          <w:pgMar w:left="460" w:top="214" w:right="359" w:bottom="1003"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Pestano Gary Anthony</w:t>
        </w:r>
      </w:hyperlink>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860" w:type="dxa"/>
            <w:vAlign w:val="bottom"/>
          </w:tcPr>
          <w:p>
            <w:pPr>
              <w:ind w:left="400"/>
              <w:spacing w:after="0"/>
              <w:rPr>
                <w:sz w:val="20"/>
                <w:szCs w:val="20"/>
                <w:color w:val="auto"/>
              </w:rPr>
            </w:pPr>
            <w:r>
              <w:rPr>
                <w:rFonts w:ascii="Arial" w:cs="Arial" w:eastAsia="Arial" w:hAnsi="Arial"/>
                <w:sz w:val="13"/>
                <w:szCs w:val="13"/>
                <w:color w:val="auto"/>
                <w:w w:val="93"/>
              </w:rPr>
              <w:t>(Middle)</w:t>
            </w:r>
          </w:p>
        </w:tc>
      </w:tr>
      <w:tr>
        <w:trPr>
          <w:trHeight w:val="258"/>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919 WEST DILLON RD</w:t>
            </w:r>
          </w:p>
        </w:tc>
        <w:tc>
          <w:tcPr>
            <w:tcW w:w="860" w:type="dxa"/>
            <w:vAlign w:val="bottom"/>
          </w:tcPr>
          <w:p>
            <w:pPr>
              <w:spacing w:after="0"/>
              <w:rPr>
                <w:sz w:val="22"/>
                <w:szCs w:val="22"/>
                <w:color w:val="auto"/>
              </w:rPr>
            </w:pPr>
          </w:p>
        </w:tc>
      </w:tr>
      <w:tr>
        <w:trPr>
          <w:trHeight w:val="467"/>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1"/>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LOUISVILLE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CO</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80027</w:t>
            </w:r>
          </w:p>
        </w:tc>
      </w:tr>
      <w:tr>
        <w:trPr>
          <w:trHeight w:val="455"/>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86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760" w:type="dxa"/>
            <w:vAlign w:val="bottom"/>
            <w:gridSpan w:val="3"/>
          </w:tcPr>
          <w:p>
            <w:pPr>
              <w:spacing w:after="0" w:line="20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BIODESIX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220" w:type="dxa"/>
            <w:vAlign w:val="bottom"/>
            <w:tcBorders>
              <w:top w:val="single" w:sz="8" w:color="0000EE"/>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2"/>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X</w:t>
            </w:r>
          </w:p>
        </w:tc>
        <w:tc>
          <w:tcPr>
            <w:tcW w:w="1360" w:type="dxa"/>
            <w:vAlign w:val="bottom"/>
            <w:vMerge w:val="restart"/>
          </w:tcPr>
          <w:p>
            <w:pPr>
              <w:ind w:left="120"/>
              <w:spacing w:after="0" w:line="148" w:lineRule="exact"/>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1"/>
        </w:trPr>
        <w:tc>
          <w:tcPr>
            <w:tcW w:w="14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02/08/2024</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0000FF"/>
              </w:rPr>
              <w:t>Chief Development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100"/>
        <w:spacing w:after="0" w:line="228"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5"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16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32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4" w:right="359" w:bottom="1003"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2"/>
          </w:tcPr>
          <w:p>
            <w:pPr>
              <w:ind w:left="78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7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0000FF"/>
              </w:rPr>
              <w:t>02/08/2024</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29,633</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86"/>
              </w:rPr>
              <w:t>A</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40" w:type="dxa"/>
            <w:vAlign w:val="bottom"/>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134,134</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02/09/2024</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5,862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1.9166</w:t>
            </w:r>
            <w:r>
              <w:rPr>
                <w:rFonts w:ascii="Times New Roman" w:cs="Times New Roman" w:eastAsia="Times New Roman" w:hAnsi="Times New Roman"/>
                <w:sz w:val="20"/>
                <w:szCs w:val="20"/>
                <w:color w:val="008000"/>
                <w:w w:val="99"/>
                <w:vertAlign w:val="superscript"/>
              </w:rPr>
              <w:t>(3)</w:t>
            </w:r>
          </w:p>
        </w:tc>
        <w:tc>
          <w:tcPr>
            <w:tcW w:w="124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128,272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02/12/2024</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5,022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1.6647</w:t>
            </w:r>
            <w:r>
              <w:rPr>
                <w:rFonts w:ascii="Times New Roman" w:cs="Times New Roman" w:eastAsia="Times New Roman" w:hAnsi="Times New Roman"/>
                <w:sz w:val="20"/>
                <w:szCs w:val="20"/>
                <w:color w:val="008000"/>
                <w:w w:val="99"/>
                <w:vertAlign w:val="superscript"/>
              </w:rPr>
              <w:t>(4)</w:t>
            </w:r>
          </w:p>
        </w:tc>
        <w:tc>
          <w:tcPr>
            <w:tcW w:w="124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123,250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9"/>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4"/>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w w:val="98"/>
              </w:rPr>
              <w:t>Derivative</w:t>
            </w:r>
          </w:p>
        </w:tc>
        <w:tc>
          <w:tcPr>
            <w:tcW w:w="360" w:type="dxa"/>
            <w:vAlign w:val="bottom"/>
          </w:tcPr>
          <w:p>
            <w:pPr>
              <w:spacing w:after="0"/>
              <w:rPr>
                <w:sz w:val="10"/>
                <w:szCs w:val="10"/>
                <w:color w:val="auto"/>
              </w:rPr>
            </w:pPr>
          </w:p>
        </w:tc>
        <w:tc>
          <w:tcPr>
            <w:tcW w:w="15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4"/>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360" w:type="dxa"/>
            <w:vAlign w:val="bottom"/>
          </w:tcPr>
          <w:p>
            <w:pPr>
              <w:spacing w:after="0"/>
              <w:rPr>
                <w:sz w:val="10"/>
                <w:szCs w:val="10"/>
                <w:color w:val="auto"/>
              </w:rPr>
            </w:pPr>
          </w:p>
        </w:tc>
        <w:tc>
          <w:tcPr>
            <w:tcW w:w="15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Acquired (A) or</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Disposed of (D)</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(Instr. 3, 4 and 5)</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color w:val="0000FF"/>
              </w:rPr>
              <w:t>64,381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02/08/2024</w:t>
            </w:r>
          </w:p>
        </w:tc>
        <w:tc>
          <w:tcPr>
            <w:tcW w:w="1060" w:type="dxa"/>
            <w:vAlign w:val="bottom"/>
          </w:tcPr>
          <w:p>
            <w:pPr>
              <w:spacing w:after="0"/>
              <w:rPr>
                <w:sz w:val="5"/>
                <w:szCs w:val="5"/>
                <w:color w:val="auto"/>
              </w:rPr>
            </w:pPr>
          </w:p>
        </w:tc>
        <w:tc>
          <w:tcPr>
            <w:tcW w:w="72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3"/>
              <w:spacing w:after="0" w:line="138" w:lineRule="exact"/>
              <w:rPr>
                <w:sz w:val="20"/>
                <w:szCs w:val="20"/>
                <w:color w:val="auto"/>
              </w:rPr>
            </w:pPr>
            <w:r>
              <w:rPr>
                <w:rFonts w:ascii="Times New Roman" w:cs="Times New Roman" w:eastAsia="Times New Roman" w:hAnsi="Times New Roman"/>
                <w:sz w:val="13"/>
                <w:szCs w:val="13"/>
                <w:color w:val="0000FF"/>
              </w:rPr>
              <w:t>64,381</w:t>
            </w:r>
          </w:p>
        </w:tc>
        <w:tc>
          <w:tcPr>
            <w:tcW w:w="3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64,381</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1.99</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02/08/2024</w:t>
            </w:r>
          </w:p>
        </w:tc>
        <w:tc>
          <w:tcPr>
            <w:tcW w:w="106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right"/>
              <w:ind w:right="63"/>
              <w:spacing w:after="0"/>
              <w:rPr>
                <w:sz w:val="20"/>
                <w:szCs w:val="20"/>
                <w:color w:val="auto"/>
              </w:rPr>
            </w:pPr>
            <w:r>
              <w:rPr>
                <w:rFonts w:ascii="Times New Roman" w:cs="Times New Roman" w:eastAsia="Times New Roman" w:hAnsi="Times New Roman"/>
                <w:sz w:val="13"/>
                <w:szCs w:val="13"/>
                <w:color w:val="0000FF"/>
              </w:rPr>
              <w:t>128,761</w:t>
            </w:r>
          </w:p>
        </w:tc>
        <w:tc>
          <w:tcPr>
            <w:tcW w:w="360" w:type="dxa"/>
            <w:vAlign w:val="bottom"/>
          </w:tcPr>
          <w:p>
            <w:pPr>
              <w:spacing w:after="0"/>
              <w:rPr>
                <w:sz w:val="17"/>
                <w:szCs w:val="17"/>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02/07/2034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128,761</w:t>
            </w:r>
          </w:p>
        </w:tc>
        <w:tc>
          <w:tcPr>
            <w:tcW w:w="40" w:type="dxa"/>
            <w:vAlign w:val="bottom"/>
          </w:tcPr>
          <w:p>
            <w:pPr>
              <w:spacing w:after="0"/>
              <w:rPr>
                <w:sz w:val="17"/>
                <w:szCs w:val="17"/>
                <w:color w:val="auto"/>
              </w:rPr>
            </w:pPr>
          </w:p>
        </w:tc>
        <w:tc>
          <w:tcPr>
            <w:tcW w:w="680" w:type="dxa"/>
            <w:vAlign w:val="bottom"/>
            <w:gridSpan w:val="2"/>
          </w:tcPr>
          <w:p>
            <w:pPr>
              <w:jc w:val="center"/>
              <w:ind w:right="2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128,761</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Pr>
          <w:p>
            <w:pPr>
              <w:ind w:left="60"/>
              <w:spacing w:after="0" w:line="75"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jc w:val="center"/>
              <w:spacing w:after="0" w:line="75" w:lineRule="exact"/>
              <w:rPr>
                <w:sz w:val="20"/>
                <w:szCs w:val="20"/>
                <w:color w:val="auto"/>
              </w:rPr>
            </w:pPr>
            <w:r>
              <w:rPr>
                <w:rFonts w:ascii="Times New Roman" w:cs="Times New Roman" w:eastAsia="Times New Roman" w:hAnsi="Times New Roman"/>
                <w:sz w:val="8"/>
                <w:szCs w:val="8"/>
                <w:color w:val="0000FF"/>
              </w:rPr>
              <w:t>Stock</w:t>
            </w: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color w:val="0000FF"/>
              </w:rPr>
              <w:t>1,378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02/08/2024</w:t>
            </w:r>
          </w:p>
        </w:tc>
        <w:tc>
          <w:tcPr>
            <w:tcW w:w="1060" w:type="dxa"/>
            <w:vAlign w:val="bottom"/>
          </w:tcPr>
          <w:p>
            <w:pPr>
              <w:spacing w:after="0"/>
              <w:rPr>
                <w:sz w:val="5"/>
                <w:szCs w:val="5"/>
                <w:color w:val="auto"/>
              </w:rPr>
            </w:pPr>
          </w:p>
        </w:tc>
        <w:tc>
          <w:tcPr>
            <w:tcW w:w="720" w:type="dxa"/>
            <w:vAlign w:val="bottom"/>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spacing w:after="0"/>
              <w:rPr>
                <w:sz w:val="5"/>
                <w:szCs w:val="5"/>
                <w:color w:val="auto"/>
              </w:rPr>
            </w:pPr>
          </w:p>
        </w:tc>
        <w:tc>
          <w:tcPr>
            <w:tcW w:w="360" w:type="dxa"/>
            <w:vAlign w:val="bottom"/>
            <w:vMerge w:val="restart"/>
          </w:tcPr>
          <w:p>
            <w:pPr>
              <w:jc w:val="right"/>
              <w:spacing w:after="0" w:line="138" w:lineRule="exact"/>
              <w:rPr>
                <w:sz w:val="20"/>
                <w:szCs w:val="20"/>
                <w:color w:val="auto"/>
              </w:rPr>
            </w:pPr>
            <w:r>
              <w:rPr>
                <w:rFonts w:ascii="Times New Roman" w:cs="Times New Roman" w:eastAsia="Times New Roman" w:hAnsi="Times New Roman"/>
                <w:sz w:val="13"/>
                <w:szCs w:val="13"/>
                <w:color w:val="0000FF"/>
              </w:rPr>
              <w:t>1,378</w:t>
            </w: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11,026</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color w:val="0000FF"/>
              </w:rPr>
              <w:t>28,255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02/08/2024</w:t>
            </w:r>
          </w:p>
        </w:tc>
        <w:tc>
          <w:tcPr>
            <w:tcW w:w="1060" w:type="dxa"/>
            <w:vAlign w:val="bottom"/>
          </w:tcPr>
          <w:p>
            <w:pPr>
              <w:spacing w:after="0"/>
              <w:rPr>
                <w:sz w:val="5"/>
                <w:szCs w:val="5"/>
                <w:color w:val="auto"/>
              </w:rPr>
            </w:pPr>
          </w:p>
        </w:tc>
        <w:tc>
          <w:tcPr>
            <w:tcW w:w="720" w:type="dxa"/>
            <w:vAlign w:val="bottom"/>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spacing w:after="0"/>
              <w:rPr>
                <w:sz w:val="5"/>
                <w:szCs w:val="5"/>
                <w:color w:val="auto"/>
              </w:rPr>
            </w:pPr>
          </w:p>
        </w:tc>
        <w:tc>
          <w:tcPr>
            <w:tcW w:w="360" w:type="dxa"/>
            <w:vAlign w:val="bottom"/>
            <w:vMerge w:val="restart"/>
          </w:tcPr>
          <w:p>
            <w:pPr>
              <w:jc w:val="right"/>
              <w:spacing w:after="0" w:line="138" w:lineRule="exact"/>
              <w:rPr>
                <w:sz w:val="20"/>
                <w:szCs w:val="20"/>
                <w:color w:val="auto"/>
              </w:rPr>
            </w:pPr>
            <w:r>
              <w:rPr>
                <w:rFonts w:ascii="Times New Roman" w:cs="Times New Roman" w:eastAsia="Times New Roman" w:hAnsi="Times New Roman"/>
                <w:sz w:val="13"/>
                <w:szCs w:val="13"/>
                <w:color w:val="0000FF"/>
                <w:w w:val="94"/>
              </w:rPr>
              <w:t>28,255</w:t>
            </w: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84,766</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-2743835</wp:posOffset>
            </wp:positionV>
            <wp:extent cx="28575" cy="2748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7489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38" w:lineRule="exact"/>
        <w:rPr>
          <w:rFonts w:ascii="Times New Roman" w:cs="Times New Roman" w:eastAsia="Times New Roman" w:hAnsi="Times New Roman"/>
          <w:sz w:val="13"/>
          <w:szCs w:val="13"/>
          <w:color w:val="008000"/>
        </w:rPr>
      </w:pPr>
    </w:p>
    <w:p>
      <w:pPr>
        <w:jc w:val="both"/>
        <w:ind w:left="40" w:right="280" w:hanging="2"/>
        <w:spacing w:after="0" w:line="292" w:lineRule="auto"/>
        <w:tabs>
          <w:tab w:leader="none" w:pos="165"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$1.8191 to $2.03,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price reported in Column 4 is a weighted average price of all shares sold on the transaction date by the Issuer's broker to cover taxes upon the vesting of RSUs for certain employees of the Issuer, including the</w:t>
      </w:r>
    </w:p>
    <w:p>
      <w:pPr>
        <w:spacing w:after="0" w:line="25" w:lineRule="exact"/>
        <w:rPr>
          <w:rFonts w:ascii="Times New Roman" w:cs="Times New Roman" w:eastAsia="Times New Roman" w:hAnsi="Times New Roman"/>
          <w:sz w:val="11"/>
          <w:szCs w:val="11"/>
          <w:color w:val="008000"/>
        </w:rPr>
      </w:pPr>
    </w:p>
    <w:p>
      <w:pPr>
        <w:ind w:left="40" w:right="160"/>
        <w:spacing w:after="0" w:line="230" w:lineRule="auto"/>
        <w:rPr>
          <w:rFonts w:ascii="Times New Roman" w:cs="Times New Roman" w:eastAsia="Times New Roman" w:hAnsi="Times New Roman"/>
          <w:sz w:val="11"/>
          <w:szCs w:val="11"/>
          <w:color w:val="008000"/>
        </w:rPr>
      </w:pPr>
      <w:r>
        <w:rPr>
          <w:rFonts w:ascii="Times New Roman" w:cs="Times New Roman" w:eastAsia="Times New Roman" w:hAnsi="Times New Roman"/>
          <w:sz w:val="13"/>
          <w:szCs w:val="13"/>
          <w:color w:val="008000"/>
        </w:rPr>
        <w:t>Reporting Person. These shares were sold in multiple transactions at prices ranging from $1.55 to $1.83,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These RSUs vest in a series of four successive equal annual installments measured from January 15, 2024, generally subject to the Reporting Person's continued service with the Issuer, and have no expiration date.</w:t>
      </w:r>
    </w:p>
    <w:p>
      <w:pPr>
        <w:spacing w:after="0" w:line="6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This option vests in a series of forty-eight successive equal monthly installments measured from January 15, 2024, generally subject to the Reporting Person's continuous service through each applicable vesting date.</w:t>
      </w:r>
    </w:p>
    <w:p>
      <w:pPr>
        <w:spacing w:after="0" w:line="6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These RSUs vest in a series of sixteen successive quarterly installments measured from February 8, 2022, generally subject to the Reporting Person's continued service with the Issuer, and have no expiration date.</w:t>
      </w:r>
    </w:p>
    <w:p>
      <w:pPr>
        <w:spacing w:after="0" w:line="6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These RSUs vest in a series of four successive equal annual installments measured from February 8, 2023, generally subject to the Reporting Person's continued service with the Issuer, and have no expiration date.</w:t>
      </w:r>
    </w:p>
    <w:p>
      <w:pPr>
        <w:ind w:left="6600"/>
        <w:spacing w:after="0" w:line="198" w:lineRule="auto"/>
        <w:rPr>
          <w:sz w:val="20"/>
          <w:szCs w:val="20"/>
          <w:color w:val="auto"/>
        </w:rPr>
      </w:pPr>
      <w:r>
        <w:rPr>
          <w:rFonts w:ascii="Times New Roman" w:cs="Times New Roman" w:eastAsia="Times New Roman" w:hAnsi="Times New Roman"/>
          <w:sz w:val="16"/>
          <w:szCs w:val="16"/>
          <w:color w:val="0000FF"/>
        </w:rPr>
        <w:t xml:space="preserve">/s/ Robin H. Cowie as Attorney- </w:t>
      </w:r>
      <w:r>
        <w:rPr>
          <w:rFonts w:ascii="Times New Roman" w:cs="Times New Roman" w:eastAsia="Times New Roman" w:hAnsi="Times New Roman"/>
          <w:sz w:val="32"/>
          <w:szCs w:val="32"/>
          <w:color w:val="0000FF"/>
          <w:vertAlign w:val="subscript"/>
        </w:rPr>
        <w:t>02/12/2024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36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Gary Pestano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017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790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-80010</wp:posOffset>
            </wp:positionV>
            <wp:extent cx="47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0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7711"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2024-02-12T20:50:18Z</dcterms:created>
  <dcterms:modified xsi:type="dcterms:W3CDTF">2024-02-12T20:50:18Z</dcterms:modified>
</cp:coreProperties>
</file>