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 2024</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5900" w:type="dxa"/>
            <w:vAlign w:val="bottom"/>
          </w:tcPr>
          <w:p>
            <w:pPr>
              <w:jc w:val="center"/>
              <w:ind w:right="33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2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20-3986492</w:t>
            </w:r>
          </w:p>
        </w:tc>
      </w:tr>
      <w:tr>
        <w:trPr>
          <w:trHeight w:val="148"/>
        </w:trPr>
        <w:tc>
          <w:tcPr>
            <w:tcW w:w="5900" w:type="dxa"/>
            <w:vAlign w:val="bottom"/>
          </w:tcPr>
          <w:p>
            <w:pPr>
              <w:jc w:val="center"/>
              <w:ind w:right="33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20" w:type="dxa"/>
            <w:vAlign w:val="bottom"/>
          </w:tcPr>
          <w:p>
            <w:pPr>
              <w:jc w:val="center"/>
              <w:ind w:left="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00" w:type="dxa"/>
            <w:vAlign w:val="bottom"/>
          </w:tcPr>
          <w:p>
            <w:pPr>
              <w:jc w:val="center"/>
              <w:ind w:right="33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2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5900" w:type="dxa"/>
            <w:vAlign w:val="bottom"/>
          </w:tcPr>
          <w:p>
            <w:pPr>
              <w:jc w:val="center"/>
              <w:ind w:right="3338"/>
              <w:spacing w:after="0"/>
              <w:rPr>
                <w:sz w:val="20"/>
                <w:szCs w:val="20"/>
                <w:color w:val="auto"/>
              </w:rPr>
            </w:pPr>
            <w:r>
              <w:rPr>
                <w:rFonts w:ascii="Times New Roman" w:cs="Times New Roman" w:eastAsia="Times New Roman" w:hAnsi="Times New Roman"/>
                <w:sz w:val="18"/>
                <w:szCs w:val="18"/>
                <w:b w:val="1"/>
                <w:bCs w:val="1"/>
                <w:color w:val="auto"/>
                <w:w w:val="97"/>
              </w:rPr>
              <w:t>919 W. Dillon Road</w:t>
            </w:r>
          </w:p>
        </w:tc>
        <w:tc>
          <w:tcPr>
            <w:tcW w:w="1620" w:type="dxa"/>
            <w:vAlign w:val="bottom"/>
          </w:tcPr>
          <w:p>
            <w:pPr>
              <w:spacing w:after="0"/>
              <w:rPr>
                <w:sz w:val="24"/>
                <w:szCs w:val="24"/>
                <w:color w:val="auto"/>
              </w:rPr>
            </w:pPr>
          </w:p>
        </w:tc>
      </w:tr>
      <w:tr>
        <w:trPr>
          <w:trHeight w:val="227"/>
        </w:trPr>
        <w:tc>
          <w:tcPr>
            <w:tcW w:w="5900" w:type="dxa"/>
            <w:vAlign w:val="bottom"/>
          </w:tcPr>
          <w:p>
            <w:pPr>
              <w:jc w:val="center"/>
              <w:ind w:right="3338"/>
              <w:spacing w:after="0"/>
              <w:rPr>
                <w:sz w:val="20"/>
                <w:szCs w:val="20"/>
                <w:color w:val="auto"/>
              </w:rPr>
            </w:pPr>
            <w:r>
              <w:rPr>
                <w:rFonts w:ascii="Times New Roman" w:cs="Times New Roman" w:eastAsia="Times New Roman" w:hAnsi="Times New Roman"/>
                <w:sz w:val="18"/>
                <w:szCs w:val="18"/>
                <w:b w:val="1"/>
                <w:bCs w:val="1"/>
                <w:color w:val="auto"/>
                <w:w w:val="99"/>
              </w:rPr>
              <w:t>Louisville, Colorado</w:t>
            </w:r>
          </w:p>
        </w:tc>
        <w:tc>
          <w:tcPr>
            <w:tcW w:w="162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80027</w:t>
            </w:r>
          </w:p>
        </w:tc>
      </w:tr>
      <w:tr>
        <w:trPr>
          <w:trHeight w:val="190"/>
        </w:trPr>
        <w:tc>
          <w:tcPr>
            <w:tcW w:w="5900" w:type="dxa"/>
            <w:vAlign w:val="bottom"/>
          </w:tcPr>
          <w:p>
            <w:pPr>
              <w:jc w:val="center"/>
              <w:ind w:right="33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2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5900" w:type="dxa"/>
            <w:vAlign w:val="bottom"/>
          </w:tcPr>
          <w:p>
            <w:pPr>
              <w:jc w:val="center"/>
              <w:ind w:left="1938"/>
              <w:spacing w:after="0"/>
              <w:rPr>
                <w:sz w:val="20"/>
                <w:szCs w:val="20"/>
                <w:color w:val="auto"/>
              </w:rPr>
            </w:pPr>
            <w:r>
              <w:rPr>
                <w:rFonts w:ascii="Times New Roman" w:cs="Times New Roman" w:eastAsia="Times New Roman" w:hAnsi="Times New Roman"/>
                <w:sz w:val="18"/>
                <w:szCs w:val="18"/>
                <w:b w:val="1"/>
                <w:bCs w:val="1"/>
                <w:color w:val="auto"/>
              </w:rPr>
              <w:t>Biodesix, Inc. 2020 Equity Incentive Plan</w:t>
            </w:r>
          </w:p>
        </w:tc>
        <w:tc>
          <w:tcPr>
            <w:tcW w:w="1620" w:type="dxa"/>
            <w:vAlign w:val="bottom"/>
          </w:tcPr>
          <w:p>
            <w:pPr>
              <w:spacing w:after="0"/>
              <w:rPr>
                <w:sz w:val="24"/>
                <w:szCs w:val="24"/>
                <w:color w:val="auto"/>
              </w:rPr>
            </w:pPr>
          </w:p>
        </w:tc>
      </w:tr>
      <w:tr>
        <w:trPr>
          <w:trHeight w:val="214"/>
        </w:trPr>
        <w:tc>
          <w:tcPr>
            <w:tcW w:w="5900" w:type="dxa"/>
            <w:vAlign w:val="bottom"/>
          </w:tcPr>
          <w:p>
            <w:pPr>
              <w:jc w:val="center"/>
              <w:ind w:left="1958"/>
              <w:spacing w:after="0"/>
              <w:rPr>
                <w:sz w:val="20"/>
                <w:szCs w:val="20"/>
                <w:color w:val="auto"/>
              </w:rPr>
            </w:pPr>
            <w:r>
              <w:rPr>
                <w:rFonts w:ascii="Times New Roman" w:cs="Times New Roman" w:eastAsia="Times New Roman" w:hAnsi="Times New Roman"/>
                <w:sz w:val="18"/>
                <w:szCs w:val="18"/>
                <w:b w:val="1"/>
                <w:bCs w:val="1"/>
                <w:color w:val="auto"/>
                <w:w w:val="99"/>
              </w:rPr>
              <w:t>Biodesix, Inc. Employee Stock Purchase Plan</w:t>
            </w:r>
          </w:p>
        </w:tc>
        <w:tc>
          <w:tcPr>
            <w:tcW w:w="1620" w:type="dxa"/>
            <w:vAlign w:val="bottom"/>
          </w:tcPr>
          <w:p>
            <w:pPr>
              <w:spacing w:after="0"/>
              <w:rPr>
                <w:sz w:val="18"/>
                <w:szCs w:val="18"/>
                <w:color w:val="auto"/>
              </w:rPr>
            </w:pPr>
          </w:p>
        </w:tc>
      </w:tr>
      <w:tr>
        <w:trPr>
          <w:trHeight w:val="190"/>
        </w:trPr>
        <w:tc>
          <w:tcPr>
            <w:tcW w:w="5900" w:type="dxa"/>
            <w:vAlign w:val="bottom"/>
          </w:tcPr>
          <w:p>
            <w:pPr>
              <w:jc w:val="center"/>
              <w:ind w:left="1938"/>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620" w:type="dxa"/>
            <w:vAlign w:val="bottom"/>
          </w:tcPr>
          <w:p>
            <w:pPr>
              <w:spacing w:after="0"/>
              <w:rPr>
                <w:sz w:val="16"/>
                <w:szCs w:val="16"/>
                <w:color w:val="auto"/>
              </w:rPr>
            </w:pP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Scott Hutton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919 W. Dillon Road Louisville, Colorado 80027</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(303) 417-0500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Registration Statement on Form S-8 is being filed by Biodesix, Inc. (the “Registrant”) for the purpose of registering (i) an additional 3,849,435 shares of the Registrant’s common stock, par value $0.001 per share (the “Common Stock”) issuable under the Biodesix, Inc. 2020 Equity Incentive Plan (the “2020 Plan”), as a result of the operation of the automatic annual increase provision therein effective January 1, 2024, and (ii) an additional 338,106 shares of Common Stock issuable under the Biodesix, Inc. Employee Stock Purchase Plan (the “ESPP”), as a result of the operation of the automatic annual increase provision therein effective January 1, 2024. The shares of the Registrant’s Common Stock previously reserved for issuance under the 2020 Plan were registered on the Registrant’s Registration Statement on Form S-8 filed with the Securities and Exchange Commission (the “Commission”) on November 2, 2020 (File No. 333-249805) (the “2020 Prior Form S-8”), the Registrant’s Registration Statement on Form S-8 filed with the Commission on June 6, 2022 (File No. 333-265445) (the “2022 Prior Form S-8”) and the Registrant’s Registration Statement on Form S-8 filed with the Commission on February 2, 2023 (File No. 333-269536) (the “2023 Prior Form S-8”; together with the 2020 Prior Form S-8 and the 2022 Prior Form S-8, the “Prior Forms S-8”). The shares of the Registrant’s Common Stock previously reserved for issuance under the ESPP were registered on the 2020 Prior Form S-8 and the 2023 Prior Form S-8.</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relates to securities of the same class as that to which the Prior Forms S-8 relates, and is submitted in accordance with General Instruction E to Form S-8 regarding Registration of Additional Securities. Pursuant to General Instruction E of Form S-8, the contents of the Prior Forms S-8, to the extent relating to the registration of Common Stock issuable under the 2020 Plan and the ESPP, are incorporated herein by reference and made part of this Registration Statement on Form S-8, except as amended hereby.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Registrant hereby incorporates by reference in this Registration Statement the following documents and information previously filed with the Commission (excluding any portions of such documents that have been “furnished” but not “filed” for purposes of the Securities Exchange Act of 1934, as amended (the “Exchange Act”):</w:t>
      </w:r>
    </w:p>
    <w:p>
      <w:pPr>
        <w:spacing w:after="0" w:line="203" w:lineRule="exact"/>
        <w:rPr>
          <w:sz w:val="20"/>
          <w:szCs w:val="20"/>
          <w:color w:val="auto"/>
        </w:rPr>
      </w:pPr>
    </w:p>
    <w:p>
      <w:pPr>
        <w:ind w:left="960" w:right="4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Commission on March 6, 2023, including all material incorporated by reference therein;</w:t>
      </w:r>
    </w:p>
    <w:p>
      <w:pPr>
        <w:spacing w:after="0" w:line="188"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quarters ended March 31, 2023, June 30, 2023, and September 30, 2023, filed with the Commission on </w:t>
      </w:r>
      <w:hyperlink r:id="rId18">
        <w:r>
          <w:rPr>
            <w:rFonts w:ascii="Times New Roman" w:cs="Times New Roman" w:eastAsia="Times New Roman" w:hAnsi="Times New Roman"/>
            <w:sz w:val="18"/>
            <w:szCs w:val="18"/>
            <w:u w:val="single" w:color="auto"/>
            <w:color w:val="0000EE"/>
          </w:rPr>
          <w:t>May 11, 2023</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August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November 7, 2023</w:t>
        </w:r>
      </w:hyperlink>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960" w:right="84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filed with the Commission on </w:t>
      </w:r>
      <w:hyperlink r:id="rId21">
        <w:r>
          <w:rPr>
            <w:rFonts w:ascii="Times New Roman" w:cs="Times New Roman" w:eastAsia="Times New Roman" w:hAnsi="Times New Roman"/>
            <w:sz w:val="18"/>
            <w:szCs w:val="18"/>
            <w:u w:val="single" w:color="auto"/>
            <w:color w:val="0000EE"/>
          </w:rPr>
          <w:t>May 25, 2023</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June 6, 2023</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July 26, 2023</w:t>
        </w:r>
      </w:hyperlink>
      <w:r>
        <w:rPr>
          <w:rFonts w:ascii="Times New Roman" w:cs="Times New Roman" w:eastAsia="Times New Roman" w:hAnsi="Times New Roman"/>
          <w:sz w:val="18"/>
          <w:szCs w:val="18"/>
          <w:color w:val="auto"/>
        </w:rPr>
        <w:t xml:space="preserve">, and </w:t>
      </w:r>
      <w:hyperlink r:id="rId24">
        <w:r>
          <w:rPr>
            <w:rFonts w:ascii="Times New Roman" w:cs="Times New Roman" w:eastAsia="Times New Roman" w:hAnsi="Times New Roman"/>
            <w:sz w:val="18"/>
            <w:szCs w:val="18"/>
            <w:u w:val="single" w:color="auto"/>
            <w:color w:val="0000EE"/>
          </w:rPr>
          <w:t>December 20,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960" w:right="22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October 26, 2020, pursuant to Section 12(b) of the Exchange Act, including any amendment or report for the purpose of updating such description.</w:t>
      </w:r>
    </w:p>
    <w:p>
      <w:pPr>
        <w:spacing w:after="0" w:line="176" w:lineRule="exact"/>
        <w:rPr>
          <w:rFonts w:ascii="Times New Roman" w:cs="Times New Roman" w:eastAsia="Times New Roman" w:hAnsi="Times New Roman"/>
          <w:sz w:val="18"/>
          <w:szCs w:val="18"/>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or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respective dates of filing of such documents (such documents, and the documents enumerated above, being hereinafter referred to as “Incorporated Documents”).</w:t>
      </w:r>
    </w:p>
    <w:p>
      <w:pPr>
        <w:spacing w:after="0" w:line="183" w:lineRule="exact"/>
        <w:rPr>
          <w:rFonts w:ascii="Times New Roman" w:cs="Times New Roman" w:eastAsia="Times New Roman" w:hAnsi="Times New Roman"/>
          <w:sz w:val="18"/>
          <w:szCs w:val="18"/>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0"/>
          </w:cols>
          <w:pgMar w:left="440" w:top="266"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20" w:type="dxa"/>
            <w:vAlign w:val="bottom"/>
            <w:vMerge w:val="restart"/>
          </w:tcPr>
          <w:p>
            <w:pPr>
              <w:ind w:left="4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300" w:type="dxa"/>
            <w:vAlign w:val="bottom"/>
          </w:tcPr>
          <w:p>
            <w:pPr>
              <w:spacing w:after="0"/>
              <w:rPr>
                <w:sz w:val="15"/>
                <w:szCs w:val="15"/>
                <w:color w:val="auto"/>
              </w:rPr>
            </w:pPr>
          </w:p>
        </w:tc>
        <w:tc>
          <w:tcPr>
            <w:tcW w:w="10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804" w:right="940" w:hanging="80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7">
        <w:r>
          <w:rPr>
            <w:rFonts w:ascii="Times New Roman" w:cs="Times New Roman" w:eastAsia="Times New Roman" w:hAnsi="Times New Roman"/>
            <w:sz w:val="18"/>
            <w:szCs w:val="18"/>
            <w:u w:val="single" w:color="auto"/>
            <w:color w:val="0000EE"/>
          </w:rPr>
          <w:t>Amended and Restated Certificate of Incorporation of Biodesix, Inc. (incorporated by reference to Exhibit 3.2 of the Registrant’s</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Registration Statement on Form S-1 (No. 333-249260), filed with the Commission on October 21, 2020).</w:t>
        </w:r>
      </w:hyperlink>
    </w:p>
    <w:p>
      <w:pPr>
        <w:spacing w:after="0" w:line="53" w:lineRule="exact"/>
        <w:rPr>
          <w:rFonts w:ascii="Times New Roman" w:cs="Times New Roman" w:eastAsia="Times New Roman" w:hAnsi="Times New Roman"/>
          <w:sz w:val="18"/>
          <w:szCs w:val="18"/>
          <w:u w:val="single" w:color="auto"/>
          <w:color w:val="0000EE"/>
        </w:rPr>
      </w:pPr>
    </w:p>
    <w:p>
      <w:pPr>
        <w:ind w:left="804" w:right="20" w:hanging="80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28">
        <w:r>
          <w:rPr>
            <w:rFonts w:ascii="Times New Roman" w:cs="Times New Roman" w:eastAsia="Times New Roman" w:hAnsi="Times New Roman"/>
            <w:sz w:val="18"/>
            <w:szCs w:val="18"/>
            <w:u w:val="single" w:color="auto"/>
            <w:color w:val="0000EE"/>
          </w:rPr>
          <w:t>Amended and Restated Bylaws of Biodesix, Inc. (incorporated by reference to Exhibit 3.4 of the Registrant’s Registration Statement on Form</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S-1 (No. 333-249260), filed with the Commission on October 21, 2020).</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  4.3</w:t>
      </w:r>
      <w:hyperlink r:id="rId29">
        <w:r>
          <w:rPr>
            <w:rFonts w:ascii="Times New Roman" w:cs="Times New Roman" w:eastAsia="Times New Roman" w:hAnsi="Times New Roman"/>
            <w:sz w:val="17"/>
            <w:szCs w:val="17"/>
            <w:u w:val="single" w:color="auto"/>
            <w:color w:val="0000EE"/>
          </w:rPr>
          <w:t>Biodesix, Inc. 2020 Equity Incentive Plan (incorporated by reference to Exhibit 10.5 to the Registrant’s Registration Statement on Form</w:t>
        </w:r>
      </w:hyperlink>
    </w:p>
    <w:p>
      <w:pPr>
        <w:spacing w:after="0" w:line="39" w:lineRule="exact"/>
        <w:rPr>
          <w:rFonts w:ascii="Times New Roman" w:cs="Times New Roman" w:eastAsia="Times New Roman" w:hAnsi="Times New Roman"/>
          <w:sz w:val="18"/>
          <w:szCs w:val="18"/>
          <w:u w:val="single" w:color="auto"/>
          <w:color w:val="0000EE"/>
        </w:rPr>
      </w:pPr>
    </w:p>
    <w:p>
      <w:pPr>
        <w:ind w:left="804"/>
        <w:spacing w:after="0"/>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S-1/A (No. 333-249260), filed with the Commission on October 26, 2020).</w:t>
        </w:r>
      </w:hyperlink>
    </w:p>
    <w:p>
      <w:pPr>
        <w:spacing w:after="0" w:line="99" w:lineRule="exact"/>
        <w:rPr>
          <w:rFonts w:ascii="Times New Roman" w:cs="Times New Roman" w:eastAsia="Times New Roman" w:hAnsi="Times New Roman"/>
          <w:sz w:val="18"/>
          <w:szCs w:val="18"/>
          <w:u w:val="single" w:color="auto"/>
          <w:color w:val="0000EE"/>
        </w:rPr>
      </w:pPr>
    </w:p>
    <w:p>
      <w:pPr>
        <w:ind w:left="804" w:right="220" w:hanging="804"/>
        <w:spacing w:after="0" w:line="282" w:lineRule="auto"/>
        <w:tabs>
          <w:tab w:leader="none" w:pos="84"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4.4</w:t>
      </w:r>
      <w:hyperlink r:id="rId30">
        <w:r>
          <w:rPr>
            <w:rFonts w:ascii="Times New Roman" w:cs="Times New Roman" w:eastAsia="Times New Roman" w:hAnsi="Times New Roman"/>
            <w:sz w:val="18"/>
            <w:szCs w:val="18"/>
            <w:u w:val="single" w:color="auto"/>
            <w:color w:val="0000EE"/>
          </w:rPr>
          <w:t>Biodesix, Inc. 2020 Employee Stock Purchase Plan (incorporated by reference to Exhibit 10.6 to the Company’s Registration Statement on</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Form S-1/A filed with the SEC on October 26, 2020).</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5.1*    </w:t>
      </w:r>
      <w:r>
        <w:rPr>
          <w:rFonts w:ascii="Times New Roman" w:cs="Times New Roman" w:eastAsia="Times New Roman" w:hAnsi="Times New Roman"/>
          <w:sz w:val="16"/>
          <w:szCs w:val="16"/>
          <w:u w:val="single" w:color="auto"/>
          <w:color w:val="0000EE"/>
        </w:rPr>
        <w:t>Opinion of Sidley Austin LLP with respect to validity of issuance of securities.</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23.1*    </w:t>
      </w:r>
      <w:r>
        <w:rPr>
          <w:rFonts w:ascii="Times New Roman" w:cs="Times New Roman" w:eastAsia="Times New Roman" w:hAnsi="Times New Roman"/>
          <w:sz w:val="16"/>
          <w:szCs w:val="16"/>
          <w:u w:val="single" w:color="auto"/>
          <w:color w:val="0000EE"/>
        </w:rPr>
        <w:t>Consent of Independent Registered Public Accounting Firm.</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23.2*    </w:t>
      </w:r>
      <w:r>
        <w:rPr>
          <w:rFonts w:ascii="Times New Roman" w:cs="Times New Roman" w:eastAsia="Times New Roman" w:hAnsi="Times New Roman"/>
          <w:sz w:val="16"/>
          <w:szCs w:val="16"/>
          <w:u w:val="single" w:color="auto"/>
          <w:color w:val="0000EE"/>
        </w:rPr>
        <w:t>Consent of Sidley Austin LLP (included in Exhibit 5.1).</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24.1*    </w:t>
      </w:r>
      <w:r>
        <w:rPr>
          <w:rFonts w:ascii="Times New Roman" w:cs="Times New Roman" w:eastAsia="Times New Roman" w:hAnsi="Times New Roman"/>
          <w:sz w:val="16"/>
          <w:szCs w:val="16"/>
          <w:u w:val="single" w:color="auto"/>
          <w:color w:val="0000EE"/>
        </w:rPr>
        <w:t>Power of Attorney (included on the signature page of the Registration Statement).</w:t>
      </w:r>
    </w:p>
    <w:p>
      <w:pPr>
        <w:spacing w:after="0" w:line="140" w:lineRule="exact"/>
        <w:rPr>
          <w:rFonts w:ascii="Times New Roman" w:cs="Times New Roman" w:eastAsia="Times New Roman" w:hAnsi="Times New Roman"/>
          <w:sz w:val="18"/>
          <w:szCs w:val="18"/>
          <w:color w:val="auto"/>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Exhibit.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  Each document marked with an asterisk is filed herewith.</w:t>
      </w:r>
    </w:p>
    <w:p>
      <w:pPr>
        <w:sectPr>
          <w:pgSz w:w="11900" w:h="16838" w:orient="portrait"/>
          <w:cols w:equalWidth="0" w:num="1">
            <w:col w:w="11024"/>
          </w:cols>
          <w:pgMar w:left="436"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Louisville, Colorado, on the 2nd day of February, 2024.</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Biodesix,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Scott Hutton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of the undersigned officers and directors of Biodesix, Inc. does hereby severally constitute and appoint Scott Hutton and Robin Harper Cowie, and each of them acting alone, his or her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and any applicable securities exchange or securities self-regulatory body,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Hutton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Hutton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Robin Harper Cowie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Robin Harper Cowie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C. Vazquez</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Christopher C. Vazquez</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Patience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Patience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Jean Franchi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 Faiz Kayyem,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Jon Faiz Kayyem,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Lawrence T. Kennedy, Jr.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Lawrence T. Kennedy, Jr.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Hany Massarany</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Hany Massarany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Jack Schuler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Jack Schuler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Strobeck</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Matthew Strobeck,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Watts</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Charles Watts,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5"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06299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1062990" cy="274320"/>
                    </a:xfrm>
                    <a:prstGeom prst="rect">
                      <a:avLst/>
                    </a:prstGeom>
                    <a:noFill/>
                  </pic:spPr>
                </pic:pic>
              </a:graphicData>
            </a:graphic>
          </wp:anchor>
        </w:drawing>
      </w:r>
    </w:p>
    <w:p>
      <w:pPr>
        <w:spacing w:after="0" w:line="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555 CALIFORNIA STREET</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+1 415 772 1200</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+1 415 772 7400 FAX</w:t>
      </w:r>
    </w:p>
    <w:p>
      <w:pPr>
        <w:spacing w:after="0" w:line="23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AMERICA  •  ASIA PACIFIC  •  EUROPE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 W. Dillon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CO 80027</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4,187,541 Shares of Common Stock, $0.001 par value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refer to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by Biodesix,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(i) 3,849,435 shares of Common Stock, $0.001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which may be issued under the Biodesix, Inc. 2020 Equity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and (ii) 338,106 shares of Common Stock which may be issued under the Biodesix, Inc.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and together with the aggregate shares of Common Stock to be registered under the Registration Statement, the “</w:t>
      </w:r>
      <w:r>
        <w:rPr>
          <w:rFonts w:ascii="Times New Roman" w:cs="Times New Roman" w:eastAsia="Times New Roman" w:hAnsi="Times New Roman"/>
          <w:sz w:val="18"/>
          <w:szCs w:val="18"/>
          <w:u w:val="single" w:color="auto"/>
          <w:color w:val="auto"/>
        </w:rPr>
        <w:t>Registered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We have examined the 2020 Plan, the ESPP, the Registration Statement, the Amended and Restated Certificate of Incorporation of the Company, the Amended and Restated Bylaws of the Company, the resolutions of the Company’s Board of Directors authorizing the 2020 Plan, the ESPP and the issuance of the Registered Shares thereunder and the resolutions of the Company’s stockholders authorizing the 2020 Plan and the ESPP.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Based on the foregoing, we are of the opinion that each Registered Share that is newly issued pursuant to the 2020 Plan and the ESPP will be validly issued, fully paid and non-assessable when: (i) the Registration Statement, as finally amended, shall have become effective under the Securities Act; (ii) such Registered Share shall have been duly issued and delivered in accordance with the 2020 Plan and the ESPP; and (iii) certificates representing such Registered Share shall have been duly executed, countersigned and registered and duly delivered to the person entitled thereto against payment of the agreed consideration therefor (in an amount not less than the par value thereof) or, if any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2020 Plan and the ESPP.</w:t>
      </w:r>
    </w:p>
    <w:p>
      <w:pPr>
        <w:spacing w:after="0" w:line="189"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4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Sidley Austin LLP</w:t>
      </w:r>
    </w:p>
    <w:p>
      <w:pPr>
        <w:sectPr>
          <w:pgSz w:w="11900" w:h="16838" w:orient="portrait"/>
          <w:cols w:equalWidth="0" w:num="1">
            <w:col w:w="10980"/>
          </w:cols>
          <w:pgMar w:left="440" w:top="270" w:right="4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use of our report dated March 6, 2023, with respect to the financial statements of Biodesix, Inc.,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2024</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50" w:lineRule="exact"/>
        <w:rPr>
          <w:sz w:val="20"/>
          <w:szCs w:val="20"/>
          <w:color w:val="auto"/>
        </w:rPr>
      </w:pPr>
    </w:p>
    <w:tbl>
      <w:tblPr>
        <w:tblLayout w:type="fixed"/>
        <w:tblInd w:w="794" w:type="dxa"/>
        <w:tblCellMar>
          <w:top w:w="0" w:type="dxa"/>
          <w:left w:w="0" w:type="dxa"/>
          <w:bottom w:w="0" w:type="dxa"/>
          <w:right w:w="0" w:type="dxa"/>
        </w:tblCellMar>
      </w:tblPr>
      <w:tr>
        <w:trPr>
          <w:trHeight w:val="144"/>
        </w:trPr>
        <w:tc>
          <w:tcPr>
            <w:tcW w:w="660" w:type="dxa"/>
            <w:vAlign w:val="bottom"/>
            <w:tcBorders>
              <w:top w:val="single" w:sz="8" w:color="auto"/>
              <w:left w:val="single" w:sz="8" w:color="auto"/>
              <w:right w:val="single" w:sz="8" w:color="auto"/>
            </w:tcBorders>
          </w:tcPr>
          <w:p>
            <w:pPr>
              <w:spacing w:after="0"/>
              <w:rPr>
                <w:sz w:val="12"/>
                <w:szCs w:val="12"/>
                <w:color w:val="auto"/>
              </w:rPr>
            </w:pPr>
          </w:p>
        </w:tc>
        <w:tc>
          <w:tcPr>
            <w:tcW w:w="320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1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9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Borders>
              <w:left w:val="single" w:sz="8" w:color="auto"/>
              <w:right w:val="single" w:sz="8" w:color="auto"/>
            </w:tcBorders>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Maximum</w:t>
            </w:r>
          </w:p>
        </w:tc>
        <w:tc>
          <w:tcPr>
            <w:tcW w:w="110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3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4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660" w:type="dxa"/>
            <w:vAlign w:val="bottom"/>
            <w:tcBorders>
              <w:left w:val="single" w:sz="8" w:color="auto"/>
              <w:right w:val="single" w:sz="8" w:color="auto"/>
            </w:tcBorders>
          </w:tcPr>
          <w:p>
            <w:pPr>
              <w:jc w:val="center"/>
              <w:ind w:left="44"/>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3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5"/>
        </w:trPr>
        <w:tc>
          <w:tcPr>
            <w:tcW w:w="66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89"/>
              </w:rPr>
              <w:t>Type</w:t>
            </w: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9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1"/>
              </w:rPr>
              <w:t>Registered</w:t>
            </w:r>
            <w:r>
              <w:rPr>
                <w:rFonts w:ascii="Times New Roman" w:cs="Times New Roman" w:eastAsia="Times New Roman" w:hAnsi="Times New Roman"/>
                <w:sz w:val="18"/>
                <w:szCs w:val="18"/>
                <w:color w:val="auto"/>
                <w:w w:val="91"/>
                <w:vertAlign w:val="superscript"/>
              </w:rPr>
              <w:t>(1)</w:t>
            </w:r>
          </w:p>
        </w:tc>
        <w:tc>
          <w:tcPr>
            <w:tcW w:w="6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1"/>
              </w:rPr>
              <w:t>Unit</w:t>
            </w:r>
            <w:r>
              <w:rPr>
                <w:rFonts w:ascii="Times New Roman" w:cs="Times New Roman" w:eastAsia="Times New Roman" w:hAnsi="Times New Roman"/>
                <w:sz w:val="18"/>
                <w:szCs w:val="18"/>
                <w:color w:val="auto"/>
                <w:w w:val="91"/>
                <w:vertAlign w:val="superscript"/>
              </w:rPr>
              <w:t>(2)</w:t>
            </w:r>
          </w:p>
        </w:tc>
        <w:tc>
          <w:tcPr>
            <w:tcW w:w="11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88"/>
              </w:rPr>
              <w:t>Price</w:t>
            </w:r>
            <w:r>
              <w:rPr>
                <w:rFonts w:ascii="Times New Roman" w:cs="Times New Roman" w:eastAsia="Times New Roman" w:hAnsi="Times New Roman"/>
                <w:sz w:val="18"/>
                <w:szCs w:val="18"/>
                <w:color w:val="auto"/>
                <w:w w:val="88"/>
                <w:vertAlign w:val="superscript"/>
              </w:rPr>
              <w:t>(2)</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right w:val="single" w:sz="8" w:color="auto"/>
            </w:tcBorders>
          </w:tcPr>
          <w:p>
            <w:pPr>
              <w:jc w:val="center"/>
              <w:ind w:left="64"/>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32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Rule 457(c) and</w:t>
            </w:r>
          </w:p>
        </w:tc>
        <w:tc>
          <w:tcPr>
            <w:tcW w:w="94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0" w:type="dxa"/>
            <w:vAlign w:val="bottom"/>
            <w:tcBorders>
              <w:left w:val="single" w:sz="8" w:color="auto"/>
              <w:bottom w:val="single" w:sz="8" w:color="auto"/>
              <w:right w:val="single" w:sz="8" w:color="auto"/>
            </w:tcBorders>
          </w:tcPr>
          <w:p>
            <w:pPr>
              <w:spacing w:after="0"/>
              <w:rPr>
                <w:sz w:val="22"/>
                <w:szCs w:val="22"/>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457(h)</w:t>
            </w:r>
          </w:p>
        </w:tc>
        <w:tc>
          <w:tcPr>
            <w:tcW w:w="94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7"/>
              </w:rPr>
              <w:t>3,849,435</w:t>
            </w:r>
            <w:r>
              <w:rPr>
                <w:rFonts w:ascii="Times New Roman" w:cs="Times New Roman" w:eastAsia="Times New Roman" w:hAnsi="Times New Roman"/>
                <w:sz w:val="26"/>
                <w:szCs w:val="26"/>
                <w:color w:val="auto"/>
                <w:w w:val="97"/>
                <w:vertAlign w:val="superscript"/>
              </w:rPr>
              <w:t>(3)</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$1.98</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$7,621,881.30</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0.00014760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$1,124.99</w:t>
            </w:r>
          </w:p>
        </w:tc>
        <w:tc>
          <w:tcPr>
            <w:tcW w:w="0" w:type="dxa"/>
            <w:vAlign w:val="bottom"/>
          </w:tcPr>
          <w:p>
            <w:pPr>
              <w:spacing w:after="0"/>
              <w:rPr>
                <w:sz w:val="1"/>
                <w:szCs w:val="1"/>
                <w:color w:val="auto"/>
              </w:rPr>
            </w:pPr>
          </w:p>
        </w:tc>
      </w:tr>
      <w:tr>
        <w:trPr>
          <w:trHeight w:val="205"/>
        </w:trPr>
        <w:tc>
          <w:tcPr>
            <w:tcW w:w="660" w:type="dxa"/>
            <w:vAlign w:val="bottom"/>
            <w:tcBorders>
              <w:left w:val="single" w:sz="8" w:color="auto"/>
              <w:right w:val="single" w:sz="8" w:color="auto"/>
            </w:tcBorders>
          </w:tcPr>
          <w:p>
            <w:pPr>
              <w:jc w:val="center"/>
              <w:ind w:left="64"/>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32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Rule 457(c) and</w:t>
            </w:r>
          </w:p>
        </w:tc>
        <w:tc>
          <w:tcPr>
            <w:tcW w:w="94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0" w:type="dxa"/>
            <w:vAlign w:val="bottom"/>
            <w:tcBorders>
              <w:left w:val="single" w:sz="8" w:color="auto"/>
              <w:bottom w:val="single" w:sz="8" w:color="auto"/>
              <w:right w:val="single" w:sz="8" w:color="auto"/>
            </w:tcBorders>
          </w:tcPr>
          <w:p>
            <w:pPr>
              <w:spacing w:after="0"/>
              <w:rPr>
                <w:sz w:val="22"/>
                <w:szCs w:val="22"/>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457(h)</w:t>
            </w:r>
          </w:p>
        </w:tc>
        <w:tc>
          <w:tcPr>
            <w:tcW w:w="94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rPr>
              <w:t>338,106</w:t>
            </w:r>
            <w:r>
              <w:rPr>
                <w:rFonts w:ascii="Times New Roman" w:cs="Times New Roman" w:eastAsia="Times New Roman" w:hAnsi="Times New Roman"/>
                <w:sz w:val="26"/>
                <w:szCs w:val="26"/>
                <w:color w:val="auto"/>
                <w:vertAlign w:val="superscript"/>
              </w:rPr>
              <w:t>(4)</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$1.98</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$669,449.88</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0.00014760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$98.81</w:t>
            </w:r>
          </w:p>
        </w:tc>
        <w:tc>
          <w:tcPr>
            <w:tcW w:w="0" w:type="dxa"/>
            <w:vAlign w:val="bottom"/>
          </w:tcPr>
          <w:p>
            <w:pPr>
              <w:spacing w:after="0"/>
              <w:rPr>
                <w:sz w:val="1"/>
                <w:szCs w:val="1"/>
                <w:color w:val="auto"/>
              </w:rPr>
            </w:pPr>
          </w:p>
        </w:tc>
      </w:tr>
      <w:tr>
        <w:trPr>
          <w:trHeight w:val="232"/>
        </w:trPr>
        <w:tc>
          <w:tcPr>
            <w:tcW w:w="660" w:type="dxa"/>
            <w:vAlign w:val="bottom"/>
            <w:tcBorders>
              <w:left w:val="single" w:sz="8" w:color="auto"/>
              <w:bottom w:val="single" w:sz="8" w:color="auto"/>
            </w:tcBorders>
          </w:tcPr>
          <w:p>
            <w:pPr>
              <w:spacing w:after="0"/>
              <w:rPr>
                <w:sz w:val="20"/>
                <w:szCs w:val="20"/>
                <w:color w:val="auto"/>
              </w:rPr>
            </w:pPr>
          </w:p>
        </w:tc>
        <w:tc>
          <w:tcPr>
            <w:tcW w:w="4420" w:type="dxa"/>
            <w:vAlign w:val="bottom"/>
            <w:tcBorders>
              <w:bottom w:val="single" w:sz="8" w:color="auto"/>
            </w:tcBorders>
            <w:gridSpan w:val="2"/>
          </w:tcPr>
          <w:p>
            <w:pPr>
              <w:jc w:val="center"/>
              <w:ind w:left="32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9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$8,291,331.18</w:t>
            </w:r>
          </w:p>
        </w:tc>
        <w:tc>
          <w:tcPr>
            <w:tcW w:w="9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$1,223.80</w:t>
            </w:r>
          </w:p>
        </w:tc>
        <w:tc>
          <w:tcPr>
            <w:tcW w:w="0" w:type="dxa"/>
            <w:vAlign w:val="bottom"/>
          </w:tcPr>
          <w:p>
            <w:pPr>
              <w:spacing w:after="0"/>
              <w:rPr>
                <w:sz w:val="1"/>
                <w:szCs w:val="1"/>
                <w:color w:val="auto"/>
              </w:rPr>
            </w:pPr>
          </w:p>
        </w:tc>
      </w:tr>
      <w:tr>
        <w:trPr>
          <w:trHeight w:val="237"/>
        </w:trPr>
        <w:tc>
          <w:tcPr>
            <w:tcW w:w="660" w:type="dxa"/>
            <w:vAlign w:val="bottom"/>
            <w:tcBorders>
              <w:left w:val="single" w:sz="8" w:color="auto"/>
              <w:bottom w:val="single" w:sz="8" w:color="auto"/>
            </w:tcBorders>
          </w:tcPr>
          <w:p>
            <w:pPr>
              <w:spacing w:after="0"/>
              <w:rPr>
                <w:sz w:val="20"/>
                <w:szCs w:val="20"/>
                <w:color w:val="auto"/>
              </w:rPr>
            </w:pPr>
          </w:p>
        </w:tc>
        <w:tc>
          <w:tcPr>
            <w:tcW w:w="3200" w:type="dxa"/>
            <w:vAlign w:val="bottom"/>
            <w:tcBorders>
              <w:bottom w:val="single" w:sz="8" w:color="auto"/>
            </w:tcBorders>
          </w:tcPr>
          <w:p>
            <w:pPr>
              <w:jc w:val="center"/>
              <w:ind w:left="156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2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660" w:type="dxa"/>
            <w:vAlign w:val="bottom"/>
            <w:tcBorders>
              <w:left w:val="single" w:sz="8" w:color="auto"/>
              <w:bottom w:val="single" w:sz="8" w:color="auto"/>
            </w:tcBorders>
          </w:tcPr>
          <w:p>
            <w:pPr>
              <w:spacing w:after="0"/>
              <w:rPr>
                <w:sz w:val="20"/>
                <w:szCs w:val="20"/>
                <w:color w:val="auto"/>
              </w:rPr>
            </w:pPr>
          </w:p>
        </w:tc>
        <w:tc>
          <w:tcPr>
            <w:tcW w:w="3200" w:type="dxa"/>
            <w:vAlign w:val="bottom"/>
            <w:tcBorders>
              <w:bottom w:val="single" w:sz="8" w:color="auto"/>
            </w:tcBorders>
          </w:tcPr>
          <w:p>
            <w:pPr>
              <w:jc w:val="center"/>
              <w:ind w:left="1540"/>
              <w:spacing w:after="0"/>
              <w:rPr>
                <w:sz w:val="20"/>
                <w:szCs w:val="20"/>
                <w:color w:val="auto"/>
              </w:rPr>
            </w:pPr>
            <w:r>
              <w:rPr>
                <w:rFonts w:ascii="Times New Roman" w:cs="Times New Roman" w:eastAsia="Times New Roman" w:hAnsi="Times New Roman"/>
                <w:sz w:val="18"/>
                <w:szCs w:val="18"/>
                <w:color w:val="auto"/>
                <w:w w:val="98"/>
              </w:rPr>
              <w:t>Net Fee Due</w:t>
            </w:r>
          </w:p>
        </w:tc>
        <w:tc>
          <w:tcPr>
            <w:tcW w:w="12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80" w:hanging="424"/>
        <w:spacing w:after="0" w:line="227"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Pursuant to Rule 416 of the Securities Act of 1933, as amended (the “Securities Act”), this Registration Statement also covers such additional and indeterminate number of shares of common stock, par value $0.001 per share (the “Common Stock”) of Biodesix, Inc., a Delaware corporation (the “Registrant”), as may become issuable pursuant to the provisions of the plans relating to adjustments for changes resulting from a share dividend, share split or similar change.</w:t>
      </w:r>
    </w:p>
    <w:p>
      <w:pPr>
        <w:spacing w:after="0" w:line="1" w:lineRule="exact"/>
        <w:rPr>
          <w:rFonts w:ascii="Times New Roman" w:cs="Times New Roman" w:eastAsia="Times New Roman" w:hAnsi="Times New Roman"/>
          <w:sz w:val="27"/>
          <w:szCs w:val="27"/>
          <w:color w:val="auto"/>
          <w:vertAlign w:val="superscript"/>
        </w:rPr>
      </w:pPr>
    </w:p>
    <w:p>
      <w:pPr>
        <w:ind w:left="424" w:right="180" w:hanging="424"/>
        <w:spacing w:after="0" w:line="214"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Estimated pursuant to Rule 457(h) under the Securities Act solely for the purpose of calculating the registration fee. The price of $1.98 per share represents the average high and low prices of the Common Stock as quoted on the Nasdaq Global Select Market on January 26, 2024, a date within five business days prior to the filing of this Registration Statement, in accordance with Rule 457(c) of the Securities Act.</w:t>
      </w:r>
    </w:p>
    <w:p>
      <w:pPr>
        <w:spacing w:after="0" w:line="2" w:lineRule="exact"/>
        <w:rPr>
          <w:rFonts w:ascii="Times New Roman" w:cs="Times New Roman" w:eastAsia="Times New Roman" w:hAnsi="Times New Roman"/>
          <w:sz w:val="27"/>
          <w:szCs w:val="27"/>
          <w:color w:val="auto"/>
          <w:vertAlign w:val="superscript"/>
        </w:rPr>
      </w:pPr>
    </w:p>
    <w:p>
      <w:pPr>
        <w:ind w:left="424" w:right="20" w:hanging="424"/>
        <w:spacing w:after="0" w:line="231"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shares of Common Stock that were automatically added to the shares authorized for issuance under the Biodesix, Inc. 2020 Equity Incentive Plan (the “2020 Plan”) on January 1, 2024 pursuant to an “evergreen” provision contained in the 2020 Plan. Pursuant to such provision, on the first day of each fiscal year, beginning with the fiscal year ending December 31, 2022, and continuing until, and including, the calendar year ending December 31, 2030, the number of shares authorized for issuance under the 2020 Plan is automatically increased by a number equal to the lesser of (i) 4% of the number of shares of Common Stock issued and outstanding as of the December 31st of the immediately preceding calendar year and (ii) such lesser amount determined by the Registrant’s board of directors.</w:t>
      </w:r>
    </w:p>
    <w:p>
      <w:pPr>
        <w:spacing w:after="0" w:line="1" w:lineRule="exact"/>
        <w:rPr>
          <w:rFonts w:ascii="Times New Roman" w:cs="Times New Roman" w:eastAsia="Times New Roman" w:hAnsi="Times New Roman"/>
          <w:sz w:val="27"/>
          <w:szCs w:val="27"/>
          <w:color w:val="auto"/>
          <w:vertAlign w:val="superscript"/>
        </w:rPr>
      </w:pPr>
    </w:p>
    <w:p>
      <w:pPr>
        <w:ind w:left="424" w:right="80" w:hanging="424"/>
        <w:spacing w:after="0" w:line="233"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shares of Common Stock that were automatically added to the shares authorized for issuance under the Biodesix, Inc. Employee Stock Purchase Plan (the “ESPP”) on January 1, 2024 pursuant to an “evergreen” provision contained in the ESPP (the “ESPP evergreen provision”). Pursuant to the ESPP evergreen provision, on the first day of each fiscal year, beginning with the fiscal year ending December 31, 2022, and continuing until, and including, the fiscal year ending December 31, 2030, the number of shares authorized for issuance under the ESPP is automatically increased by a number equal to the lesser of (i) 338,106 shares, (ii) 1% of the number of shares of Common Stock issued and outstanding as of the December 31st of the immediately preceding fiscal year and (iii) such lesser amount determined by the Registrant’s board of directors.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
      <w:numFmt w:val="bullet"/>
      <w:start w:val="1"/>
    </w:lvl>
  </w:abstractNum>
  <w:abstractNum w:abstractNumId="2">
    <w:nsid w:val="2AE8944A"/>
    <w:multiLevelType w:val="hybridMultilevel"/>
    <w:lvl w:ilvl="0">
      <w:lvlJc w:val="left"/>
      <w:lvlText w:val=" "/>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jpeg"/><Relationship Id="rId36" Type="http://schemas.openxmlformats.org/officeDocument/2006/relationships/image" Target="media/image16.png"/><Relationship Id="rId37" Type="http://schemas.openxmlformats.org/officeDocument/2006/relationships/image" Target="media/image17.png"/><Relationship Id="rId17" Type="http://schemas.openxmlformats.org/officeDocument/2006/relationships/hyperlink" Target="http://www.sec.gov/ix?doc=/Archives/edgar/data/1439725/000095017023006092/bdsx-20221231.htm" TargetMode="External"/><Relationship Id="rId18" Type="http://schemas.openxmlformats.org/officeDocument/2006/relationships/hyperlink" Target="http://www.sec.gov/ix?doc=/Archives/edgar/data/1439725/000095017023021238/bdsx-20230331.htm" TargetMode="External"/><Relationship Id="rId19" Type="http://schemas.openxmlformats.org/officeDocument/2006/relationships/hyperlink" Target="http://www.sec.gov/ix?doc=/Archives/edgar/data/1439725/000095017023039073/bdsx-20230630.htm" TargetMode="External"/><Relationship Id="rId20" Type="http://schemas.openxmlformats.org/officeDocument/2006/relationships/hyperlink" Target="http://www.sec.gov/ix?doc=/Archives/edgar/data/1439725/000095017023060226/bdsx-20230930.htm" TargetMode="External"/><Relationship Id="rId21" Type="http://schemas.openxmlformats.org/officeDocument/2006/relationships/hyperlink" Target="http://www.sec.gov/ix?doc=/Archives/edgar/data/1439725/000119312522159676/d323176d8k.htm" TargetMode="External"/><Relationship Id="rId22" Type="http://schemas.openxmlformats.org/officeDocument/2006/relationships/hyperlink" Target="http://www.sec.gov/ix?doc=/Archives/edgar/data/1439725/000119312523161649/d418639d8k.htm" TargetMode="External"/><Relationship Id="rId23" Type="http://schemas.openxmlformats.org/officeDocument/2006/relationships/hyperlink" Target="http://www.sec.gov/ix?doc=/Archives/edgar/data/1439725/000119312523194600/d529359d8k.htm" TargetMode="External"/><Relationship Id="rId24" Type="http://schemas.openxmlformats.org/officeDocument/2006/relationships/hyperlink" Target="http://www.sec.gov/ix?doc=/Archives/edgar/data/1439725/000095017023071761/bdsx-20231215.htm" TargetMode="External"/><Relationship Id="rId25" Type="http://schemas.openxmlformats.org/officeDocument/2006/relationships/hyperlink" Target="http://www.sec.gov/Archives/edgar/data/1439725/000119312520275716/d94177d8a12b.htm" TargetMode="External"/><Relationship Id="rId27" Type="http://schemas.openxmlformats.org/officeDocument/2006/relationships/hyperlink" Target="http://www.sec.gov/Archives/edgar/data/1439725/000119312520273369/d937421dex32.htm" TargetMode="External"/><Relationship Id="rId28" Type="http://schemas.openxmlformats.org/officeDocument/2006/relationships/hyperlink" Target="http://www.sec.gov/Archives/edgar/data/1439725/000119312520273369/d937421dex34.htm" TargetMode="External"/><Relationship Id="rId29" Type="http://schemas.openxmlformats.org/officeDocument/2006/relationships/hyperlink" Target="http://www.sec.gov/Archives/edgar/data/1439725/000119312520275630/d937421dex105.htm" TargetMode="External"/><Relationship Id="rId30" Type="http://schemas.openxmlformats.org/officeDocument/2006/relationships/hyperlink" Target="http://www.sec.gov/Archives/edgar/data/1439725/000119312520275630/d937421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2024-02-02T15:19:23Z</dcterms:created>
  <dcterms:modified xsi:type="dcterms:W3CDTF">2024-02-02T15:19:23Z</dcterms:modified>
</cp:coreProperties>
</file>