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4"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-621030</wp:posOffset>
            </wp:positionV>
            <wp:extent cx="5778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4365"/>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-621030</wp:posOffset>
            </wp:positionV>
            <wp:extent cx="57785" cy="634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436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737235</wp:posOffset>
            </wp:positionV>
            <wp:extent cx="6994525" cy="47447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4744720"/>
                    </a:xfrm>
                    <a:prstGeom prst="rect">
                      <a:avLst/>
                    </a:prstGeom>
                    <a:noFill/>
                  </pic:spPr>
                </pic:pic>
              </a:graphicData>
            </a:graphic>
          </wp:anchor>
        </w:drawing>
      </w:r>
    </w:p>
    <w:p>
      <w:pPr>
        <w:spacing w:after="0" w:line="1230" w:lineRule="exact"/>
        <w:rPr>
          <w:sz w:val="24"/>
          <w:szCs w:val="24"/>
          <w:color w:val="auto"/>
        </w:rPr>
      </w:pPr>
    </w:p>
    <w:p>
      <w:pPr>
        <w:sectPr>
          <w:pgSz w:w="11900" w:h="16838" w:orient="portrait"/>
          <w:cols w:equalWidth="0" w:num="2">
            <w:col w:w="2300" w:space="300"/>
            <w:col w:w="848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Pestano Gary Anthony</w:t>
        </w:r>
      </w:hyperlink>
    </w:p>
    <w:p>
      <w:pPr>
        <w:spacing w:after="0" w:line="29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919 WEST DILLON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BIODESIX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BDSX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02/20/2026</w:t>
      </w:r>
    </w:p>
    <w:p>
      <w:pPr>
        <w:spacing w:after="0" w:line="20" w:lineRule="exact"/>
        <w:rPr>
          <w:sz w:val="24"/>
          <w:szCs w:val="24"/>
          <w:color w:val="auto"/>
        </w:rPr>
      </w:pPr>
      <w:r>
        <w:rPr>
          <w:sz w:val="24"/>
          <w:szCs w:val="24"/>
          <w:color w:val="auto"/>
        </w:rPr>
        <w:br w:type="column"/>
      </w:r>
    </w:p>
    <w:p>
      <w:pPr>
        <w:ind w:left="-9" w:right="660" w:firstLine="9"/>
        <w:spacing w:after="0" w:line="255" w:lineRule="auto"/>
        <w:tabs>
          <w:tab w:leader="none" w:pos="13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 w:lineRule="exact"/>
        <w:rPr>
          <w:sz w:val="24"/>
          <w:szCs w:val="24"/>
          <w:color w:val="auto"/>
        </w:rPr>
      </w:pPr>
    </w:p>
    <w:p>
      <w:pPr>
        <w:ind w:left="531"/>
        <w:spacing w:after="0"/>
        <w:tabs>
          <w:tab w:leader="none" w:pos="2071"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31"/>
        <w:spacing w:after="0"/>
        <w:tabs>
          <w:tab w:leader="none" w:pos="207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ind w:left="671"/>
        <w:spacing w:after="0"/>
        <w:rPr>
          <w:sz w:val="20"/>
          <w:szCs w:val="20"/>
          <w:color w:val="auto"/>
        </w:rPr>
      </w:pPr>
      <w:r>
        <w:rPr>
          <w:rFonts w:ascii="Times New Roman" w:cs="Times New Roman" w:eastAsia="Times New Roman" w:hAnsi="Times New Roman"/>
          <w:sz w:val="17"/>
          <w:szCs w:val="17"/>
          <w:color w:val="0000FF"/>
        </w:rPr>
        <w:t>Chief Development Officer</w:t>
      </w:r>
    </w:p>
    <w:p>
      <w:pPr>
        <w:spacing w:after="0" w:line="307" w:lineRule="exact"/>
        <w:rPr>
          <w:sz w:val="24"/>
          <w:szCs w:val="24"/>
          <w:color w:val="auto"/>
        </w:rPr>
      </w:pPr>
    </w:p>
    <w:p>
      <w:pPr>
        <w:sectPr>
          <w:pgSz w:w="11900" w:h="16838" w:orient="portrait"/>
          <w:cols w:equalWidth="0" w:num="3">
            <w:col w:w="3180" w:space="720"/>
            <w:col w:w="3109" w:space="720"/>
            <w:col w:w="3351"/>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356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vMerge w:val="restart"/>
          </w:tcPr>
          <w:p>
            <w:pPr>
              <w:ind w:left="4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560" w:type="dxa"/>
            <w:vAlign w:val="bottom"/>
            <w:gridSpan w:val="6"/>
            <w:vMerge w:val="continue"/>
          </w:tcPr>
          <w:p>
            <w:pPr>
              <w:spacing w:after="0"/>
              <w:rPr>
                <w:sz w:val="7"/>
                <w:szCs w:val="7"/>
                <w:color w:val="auto"/>
              </w:rPr>
            </w:pPr>
          </w:p>
        </w:tc>
        <w:tc>
          <w:tcPr>
            <w:tcW w:w="376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gridSpan w:val="2"/>
          </w:tcPr>
          <w:p>
            <w:pPr>
              <w:ind w:left="400"/>
              <w:spacing w:after="0"/>
              <w:rPr>
                <w:sz w:val="20"/>
                <w:szCs w:val="20"/>
                <w:color w:val="auto"/>
              </w:rPr>
            </w:pPr>
            <w:r>
              <w:rPr>
                <w:rFonts w:ascii="Arial" w:cs="Arial" w:eastAsia="Arial" w:hAnsi="Arial"/>
                <w:sz w:val="13"/>
                <w:szCs w:val="13"/>
                <w:color w:val="auto"/>
              </w:rPr>
              <w:t>Line)</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LOUISVILLE</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CO</w:t>
            </w:r>
          </w:p>
        </w:tc>
        <w:tc>
          <w:tcPr>
            <w:tcW w:w="11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80027</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20" w:type="dxa"/>
            <w:vAlign w:val="bottom"/>
            <w:gridSpan w:val="7"/>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20" w:type="dxa"/>
            <w:vAlign w:val="bottom"/>
            <w:gridSpan w:val="7"/>
          </w:tcPr>
          <w:p>
            <w:pPr>
              <w:ind w:left="100"/>
              <w:spacing w:after="0" w:line="135"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14"/>
                <w:szCs w:val="14"/>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ind w:left="10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4240" w:type="dxa"/>
            <w:vAlign w:val="bottom"/>
            <w:tcBorders>
              <w:bottom w:val="single" w:sz="8" w:color="2C2C2C"/>
            </w:tcBorders>
            <w:gridSpan w:val="7"/>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3"/>
          </w:tcPr>
          <w:p>
            <w:pPr>
              <w:ind w:left="86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680" w:type="dxa"/>
            <w:vAlign w:val="bottom"/>
            <w:tcBorders>
              <w:bottom w:val="single" w:sz="8" w:color="2C2C2C"/>
            </w:tcBorders>
            <w:gridSpan w:val="3"/>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3"/>
          </w:tcPr>
          <w:p>
            <w:pPr>
              <w:ind w:left="6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ind w:left="620"/>
              <w:spacing w:after="0" w:line="127" w:lineRule="exact"/>
              <w:rPr>
                <w:sz w:val="20"/>
                <w:szCs w:val="20"/>
                <w:color w:val="auto"/>
              </w:rPr>
            </w:pPr>
            <w:r>
              <w:rPr>
                <w:rFonts w:ascii="Arial" w:cs="Arial" w:eastAsia="Arial" w:hAnsi="Arial"/>
                <w:sz w:val="12"/>
                <w:szCs w:val="12"/>
                <w:b w:val="1"/>
                <w:bCs w:val="1"/>
                <w:color w:val="auto"/>
              </w:rPr>
              <w:t>Date</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4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6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80" w:type="dxa"/>
            <w:vAlign w:val="bottom"/>
            <w:gridSpan w:val="3"/>
          </w:tcPr>
          <w:p>
            <w:pPr>
              <w:ind w:left="620"/>
              <w:spacing w:after="0" w:line="128"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80" w:type="dxa"/>
            <w:vAlign w:val="bottom"/>
            <w:gridSpan w:val="3"/>
          </w:tcPr>
          <w:p>
            <w:pPr>
              <w:ind w:left="720"/>
              <w:spacing w:after="0"/>
              <w:rPr>
                <w:sz w:val="20"/>
                <w:szCs w:val="20"/>
                <w:color w:val="auto"/>
              </w:rPr>
            </w:pPr>
            <w:r>
              <w:rPr>
                <w:rFonts w:ascii="Times New Roman" w:cs="Times New Roman" w:eastAsia="Times New Roman" w:hAnsi="Times New Roman"/>
                <w:sz w:val="17"/>
                <w:szCs w:val="17"/>
                <w:color w:val="0000FF"/>
              </w:rPr>
              <w:t>02/20/2026</w:t>
            </w: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0000FF"/>
              </w:rPr>
              <w:t>1,528</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tcPr>
          <w:p>
            <w:pPr>
              <w:jc w:val="right"/>
              <w:ind w:right="177"/>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0000FF"/>
              </w:rPr>
              <w:t>10,915</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3"/>
          </w:tcPr>
          <w:p>
            <w:pPr>
              <w:ind w:left="720"/>
              <w:spacing w:after="0"/>
              <w:rPr>
                <w:sz w:val="20"/>
                <w:szCs w:val="20"/>
                <w:color w:val="auto"/>
              </w:rPr>
            </w:pPr>
            <w:r>
              <w:rPr>
                <w:rFonts w:ascii="Times New Roman" w:cs="Times New Roman" w:eastAsia="Times New Roman" w:hAnsi="Times New Roman"/>
                <w:sz w:val="17"/>
                <w:szCs w:val="17"/>
                <w:color w:val="0000FF"/>
              </w:rPr>
              <w:t>02/23/2026</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40" w:type="dxa"/>
            <w:vAlign w:val="bottom"/>
            <w:tcBorders>
              <w:bottom w:val="single" w:sz="8" w:color="2C2C2C"/>
            </w:tcBorders>
          </w:tcPr>
          <w:p>
            <w:pPr>
              <w:jc w:val="right"/>
              <w:ind w:right="177"/>
              <w:spacing w:after="0"/>
              <w:rPr>
                <w:sz w:val="20"/>
                <w:szCs w:val="20"/>
                <w:color w:val="auto"/>
              </w:rPr>
            </w:pPr>
            <w:r>
              <w:rPr>
                <w:rFonts w:ascii="Times New Roman" w:cs="Times New Roman" w:eastAsia="Times New Roman" w:hAnsi="Times New Roman"/>
                <w:sz w:val="17"/>
                <w:szCs w:val="17"/>
                <w:color w:val="0000FF"/>
              </w:rPr>
              <w:t>556</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12.7756</w:t>
            </w:r>
            <w:r>
              <w:rPr>
                <w:rFonts w:ascii="Times New Roman" w:cs="Times New Roman" w:eastAsia="Times New Roman" w:hAnsi="Times New Roman"/>
                <w:sz w:val="21"/>
                <w:szCs w:val="21"/>
                <w:color w:val="008000"/>
                <w:w w:val="91"/>
                <w:vertAlign w:val="superscript"/>
              </w:rPr>
              <w:t>(3)</w:t>
            </w:r>
          </w:p>
        </w:tc>
        <w:tc>
          <w:tcPr>
            <w:tcW w:w="116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10,359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gridSpan w:val="2"/>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w w:val="95"/>
              </w:rPr>
              <w:t>5. Number of</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5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7"/>
              </w:rPr>
              <w:t>Acquired (A)</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860" w:type="dxa"/>
            <w:vAlign w:val="bottom"/>
            <w:gridSpan w:val="2"/>
            <w:vMerge w:val="restart"/>
          </w:tcPr>
          <w:p>
            <w:pPr>
              <w:ind w:left="2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72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w w:val="87"/>
              </w:rPr>
              <w:t>1,528</w:t>
            </w:r>
            <w:r>
              <w:rPr>
                <w:rFonts w:ascii="Times New Roman" w:cs="Times New Roman" w:eastAsia="Times New Roman" w:hAnsi="Times New Roman"/>
                <w:sz w:val="21"/>
                <w:szCs w:val="21"/>
                <w:color w:val="008000"/>
                <w:w w:val="87"/>
                <w:vertAlign w:val="superscript"/>
              </w:rPr>
              <w:t>(4)</w:t>
            </w: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(5)</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(5)</w:t>
            </w: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68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w w:val="98"/>
              </w:rPr>
              <w:t>1,528</w:t>
            </w:r>
            <w:r>
              <w:rPr>
                <w:rFonts w:ascii="Times New Roman" w:cs="Times New Roman" w:eastAsia="Times New Roman" w:hAnsi="Times New Roman"/>
                <w:sz w:val="21"/>
                <w:szCs w:val="21"/>
                <w:color w:val="008000"/>
                <w:w w:val="98"/>
                <w:vertAlign w:val="superscript"/>
              </w:rPr>
              <w:t>(4)</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color w:val="0000FF"/>
              </w:rPr>
              <w:t>4,582</w:t>
            </w:r>
            <w:r>
              <w:rPr>
                <w:rFonts w:ascii="Times New Roman" w:cs="Times New Roman" w:eastAsia="Times New Roman" w:hAnsi="Times New Roman"/>
                <w:sz w:val="21"/>
                <w:szCs w:val="21"/>
                <w:color w:val="008000"/>
                <w:vertAlign w:val="superscript"/>
              </w:rPr>
              <w:t>(4)</w:t>
            </w: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ind w:left="240"/>
              <w:spacing w:after="0" w:line="141" w:lineRule="exact"/>
              <w:rPr>
                <w:sz w:val="20"/>
                <w:szCs w:val="20"/>
                <w:color w:val="auto"/>
              </w:rPr>
            </w:pPr>
            <w:r>
              <w:rPr>
                <w:rFonts w:ascii="Times New Roman" w:cs="Times New Roman" w:eastAsia="Times New Roman" w:hAnsi="Times New Roman"/>
                <w:sz w:val="13"/>
                <w:szCs w:val="13"/>
                <w:color w:val="0000FF"/>
              </w:rPr>
              <w:t>02/20/2026</w:t>
            </w: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vMerge w:val="continue"/>
          </w:tcPr>
          <w:p>
            <w:pPr>
              <w:spacing w:after="0"/>
              <w:rPr>
                <w:sz w:val="12"/>
                <w:szCs w:val="12"/>
                <w:color w:val="auto"/>
              </w:rPr>
            </w:pPr>
          </w:p>
        </w:tc>
        <w:tc>
          <w:tcPr>
            <w:tcW w:w="66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-1831340</wp:posOffset>
            </wp:positionV>
            <wp:extent cx="29210" cy="18370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83705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(the "RSU") represents a contingent right to receive one share of the Issuer's Common Stock.</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of the Issuer's Common Stock were sold automatically to cover taxes upon the vesting of RSUs.</w:t>
      </w:r>
    </w:p>
    <w:p>
      <w:pPr>
        <w:spacing w:after="0" w:line="42" w:lineRule="exact"/>
        <w:rPr>
          <w:rFonts w:ascii="Times New Roman" w:cs="Times New Roman" w:eastAsia="Times New Roman" w:hAnsi="Times New Roman"/>
          <w:sz w:val="13"/>
          <w:szCs w:val="13"/>
          <w:color w:val="008000"/>
        </w:rPr>
      </w:pPr>
    </w:p>
    <w:p>
      <w:pPr>
        <w:ind w:left="40" w:right="180" w:firstLine="1"/>
        <w:spacing w:after="0" w:line="239"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RSUs for certain employees of the Issuer, including the Reporting Person. These shares were sold in multiple transactions at prices ranging from $12.58 to $13.16,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numbers have been adjusted to reflect the one-for-twenty reverse stock split effective September 15, 2025.</w:t>
      </w:r>
    </w:p>
    <w:p>
      <w:pPr>
        <w:spacing w:after="0" w:line="42" w:lineRule="exact"/>
        <w:rPr>
          <w:rFonts w:ascii="Times New Roman" w:cs="Times New Roman" w:eastAsia="Times New Roman" w:hAnsi="Times New Roman"/>
          <w:sz w:val="13"/>
          <w:szCs w:val="13"/>
          <w:color w:val="008000"/>
        </w:rPr>
      </w:pPr>
    </w:p>
    <w:p>
      <w:pPr>
        <w:ind w:left="40" w:right="240" w:firstLine="1"/>
        <w:spacing w:after="0" w:line="252"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RSUs vest in a series of four successive equal annual installments measured from February 20, 2025, generally subject to the Reporting Person's continued service with the Issuer, and have no expiration date.</w:t>
      </w:r>
    </w:p>
    <w:p>
      <w:pPr>
        <w:spacing w:after="0" w:line="44"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Robin H. Cowie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-10160</wp:posOffset>
            </wp:positionV>
            <wp:extent cx="9296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29640" cy="8255"/>
                    </a:xfrm>
                    <a:prstGeom prst="rect">
                      <a:avLst/>
                    </a:prstGeom>
                    <a:noFill/>
                  </pic:spPr>
                </pic:pic>
              </a:graphicData>
            </a:graphic>
          </wp:anchor>
        </w:drawing>
      </w:r>
    </w:p>
    <w:p>
      <w:pPr>
        <w:spacing w:after="0" w:line="1"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Gary</w:t>
      </w:r>
      <w:r>
        <w:rPr>
          <w:sz w:val="20"/>
          <w:szCs w:val="20"/>
          <w:color w:val="auto"/>
        </w:rPr>
        <w:tab/>
      </w:r>
      <w:r>
        <w:rPr>
          <w:rFonts w:ascii="Times New Roman" w:cs="Times New Roman" w:eastAsia="Times New Roman" w:hAnsi="Times New Roman"/>
          <w:sz w:val="16"/>
          <w:szCs w:val="16"/>
          <w:color w:val="0000FF"/>
        </w:rPr>
        <w:t>02/23/2026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-17145</wp:posOffset>
            </wp:positionV>
            <wp:extent cx="18783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7833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Pestano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-17145</wp:posOffset>
            </wp:positionV>
            <wp:extent cx="3282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28295" cy="8255"/>
                    </a:xfrm>
                    <a:prstGeom prst="rect">
                      <a:avLst/>
                    </a:prstGeom>
                    <a:noFill/>
                  </pic:spPr>
                </pic:pic>
              </a:graphicData>
            </a:graphic>
          </wp:anchor>
        </w:drawing>
      </w:r>
    </w:p>
    <w:p>
      <w:pPr>
        <w:spacing w:after="0" w:line="29"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33"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27711" TargetMode="External"/><Relationship Id="rId14" Type="http://schemas.openxmlformats.org/officeDocument/2006/relationships/hyperlink" Target="http://www.sec.gov/cgi-bin/browse-edgar?action=getcompany&amp;CIK=0001439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2026-02-23T19:25:03Z</dcterms:created>
  <dcterms:modified xsi:type="dcterms:W3CDTF">2026-02-23T19:25:03Z</dcterms:modified>
</cp:coreProperties>
</file>