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Franchi Jean M.</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10/27/2020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BIODESIX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BDSX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2970 WILDERNESS PLACE,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w:t>
      </w:r>
    </w:p>
    <w:p>
      <w:pPr>
        <w:spacing w:after="0" w:line="36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BOULDER CO</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80301</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92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246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4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03/31/2030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29,364</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6.83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03/31/2030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26,368</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6.83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-654050</wp:posOffset>
            </wp:positionV>
            <wp:extent cx="6927850" cy="495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95300"/>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vests in 12 successive, equal monthly installments measured from April 1, 2020.</w:t>
      </w:r>
    </w:p>
    <w:p>
      <w:pPr>
        <w:spacing w:after="0" w:line="52"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a contingent right to receive one share of Issuer Common Stock ("Common Stock"). These RSUs vest 40% on April 1, 2022, and the remaining 60% in 36 successive, equal monthly installments measured from April 1, 2022.</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Robin H. Cowie as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 Jean  10/27/2020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72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Franchi</w:t>
            </w:r>
          </w:p>
        </w:tc>
        <w:tc>
          <w:tcPr>
            <w:tcW w:w="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172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6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firstLine="585"/>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Scott Hutton, David Poticha and Robin Harper Cowie, or any of them acting individually, and with full power of substitution, the undersigned's true and lawful attorney-in-fact to:</w:t>
      </w:r>
    </w:p>
    <w:p>
      <w:pPr>
        <w:spacing w:after="0" w:line="87" w:lineRule="exact"/>
        <w:rPr>
          <w:sz w:val="20"/>
          <w:szCs w:val="20"/>
          <w:color w:val="auto"/>
        </w:rPr>
      </w:pPr>
    </w:p>
    <w:p>
      <w:pPr>
        <w:ind w:left="1520" w:right="619" w:hanging="935"/>
        <w:spacing w:after="0" w:line="289"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2" w:lineRule="exact"/>
        <w:rPr>
          <w:rFonts w:ascii="Courier New" w:cs="Courier New" w:eastAsia="Courier New" w:hAnsi="Courier New"/>
          <w:sz w:val="18"/>
          <w:szCs w:val="18"/>
          <w:color w:val="auto"/>
        </w:rPr>
      </w:pPr>
    </w:p>
    <w:p>
      <w:pPr>
        <w:ind w:left="1520" w:right="739" w:hanging="935"/>
        <w:spacing w:after="0" w:line="294"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Biodesix, Inc., a public limited company incorporated under the laws of England and Wales (the "Company"), Forms 3, 4, and 5, including amendments thereto, in accordance with Section 16(a) of the Securities Exchange Act of 1934 and the rules and regulations thereunder;</w:t>
      </w:r>
    </w:p>
    <w:p>
      <w:pPr>
        <w:spacing w:after="0" w:line="76" w:lineRule="exact"/>
        <w:rPr>
          <w:rFonts w:ascii="Courier New" w:cs="Courier New" w:eastAsia="Courier New" w:hAnsi="Courier New"/>
          <w:sz w:val="18"/>
          <w:szCs w:val="18"/>
          <w:color w:val="auto"/>
        </w:rPr>
      </w:pPr>
    </w:p>
    <w:p>
      <w:pPr>
        <w:ind w:left="1520" w:right="619" w:hanging="935"/>
        <w:spacing w:after="0" w:line="265"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520" w:right="619" w:hanging="935"/>
        <w:spacing w:after="0" w:line="254"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619" w:firstLine="585"/>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28" w:lineRule="exact"/>
        <w:rPr>
          <w:sz w:val="20"/>
          <w:szCs w:val="20"/>
          <w:color w:val="auto"/>
        </w:rPr>
      </w:pPr>
    </w:p>
    <w:p>
      <w:pPr>
        <w:ind w:right="739" w:firstLine="585"/>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herein at a later date.</w:t>
      </w:r>
    </w:p>
    <w:p>
      <w:pPr>
        <w:spacing w:after="0" w:line="103" w:lineRule="exact"/>
        <w:rPr>
          <w:sz w:val="20"/>
          <w:szCs w:val="20"/>
          <w:color w:val="auto"/>
        </w:rPr>
      </w:pPr>
    </w:p>
    <w:p>
      <w:pPr>
        <w:ind w:right="619" w:firstLine="585"/>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October, 2020.</w:t>
      </w:r>
    </w:p>
    <w:p>
      <w:pPr>
        <w:spacing w:after="0" w:line="243"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/s/ Jean Franchi</w:t>
      </w:r>
    </w:p>
    <w:p>
      <w:pPr>
        <w:spacing w:after="0" w:line="3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678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Jean Franchi</w:t>
      </w:r>
    </w:p>
    <w:p>
      <w:pPr>
        <w:spacing w:after="0" w:line="3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678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653053" TargetMode="External"/><Relationship Id="rId11"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2020-10-27T19:46:41Z</dcterms:created>
  <dcterms:modified xsi:type="dcterms:W3CDTF">2020-10-27T19:46:41Z</dcterms:modified>
</cp:coreProperties>
</file>