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26, 2025</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001-39659</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20-3986492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919 West Dillon Rd.</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Louisville, CO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80027</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September 26, 2025, Biodesix, Inc., a Delaware corporation (the “Company”) received a letter from the Nasdaq Listing Qualifications Department of the Nasdaq Stock Market LLC (“Nasdaq”) notifying the Company that it has regained compliance with the minimum bid price requirement set forth in Nasdaq Listing Rule 5450(a)(1) (the “Minimum Bid Price Requirement”) for continued listing on The Nasdaq Global Market.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on March 24, 2025, the Company received a letter from Nasdaq, notifying the Company that it was not in compliance with the Minimum Bid Price Requirement because the Company’s common stock, par value $0.001 (the “Common Stock”), had closed below the $1.00 per share minimum for 30 consecutive business days. To regain compliance with the Minimum Bid Price Requirement, the Common Stock was required to maintain a closing bid price of at least $1.00 per share for a minimum of ten consecutive business days.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its letter dated September 26, 2025, Nasdaq indicated the Company has regained compliance with the Minimum Bid Price Requirement, and the matter is now closed.</w:t>
      </w:r>
    </w:p>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 2025</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2025-10-01T15:13:30Z</dcterms:created>
  <dcterms:modified xsi:type="dcterms:W3CDTF">2025-10-01T15:13:30Z</dcterms:modified>
</cp:coreProperties>
</file>