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SCHEDULE 13D</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No. 2)*</w:t>
      </w:r>
    </w:p>
    <w:p>
      <w:pPr>
        <w:spacing w:after="0" w:line="1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u w:val="single" w:color="auto"/>
          <w:color w:val="auto"/>
        </w:rPr>
        <w:t>Biodesix,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(Name of Issuer)</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Common Stock, par value $0.001 per share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09075X108</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Arthur McMahon, III, Esq.</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Taft Stettinius &amp; Hollister LLP</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425 Walnut Street, Suite 1800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Cincinnati, OH 45202</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(513) 357-9607</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Address and Telephone Number of Person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Authorized to Receive Notices and Communications)</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April 5, 2024</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7"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Note: Schedules filed in paper format shall include a signed original and five copies of the schedule, including all exhibits. See Rule 13d-7 for other parties to whom copies are to be sent.</w:t>
      </w:r>
    </w:p>
    <w:p>
      <w:pPr>
        <w:spacing w:after="0" w:line="162" w:lineRule="exact"/>
        <w:rPr>
          <w:sz w:val="24"/>
          <w:szCs w:val="24"/>
          <w:color w:val="auto"/>
        </w:rPr>
      </w:pPr>
    </w:p>
    <w:p>
      <w:pPr>
        <w:ind w:firstLine="8"/>
        <w:spacing w:after="0" w:line="282" w:lineRule="auto"/>
        <w:tabs>
          <w:tab w:leader="none" w:pos="13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269240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8"/>
        </w:trPr>
        <w:tc>
          <w:tcPr>
            <w:tcW w:w="2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CUSIP No: 09075X108</w:t>
            </w:r>
          </w:p>
        </w:tc>
        <w:tc>
          <w:tcPr>
            <w:tcW w:w="580" w:type="dxa"/>
            <w:vAlign w:val="bottom"/>
          </w:tcPr>
          <w:p>
            <w:pPr>
              <w:spacing w:after="0"/>
              <w:rPr>
                <w:sz w:val="20"/>
                <w:szCs w:val="20"/>
                <w:color w:val="auto"/>
              </w:rPr>
            </w:pPr>
          </w:p>
        </w:tc>
        <w:tc>
          <w:tcPr>
            <w:tcW w:w="696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SCHEDULE 13D</w:t>
            </w: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2</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9</w:t>
            </w:r>
            <w:r>
              <w:rPr>
                <w:rFonts w:ascii="Times New Roman" w:cs="Times New Roman" w:eastAsia="Times New Roman" w:hAnsi="Times New Roman"/>
                <w:sz w:val="18"/>
                <w:szCs w:val="18"/>
                <w:color w:val="auto"/>
              </w:rPr>
              <w:t xml:space="preserve"> pages</w:t>
            </w:r>
          </w:p>
        </w:tc>
        <w:tc>
          <w:tcPr>
            <w:tcW w:w="0" w:type="dxa"/>
            <w:vAlign w:val="bottom"/>
          </w:tcPr>
          <w:p>
            <w:pPr>
              <w:spacing w:after="0"/>
              <w:rPr>
                <w:sz w:val="1"/>
                <w:szCs w:val="1"/>
                <w:color w:val="auto"/>
              </w:rPr>
            </w:pPr>
          </w:p>
        </w:tc>
      </w:tr>
      <w:tr>
        <w:trPr>
          <w:trHeight w:val="175"/>
        </w:trPr>
        <w:tc>
          <w:tcPr>
            <w:tcW w:w="1400" w:type="dxa"/>
            <w:vAlign w:val="bottom"/>
            <w:tcBorders>
              <w:bottom w:val="single" w:sz="8" w:color="auto"/>
            </w:tcBorders>
          </w:tcPr>
          <w:p>
            <w:pPr>
              <w:spacing w:after="0"/>
              <w:rPr>
                <w:sz w:val="15"/>
                <w:szCs w:val="15"/>
                <w:color w:val="auto"/>
              </w:rPr>
            </w:pPr>
          </w:p>
        </w:tc>
        <w:tc>
          <w:tcPr>
            <w:tcW w:w="8280" w:type="dxa"/>
            <w:vAlign w:val="bottom"/>
            <w:tcBorders>
              <w:bottom w:val="single" w:sz="8" w:color="auto"/>
            </w:tcBorders>
            <w:gridSpan w:val="4"/>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828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2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Lawrence T. Kennedy, Jr. Revocable Trust UAD 6/19/01</w:t>
            </w: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8280" w:type="dxa"/>
            <w:vAlign w:val="bottom"/>
            <w:tcBorders>
              <w:bottom w:val="single" w:sz="8" w:color="auto"/>
            </w:tcBorders>
            <w:gridSpan w:val="4"/>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828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1040" w:type="dxa"/>
            <w:vAlign w:val="bottom"/>
          </w:tcPr>
          <w:p>
            <w:pPr>
              <w:spacing w:after="0"/>
              <w:rPr>
                <w:sz w:val="20"/>
                <w:szCs w:val="20"/>
                <w:color w:val="auto"/>
              </w:rPr>
            </w:pPr>
          </w:p>
        </w:tc>
        <w:tc>
          <w:tcPr>
            <w:tcW w:w="520" w:type="dxa"/>
            <w:vAlign w:val="bottom"/>
            <w:tcBorders>
              <w:right w:val="single" w:sz="8" w:color="auto"/>
            </w:tcBorders>
            <w:gridSpan w:val="2"/>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9"/>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20" w:type="dxa"/>
            <w:vAlign w:val="bottom"/>
            <w:tcBorders>
              <w:right w:val="single" w:sz="8" w:color="auto"/>
            </w:tcBorders>
            <w:gridSpan w:val="2"/>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2"/>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spacing w:after="0"/>
              <w:rPr>
                <w:sz w:val="18"/>
                <w:szCs w:val="18"/>
                <w:color w:val="auto"/>
              </w:rPr>
            </w:pPr>
          </w:p>
        </w:tc>
        <w:tc>
          <w:tcPr>
            <w:tcW w:w="69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tcBorders>
              <w:right w:val="single" w:sz="8" w:color="BFBFBF"/>
            </w:tcBorders>
            <w:gridSpan w:val="3"/>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6"/>
              </w:rPr>
              <w:t>SEC USE ONLY</w:t>
            </w:r>
          </w:p>
        </w:tc>
        <w:tc>
          <w:tcPr>
            <w:tcW w:w="6960" w:type="dxa"/>
            <w:vAlign w:val="bottom"/>
            <w:shd w:val="clear" w:color="auto" w:fill="BFBFBF"/>
          </w:tcPr>
          <w:p>
            <w:pPr>
              <w:spacing w:after="0"/>
              <w:rPr>
                <w:sz w:val="20"/>
                <w:szCs w:val="20"/>
                <w:color w:val="auto"/>
              </w:rPr>
            </w:pPr>
          </w:p>
        </w:tc>
        <w:tc>
          <w:tcPr>
            <w:tcW w:w="1040" w:type="dxa"/>
            <w:vAlign w:val="bottom"/>
            <w:shd w:val="clear" w:color="auto" w:fill="BFBFBF"/>
          </w:tcPr>
          <w:p>
            <w:pPr>
              <w:spacing w:after="0"/>
              <w:rPr>
                <w:sz w:val="20"/>
                <w:szCs w:val="20"/>
                <w:color w:val="auto"/>
              </w:rPr>
            </w:pPr>
          </w:p>
        </w:tc>
        <w:tc>
          <w:tcPr>
            <w:tcW w:w="300" w:type="dxa"/>
            <w:vAlign w:val="bottom"/>
            <w:shd w:val="clear" w:color="auto" w:fill="BFBFBF"/>
          </w:tcPr>
          <w:p>
            <w:pPr>
              <w:spacing w:after="0"/>
              <w:rPr>
                <w:sz w:val="20"/>
                <w:szCs w:val="20"/>
                <w:color w:val="auto"/>
              </w:rPr>
            </w:pPr>
          </w:p>
        </w:tc>
        <w:tc>
          <w:tcPr>
            <w:tcW w:w="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00" w:type="dxa"/>
            <w:vAlign w:val="bottom"/>
            <w:shd w:val="clear" w:color="auto" w:fill="BFBFBF"/>
          </w:tcPr>
          <w:p>
            <w:pPr>
              <w:spacing w:after="0"/>
              <w:rPr>
                <w:sz w:val="24"/>
                <w:szCs w:val="24"/>
                <w:color w:val="auto"/>
              </w:rPr>
            </w:pPr>
          </w:p>
        </w:tc>
        <w:tc>
          <w:tcPr>
            <w:tcW w:w="580" w:type="dxa"/>
            <w:vAlign w:val="bottom"/>
            <w:tcBorders>
              <w:right w:val="single" w:sz="8" w:color="BFBFBF"/>
            </w:tcBorders>
            <w:shd w:val="clear" w:color="auto" w:fill="BFBFBF"/>
          </w:tcPr>
          <w:p>
            <w:pPr>
              <w:spacing w:after="0"/>
              <w:rPr>
                <w:sz w:val="24"/>
                <w:szCs w:val="24"/>
                <w:color w:val="auto"/>
              </w:rPr>
            </w:pPr>
          </w:p>
        </w:tc>
        <w:tc>
          <w:tcPr>
            <w:tcW w:w="6960" w:type="dxa"/>
            <w:vAlign w:val="bottom"/>
            <w:shd w:val="clear" w:color="auto" w:fill="BFBFBF"/>
          </w:tcPr>
          <w:p>
            <w:pPr>
              <w:spacing w:after="0"/>
              <w:rPr>
                <w:sz w:val="24"/>
                <w:szCs w:val="24"/>
                <w:color w:val="auto"/>
              </w:rPr>
            </w:pPr>
          </w:p>
        </w:tc>
        <w:tc>
          <w:tcPr>
            <w:tcW w:w="1040" w:type="dxa"/>
            <w:vAlign w:val="bottom"/>
            <w:shd w:val="clear" w:color="auto" w:fill="BFBFBF"/>
          </w:tcPr>
          <w:p>
            <w:pPr>
              <w:spacing w:after="0"/>
              <w:rPr>
                <w:sz w:val="24"/>
                <w:szCs w:val="24"/>
                <w:color w:val="auto"/>
              </w:rPr>
            </w:pPr>
          </w:p>
        </w:tc>
        <w:tc>
          <w:tcPr>
            <w:tcW w:w="300" w:type="dxa"/>
            <w:vAlign w:val="bottom"/>
            <w:shd w:val="clear" w:color="auto" w:fill="BFBFBF"/>
          </w:tcPr>
          <w:p>
            <w:pPr>
              <w:spacing w:after="0"/>
              <w:rPr>
                <w:sz w:val="24"/>
                <w:szCs w:val="24"/>
                <w:color w:val="auto"/>
              </w:rPr>
            </w:pPr>
          </w:p>
        </w:tc>
        <w:tc>
          <w:tcPr>
            <w:tcW w:w="2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8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6960" w:type="dxa"/>
            <w:vAlign w:val="bottom"/>
            <w:tcBorders>
              <w:bottom w:val="single" w:sz="8" w:color="auto"/>
            </w:tcBorders>
            <w:shd w:val="clear" w:color="auto" w:fill="BFBFBF"/>
          </w:tcPr>
          <w:p>
            <w:pPr>
              <w:spacing w:after="0"/>
              <w:rPr>
                <w:sz w:val="23"/>
                <w:szCs w:val="23"/>
                <w:color w:val="auto"/>
              </w:rPr>
            </w:pPr>
          </w:p>
        </w:tc>
        <w:tc>
          <w:tcPr>
            <w:tcW w:w="1040" w:type="dxa"/>
            <w:vAlign w:val="bottom"/>
            <w:tcBorders>
              <w:bottom w:val="single" w:sz="8" w:color="auto"/>
            </w:tcBorders>
            <w:shd w:val="clear" w:color="auto" w:fill="BFBFBF"/>
          </w:tcPr>
          <w:p>
            <w:pPr>
              <w:spacing w:after="0"/>
              <w:rPr>
                <w:sz w:val="23"/>
                <w:szCs w:val="23"/>
                <w:color w:val="auto"/>
              </w:rPr>
            </w:pPr>
          </w:p>
        </w:tc>
        <w:tc>
          <w:tcPr>
            <w:tcW w:w="300" w:type="dxa"/>
            <w:vAlign w:val="bottom"/>
            <w:tcBorders>
              <w:bottom w:val="single" w:sz="8" w:color="auto"/>
            </w:tcBorders>
            <w:shd w:val="clear" w:color="auto" w:fill="BFBFBF"/>
          </w:tcPr>
          <w:p>
            <w:pPr>
              <w:spacing w:after="0"/>
              <w:rPr>
                <w:sz w:val="23"/>
                <w:szCs w:val="23"/>
                <w:color w:val="auto"/>
              </w:rPr>
            </w:pPr>
          </w:p>
        </w:tc>
        <w:tc>
          <w:tcPr>
            <w:tcW w:w="2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828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SOURCE OF FUNDS (SEE INSTRUCTIONS)</w:t>
            </w: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PF</w:t>
            </w:r>
          </w:p>
        </w:tc>
        <w:tc>
          <w:tcPr>
            <w:tcW w:w="58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5"/>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9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5</w:t>
            </w:r>
          </w:p>
        </w:tc>
        <w:tc>
          <w:tcPr>
            <w:tcW w:w="93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CHECK BOX IF DISCLOSURE OF LEGAL PROCEEDINGS IS REQUIRED PURSUANT TO ITEM 2(D) OR 2(E)</w:t>
            </w:r>
          </w:p>
        </w:tc>
        <w:tc>
          <w:tcPr>
            <w:tcW w:w="300" w:type="dxa"/>
            <w:vAlign w:val="bottom"/>
          </w:tcPr>
          <w:p>
            <w:pPr>
              <w:spacing w:after="0"/>
              <w:rPr>
                <w:sz w:val="24"/>
                <w:szCs w:val="24"/>
                <w:color w:val="auto"/>
              </w:rPr>
            </w:pPr>
          </w:p>
        </w:tc>
        <w:tc>
          <w:tcPr>
            <w:tcW w:w="22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9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8280" w:type="dxa"/>
            <w:vAlign w:val="bottom"/>
            <w:tcBorders>
              <w:bottom w:val="single" w:sz="8" w:color="auto"/>
            </w:tcBorders>
            <w:gridSpan w:val="4"/>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6</w:t>
            </w:r>
          </w:p>
        </w:tc>
        <w:tc>
          <w:tcPr>
            <w:tcW w:w="828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Ohio</w:t>
            </w:r>
          </w:p>
        </w:tc>
        <w:tc>
          <w:tcPr>
            <w:tcW w:w="58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9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7</w:t>
            </w:r>
          </w:p>
        </w:tc>
        <w:tc>
          <w:tcPr>
            <w:tcW w:w="6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Borders>
              <w:right w:val="single" w:sz="8" w:color="auto"/>
            </w:tcBorders>
            <w:vMerge w:val="continue"/>
          </w:tcPr>
          <w:p>
            <w:pPr>
              <w:spacing w:after="0"/>
              <w:rPr>
                <w:sz w:val="24"/>
                <w:szCs w:val="24"/>
                <w:color w:val="auto"/>
              </w:rPr>
            </w:pPr>
          </w:p>
        </w:tc>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right w:val="single" w:sz="8" w:color="auto"/>
            </w:tcBorders>
          </w:tcPr>
          <w:p>
            <w:pPr>
              <w:spacing w:after="0"/>
              <w:rPr>
                <w:sz w:val="14"/>
                <w:szCs w:val="14"/>
                <w:color w:val="auto"/>
              </w:rPr>
            </w:pPr>
          </w:p>
        </w:tc>
        <w:tc>
          <w:tcPr>
            <w:tcW w:w="69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8</w:t>
            </w:r>
          </w:p>
        </w:tc>
        <w:tc>
          <w:tcPr>
            <w:tcW w:w="6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00" w:type="dxa"/>
            <w:vAlign w:val="bottom"/>
          </w:tcPr>
          <w:p>
            <w:pPr>
              <w:spacing w:after="0"/>
              <w:rPr>
                <w:sz w:val="19"/>
                <w:szCs w:val="19"/>
                <w:color w:val="auto"/>
              </w:rPr>
            </w:pPr>
          </w:p>
        </w:tc>
        <w:tc>
          <w:tcPr>
            <w:tcW w:w="580" w:type="dxa"/>
            <w:vAlign w:val="bottom"/>
            <w:tcBorders>
              <w:right w:val="single" w:sz="8" w:color="auto"/>
            </w:tcBorders>
            <w:vMerge w:val="continue"/>
          </w:tcPr>
          <w:p>
            <w:pPr>
              <w:spacing w:after="0"/>
              <w:rPr>
                <w:sz w:val="19"/>
                <w:szCs w:val="19"/>
                <w:color w:val="auto"/>
              </w:rPr>
            </w:pPr>
          </w:p>
        </w:tc>
        <w:tc>
          <w:tcPr>
            <w:tcW w:w="69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10,304,824</w:t>
            </w: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0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696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right w:val="single" w:sz="8" w:color="auto"/>
            </w:tcBorders>
          </w:tcPr>
          <w:p>
            <w:pPr>
              <w:spacing w:after="0"/>
              <w:rPr>
                <w:sz w:val="11"/>
                <w:szCs w:val="11"/>
                <w:color w:val="auto"/>
              </w:rPr>
            </w:pPr>
          </w:p>
        </w:tc>
        <w:tc>
          <w:tcPr>
            <w:tcW w:w="696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40" w:type="dxa"/>
            <w:vAlign w:val="bottom"/>
            <w:tcBorders>
              <w:left w:val="single" w:sz="8" w:color="auto"/>
              <w:right w:val="single" w:sz="8" w:color="auto"/>
            </w:tcBorders>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Borders>
              <w:right w:val="single" w:sz="8" w:color="auto"/>
            </w:tcBorders>
          </w:tcPr>
          <w:p>
            <w:pPr>
              <w:spacing w:after="0"/>
              <w:rPr>
                <w:sz w:val="5"/>
                <w:szCs w:val="5"/>
                <w:color w:val="auto"/>
              </w:rPr>
            </w:pPr>
          </w:p>
        </w:tc>
        <w:tc>
          <w:tcPr>
            <w:tcW w:w="69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10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100" w:type="dxa"/>
            <w:vAlign w:val="bottom"/>
          </w:tcPr>
          <w:p>
            <w:pPr>
              <w:spacing w:after="0"/>
              <w:rPr>
                <w:sz w:val="18"/>
                <w:szCs w:val="18"/>
                <w:color w:val="auto"/>
              </w:rPr>
            </w:pPr>
          </w:p>
        </w:tc>
        <w:tc>
          <w:tcPr>
            <w:tcW w:w="5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9</w:t>
            </w:r>
          </w:p>
        </w:tc>
        <w:tc>
          <w:tcPr>
            <w:tcW w:w="696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400" w:type="dxa"/>
            <w:vAlign w:val="bottom"/>
            <w:tcBorders>
              <w:left w:val="single" w:sz="8" w:color="auto"/>
            </w:tcBorders>
            <w:vMerge w:val="restart"/>
          </w:tcPr>
          <w:p>
            <w:pPr>
              <w:jc w:val="center"/>
              <w:ind w:left="505"/>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Borders>
              <w:right w:val="single" w:sz="8" w:color="auto"/>
            </w:tcBorders>
            <w:vMerge w:val="continue"/>
          </w:tcPr>
          <w:p>
            <w:pPr>
              <w:spacing w:after="0"/>
              <w:rPr>
                <w:sz w:val="16"/>
                <w:szCs w:val="16"/>
                <w:color w:val="auto"/>
              </w:rPr>
            </w:pPr>
          </w:p>
        </w:tc>
        <w:tc>
          <w:tcPr>
            <w:tcW w:w="69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0</w:t>
            </w: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vMerge w:val="continue"/>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Borders>
              <w:right w:val="single" w:sz="8" w:color="auto"/>
            </w:tcBorders>
          </w:tcPr>
          <w:p>
            <w:pPr>
              <w:spacing w:after="0"/>
              <w:rPr>
                <w:sz w:val="4"/>
                <w:szCs w:val="4"/>
                <w:color w:val="auto"/>
              </w:rPr>
            </w:pPr>
          </w:p>
        </w:tc>
        <w:tc>
          <w:tcPr>
            <w:tcW w:w="69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right w:val="single" w:sz="8" w:color="auto"/>
            </w:tcBorders>
          </w:tcPr>
          <w:p>
            <w:pPr>
              <w:spacing w:after="0"/>
              <w:rPr>
                <w:sz w:val="24"/>
                <w:szCs w:val="24"/>
                <w:color w:val="auto"/>
              </w:rPr>
            </w:pPr>
          </w:p>
        </w:tc>
        <w:tc>
          <w:tcPr>
            <w:tcW w:w="69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10</w:t>
            </w:r>
          </w:p>
        </w:tc>
        <w:tc>
          <w:tcPr>
            <w:tcW w:w="6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Borders>
              <w:right w:val="single" w:sz="8" w:color="auto"/>
            </w:tcBorders>
            <w:vMerge w:val="continue"/>
          </w:tcPr>
          <w:p>
            <w:pPr>
              <w:spacing w:after="0"/>
              <w:rPr>
                <w:sz w:val="24"/>
                <w:szCs w:val="24"/>
                <w:color w:val="auto"/>
              </w:rPr>
            </w:pPr>
          </w:p>
        </w:tc>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10,304,824</w:t>
            </w: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gridSpan w:val="2"/>
          </w:tcPr>
          <w:p>
            <w:pPr>
              <w:spacing w:after="0"/>
              <w:rPr>
                <w:sz w:val="14"/>
                <w:szCs w:val="14"/>
                <w:color w:val="auto"/>
              </w:rPr>
            </w:pPr>
          </w:p>
        </w:tc>
        <w:tc>
          <w:tcPr>
            <w:tcW w:w="69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828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10,304,824</w:t>
            </w:r>
          </w:p>
        </w:tc>
        <w:tc>
          <w:tcPr>
            <w:tcW w:w="6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69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1400" w:type="dxa"/>
            <w:vAlign w:val="bottom"/>
            <w:tcBorders>
              <w:left w:val="single" w:sz="8" w:color="auto"/>
              <w:right w:val="single" w:sz="8" w:color="auto"/>
            </w:tcBorders>
          </w:tcPr>
          <w:p>
            <w:pPr>
              <w:spacing w:after="0"/>
              <w:rPr>
                <w:sz w:val="18"/>
                <w:szCs w:val="18"/>
                <w:color w:val="auto"/>
              </w:rPr>
            </w:pPr>
          </w:p>
        </w:tc>
        <w:tc>
          <w:tcPr>
            <w:tcW w:w="828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CHECK BOX IF THE AGGREGATE AMOUNT IN ROW (11) EXCLUDES CERTAIN SHARES (SEE</w:t>
            </w: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58"/>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8280" w:type="dxa"/>
            <w:vAlign w:val="bottom"/>
            <w:gridSpan w:val="4"/>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INSTRUCTIONS)</w:t>
            </w:r>
          </w:p>
        </w:tc>
        <w:tc>
          <w:tcPr>
            <w:tcW w:w="10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1400" w:type="dxa"/>
            <w:vAlign w:val="bottom"/>
            <w:tcBorders>
              <w:left w:val="single" w:sz="8" w:color="auto"/>
              <w:right w:val="single" w:sz="8" w:color="auto"/>
            </w:tcBorders>
            <w:vMerge w:val="continue"/>
          </w:tcPr>
          <w:p>
            <w:pPr>
              <w:spacing w:after="0"/>
              <w:rPr>
                <w:sz w:val="6"/>
                <w:szCs w:val="6"/>
                <w:color w:val="auto"/>
              </w:rPr>
            </w:pPr>
          </w:p>
        </w:tc>
        <w:tc>
          <w:tcPr>
            <w:tcW w:w="8280" w:type="dxa"/>
            <w:vAlign w:val="bottom"/>
            <w:gridSpan w:val="4"/>
            <w:vMerge w:val="continue"/>
          </w:tcPr>
          <w:p>
            <w:pPr>
              <w:spacing w:after="0"/>
              <w:rPr>
                <w:sz w:val="6"/>
                <w:szCs w:val="6"/>
                <w:color w:val="auto"/>
              </w:rPr>
            </w:pPr>
          </w:p>
        </w:tc>
        <w:tc>
          <w:tcPr>
            <w:tcW w:w="1040" w:type="dxa"/>
            <w:vAlign w:val="bottom"/>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6"/>
        </w:trPr>
        <w:tc>
          <w:tcPr>
            <w:tcW w:w="1400" w:type="dxa"/>
            <w:vAlign w:val="bottom"/>
            <w:tcBorders>
              <w:left w:val="single" w:sz="8" w:color="auto"/>
              <w:right w:val="single" w:sz="8" w:color="auto"/>
            </w:tcBorders>
            <w:vMerge w:val="continue"/>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9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21"/>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spacing w:after="0"/>
              <w:rPr>
                <w:sz w:val="24"/>
                <w:szCs w:val="24"/>
                <w:color w:val="auto"/>
              </w:rPr>
            </w:pPr>
          </w:p>
        </w:tc>
        <w:tc>
          <w:tcPr>
            <w:tcW w:w="69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13</w:t>
            </w:r>
          </w:p>
        </w:tc>
        <w:tc>
          <w:tcPr>
            <w:tcW w:w="828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(11)</w:t>
            </w: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9.1% (1)</w:t>
            </w:r>
          </w:p>
        </w:tc>
        <w:tc>
          <w:tcPr>
            <w:tcW w:w="58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69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14</w:t>
            </w:r>
          </w:p>
        </w:tc>
        <w:tc>
          <w:tcPr>
            <w:tcW w:w="828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OO</w:t>
            </w:r>
          </w:p>
        </w:tc>
        <w:tc>
          <w:tcPr>
            <w:tcW w:w="58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9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right="760" w:hanging="332"/>
        <w:spacing w:after="0" w:line="312" w:lineRule="auto"/>
        <w:tabs>
          <w:tab w:leader="none" w:pos="3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percentage is based on a total of 113,627,715 Shares expected to be outstanding following the closing of the Issuer’s Concurrent Private Placement (as defined herein) on April 9, 2024, as reported in the Issuer’s current report on Form 8-K filed with the SEC on April 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38"/>
        </w:trPr>
        <w:tc>
          <w:tcPr>
            <w:tcW w:w="2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CUSIP No: 09075X108</w:t>
            </w:r>
          </w:p>
        </w:tc>
        <w:tc>
          <w:tcPr>
            <w:tcW w:w="560" w:type="dxa"/>
            <w:vAlign w:val="bottom"/>
          </w:tcPr>
          <w:p>
            <w:pPr>
              <w:spacing w:after="0"/>
              <w:rPr>
                <w:sz w:val="20"/>
                <w:szCs w:val="20"/>
                <w:color w:val="auto"/>
              </w:rPr>
            </w:pPr>
          </w:p>
        </w:tc>
        <w:tc>
          <w:tcPr>
            <w:tcW w:w="696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SCHEDULE 13D</w:t>
            </w: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3</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9</w:t>
            </w:r>
            <w:r>
              <w:rPr>
                <w:rFonts w:ascii="Times New Roman" w:cs="Times New Roman" w:eastAsia="Times New Roman" w:hAnsi="Times New Roman"/>
                <w:sz w:val="18"/>
                <w:szCs w:val="18"/>
                <w:color w:val="auto"/>
              </w:rPr>
              <w:t xml:space="preserve"> pages</w:t>
            </w:r>
          </w:p>
        </w:tc>
        <w:tc>
          <w:tcPr>
            <w:tcW w:w="0" w:type="dxa"/>
            <w:vAlign w:val="bottom"/>
          </w:tcPr>
          <w:p>
            <w:pPr>
              <w:spacing w:after="0"/>
              <w:rPr>
                <w:sz w:val="1"/>
                <w:szCs w:val="1"/>
                <w:color w:val="auto"/>
              </w:rPr>
            </w:pPr>
          </w:p>
        </w:tc>
      </w:tr>
      <w:tr>
        <w:trPr>
          <w:trHeight w:val="216"/>
        </w:trPr>
        <w:tc>
          <w:tcPr>
            <w:tcW w:w="1400" w:type="dxa"/>
            <w:vAlign w:val="bottom"/>
            <w:tcBorders>
              <w:bottom w:val="single" w:sz="8" w:color="auto"/>
            </w:tcBorders>
          </w:tcPr>
          <w:p>
            <w:pPr>
              <w:spacing w:after="0"/>
              <w:rPr>
                <w:sz w:val="18"/>
                <w:szCs w:val="18"/>
                <w:color w:val="auto"/>
              </w:rPr>
            </w:pPr>
          </w:p>
        </w:tc>
        <w:tc>
          <w:tcPr>
            <w:tcW w:w="8280" w:type="dxa"/>
            <w:vAlign w:val="bottom"/>
            <w:tcBorders>
              <w:bottom w:val="single" w:sz="8" w:color="auto"/>
            </w:tcBorders>
            <w:gridSpan w:val="4"/>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828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2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Lawrence T. Kennedy, Jr. Perpetuity Trust UAD 6/30/16</w:t>
            </w: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8280" w:type="dxa"/>
            <w:vAlign w:val="bottom"/>
            <w:tcBorders>
              <w:bottom w:val="single" w:sz="8" w:color="auto"/>
            </w:tcBorders>
            <w:gridSpan w:val="4"/>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828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1040" w:type="dxa"/>
            <w:vAlign w:val="bottom"/>
          </w:tcPr>
          <w:p>
            <w:pPr>
              <w:spacing w:after="0"/>
              <w:rPr>
                <w:sz w:val="20"/>
                <w:szCs w:val="20"/>
                <w:color w:val="auto"/>
              </w:rPr>
            </w:pPr>
          </w:p>
        </w:tc>
        <w:tc>
          <w:tcPr>
            <w:tcW w:w="520" w:type="dxa"/>
            <w:vAlign w:val="bottom"/>
            <w:tcBorders>
              <w:right w:val="single" w:sz="8" w:color="auto"/>
            </w:tcBorders>
            <w:gridSpan w:val="2"/>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9"/>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20" w:type="dxa"/>
            <w:vAlign w:val="bottom"/>
            <w:tcBorders>
              <w:right w:val="single" w:sz="8" w:color="auto"/>
            </w:tcBorders>
            <w:gridSpan w:val="2"/>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2"/>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spacing w:after="0"/>
              <w:rPr>
                <w:sz w:val="18"/>
                <w:szCs w:val="18"/>
                <w:color w:val="auto"/>
              </w:rPr>
            </w:pPr>
          </w:p>
        </w:tc>
        <w:tc>
          <w:tcPr>
            <w:tcW w:w="69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tcBorders>
              <w:right w:val="single" w:sz="8" w:color="BFBFBF"/>
            </w:tcBorders>
            <w:gridSpan w:val="3"/>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6"/>
              </w:rPr>
              <w:t>SEC USE ONLY</w:t>
            </w:r>
          </w:p>
        </w:tc>
        <w:tc>
          <w:tcPr>
            <w:tcW w:w="6960" w:type="dxa"/>
            <w:vAlign w:val="bottom"/>
            <w:shd w:val="clear" w:color="auto" w:fill="BFBFBF"/>
          </w:tcPr>
          <w:p>
            <w:pPr>
              <w:spacing w:after="0"/>
              <w:rPr>
                <w:sz w:val="20"/>
                <w:szCs w:val="20"/>
                <w:color w:val="auto"/>
              </w:rPr>
            </w:pPr>
          </w:p>
        </w:tc>
        <w:tc>
          <w:tcPr>
            <w:tcW w:w="1040" w:type="dxa"/>
            <w:vAlign w:val="bottom"/>
            <w:shd w:val="clear" w:color="auto" w:fill="BFBFBF"/>
          </w:tcPr>
          <w:p>
            <w:pPr>
              <w:spacing w:after="0"/>
              <w:rPr>
                <w:sz w:val="20"/>
                <w:szCs w:val="20"/>
                <w:color w:val="auto"/>
              </w:rPr>
            </w:pPr>
          </w:p>
        </w:tc>
        <w:tc>
          <w:tcPr>
            <w:tcW w:w="300" w:type="dxa"/>
            <w:vAlign w:val="bottom"/>
            <w:shd w:val="clear" w:color="auto" w:fill="BFBFBF"/>
          </w:tcPr>
          <w:p>
            <w:pPr>
              <w:spacing w:after="0"/>
              <w:rPr>
                <w:sz w:val="20"/>
                <w:szCs w:val="20"/>
                <w:color w:val="auto"/>
              </w:rPr>
            </w:pPr>
          </w:p>
        </w:tc>
        <w:tc>
          <w:tcPr>
            <w:tcW w:w="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20" w:type="dxa"/>
            <w:vAlign w:val="bottom"/>
            <w:shd w:val="clear" w:color="auto" w:fill="BFBFBF"/>
          </w:tcPr>
          <w:p>
            <w:pPr>
              <w:spacing w:after="0"/>
              <w:rPr>
                <w:sz w:val="24"/>
                <w:szCs w:val="24"/>
                <w:color w:val="auto"/>
              </w:rPr>
            </w:pPr>
          </w:p>
        </w:tc>
        <w:tc>
          <w:tcPr>
            <w:tcW w:w="560" w:type="dxa"/>
            <w:vAlign w:val="bottom"/>
            <w:tcBorders>
              <w:right w:val="single" w:sz="8" w:color="BFBFBF"/>
            </w:tcBorders>
            <w:shd w:val="clear" w:color="auto" w:fill="BFBFBF"/>
          </w:tcPr>
          <w:p>
            <w:pPr>
              <w:spacing w:after="0"/>
              <w:rPr>
                <w:sz w:val="24"/>
                <w:szCs w:val="24"/>
                <w:color w:val="auto"/>
              </w:rPr>
            </w:pPr>
          </w:p>
        </w:tc>
        <w:tc>
          <w:tcPr>
            <w:tcW w:w="6960" w:type="dxa"/>
            <w:vAlign w:val="bottom"/>
            <w:shd w:val="clear" w:color="auto" w:fill="BFBFBF"/>
          </w:tcPr>
          <w:p>
            <w:pPr>
              <w:spacing w:after="0"/>
              <w:rPr>
                <w:sz w:val="24"/>
                <w:szCs w:val="24"/>
                <w:color w:val="auto"/>
              </w:rPr>
            </w:pPr>
          </w:p>
        </w:tc>
        <w:tc>
          <w:tcPr>
            <w:tcW w:w="1040" w:type="dxa"/>
            <w:vAlign w:val="bottom"/>
            <w:shd w:val="clear" w:color="auto" w:fill="BFBFBF"/>
          </w:tcPr>
          <w:p>
            <w:pPr>
              <w:spacing w:after="0"/>
              <w:rPr>
                <w:sz w:val="24"/>
                <w:szCs w:val="24"/>
                <w:color w:val="auto"/>
              </w:rPr>
            </w:pPr>
          </w:p>
        </w:tc>
        <w:tc>
          <w:tcPr>
            <w:tcW w:w="300" w:type="dxa"/>
            <w:vAlign w:val="bottom"/>
            <w:shd w:val="clear" w:color="auto" w:fill="BFBFBF"/>
          </w:tcPr>
          <w:p>
            <w:pPr>
              <w:spacing w:after="0"/>
              <w:rPr>
                <w:sz w:val="24"/>
                <w:szCs w:val="24"/>
                <w:color w:val="auto"/>
              </w:rPr>
            </w:pPr>
          </w:p>
        </w:tc>
        <w:tc>
          <w:tcPr>
            <w:tcW w:w="2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8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6960" w:type="dxa"/>
            <w:vAlign w:val="bottom"/>
            <w:tcBorders>
              <w:bottom w:val="single" w:sz="8" w:color="auto"/>
            </w:tcBorders>
            <w:shd w:val="clear" w:color="auto" w:fill="BFBFBF"/>
          </w:tcPr>
          <w:p>
            <w:pPr>
              <w:spacing w:after="0"/>
              <w:rPr>
                <w:sz w:val="23"/>
                <w:szCs w:val="23"/>
                <w:color w:val="auto"/>
              </w:rPr>
            </w:pPr>
          </w:p>
        </w:tc>
        <w:tc>
          <w:tcPr>
            <w:tcW w:w="1040" w:type="dxa"/>
            <w:vAlign w:val="bottom"/>
            <w:tcBorders>
              <w:bottom w:val="single" w:sz="8" w:color="auto"/>
            </w:tcBorders>
            <w:shd w:val="clear" w:color="auto" w:fill="BFBFBF"/>
          </w:tcPr>
          <w:p>
            <w:pPr>
              <w:spacing w:after="0"/>
              <w:rPr>
                <w:sz w:val="23"/>
                <w:szCs w:val="23"/>
                <w:color w:val="auto"/>
              </w:rPr>
            </w:pPr>
          </w:p>
        </w:tc>
        <w:tc>
          <w:tcPr>
            <w:tcW w:w="300" w:type="dxa"/>
            <w:vAlign w:val="bottom"/>
            <w:tcBorders>
              <w:bottom w:val="single" w:sz="8" w:color="auto"/>
            </w:tcBorders>
            <w:shd w:val="clear" w:color="auto" w:fill="BFBFBF"/>
          </w:tcPr>
          <w:p>
            <w:pPr>
              <w:spacing w:after="0"/>
              <w:rPr>
                <w:sz w:val="23"/>
                <w:szCs w:val="23"/>
                <w:color w:val="auto"/>
              </w:rPr>
            </w:pPr>
          </w:p>
        </w:tc>
        <w:tc>
          <w:tcPr>
            <w:tcW w:w="2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828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SOURCE OF FUNDS (SEE INSTRUCTIONS)</w:t>
            </w: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PF</w:t>
            </w:r>
          </w:p>
        </w:tc>
        <w:tc>
          <w:tcPr>
            <w:tcW w:w="56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5"/>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9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5</w:t>
            </w:r>
          </w:p>
        </w:tc>
        <w:tc>
          <w:tcPr>
            <w:tcW w:w="93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CHECK BOX IF DISCLOSURE OF LEGAL PROCEEDINGS IS REQUIRED PURSUANT TO ITEM 2(D) OR 2(E)</w:t>
            </w:r>
          </w:p>
        </w:tc>
        <w:tc>
          <w:tcPr>
            <w:tcW w:w="300" w:type="dxa"/>
            <w:vAlign w:val="bottom"/>
          </w:tcPr>
          <w:p>
            <w:pPr>
              <w:spacing w:after="0"/>
              <w:rPr>
                <w:sz w:val="24"/>
                <w:szCs w:val="24"/>
                <w:color w:val="auto"/>
              </w:rPr>
            </w:pPr>
          </w:p>
        </w:tc>
        <w:tc>
          <w:tcPr>
            <w:tcW w:w="22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9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8280" w:type="dxa"/>
            <w:vAlign w:val="bottom"/>
            <w:tcBorders>
              <w:bottom w:val="single" w:sz="8" w:color="auto"/>
            </w:tcBorders>
            <w:gridSpan w:val="4"/>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6</w:t>
            </w:r>
          </w:p>
        </w:tc>
        <w:tc>
          <w:tcPr>
            <w:tcW w:w="828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56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9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7</w:t>
            </w:r>
          </w:p>
        </w:tc>
        <w:tc>
          <w:tcPr>
            <w:tcW w:w="6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Borders>
              <w:right w:val="single" w:sz="8" w:color="auto"/>
            </w:tcBorders>
            <w:vMerge w:val="continue"/>
          </w:tcPr>
          <w:p>
            <w:pPr>
              <w:spacing w:after="0"/>
              <w:rPr>
                <w:sz w:val="24"/>
                <w:szCs w:val="24"/>
                <w:color w:val="auto"/>
              </w:rPr>
            </w:pPr>
          </w:p>
        </w:tc>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right w:val="single" w:sz="8" w:color="auto"/>
            </w:tcBorders>
          </w:tcPr>
          <w:p>
            <w:pPr>
              <w:spacing w:after="0"/>
              <w:rPr>
                <w:sz w:val="14"/>
                <w:szCs w:val="14"/>
                <w:color w:val="auto"/>
              </w:rPr>
            </w:pPr>
          </w:p>
        </w:tc>
        <w:tc>
          <w:tcPr>
            <w:tcW w:w="69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8</w:t>
            </w:r>
          </w:p>
        </w:tc>
        <w:tc>
          <w:tcPr>
            <w:tcW w:w="6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20" w:type="dxa"/>
            <w:vAlign w:val="bottom"/>
          </w:tcPr>
          <w:p>
            <w:pPr>
              <w:spacing w:after="0"/>
              <w:rPr>
                <w:sz w:val="19"/>
                <w:szCs w:val="19"/>
                <w:color w:val="auto"/>
              </w:rPr>
            </w:pPr>
          </w:p>
        </w:tc>
        <w:tc>
          <w:tcPr>
            <w:tcW w:w="560" w:type="dxa"/>
            <w:vAlign w:val="bottom"/>
            <w:tcBorders>
              <w:right w:val="single" w:sz="8" w:color="auto"/>
            </w:tcBorders>
            <w:vMerge w:val="continue"/>
          </w:tcPr>
          <w:p>
            <w:pPr>
              <w:spacing w:after="0"/>
              <w:rPr>
                <w:sz w:val="19"/>
                <w:szCs w:val="19"/>
                <w:color w:val="auto"/>
              </w:rPr>
            </w:pPr>
          </w:p>
        </w:tc>
        <w:tc>
          <w:tcPr>
            <w:tcW w:w="69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10,528,753</w:t>
            </w: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2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696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right w:val="single" w:sz="8" w:color="auto"/>
            </w:tcBorders>
          </w:tcPr>
          <w:p>
            <w:pPr>
              <w:spacing w:after="0"/>
              <w:rPr>
                <w:sz w:val="11"/>
                <w:szCs w:val="11"/>
                <w:color w:val="auto"/>
              </w:rPr>
            </w:pPr>
          </w:p>
        </w:tc>
        <w:tc>
          <w:tcPr>
            <w:tcW w:w="696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40" w:type="dxa"/>
            <w:vAlign w:val="bottom"/>
            <w:tcBorders>
              <w:left w:val="single" w:sz="8" w:color="auto"/>
              <w:right w:val="single" w:sz="8" w:color="auto"/>
            </w:tcBorders>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Borders>
              <w:right w:val="single" w:sz="8" w:color="auto"/>
            </w:tcBorders>
          </w:tcPr>
          <w:p>
            <w:pPr>
              <w:spacing w:after="0"/>
              <w:rPr>
                <w:sz w:val="5"/>
                <w:szCs w:val="5"/>
                <w:color w:val="auto"/>
              </w:rPr>
            </w:pPr>
          </w:p>
        </w:tc>
        <w:tc>
          <w:tcPr>
            <w:tcW w:w="69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10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120" w:type="dxa"/>
            <w:vAlign w:val="bottom"/>
          </w:tcPr>
          <w:p>
            <w:pPr>
              <w:spacing w:after="0"/>
              <w:rPr>
                <w:sz w:val="18"/>
                <w:szCs w:val="18"/>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9</w:t>
            </w:r>
          </w:p>
        </w:tc>
        <w:tc>
          <w:tcPr>
            <w:tcW w:w="696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400" w:type="dxa"/>
            <w:vAlign w:val="bottom"/>
            <w:tcBorders>
              <w:left w:val="single" w:sz="8" w:color="auto"/>
            </w:tcBorders>
            <w:vMerge w:val="restart"/>
          </w:tcPr>
          <w:p>
            <w:pPr>
              <w:jc w:val="center"/>
              <w:ind w:left="505"/>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Borders>
              <w:right w:val="single" w:sz="8" w:color="auto"/>
            </w:tcBorders>
            <w:vMerge w:val="continue"/>
          </w:tcPr>
          <w:p>
            <w:pPr>
              <w:spacing w:after="0"/>
              <w:rPr>
                <w:sz w:val="16"/>
                <w:szCs w:val="16"/>
                <w:color w:val="auto"/>
              </w:rPr>
            </w:pPr>
          </w:p>
        </w:tc>
        <w:tc>
          <w:tcPr>
            <w:tcW w:w="69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0</w:t>
            </w: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vMerge w:val="continue"/>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Borders>
              <w:right w:val="single" w:sz="8" w:color="auto"/>
            </w:tcBorders>
          </w:tcPr>
          <w:p>
            <w:pPr>
              <w:spacing w:after="0"/>
              <w:rPr>
                <w:sz w:val="4"/>
                <w:szCs w:val="4"/>
                <w:color w:val="auto"/>
              </w:rPr>
            </w:pPr>
          </w:p>
        </w:tc>
        <w:tc>
          <w:tcPr>
            <w:tcW w:w="69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69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10</w:t>
            </w:r>
          </w:p>
        </w:tc>
        <w:tc>
          <w:tcPr>
            <w:tcW w:w="6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Borders>
              <w:right w:val="single" w:sz="8" w:color="auto"/>
            </w:tcBorders>
            <w:vMerge w:val="continue"/>
          </w:tcPr>
          <w:p>
            <w:pPr>
              <w:spacing w:after="0"/>
              <w:rPr>
                <w:sz w:val="24"/>
                <w:szCs w:val="24"/>
                <w:color w:val="auto"/>
              </w:rPr>
            </w:pPr>
          </w:p>
        </w:tc>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10,528,753</w:t>
            </w: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gridSpan w:val="2"/>
          </w:tcPr>
          <w:p>
            <w:pPr>
              <w:spacing w:after="0"/>
              <w:rPr>
                <w:sz w:val="14"/>
                <w:szCs w:val="14"/>
                <w:color w:val="auto"/>
              </w:rPr>
            </w:pPr>
          </w:p>
        </w:tc>
        <w:tc>
          <w:tcPr>
            <w:tcW w:w="69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828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10,528,753</w:t>
            </w:r>
          </w:p>
        </w:tc>
        <w:tc>
          <w:tcPr>
            <w:tcW w:w="6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69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1400" w:type="dxa"/>
            <w:vAlign w:val="bottom"/>
            <w:tcBorders>
              <w:left w:val="single" w:sz="8" w:color="auto"/>
              <w:right w:val="single" w:sz="8" w:color="auto"/>
            </w:tcBorders>
          </w:tcPr>
          <w:p>
            <w:pPr>
              <w:spacing w:after="0"/>
              <w:rPr>
                <w:sz w:val="18"/>
                <w:szCs w:val="18"/>
                <w:color w:val="auto"/>
              </w:rPr>
            </w:pPr>
          </w:p>
        </w:tc>
        <w:tc>
          <w:tcPr>
            <w:tcW w:w="828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CHECK BOX IF THE AGGREGATE AMOUNT IN ROW (11) EXCLUDES CERTAIN SHARES (SEE</w:t>
            </w: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58"/>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8280" w:type="dxa"/>
            <w:vAlign w:val="bottom"/>
            <w:gridSpan w:val="4"/>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INSTRUCTIONS)</w:t>
            </w:r>
          </w:p>
        </w:tc>
        <w:tc>
          <w:tcPr>
            <w:tcW w:w="10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1400" w:type="dxa"/>
            <w:vAlign w:val="bottom"/>
            <w:tcBorders>
              <w:left w:val="single" w:sz="8" w:color="auto"/>
              <w:right w:val="single" w:sz="8" w:color="auto"/>
            </w:tcBorders>
            <w:vMerge w:val="continue"/>
          </w:tcPr>
          <w:p>
            <w:pPr>
              <w:spacing w:after="0"/>
              <w:rPr>
                <w:sz w:val="6"/>
                <w:szCs w:val="6"/>
                <w:color w:val="auto"/>
              </w:rPr>
            </w:pPr>
          </w:p>
        </w:tc>
        <w:tc>
          <w:tcPr>
            <w:tcW w:w="8280" w:type="dxa"/>
            <w:vAlign w:val="bottom"/>
            <w:gridSpan w:val="4"/>
            <w:vMerge w:val="continue"/>
          </w:tcPr>
          <w:p>
            <w:pPr>
              <w:spacing w:after="0"/>
              <w:rPr>
                <w:sz w:val="6"/>
                <w:szCs w:val="6"/>
                <w:color w:val="auto"/>
              </w:rPr>
            </w:pPr>
          </w:p>
        </w:tc>
        <w:tc>
          <w:tcPr>
            <w:tcW w:w="1040" w:type="dxa"/>
            <w:vAlign w:val="bottom"/>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6"/>
        </w:trPr>
        <w:tc>
          <w:tcPr>
            <w:tcW w:w="1400" w:type="dxa"/>
            <w:vAlign w:val="bottom"/>
            <w:tcBorders>
              <w:left w:val="single" w:sz="8" w:color="auto"/>
              <w:right w:val="single" w:sz="8" w:color="auto"/>
            </w:tcBorders>
            <w:vMerge w:val="continue"/>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9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20"/>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spacing w:after="0"/>
              <w:rPr>
                <w:sz w:val="24"/>
                <w:szCs w:val="24"/>
                <w:color w:val="auto"/>
              </w:rPr>
            </w:pPr>
          </w:p>
        </w:tc>
        <w:tc>
          <w:tcPr>
            <w:tcW w:w="69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13</w:t>
            </w:r>
          </w:p>
        </w:tc>
        <w:tc>
          <w:tcPr>
            <w:tcW w:w="828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(11)</w:t>
            </w: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9.3% (1)</w:t>
            </w:r>
          </w:p>
        </w:tc>
        <w:tc>
          <w:tcPr>
            <w:tcW w:w="56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69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14</w:t>
            </w:r>
          </w:p>
        </w:tc>
        <w:tc>
          <w:tcPr>
            <w:tcW w:w="828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OO</w:t>
            </w:r>
          </w:p>
        </w:tc>
        <w:tc>
          <w:tcPr>
            <w:tcW w:w="56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9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right="760" w:hanging="332"/>
        <w:spacing w:after="0" w:line="282"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percentage is based on a total of 113,627,715 Shares expected to be outstanding following the closing of the Issuer’s Concurrent Private Placement on April 9, 2024, as reported in the Issuer’s current report on Form 8-K filed with the SEC on April 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38"/>
        </w:trPr>
        <w:tc>
          <w:tcPr>
            <w:tcW w:w="2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CUSIP No: 09075X108</w:t>
            </w:r>
          </w:p>
        </w:tc>
        <w:tc>
          <w:tcPr>
            <w:tcW w:w="560" w:type="dxa"/>
            <w:vAlign w:val="bottom"/>
          </w:tcPr>
          <w:p>
            <w:pPr>
              <w:spacing w:after="0"/>
              <w:rPr>
                <w:sz w:val="20"/>
                <w:szCs w:val="20"/>
                <w:color w:val="auto"/>
              </w:rPr>
            </w:pPr>
          </w:p>
        </w:tc>
        <w:tc>
          <w:tcPr>
            <w:tcW w:w="696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SCHEDULE 13D</w:t>
            </w: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4</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9</w:t>
            </w:r>
            <w:r>
              <w:rPr>
                <w:rFonts w:ascii="Times New Roman" w:cs="Times New Roman" w:eastAsia="Times New Roman" w:hAnsi="Times New Roman"/>
                <w:sz w:val="18"/>
                <w:szCs w:val="18"/>
                <w:color w:val="auto"/>
              </w:rPr>
              <w:t xml:space="preserve"> pages</w:t>
            </w:r>
          </w:p>
        </w:tc>
        <w:tc>
          <w:tcPr>
            <w:tcW w:w="0" w:type="dxa"/>
            <w:vAlign w:val="bottom"/>
          </w:tcPr>
          <w:p>
            <w:pPr>
              <w:spacing w:after="0"/>
              <w:rPr>
                <w:sz w:val="1"/>
                <w:szCs w:val="1"/>
                <w:color w:val="auto"/>
              </w:rPr>
            </w:pPr>
          </w:p>
        </w:tc>
      </w:tr>
      <w:tr>
        <w:trPr>
          <w:trHeight w:val="216"/>
        </w:trPr>
        <w:tc>
          <w:tcPr>
            <w:tcW w:w="1400" w:type="dxa"/>
            <w:vAlign w:val="bottom"/>
            <w:tcBorders>
              <w:bottom w:val="single" w:sz="8" w:color="auto"/>
            </w:tcBorders>
          </w:tcPr>
          <w:p>
            <w:pPr>
              <w:spacing w:after="0"/>
              <w:rPr>
                <w:sz w:val="18"/>
                <w:szCs w:val="18"/>
                <w:color w:val="auto"/>
              </w:rPr>
            </w:pPr>
          </w:p>
        </w:tc>
        <w:tc>
          <w:tcPr>
            <w:tcW w:w="8280" w:type="dxa"/>
            <w:vAlign w:val="bottom"/>
            <w:tcBorders>
              <w:bottom w:val="single" w:sz="8" w:color="auto"/>
            </w:tcBorders>
            <w:gridSpan w:val="4"/>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828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KFDI-B LLC</w:t>
            </w:r>
          </w:p>
        </w:tc>
        <w:tc>
          <w:tcPr>
            <w:tcW w:w="6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8280" w:type="dxa"/>
            <w:vAlign w:val="bottom"/>
            <w:tcBorders>
              <w:bottom w:val="single" w:sz="8" w:color="auto"/>
            </w:tcBorders>
            <w:gridSpan w:val="4"/>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828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1040" w:type="dxa"/>
            <w:vAlign w:val="bottom"/>
          </w:tcPr>
          <w:p>
            <w:pPr>
              <w:spacing w:after="0"/>
              <w:rPr>
                <w:sz w:val="20"/>
                <w:szCs w:val="20"/>
                <w:color w:val="auto"/>
              </w:rPr>
            </w:pPr>
          </w:p>
        </w:tc>
        <w:tc>
          <w:tcPr>
            <w:tcW w:w="520" w:type="dxa"/>
            <w:vAlign w:val="bottom"/>
            <w:tcBorders>
              <w:right w:val="single" w:sz="8" w:color="auto"/>
            </w:tcBorders>
            <w:gridSpan w:val="2"/>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9"/>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20" w:type="dxa"/>
            <w:vAlign w:val="bottom"/>
            <w:tcBorders>
              <w:right w:val="single" w:sz="8" w:color="auto"/>
            </w:tcBorders>
            <w:gridSpan w:val="2"/>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3"/>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spacing w:after="0"/>
              <w:rPr>
                <w:sz w:val="18"/>
                <w:szCs w:val="18"/>
                <w:color w:val="auto"/>
              </w:rPr>
            </w:pPr>
          </w:p>
        </w:tc>
        <w:tc>
          <w:tcPr>
            <w:tcW w:w="69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tcBorders>
              <w:right w:val="single" w:sz="8" w:color="BFBFBF"/>
            </w:tcBorders>
            <w:gridSpan w:val="3"/>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6"/>
              </w:rPr>
              <w:t>SEC USE ONLY</w:t>
            </w:r>
          </w:p>
        </w:tc>
        <w:tc>
          <w:tcPr>
            <w:tcW w:w="6960" w:type="dxa"/>
            <w:vAlign w:val="bottom"/>
            <w:shd w:val="clear" w:color="auto" w:fill="BFBFBF"/>
          </w:tcPr>
          <w:p>
            <w:pPr>
              <w:spacing w:after="0"/>
              <w:rPr>
                <w:sz w:val="20"/>
                <w:szCs w:val="20"/>
                <w:color w:val="auto"/>
              </w:rPr>
            </w:pPr>
          </w:p>
        </w:tc>
        <w:tc>
          <w:tcPr>
            <w:tcW w:w="1040" w:type="dxa"/>
            <w:vAlign w:val="bottom"/>
            <w:shd w:val="clear" w:color="auto" w:fill="BFBFBF"/>
          </w:tcPr>
          <w:p>
            <w:pPr>
              <w:spacing w:after="0"/>
              <w:rPr>
                <w:sz w:val="20"/>
                <w:szCs w:val="20"/>
                <w:color w:val="auto"/>
              </w:rPr>
            </w:pPr>
          </w:p>
        </w:tc>
        <w:tc>
          <w:tcPr>
            <w:tcW w:w="300" w:type="dxa"/>
            <w:vAlign w:val="bottom"/>
            <w:shd w:val="clear" w:color="auto" w:fill="BFBFBF"/>
          </w:tcPr>
          <w:p>
            <w:pPr>
              <w:spacing w:after="0"/>
              <w:rPr>
                <w:sz w:val="20"/>
                <w:szCs w:val="20"/>
                <w:color w:val="auto"/>
              </w:rPr>
            </w:pPr>
          </w:p>
        </w:tc>
        <w:tc>
          <w:tcPr>
            <w:tcW w:w="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20" w:type="dxa"/>
            <w:vAlign w:val="bottom"/>
            <w:shd w:val="clear" w:color="auto" w:fill="BFBFBF"/>
          </w:tcPr>
          <w:p>
            <w:pPr>
              <w:spacing w:after="0"/>
              <w:rPr>
                <w:sz w:val="24"/>
                <w:szCs w:val="24"/>
                <w:color w:val="auto"/>
              </w:rPr>
            </w:pPr>
          </w:p>
        </w:tc>
        <w:tc>
          <w:tcPr>
            <w:tcW w:w="560" w:type="dxa"/>
            <w:vAlign w:val="bottom"/>
            <w:tcBorders>
              <w:right w:val="single" w:sz="8" w:color="BFBFBF"/>
            </w:tcBorders>
            <w:shd w:val="clear" w:color="auto" w:fill="BFBFBF"/>
          </w:tcPr>
          <w:p>
            <w:pPr>
              <w:spacing w:after="0"/>
              <w:rPr>
                <w:sz w:val="24"/>
                <w:szCs w:val="24"/>
                <w:color w:val="auto"/>
              </w:rPr>
            </w:pPr>
          </w:p>
        </w:tc>
        <w:tc>
          <w:tcPr>
            <w:tcW w:w="6960" w:type="dxa"/>
            <w:vAlign w:val="bottom"/>
            <w:shd w:val="clear" w:color="auto" w:fill="BFBFBF"/>
          </w:tcPr>
          <w:p>
            <w:pPr>
              <w:spacing w:after="0"/>
              <w:rPr>
                <w:sz w:val="24"/>
                <w:szCs w:val="24"/>
                <w:color w:val="auto"/>
              </w:rPr>
            </w:pPr>
          </w:p>
        </w:tc>
        <w:tc>
          <w:tcPr>
            <w:tcW w:w="1040" w:type="dxa"/>
            <w:vAlign w:val="bottom"/>
            <w:shd w:val="clear" w:color="auto" w:fill="BFBFBF"/>
          </w:tcPr>
          <w:p>
            <w:pPr>
              <w:spacing w:after="0"/>
              <w:rPr>
                <w:sz w:val="24"/>
                <w:szCs w:val="24"/>
                <w:color w:val="auto"/>
              </w:rPr>
            </w:pPr>
          </w:p>
        </w:tc>
        <w:tc>
          <w:tcPr>
            <w:tcW w:w="300" w:type="dxa"/>
            <w:vAlign w:val="bottom"/>
            <w:shd w:val="clear" w:color="auto" w:fill="BFBFBF"/>
          </w:tcPr>
          <w:p>
            <w:pPr>
              <w:spacing w:after="0"/>
              <w:rPr>
                <w:sz w:val="24"/>
                <w:szCs w:val="24"/>
                <w:color w:val="auto"/>
              </w:rPr>
            </w:pPr>
          </w:p>
        </w:tc>
        <w:tc>
          <w:tcPr>
            <w:tcW w:w="2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8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6960" w:type="dxa"/>
            <w:vAlign w:val="bottom"/>
            <w:tcBorders>
              <w:bottom w:val="single" w:sz="8" w:color="auto"/>
            </w:tcBorders>
            <w:shd w:val="clear" w:color="auto" w:fill="BFBFBF"/>
          </w:tcPr>
          <w:p>
            <w:pPr>
              <w:spacing w:after="0"/>
              <w:rPr>
                <w:sz w:val="23"/>
                <w:szCs w:val="23"/>
                <w:color w:val="auto"/>
              </w:rPr>
            </w:pPr>
          </w:p>
        </w:tc>
        <w:tc>
          <w:tcPr>
            <w:tcW w:w="1040" w:type="dxa"/>
            <w:vAlign w:val="bottom"/>
            <w:tcBorders>
              <w:bottom w:val="single" w:sz="8" w:color="auto"/>
            </w:tcBorders>
            <w:shd w:val="clear" w:color="auto" w:fill="BFBFBF"/>
          </w:tcPr>
          <w:p>
            <w:pPr>
              <w:spacing w:after="0"/>
              <w:rPr>
                <w:sz w:val="23"/>
                <w:szCs w:val="23"/>
                <w:color w:val="auto"/>
              </w:rPr>
            </w:pPr>
          </w:p>
        </w:tc>
        <w:tc>
          <w:tcPr>
            <w:tcW w:w="300" w:type="dxa"/>
            <w:vAlign w:val="bottom"/>
            <w:tcBorders>
              <w:bottom w:val="single" w:sz="8" w:color="auto"/>
            </w:tcBorders>
            <w:shd w:val="clear" w:color="auto" w:fill="BFBFBF"/>
          </w:tcPr>
          <w:p>
            <w:pPr>
              <w:spacing w:after="0"/>
              <w:rPr>
                <w:sz w:val="23"/>
                <w:szCs w:val="23"/>
                <w:color w:val="auto"/>
              </w:rPr>
            </w:pPr>
          </w:p>
        </w:tc>
        <w:tc>
          <w:tcPr>
            <w:tcW w:w="2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828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SOURCE OF FUNDS (SEE INSTRUCTIONS)</w:t>
            </w: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PF</w:t>
            </w:r>
          </w:p>
        </w:tc>
        <w:tc>
          <w:tcPr>
            <w:tcW w:w="56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5"/>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9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5</w:t>
            </w:r>
          </w:p>
        </w:tc>
        <w:tc>
          <w:tcPr>
            <w:tcW w:w="93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CHECK BOX IF DISCLOSURE OF LEGAL PROCEEDINGS IS REQUIRED PURSUANT TO ITEM 2(D) OR 2(E)</w:t>
            </w:r>
          </w:p>
        </w:tc>
        <w:tc>
          <w:tcPr>
            <w:tcW w:w="300" w:type="dxa"/>
            <w:vAlign w:val="bottom"/>
          </w:tcPr>
          <w:p>
            <w:pPr>
              <w:spacing w:after="0"/>
              <w:rPr>
                <w:sz w:val="24"/>
                <w:szCs w:val="24"/>
                <w:color w:val="auto"/>
              </w:rPr>
            </w:pPr>
          </w:p>
        </w:tc>
        <w:tc>
          <w:tcPr>
            <w:tcW w:w="22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9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8280" w:type="dxa"/>
            <w:vAlign w:val="bottom"/>
            <w:tcBorders>
              <w:bottom w:val="single" w:sz="8" w:color="auto"/>
            </w:tcBorders>
            <w:gridSpan w:val="4"/>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6</w:t>
            </w:r>
          </w:p>
        </w:tc>
        <w:tc>
          <w:tcPr>
            <w:tcW w:w="828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56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9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7</w:t>
            </w:r>
          </w:p>
        </w:tc>
        <w:tc>
          <w:tcPr>
            <w:tcW w:w="6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Borders>
              <w:right w:val="single" w:sz="8" w:color="auto"/>
            </w:tcBorders>
            <w:vMerge w:val="continue"/>
          </w:tcPr>
          <w:p>
            <w:pPr>
              <w:spacing w:after="0"/>
              <w:rPr>
                <w:sz w:val="24"/>
                <w:szCs w:val="24"/>
                <w:color w:val="auto"/>
              </w:rPr>
            </w:pPr>
          </w:p>
        </w:tc>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right w:val="single" w:sz="8" w:color="auto"/>
            </w:tcBorders>
          </w:tcPr>
          <w:p>
            <w:pPr>
              <w:spacing w:after="0"/>
              <w:rPr>
                <w:sz w:val="14"/>
                <w:szCs w:val="14"/>
                <w:color w:val="auto"/>
              </w:rPr>
            </w:pPr>
          </w:p>
        </w:tc>
        <w:tc>
          <w:tcPr>
            <w:tcW w:w="69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8</w:t>
            </w:r>
          </w:p>
        </w:tc>
        <w:tc>
          <w:tcPr>
            <w:tcW w:w="6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20" w:type="dxa"/>
            <w:vAlign w:val="bottom"/>
          </w:tcPr>
          <w:p>
            <w:pPr>
              <w:spacing w:after="0"/>
              <w:rPr>
                <w:sz w:val="19"/>
                <w:szCs w:val="19"/>
                <w:color w:val="auto"/>
              </w:rPr>
            </w:pPr>
          </w:p>
        </w:tc>
        <w:tc>
          <w:tcPr>
            <w:tcW w:w="560" w:type="dxa"/>
            <w:vAlign w:val="bottom"/>
            <w:tcBorders>
              <w:right w:val="single" w:sz="8" w:color="auto"/>
            </w:tcBorders>
            <w:vMerge w:val="continue"/>
          </w:tcPr>
          <w:p>
            <w:pPr>
              <w:spacing w:after="0"/>
              <w:rPr>
                <w:sz w:val="19"/>
                <w:szCs w:val="19"/>
                <w:color w:val="auto"/>
              </w:rPr>
            </w:pPr>
          </w:p>
        </w:tc>
        <w:tc>
          <w:tcPr>
            <w:tcW w:w="69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166,666</w:t>
            </w: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2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696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right w:val="single" w:sz="8" w:color="auto"/>
            </w:tcBorders>
          </w:tcPr>
          <w:p>
            <w:pPr>
              <w:spacing w:after="0"/>
              <w:rPr>
                <w:sz w:val="11"/>
                <w:szCs w:val="11"/>
                <w:color w:val="auto"/>
              </w:rPr>
            </w:pPr>
          </w:p>
        </w:tc>
        <w:tc>
          <w:tcPr>
            <w:tcW w:w="696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40" w:type="dxa"/>
            <w:vAlign w:val="bottom"/>
            <w:tcBorders>
              <w:left w:val="single" w:sz="8" w:color="auto"/>
              <w:right w:val="single" w:sz="8" w:color="auto"/>
            </w:tcBorders>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Borders>
              <w:right w:val="single" w:sz="8" w:color="auto"/>
            </w:tcBorders>
          </w:tcPr>
          <w:p>
            <w:pPr>
              <w:spacing w:after="0"/>
              <w:rPr>
                <w:sz w:val="5"/>
                <w:szCs w:val="5"/>
                <w:color w:val="auto"/>
              </w:rPr>
            </w:pPr>
          </w:p>
        </w:tc>
        <w:tc>
          <w:tcPr>
            <w:tcW w:w="69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10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120" w:type="dxa"/>
            <w:vAlign w:val="bottom"/>
          </w:tcPr>
          <w:p>
            <w:pPr>
              <w:spacing w:after="0"/>
              <w:rPr>
                <w:sz w:val="18"/>
                <w:szCs w:val="18"/>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9</w:t>
            </w:r>
          </w:p>
        </w:tc>
        <w:tc>
          <w:tcPr>
            <w:tcW w:w="696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400" w:type="dxa"/>
            <w:vAlign w:val="bottom"/>
            <w:tcBorders>
              <w:left w:val="single" w:sz="8" w:color="auto"/>
            </w:tcBorders>
            <w:vMerge w:val="restart"/>
          </w:tcPr>
          <w:p>
            <w:pPr>
              <w:jc w:val="center"/>
              <w:ind w:left="505"/>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Borders>
              <w:right w:val="single" w:sz="8" w:color="auto"/>
            </w:tcBorders>
            <w:vMerge w:val="continue"/>
          </w:tcPr>
          <w:p>
            <w:pPr>
              <w:spacing w:after="0"/>
              <w:rPr>
                <w:sz w:val="16"/>
                <w:szCs w:val="16"/>
                <w:color w:val="auto"/>
              </w:rPr>
            </w:pPr>
          </w:p>
        </w:tc>
        <w:tc>
          <w:tcPr>
            <w:tcW w:w="69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0</w:t>
            </w: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vMerge w:val="continue"/>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Borders>
              <w:right w:val="single" w:sz="8" w:color="auto"/>
            </w:tcBorders>
          </w:tcPr>
          <w:p>
            <w:pPr>
              <w:spacing w:after="0"/>
              <w:rPr>
                <w:sz w:val="4"/>
                <w:szCs w:val="4"/>
                <w:color w:val="auto"/>
              </w:rPr>
            </w:pPr>
          </w:p>
        </w:tc>
        <w:tc>
          <w:tcPr>
            <w:tcW w:w="69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69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10</w:t>
            </w:r>
          </w:p>
        </w:tc>
        <w:tc>
          <w:tcPr>
            <w:tcW w:w="6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Borders>
              <w:right w:val="single" w:sz="8" w:color="auto"/>
            </w:tcBorders>
            <w:vMerge w:val="continue"/>
          </w:tcPr>
          <w:p>
            <w:pPr>
              <w:spacing w:after="0"/>
              <w:rPr>
                <w:sz w:val="24"/>
                <w:szCs w:val="24"/>
                <w:color w:val="auto"/>
              </w:rPr>
            </w:pPr>
          </w:p>
        </w:tc>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166,666</w:t>
            </w: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gridSpan w:val="2"/>
          </w:tcPr>
          <w:p>
            <w:pPr>
              <w:spacing w:after="0"/>
              <w:rPr>
                <w:sz w:val="14"/>
                <w:szCs w:val="14"/>
                <w:color w:val="auto"/>
              </w:rPr>
            </w:pPr>
          </w:p>
        </w:tc>
        <w:tc>
          <w:tcPr>
            <w:tcW w:w="69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828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166,666</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69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1400" w:type="dxa"/>
            <w:vAlign w:val="bottom"/>
            <w:tcBorders>
              <w:left w:val="single" w:sz="8" w:color="auto"/>
              <w:right w:val="single" w:sz="8" w:color="auto"/>
            </w:tcBorders>
          </w:tcPr>
          <w:p>
            <w:pPr>
              <w:spacing w:after="0"/>
              <w:rPr>
                <w:sz w:val="18"/>
                <w:szCs w:val="18"/>
                <w:color w:val="auto"/>
              </w:rPr>
            </w:pPr>
          </w:p>
        </w:tc>
        <w:tc>
          <w:tcPr>
            <w:tcW w:w="828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CHECK BOX IF THE AGGREGATE AMOUNT IN ROW (11) EXCLUDES CERTAIN SHARES (SEE</w:t>
            </w: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58"/>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8280" w:type="dxa"/>
            <w:vAlign w:val="bottom"/>
            <w:gridSpan w:val="4"/>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INSTRUCTIONS)</w:t>
            </w:r>
          </w:p>
        </w:tc>
        <w:tc>
          <w:tcPr>
            <w:tcW w:w="10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1400" w:type="dxa"/>
            <w:vAlign w:val="bottom"/>
            <w:tcBorders>
              <w:left w:val="single" w:sz="8" w:color="auto"/>
              <w:right w:val="single" w:sz="8" w:color="auto"/>
            </w:tcBorders>
            <w:vMerge w:val="continue"/>
          </w:tcPr>
          <w:p>
            <w:pPr>
              <w:spacing w:after="0"/>
              <w:rPr>
                <w:sz w:val="6"/>
                <w:szCs w:val="6"/>
                <w:color w:val="auto"/>
              </w:rPr>
            </w:pPr>
          </w:p>
        </w:tc>
        <w:tc>
          <w:tcPr>
            <w:tcW w:w="8280" w:type="dxa"/>
            <w:vAlign w:val="bottom"/>
            <w:gridSpan w:val="4"/>
            <w:vMerge w:val="continue"/>
          </w:tcPr>
          <w:p>
            <w:pPr>
              <w:spacing w:after="0"/>
              <w:rPr>
                <w:sz w:val="6"/>
                <w:szCs w:val="6"/>
                <w:color w:val="auto"/>
              </w:rPr>
            </w:pPr>
          </w:p>
        </w:tc>
        <w:tc>
          <w:tcPr>
            <w:tcW w:w="1040" w:type="dxa"/>
            <w:vAlign w:val="bottom"/>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6"/>
        </w:trPr>
        <w:tc>
          <w:tcPr>
            <w:tcW w:w="1400" w:type="dxa"/>
            <w:vAlign w:val="bottom"/>
            <w:tcBorders>
              <w:left w:val="single" w:sz="8" w:color="auto"/>
              <w:right w:val="single" w:sz="8" w:color="auto"/>
            </w:tcBorders>
            <w:vMerge w:val="continue"/>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9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20"/>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spacing w:after="0"/>
              <w:rPr>
                <w:sz w:val="24"/>
                <w:szCs w:val="24"/>
                <w:color w:val="auto"/>
              </w:rPr>
            </w:pPr>
          </w:p>
        </w:tc>
        <w:tc>
          <w:tcPr>
            <w:tcW w:w="69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13</w:t>
            </w:r>
          </w:p>
        </w:tc>
        <w:tc>
          <w:tcPr>
            <w:tcW w:w="828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(11)</w:t>
            </w: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0.1% (1)</w:t>
            </w:r>
          </w:p>
        </w:tc>
        <w:tc>
          <w:tcPr>
            <w:tcW w:w="56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69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14</w:t>
            </w:r>
          </w:p>
        </w:tc>
        <w:tc>
          <w:tcPr>
            <w:tcW w:w="828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PN</w:t>
            </w:r>
          </w:p>
        </w:tc>
        <w:tc>
          <w:tcPr>
            <w:tcW w:w="56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9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right="760" w:hanging="332"/>
        <w:spacing w:after="0" w:line="282"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percentage is based on a total of 113,627,715 Shares expected to be outstanding following the closing of the Issuer’s Concurrent Private Placement on April 9, 2024, as reported in the Issuer’s current report on Form 8-K filed with the SEC on April 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38"/>
        </w:trPr>
        <w:tc>
          <w:tcPr>
            <w:tcW w:w="2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CUSIP No: 09075X108</w:t>
            </w:r>
          </w:p>
        </w:tc>
        <w:tc>
          <w:tcPr>
            <w:tcW w:w="560" w:type="dxa"/>
            <w:vAlign w:val="bottom"/>
          </w:tcPr>
          <w:p>
            <w:pPr>
              <w:spacing w:after="0"/>
              <w:rPr>
                <w:sz w:val="20"/>
                <w:szCs w:val="20"/>
                <w:color w:val="auto"/>
              </w:rPr>
            </w:pPr>
          </w:p>
        </w:tc>
        <w:tc>
          <w:tcPr>
            <w:tcW w:w="696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SCHEDULE 13D</w:t>
            </w: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5</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9</w:t>
            </w:r>
            <w:r>
              <w:rPr>
                <w:rFonts w:ascii="Times New Roman" w:cs="Times New Roman" w:eastAsia="Times New Roman" w:hAnsi="Times New Roman"/>
                <w:sz w:val="18"/>
                <w:szCs w:val="18"/>
                <w:color w:val="auto"/>
              </w:rPr>
              <w:t xml:space="preserve"> pages</w:t>
            </w:r>
          </w:p>
        </w:tc>
        <w:tc>
          <w:tcPr>
            <w:tcW w:w="0" w:type="dxa"/>
            <w:vAlign w:val="bottom"/>
          </w:tcPr>
          <w:p>
            <w:pPr>
              <w:spacing w:after="0"/>
              <w:rPr>
                <w:sz w:val="1"/>
                <w:szCs w:val="1"/>
                <w:color w:val="auto"/>
              </w:rPr>
            </w:pPr>
          </w:p>
        </w:tc>
      </w:tr>
      <w:tr>
        <w:trPr>
          <w:trHeight w:val="216"/>
        </w:trPr>
        <w:tc>
          <w:tcPr>
            <w:tcW w:w="1400" w:type="dxa"/>
            <w:vAlign w:val="bottom"/>
            <w:tcBorders>
              <w:bottom w:val="single" w:sz="8" w:color="auto"/>
            </w:tcBorders>
          </w:tcPr>
          <w:p>
            <w:pPr>
              <w:spacing w:after="0"/>
              <w:rPr>
                <w:sz w:val="18"/>
                <w:szCs w:val="18"/>
                <w:color w:val="auto"/>
              </w:rPr>
            </w:pPr>
          </w:p>
        </w:tc>
        <w:tc>
          <w:tcPr>
            <w:tcW w:w="8280" w:type="dxa"/>
            <w:vAlign w:val="bottom"/>
            <w:tcBorders>
              <w:bottom w:val="single" w:sz="8" w:color="auto"/>
            </w:tcBorders>
            <w:gridSpan w:val="4"/>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828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2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Lair BDSX GRAT 2022-3.2</w:t>
            </w: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8280" w:type="dxa"/>
            <w:vAlign w:val="bottom"/>
            <w:tcBorders>
              <w:bottom w:val="single" w:sz="8" w:color="auto"/>
            </w:tcBorders>
            <w:gridSpan w:val="4"/>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828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1040" w:type="dxa"/>
            <w:vAlign w:val="bottom"/>
          </w:tcPr>
          <w:p>
            <w:pPr>
              <w:spacing w:after="0"/>
              <w:rPr>
                <w:sz w:val="20"/>
                <w:szCs w:val="20"/>
                <w:color w:val="auto"/>
              </w:rPr>
            </w:pPr>
          </w:p>
        </w:tc>
        <w:tc>
          <w:tcPr>
            <w:tcW w:w="520" w:type="dxa"/>
            <w:vAlign w:val="bottom"/>
            <w:tcBorders>
              <w:right w:val="single" w:sz="8" w:color="auto"/>
            </w:tcBorders>
            <w:gridSpan w:val="2"/>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9"/>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20" w:type="dxa"/>
            <w:vAlign w:val="bottom"/>
            <w:tcBorders>
              <w:right w:val="single" w:sz="8" w:color="auto"/>
            </w:tcBorders>
            <w:gridSpan w:val="2"/>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2"/>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spacing w:after="0"/>
              <w:rPr>
                <w:sz w:val="18"/>
                <w:szCs w:val="18"/>
                <w:color w:val="auto"/>
              </w:rPr>
            </w:pPr>
          </w:p>
        </w:tc>
        <w:tc>
          <w:tcPr>
            <w:tcW w:w="69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tcBorders>
              <w:right w:val="single" w:sz="8" w:color="BFBFBF"/>
            </w:tcBorders>
            <w:gridSpan w:val="3"/>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6"/>
              </w:rPr>
              <w:t>SEC USE ONLY</w:t>
            </w:r>
          </w:p>
        </w:tc>
        <w:tc>
          <w:tcPr>
            <w:tcW w:w="6960" w:type="dxa"/>
            <w:vAlign w:val="bottom"/>
            <w:shd w:val="clear" w:color="auto" w:fill="BFBFBF"/>
          </w:tcPr>
          <w:p>
            <w:pPr>
              <w:spacing w:after="0"/>
              <w:rPr>
                <w:sz w:val="20"/>
                <w:szCs w:val="20"/>
                <w:color w:val="auto"/>
              </w:rPr>
            </w:pPr>
          </w:p>
        </w:tc>
        <w:tc>
          <w:tcPr>
            <w:tcW w:w="1040" w:type="dxa"/>
            <w:vAlign w:val="bottom"/>
            <w:shd w:val="clear" w:color="auto" w:fill="BFBFBF"/>
          </w:tcPr>
          <w:p>
            <w:pPr>
              <w:spacing w:after="0"/>
              <w:rPr>
                <w:sz w:val="20"/>
                <w:szCs w:val="20"/>
                <w:color w:val="auto"/>
              </w:rPr>
            </w:pPr>
          </w:p>
        </w:tc>
        <w:tc>
          <w:tcPr>
            <w:tcW w:w="300" w:type="dxa"/>
            <w:vAlign w:val="bottom"/>
            <w:shd w:val="clear" w:color="auto" w:fill="BFBFBF"/>
          </w:tcPr>
          <w:p>
            <w:pPr>
              <w:spacing w:after="0"/>
              <w:rPr>
                <w:sz w:val="20"/>
                <w:szCs w:val="20"/>
                <w:color w:val="auto"/>
              </w:rPr>
            </w:pPr>
          </w:p>
        </w:tc>
        <w:tc>
          <w:tcPr>
            <w:tcW w:w="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20" w:type="dxa"/>
            <w:vAlign w:val="bottom"/>
            <w:shd w:val="clear" w:color="auto" w:fill="BFBFBF"/>
          </w:tcPr>
          <w:p>
            <w:pPr>
              <w:spacing w:after="0"/>
              <w:rPr>
                <w:sz w:val="24"/>
                <w:szCs w:val="24"/>
                <w:color w:val="auto"/>
              </w:rPr>
            </w:pPr>
          </w:p>
        </w:tc>
        <w:tc>
          <w:tcPr>
            <w:tcW w:w="560" w:type="dxa"/>
            <w:vAlign w:val="bottom"/>
            <w:tcBorders>
              <w:right w:val="single" w:sz="8" w:color="BFBFBF"/>
            </w:tcBorders>
            <w:shd w:val="clear" w:color="auto" w:fill="BFBFBF"/>
          </w:tcPr>
          <w:p>
            <w:pPr>
              <w:spacing w:after="0"/>
              <w:rPr>
                <w:sz w:val="24"/>
                <w:szCs w:val="24"/>
                <w:color w:val="auto"/>
              </w:rPr>
            </w:pPr>
          </w:p>
        </w:tc>
        <w:tc>
          <w:tcPr>
            <w:tcW w:w="6960" w:type="dxa"/>
            <w:vAlign w:val="bottom"/>
            <w:shd w:val="clear" w:color="auto" w:fill="BFBFBF"/>
          </w:tcPr>
          <w:p>
            <w:pPr>
              <w:spacing w:after="0"/>
              <w:rPr>
                <w:sz w:val="24"/>
                <w:szCs w:val="24"/>
                <w:color w:val="auto"/>
              </w:rPr>
            </w:pPr>
          </w:p>
        </w:tc>
        <w:tc>
          <w:tcPr>
            <w:tcW w:w="1040" w:type="dxa"/>
            <w:vAlign w:val="bottom"/>
            <w:shd w:val="clear" w:color="auto" w:fill="BFBFBF"/>
          </w:tcPr>
          <w:p>
            <w:pPr>
              <w:spacing w:after="0"/>
              <w:rPr>
                <w:sz w:val="24"/>
                <w:szCs w:val="24"/>
                <w:color w:val="auto"/>
              </w:rPr>
            </w:pPr>
          </w:p>
        </w:tc>
        <w:tc>
          <w:tcPr>
            <w:tcW w:w="300" w:type="dxa"/>
            <w:vAlign w:val="bottom"/>
            <w:shd w:val="clear" w:color="auto" w:fill="BFBFBF"/>
          </w:tcPr>
          <w:p>
            <w:pPr>
              <w:spacing w:after="0"/>
              <w:rPr>
                <w:sz w:val="24"/>
                <w:szCs w:val="24"/>
                <w:color w:val="auto"/>
              </w:rPr>
            </w:pPr>
          </w:p>
        </w:tc>
        <w:tc>
          <w:tcPr>
            <w:tcW w:w="2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8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6960" w:type="dxa"/>
            <w:vAlign w:val="bottom"/>
            <w:tcBorders>
              <w:bottom w:val="single" w:sz="8" w:color="auto"/>
            </w:tcBorders>
            <w:shd w:val="clear" w:color="auto" w:fill="BFBFBF"/>
          </w:tcPr>
          <w:p>
            <w:pPr>
              <w:spacing w:after="0"/>
              <w:rPr>
                <w:sz w:val="23"/>
                <w:szCs w:val="23"/>
                <w:color w:val="auto"/>
              </w:rPr>
            </w:pPr>
          </w:p>
        </w:tc>
        <w:tc>
          <w:tcPr>
            <w:tcW w:w="1040" w:type="dxa"/>
            <w:vAlign w:val="bottom"/>
            <w:tcBorders>
              <w:bottom w:val="single" w:sz="8" w:color="auto"/>
            </w:tcBorders>
            <w:shd w:val="clear" w:color="auto" w:fill="BFBFBF"/>
          </w:tcPr>
          <w:p>
            <w:pPr>
              <w:spacing w:after="0"/>
              <w:rPr>
                <w:sz w:val="23"/>
                <w:szCs w:val="23"/>
                <w:color w:val="auto"/>
              </w:rPr>
            </w:pPr>
          </w:p>
        </w:tc>
        <w:tc>
          <w:tcPr>
            <w:tcW w:w="300" w:type="dxa"/>
            <w:vAlign w:val="bottom"/>
            <w:tcBorders>
              <w:bottom w:val="single" w:sz="8" w:color="auto"/>
            </w:tcBorders>
            <w:shd w:val="clear" w:color="auto" w:fill="BFBFBF"/>
          </w:tcPr>
          <w:p>
            <w:pPr>
              <w:spacing w:after="0"/>
              <w:rPr>
                <w:sz w:val="23"/>
                <w:szCs w:val="23"/>
                <w:color w:val="auto"/>
              </w:rPr>
            </w:pPr>
          </w:p>
        </w:tc>
        <w:tc>
          <w:tcPr>
            <w:tcW w:w="2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828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SOURCE OF FUNDS (SEE INSTRUCTIONS)</w:t>
            </w: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PF</w:t>
            </w:r>
          </w:p>
        </w:tc>
        <w:tc>
          <w:tcPr>
            <w:tcW w:w="56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5"/>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9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5</w:t>
            </w:r>
          </w:p>
        </w:tc>
        <w:tc>
          <w:tcPr>
            <w:tcW w:w="93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CHECK BOX IF DISCLOSURE OF LEGAL PROCEEDINGS IS REQUIRED PURSUANT TO ITEM 2(D) OR 2(E)</w:t>
            </w:r>
          </w:p>
        </w:tc>
        <w:tc>
          <w:tcPr>
            <w:tcW w:w="300" w:type="dxa"/>
            <w:vAlign w:val="bottom"/>
          </w:tcPr>
          <w:p>
            <w:pPr>
              <w:spacing w:after="0"/>
              <w:rPr>
                <w:sz w:val="24"/>
                <w:szCs w:val="24"/>
                <w:color w:val="auto"/>
              </w:rPr>
            </w:pPr>
          </w:p>
        </w:tc>
        <w:tc>
          <w:tcPr>
            <w:tcW w:w="22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9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8280" w:type="dxa"/>
            <w:vAlign w:val="bottom"/>
            <w:tcBorders>
              <w:bottom w:val="single" w:sz="8" w:color="auto"/>
            </w:tcBorders>
            <w:gridSpan w:val="4"/>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6</w:t>
            </w:r>
          </w:p>
        </w:tc>
        <w:tc>
          <w:tcPr>
            <w:tcW w:w="828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56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9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7</w:t>
            </w:r>
          </w:p>
        </w:tc>
        <w:tc>
          <w:tcPr>
            <w:tcW w:w="6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Borders>
              <w:right w:val="single" w:sz="8" w:color="auto"/>
            </w:tcBorders>
            <w:vMerge w:val="continue"/>
          </w:tcPr>
          <w:p>
            <w:pPr>
              <w:spacing w:after="0"/>
              <w:rPr>
                <w:sz w:val="24"/>
                <w:szCs w:val="24"/>
                <w:color w:val="auto"/>
              </w:rPr>
            </w:pPr>
          </w:p>
        </w:tc>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right w:val="single" w:sz="8" w:color="auto"/>
            </w:tcBorders>
          </w:tcPr>
          <w:p>
            <w:pPr>
              <w:spacing w:after="0"/>
              <w:rPr>
                <w:sz w:val="14"/>
                <w:szCs w:val="14"/>
                <w:color w:val="auto"/>
              </w:rPr>
            </w:pPr>
          </w:p>
        </w:tc>
        <w:tc>
          <w:tcPr>
            <w:tcW w:w="69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8</w:t>
            </w:r>
          </w:p>
        </w:tc>
        <w:tc>
          <w:tcPr>
            <w:tcW w:w="6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20" w:type="dxa"/>
            <w:vAlign w:val="bottom"/>
          </w:tcPr>
          <w:p>
            <w:pPr>
              <w:spacing w:after="0"/>
              <w:rPr>
                <w:sz w:val="19"/>
                <w:szCs w:val="19"/>
                <w:color w:val="auto"/>
              </w:rPr>
            </w:pPr>
          </w:p>
        </w:tc>
        <w:tc>
          <w:tcPr>
            <w:tcW w:w="560" w:type="dxa"/>
            <w:vAlign w:val="bottom"/>
            <w:tcBorders>
              <w:right w:val="single" w:sz="8" w:color="auto"/>
            </w:tcBorders>
            <w:vMerge w:val="continue"/>
          </w:tcPr>
          <w:p>
            <w:pPr>
              <w:spacing w:after="0"/>
              <w:rPr>
                <w:sz w:val="19"/>
                <w:szCs w:val="19"/>
                <w:color w:val="auto"/>
              </w:rPr>
            </w:pPr>
          </w:p>
        </w:tc>
        <w:tc>
          <w:tcPr>
            <w:tcW w:w="69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2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696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right w:val="single" w:sz="8" w:color="auto"/>
            </w:tcBorders>
          </w:tcPr>
          <w:p>
            <w:pPr>
              <w:spacing w:after="0"/>
              <w:rPr>
                <w:sz w:val="11"/>
                <w:szCs w:val="11"/>
                <w:color w:val="auto"/>
              </w:rPr>
            </w:pPr>
          </w:p>
        </w:tc>
        <w:tc>
          <w:tcPr>
            <w:tcW w:w="696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40" w:type="dxa"/>
            <w:vAlign w:val="bottom"/>
            <w:tcBorders>
              <w:left w:val="single" w:sz="8" w:color="auto"/>
              <w:right w:val="single" w:sz="8" w:color="auto"/>
            </w:tcBorders>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Borders>
              <w:right w:val="single" w:sz="8" w:color="auto"/>
            </w:tcBorders>
          </w:tcPr>
          <w:p>
            <w:pPr>
              <w:spacing w:after="0"/>
              <w:rPr>
                <w:sz w:val="5"/>
                <w:szCs w:val="5"/>
                <w:color w:val="auto"/>
              </w:rPr>
            </w:pPr>
          </w:p>
        </w:tc>
        <w:tc>
          <w:tcPr>
            <w:tcW w:w="69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10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120" w:type="dxa"/>
            <w:vAlign w:val="bottom"/>
          </w:tcPr>
          <w:p>
            <w:pPr>
              <w:spacing w:after="0"/>
              <w:rPr>
                <w:sz w:val="18"/>
                <w:szCs w:val="18"/>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9</w:t>
            </w:r>
          </w:p>
        </w:tc>
        <w:tc>
          <w:tcPr>
            <w:tcW w:w="696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400" w:type="dxa"/>
            <w:vAlign w:val="bottom"/>
            <w:tcBorders>
              <w:left w:val="single" w:sz="8" w:color="auto"/>
            </w:tcBorders>
            <w:vMerge w:val="restart"/>
          </w:tcPr>
          <w:p>
            <w:pPr>
              <w:jc w:val="center"/>
              <w:ind w:left="505"/>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Borders>
              <w:right w:val="single" w:sz="8" w:color="auto"/>
            </w:tcBorders>
            <w:vMerge w:val="continue"/>
          </w:tcPr>
          <w:p>
            <w:pPr>
              <w:spacing w:after="0"/>
              <w:rPr>
                <w:sz w:val="16"/>
                <w:szCs w:val="16"/>
                <w:color w:val="auto"/>
              </w:rPr>
            </w:pPr>
          </w:p>
        </w:tc>
        <w:tc>
          <w:tcPr>
            <w:tcW w:w="69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0</w:t>
            </w: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vMerge w:val="continue"/>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Borders>
              <w:right w:val="single" w:sz="8" w:color="auto"/>
            </w:tcBorders>
          </w:tcPr>
          <w:p>
            <w:pPr>
              <w:spacing w:after="0"/>
              <w:rPr>
                <w:sz w:val="4"/>
                <w:szCs w:val="4"/>
                <w:color w:val="auto"/>
              </w:rPr>
            </w:pPr>
          </w:p>
        </w:tc>
        <w:tc>
          <w:tcPr>
            <w:tcW w:w="69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69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10</w:t>
            </w:r>
          </w:p>
        </w:tc>
        <w:tc>
          <w:tcPr>
            <w:tcW w:w="6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Borders>
              <w:right w:val="single" w:sz="8" w:color="auto"/>
            </w:tcBorders>
            <w:vMerge w:val="continue"/>
          </w:tcPr>
          <w:p>
            <w:pPr>
              <w:spacing w:after="0"/>
              <w:rPr>
                <w:sz w:val="24"/>
                <w:szCs w:val="24"/>
                <w:color w:val="auto"/>
              </w:rPr>
            </w:pPr>
          </w:p>
        </w:tc>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gridSpan w:val="2"/>
          </w:tcPr>
          <w:p>
            <w:pPr>
              <w:spacing w:after="0"/>
              <w:rPr>
                <w:sz w:val="14"/>
                <w:szCs w:val="14"/>
                <w:color w:val="auto"/>
              </w:rPr>
            </w:pPr>
          </w:p>
        </w:tc>
        <w:tc>
          <w:tcPr>
            <w:tcW w:w="69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828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69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1400" w:type="dxa"/>
            <w:vAlign w:val="bottom"/>
            <w:tcBorders>
              <w:left w:val="single" w:sz="8" w:color="auto"/>
              <w:right w:val="single" w:sz="8" w:color="auto"/>
            </w:tcBorders>
          </w:tcPr>
          <w:p>
            <w:pPr>
              <w:spacing w:after="0"/>
              <w:rPr>
                <w:sz w:val="18"/>
                <w:szCs w:val="18"/>
                <w:color w:val="auto"/>
              </w:rPr>
            </w:pPr>
          </w:p>
        </w:tc>
        <w:tc>
          <w:tcPr>
            <w:tcW w:w="828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CHECK BOX IF THE AGGREGATE AMOUNT IN ROW (11) EXCLUDES CERTAIN SHARES (SEE</w:t>
            </w: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58"/>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8280" w:type="dxa"/>
            <w:vAlign w:val="bottom"/>
            <w:gridSpan w:val="4"/>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INSTRUCTIONS)</w:t>
            </w:r>
          </w:p>
        </w:tc>
        <w:tc>
          <w:tcPr>
            <w:tcW w:w="10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1400" w:type="dxa"/>
            <w:vAlign w:val="bottom"/>
            <w:tcBorders>
              <w:left w:val="single" w:sz="8" w:color="auto"/>
              <w:right w:val="single" w:sz="8" w:color="auto"/>
            </w:tcBorders>
            <w:vMerge w:val="continue"/>
          </w:tcPr>
          <w:p>
            <w:pPr>
              <w:spacing w:after="0"/>
              <w:rPr>
                <w:sz w:val="6"/>
                <w:szCs w:val="6"/>
                <w:color w:val="auto"/>
              </w:rPr>
            </w:pPr>
          </w:p>
        </w:tc>
        <w:tc>
          <w:tcPr>
            <w:tcW w:w="8280" w:type="dxa"/>
            <w:vAlign w:val="bottom"/>
            <w:gridSpan w:val="4"/>
            <w:vMerge w:val="continue"/>
          </w:tcPr>
          <w:p>
            <w:pPr>
              <w:spacing w:after="0"/>
              <w:rPr>
                <w:sz w:val="6"/>
                <w:szCs w:val="6"/>
                <w:color w:val="auto"/>
              </w:rPr>
            </w:pPr>
          </w:p>
        </w:tc>
        <w:tc>
          <w:tcPr>
            <w:tcW w:w="1040" w:type="dxa"/>
            <w:vAlign w:val="bottom"/>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6"/>
        </w:trPr>
        <w:tc>
          <w:tcPr>
            <w:tcW w:w="1400" w:type="dxa"/>
            <w:vAlign w:val="bottom"/>
            <w:tcBorders>
              <w:left w:val="single" w:sz="8" w:color="auto"/>
              <w:right w:val="single" w:sz="8" w:color="auto"/>
            </w:tcBorders>
            <w:vMerge w:val="continue"/>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9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20"/>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spacing w:after="0"/>
              <w:rPr>
                <w:sz w:val="24"/>
                <w:szCs w:val="24"/>
                <w:color w:val="auto"/>
              </w:rPr>
            </w:pPr>
          </w:p>
        </w:tc>
        <w:tc>
          <w:tcPr>
            <w:tcW w:w="69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13</w:t>
            </w:r>
          </w:p>
        </w:tc>
        <w:tc>
          <w:tcPr>
            <w:tcW w:w="828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(11)</w:t>
            </w: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69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14</w:t>
            </w:r>
          </w:p>
        </w:tc>
        <w:tc>
          <w:tcPr>
            <w:tcW w:w="828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OO</w:t>
            </w:r>
          </w:p>
        </w:tc>
        <w:tc>
          <w:tcPr>
            <w:tcW w:w="56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9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92"/>
        </w:trPr>
        <w:tc>
          <w:tcPr>
            <w:tcW w:w="1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9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7" w:right="339" w:bottom="1440" w:gutter="0" w:footer="0" w:header="0"/>
        </w:sectPr>
      </w:pPr>
    </w:p>
    <w:bookmarkStart w:id="5" w:name="page6"/>
    <w:bookmarkEnd w:id="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2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CUSIP No: 09075X108</w:t>
            </w:r>
          </w:p>
        </w:tc>
        <w:tc>
          <w:tcPr>
            <w:tcW w:w="540" w:type="dxa"/>
            <w:vAlign w:val="bottom"/>
          </w:tcPr>
          <w:p>
            <w:pPr>
              <w:spacing w:after="0"/>
              <w:rPr>
                <w:sz w:val="20"/>
                <w:szCs w:val="20"/>
                <w:color w:val="auto"/>
              </w:rPr>
            </w:pPr>
          </w:p>
        </w:tc>
        <w:tc>
          <w:tcPr>
            <w:tcW w:w="696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SCHEDULE 13D</w:t>
            </w: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6</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9</w:t>
            </w:r>
            <w:r>
              <w:rPr>
                <w:rFonts w:ascii="Times New Roman" w:cs="Times New Roman" w:eastAsia="Times New Roman" w:hAnsi="Times New Roman"/>
                <w:sz w:val="18"/>
                <w:szCs w:val="18"/>
                <w:color w:val="auto"/>
              </w:rPr>
              <w:t xml:space="preserve"> pages</w:t>
            </w:r>
          </w:p>
        </w:tc>
        <w:tc>
          <w:tcPr>
            <w:tcW w:w="0" w:type="dxa"/>
            <w:vAlign w:val="bottom"/>
          </w:tcPr>
          <w:p>
            <w:pPr>
              <w:spacing w:after="0"/>
              <w:rPr>
                <w:sz w:val="1"/>
                <w:szCs w:val="1"/>
                <w:color w:val="auto"/>
              </w:rPr>
            </w:pPr>
          </w:p>
        </w:tc>
      </w:tr>
      <w:tr>
        <w:trPr>
          <w:trHeight w:val="216"/>
        </w:trPr>
        <w:tc>
          <w:tcPr>
            <w:tcW w:w="1400" w:type="dxa"/>
            <w:vAlign w:val="bottom"/>
            <w:tcBorders>
              <w:bottom w:val="single" w:sz="8" w:color="auto"/>
            </w:tcBorders>
          </w:tcPr>
          <w:p>
            <w:pPr>
              <w:spacing w:after="0"/>
              <w:rPr>
                <w:sz w:val="18"/>
                <w:szCs w:val="18"/>
                <w:color w:val="auto"/>
              </w:rPr>
            </w:pPr>
          </w:p>
        </w:tc>
        <w:tc>
          <w:tcPr>
            <w:tcW w:w="8280" w:type="dxa"/>
            <w:vAlign w:val="bottom"/>
            <w:tcBorders>
              <w:bottom w:val="single" w:sz="8" w:color="auto"/>
            </w:tcBorders>
            <w:gridSpan w:val="4"/>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828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2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Lawrence T. Kennedy, Jr.</w:t>
            </w: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8280" w:type="dxa"/>
            <w:vAlign w:val="bottom"/>
            <w:tcBorders>
              <w:bottom w:val="single" w:sz="8" w:color="auto"/>
            </w:tcBorders>
            <w:gridSpan w:val="4"/>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828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1040" w:type="dxa"/>
            <w:vAlign w:val="bottom"/>
          </w:tcPr>
          <w:p>
            <w:pPr>
              <w:spacing w:after="0"/>
              <w:rPr>
                <w:sz w:val="20"/>
                <w:szCs w:val="20"/>
                <w:color w:val="auto"/>
              </w:rPr>
            </w:pPr>
          </w:p>
        </w:tc>
        <w:tc>
          <w:tcPr>
            <w:tcW w:w="520" w:type="dxa"/>
            <w:vAlign w:val="bottom"/>
            <w:tcBorders>
              <w:right w:val="single" w:sz="8" w:color="auto"/>
            </w:tcBorders>
            <w:gridSpan w:val="2"/>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9"/>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20" w:type="dxa"/>
            <w:vAlign w:val="bottom"/>
            <w:tcBorders>
              <w:right w:val="single" w:sz="8" w:color="auto"/>
            </w:tcBorders>
            <w:gridSpan w:val="2"/>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3"/>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spacing w:after="0"/>
              <w:rPr>
                <w:sz w:val="18"/>
                <w:szCs w:val="18"/>
                <w:color w:val="auto"/>
              </w:rPr>
            </w:pPr>
          </w:p>
        </w:tc>
        <w:tc>
          <w:tcPr>
            <w:tcW w:w="69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tcBorders>
              <w:right w:val="single" w:sz="8" w:color="BFBFBF"/>
            </w:tcBorders>
            <w:gridSpan w:val="3"/>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6"/>
              </w:rPr>
              <w:t>SEC USE ONLY</w:t>
            </w:r>
          </w:p>
        </w:tc>
        <w:tc>
          <w:tcPr>
            <w:tcW w:w="6960" w:type="dxa"/>
            <w:vAlign w:val="bottom"/>
            <w:shd w:val="clear" w:color="auto" w:fill="BFBFBF"/>
          </w:tcPr>
          <w:p>
            <w:pPr>
              <w:spacing w:after="0"/>
              <w:rPr>
                <w:sz w:val="20"/>
                <w:szCs w:val="20"/>
                <w:color w:val="auto"/>
              </w:rPr>
            </w:pPr>
          </w:p>
        </w:tc>
        <w:tc>
          <w:tcPr>
            <w:tcW w:w="1040" w:type="dxa"/>
            <w:vAlign w:val="bottom"/>
            <w:shd w:val="clear" w:color="auto" w:fill="BFBFBF"/>
          </w:tcPr>
          <w:p>
            <w:pPr>
              <w:spacing w:after="0"/>
              <w:rPr>
                <w:sz w:val="20"/>
                <w:szCs w:val="20"/>
                <w:color w:val="auto"/>
              </w:rPr>
            </w:pPr>
          </w:p>
        </w:tc>
        <w:tc>
          <w:tcPr>
            <w:tcW w:w="300" w:type="dxa"/>
            <w:vAlign w:val="bottom"/>
            <w:shd w:val="clear" w:color="auto" w:fill="BFBFBF"/>
          </w:tcPr>
          <w:p>
            <w:pPr>
              <w:spacing w:after="0"/>
              <w:rPr>
                <w:sz w:val="20"/>
                <w:szCs w:val="20"/>
                <w:color w:val="auto"/>
              </w:rPr>
            </w:pPr>
          </w:p>
        </w:tc>
        <w:tc>
          <w:tcPr>
            <w:tcW w:w="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40" w:type="dxa"/>
            <w:vAlign w:val="bottom"/>
            <w:shd w:val="clear" w:color="auto" w:fill="BFBFBF"/>
          </w:tcPr>
          <w:p>
            <w:pPr>
              <w:spacing w:after="0"/>
              <w:rPr>
                <w:sz w:val="24"/>
                <w:szCs w:val="24"/>
                <w:color w:val="auto"/>
              </w:rPr>
            </w:pPr>
          </w:p>
        </w:tc>
        <w:tc>
          <w:tcPr>
            <w:tcW w:w="540" w:type="dxa"/>
            <w:vAlign w:val="bottom"/>
            <w:tcBorders>
              <w:right w:val="single" w:sz="8" w:color="BFBFBF"/>
            </w:tcBorders>
            <w:shd w:val="clear" w:color="auto" w:fill="BFBFBF"/>
          </w:tcPr>
          <w:p>
            <w:pPr>
              <w:spacing w:after="0"/>
              <w:rPr>
                <w:sz w:val="24"/>
                <w:szCs w:val="24"/>
                <w:color w:val="auto"/>
              </w:rPr>
            </w:pPr>
          </w:p>
        </w:tc>
        <w:tc>
          <w:tcPr>
            <w:tcW w:w="6960" w:type="dxa"/>
            <w:vAlign w:val="bottom"/>
            <w:shd w:val="clear" w:color="auto" w:fill="BFBFBF"/>
          </w:tcPr>
          <w:p>
            <w:pPr>
              <w:spacing w:after="0"/>
              <w:rPr>
                <w:sz w:val="24"/>
                <w:szCs w:val="24"/>
                <w:color w:val="auto"/>
              </w:rPr>
            </w:pPr>
          </w:p>
        </w:tc>
        <w:tc>
          <w:tcPr>
            <w:tcW w:w="1040" w:type="dxa"/>
            <w:vAlign w:val="bottom"/>
            <w:shd w:val="clear" w:color="auto" w:fill="BFBFBF"/>
          </w:tcPr>
          <w:p>
            <w:pPr>
              <w:spacing w:after="0"/>
              <w:rPr>
                <w:sz w:val="24"/>
                <w:szCs w:val="24"/>
                <w:color w:val="auto"/>
              </w:rPr>
            </w:pPr>
          </w:p>
        </w:tc>
        <w:tc>
          <w:tcPr>
            <w:tcW w:w="300" w:type="dxa"/>
            <w:vAlign w:val="bottom"/>
            <w:shd w:val="clear" w:color="auto" w:fill="BFBFBF"/>
          </w:tcPr>
          <w:p>
            <w:pPr>
              <w:spacing w:after="0"/>
              <w:rPr>
                <w:sz w:val="24"/>
                <w:szCs w:val="24"/>
                <w:color w:val="auto"/>
              </w:rPr>
            </w:pPr>
          </w:p>
        </w:tc>
        <w:tc>
          <w:tcPr>
            <w:tcW w:w="2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8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6960" w:type="dxa"/>
            <w:vAlign w:val="bottom"/>
            <w:tcBorders>
              <w:bottom w:val="single" w:sz="8" w:color="auto"/>
            </w:tcBorders>
            <w:shd w:val="clear" w:color="auto" w:fill="BFBFBF"/>
          </w:tcPr>
          <w:p>
            <w:pPr>
              <w:spacing w:after="0"/>
              <w:rPr>
                <w:sz w:val="23"/>
                <w:szCs w:val="23"/>
                <w:color w:val="auto"/>
              </w:rPr>
            </w:pPr>
          </w:p>
        </w:tc>
        <w:tc>
          <w:tcPr>
            <w:tcW w:w="1040" w:type="dxa"/>
            <w:vAlign w:val="bottom"/>
            <w:tcBorders>
              <w:bottom w:val="single" w:sz="8" w:color="auto"/>
            </w:tcBorders>
            <w:shd w:val="clear" w:color="auto" w:fill="BFBFBF"/>
          </w:tcPr>
          <w:p>
            <w:pPr>
              <w:spacing w:after="0"/>
              <w:rPr>
                <w:sz w:val="23"/>
                <w:szCs w:val="23"/>
                <w:color w:val="auto"/>
              </w:rPr>
            </w:pPr>
          </w:p>
        </w:tc>
        <w:tc>
          <w:tcPr>
            <w:tcW w:w="300" w:type="dxa"/>
            <w:vAlign w:val="bottom"/>
            <w:tcBorders>
              <w:bottom w:val="single" w:sz="8" w:color="auto"/>
            </w:tcBorders>
            <w:shd w:val="clear" w:color="auto" w:fill="BFBFBF"/>
          </w:tcPr>
          <w:p>
            <w:pPr>
              <w:spacing w:after="0"/>
              <w:rPr>
                <w:sz w:val="23"/>
                <w:szCs w:val="23"/>
                <w:color w:val="auto"/>
              </w:rPr>
            </w:pPr>
          </w:p>
        </w:tc>
        <w:tc>
          <w:tcPr>
            <w:tcW w:w="2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828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SOURCE OF FUNDS (SEE INSTRUCTIONS)</w:t>
            </w: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PF</w:t>
            </w:r>
          </w:p>
        </w:tc>
        <w:tc>
          <w:tcPr>
            <w:tcW w:w="54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5"/>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9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5</w:t>
            </w:r>
          </w:p>
        </w:tc>
        <w:tc>
          <w:tcPr>
            <w:tcW w:w="93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CHECK BOX IF DISCLOSURE OF LEGAL PROCEEDINGS IS REQUIRED PURSUANT TO ITEM 2(D) OR 2(E)</w:t>
            </w:r>
          </w:p>
        </w:tc>
        <w:tc>
          <w:tcPr>
            <w:tcW w:w="300" w:type="dxa"/>
            <w:vAlign w:val="bottom"/>
          </w:tcPr>
          <w:p>
            <w:pPr>
              <w:spacing w:after="0"/>
              <w:rPr>
                <w:sz w:val="24"/>
                <w:szCs w:val="24"/>
                <w:color w:val="auto"/>
              </w:rPr>
            </w:pPr>
          </w:p>
        </w:tc>
        <w:tc>
          <w:tcPr>
            <w:tcW w:w="22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9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8280" w:type="dxa"/>
            <w:vAlign w:val="bottom"/>
            <w:tcBorders>
              <w:bottom w:val="single" w:sz="8" w:color="auto"/>
            </w:tcBorders>
            <w:gridSpan w:val="4"/>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6</w:t>
            </w:r>
          </w:p>
        </w:tc>
        <w:tc>
          <w:tcPr>
            <w:tcW w:w="828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6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9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7</w:t>
            </w:r>
          </w:p>
        </w:tc>
        <w:tc>
          <w:tcPr>
            <w:tcW w:w="6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Borders>
              <w:right w:val="single" w:sz="8" w:color="auto"/>
            </w:tcBorders>
            <w:vMerge w:val="continue"/>
          </w:tcPr>
          <w:p>
            <w:pPr>
              <w:spacing w:after="0"/>
              <w:rPr>
                <w:sz w:val="24"/>
                <w:szCs w:val="24"/>
                <w:color w:val="auto"/>
              </w:rPr>
            </w:pPr>
          </w:p>
        </w:tc>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253,133 (1)</w:t>
            </w: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69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8</w:t>
            </w:r>
          </w:p>
        </w:tc>
        <w:tc>
          <w:tcPr>
            <w:tcW w:w="6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40" w:type="dxa"/>
            <w:vAlign w:val="bottom"/>
          </w:tcPr>
          <w:p>
            <w:pPr>
              <w:spacing w:after="0"/>
              <w:rPr>
                <w:sz w:val="19"/>
                <w:szCs w:val="19"/>
                <w:color w:val="auto"/>
              </w:rPr>
            </w:pPr>
          </w:p>
        </w:tc>
        <w:tc>
          <w:tcPr>
            <w:tcW w:w="540" w:type="dxa"/>
            <w:vAlign w:val="bottom"/>
            <w:tcBorders>
              <w:right w:val="single" w:sz="8" w:color="auto"/>
            </w:tcBorders>
            <w:vMerge w:val="continue"/>
          </w:tcPr>
          <w:p>
            <w:pPr>
              <w:spacing w:after="0"/>
              <w:rPr>
                <w:sz w:val="19"/>
                <w:szCs w:val="19"/>
                <w:color w:val="auto"/>
              </w:rPr>
            </w:pPr>
          </w:p>
        </w:tc>
        <w:tc>
          <w:tcPr>
            <w:tcW w:w="69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21,000,243</w:t>
            </w: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4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696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right w:val="single" w:sz="8" w:color="auto"/>
            </w:tcBorders>
          </w:tcPr>
          <w:p>
            <w:pPr>
              <w:spacing w:after="0"/>
              <w:rPr>
                <w:sz w:val="11"/>
                <w:szCs w:val="11"/>
                <w:color w:val="auto"/>
              </w:rPr>
            </w:pPr>
          </w:p>
        </w:tc>
        <w:tc>
          <w:tcPr>
            <w:tcW w:w="696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40" w:type="dxa"/>
            <w:vAlign w:val="bottom"/>
            <w:tcBorders>
              <w:left w:val="single" w:sz="8" w:color="auto"/>
              <w:right w:val="single" w:sz="8" w:color="auto"/>
            </w:tcBorders>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Borders>
              <w:right w:val="single" w:sz="8" w:color="auto"/>
            </w:tcBorders>
          </w:tcPr>
          <w:p>
            <w:pPr>
              <w:spacing w:after="0"/>
              <w:rPr>
                <w:sz w:val="5"/>
                <w:szCs w:val="5"/>
                <w:color w:val="auto"/>
              </w:rPr>
            </w:pPr>
          </w:p>
        </w:tc>
        <w:tc>
          <w:tcPr>
            <w:tcW w:w="69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10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140" w:type="dxa"/>
            <w:vAlign w:val="bottom"/>
          </w:tcPr>
          <w:p>
            <w:pPr>
              <w:spacing w:after="0"/>
              <w:rPr>
                <w:sz w:val="18"/>
                <w:szCs w:val="18"/>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9</w:t>
            </w:r>
          </w:p>
        </w:tc>
        <w:tc>
          <w:tcPr>
            <w:tcW w:w="696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400" w:type="dxa"/>
            <w:vAlign w:val="bottom"/>
            <w:tcBorders>
              <w:left w:val="single" w:sz="8" w:color="auto"/>
            </w:tcBorders>
          </w:tcPr>
          <w:p>
            <w:pPr>
              <w:jc w:val="center"/>
              <w:ind w:left="505"/>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Borders>
              <w:right w:val="single" w:sz="8" w:color="auto"/>
            </w:tcBorders>
            <w:vMerge w:val="continue"/>
          </w:tcPr>
          <w:p>
            <w:pPr>
              <w:spacing w:after="0"/>
              <w:rPr>
                <w:sz w:val="20"/>
                <w:szCs w:val="20"/>
                <w:color w:val="auto"/>
              </w:rPr>
            </w:pPr>
          </w:p>
        </w:tc>
        <w:tc>
          <w:tcPr>
            <w:tcW w:w="69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253,133 (1)</w:t>
            </w: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00" w:type="dxa"/>
            <w:vAlign w:val="bottom"/>
            <w:tcBorders>
              <w:lef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Borders>
              <w:right w:val="single" w:sz="8" w:color="auto"/>
            </w:tcBorders>
            <w:vMerge w:val="continue"/>
          </w:tcPr>
          <w:p>
            <w:pPr>
              <w:spacing w:after="0"/>
              <w:rPr>
                <w:sz w:val="10"/>
                <w:szCs w:val="10"/>
                <w:color w:val="auto"/>
              </w:rPr>
            </w:pPr>
          </w:p>
        </w:tc>
        <w:tc>
          <w:tcPr>
            <w:tcW w:w="6960" w:type="dxa"/>
            <w:vAlign w:val="bottom"/>
            <w:vMerge w:val="continue"/>
          </w:tcPr>
          <w:p>
            <w:pPr>
              <w:spacing w:after="0"/>
              <w:rPr>
                <w:sz w:val="10"/>
                <w:szCs w:val="10"/>
                <w:color w:val="auto"/>
              </w:rPr>
            </w:pPr>
          </w:p>
        </w:tc>
        <w:tc>
          <w:tcPr>
            <w:tcW w:w="10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69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10</w:t>
            </w:r>
          </w:p>
        </w:tc>
        <w:tc>
          <w:tcPr>
            <w:tcW w:w="6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Borders>
              <w:right w:val="single" w:sz="8" w:color="auto"/>
            </w:tcBorders>
            <w:vMerge w:val="continue"/>
          </w:tcPr>
          <w:p>
            <w:pPr>
              <w:spacing w:after="0"/>
              <w:rPr>
                <w:sz w:val="24"/>
                <w:szCs w:val="24"/>
                <w:color w:val="auto"/>
              </w:rPr>
            </w:pPr>
          </w:p>
        </w:tc>
        <w:tc>
          <w:tcPr>
            <w:tcW w:w="6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21,000,243</w:t>
            </w: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gridSpan w:val="2"/>
          </w:tcPr>
          <w:p>
            <w:pPr>
              <w:spacing w:after="0"/>
              <w:rPr>
                <w:sz w:val="14"/>
                <w:szCs w:val="14"/>
                <w:color w:val="auto"/>
              </w:rPr>
            </w:pPr>
          </w:p>
        </w:tc>
        <w:tc>
          <w:tcPr>
            <w:tcW w:w="69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828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21,253,376 (1)</w:t>
            </w:r>
          </w:p>
        </w:tc>
        <w:tc>
          <w:tcPr>
            <w:tcW w:w="6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69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1400" w:type="dxa"/>
            <w:vAlign w:val="bottom"/>
            <w:tcBorders>
              <w:left w:val="single" w:sz="8" w:color="auto"/>
              <w:right w:val="single" w:sz="8" w:color="auto"/>
            </w:tcBorders>
          </w:tcPr>
          <w:p>
            <w:pPr>
              <w:spacing w:after="0"/>
              <w:rPr>
                <w:sz w:val="18"/>
                <w:szCs w:val="18"/>
                <w:color w:val="auto"/>
              </w:rPr>
            </w:pPr>
          </w:p>
        </w:tc>
        <w:tc>
          <w:tcPr>
            <w:tcW w:w="828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CHECK BOX IF THE AGGREGATE AMOUNT IN ROW (11) EXCLUDES CERTAIN SHARES (SEE</w:t>
            </w: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58"/>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8280" w:type="dxa"/>
            <w:vAlign w:val="bottom"/>
            <w:gridSpan w:val="4"/>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INSTRUCTIONS)</w:t>
            </w:r>
          </w:p>
        </w:tc>
        <w:tc>
          <w:tcPr>
            <w:tcW w:w="10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1400" w:type="dxa"/>
            <w:vAlign w:val="bottom"/>
            <w:tcBorders>
              <w:left w:val="single" w:sz="8" w:color="auto"/>
              <w:right w:val="single" w:sz="8" w:color="auto"/>
            </w:tcBorders>
            <w:vMerge w:val="continue"/>
          </w:tcPr>
          <w:p>
            <w:pPr>
              <w:spacing w:after="0"/>
              <w:rPr>
                <w:sz w:val="6"/>
                <w:szCs w:val="6"/>
                <w:color w:val="auto"/>
              </w:rPr>
            </w:pPr>
          </w:p>
        </w:tc>
        <w:tc>
          <w:tcPr>
            <w:tcW w:w="8280" w:type="dxa"/>
            <w:vAlign w:val="bottom"/>
            <w:gridSpan w:val="4"/>
            <w:vMerge w:val="continue"/>
          </w:tcPr>
          <w:p>
            <w:pPr>
              <w:spacing w:after="0"/>
              <w:rPr>
                <w:sz w:val="6"/>
                <w:szCs w:val="6"/>
                <w:color w:val="auto"/>
              </w:rPr>
            </w:pPr>
          </w:p>
        </w:tc>
        <w:tc>
          <w:tcPr>
            <w:tcW w:w="1040" w:type="dxa"/>
            <w:vAlign w:val="bottom"/>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6"/>
        </w:trPr>
        <w:tc>
          <w:tcPr>
            <w:tcW w:w="1400" w:type="dxa"/>
            <w:vAlign w:val="bottom"/>
            <w:tcBorders>
              <w:left w:val="single" w:sz="8" w:color="auto"/>
              <w:right w:val="single" w:sz="8" w:color="auto"/>
            </w:tcBorders>
            <w:vMerge w:val="continue"/>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9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20"/>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spacing w:after="0"/>
              <w:rPr>
                <w:sz w:val="24"/>
                <w:szCs w:val="24"/>
                <w:color w:val="auto"/>
              </w:rPr>
            </w:pPr>
          </w:p>
        </w:tc>
        <w:tc>
          <w:tcPr>
            <w:tcW w:w="69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13</w:t>
            </w:r>
          </w:p>
        </w:tc>
        <w:tc>
          <w:tcPr>
            <w:tcW w:w="828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(11)</w:t>
            </w: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18.7% (2)</w:t>
            </w:r>
          </w:p>
        </w:tc>
        <w:tc>
          <w:tcPr>
            <w:tcW w:w="54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69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14</w:t>
            </w:r>
          </w:p>
        </w:tc>
        <w:tc>
          <w:tcPr>
            <w:tcW w:w="828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w:t>
            </w:r>
          </w:p>
        </w:tc>
        <w:tc>
          <w:tcPr>
            <w:tcW w:w="54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9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includes 253,133 Shares that the Reporting Person has the right to acquire within 60 days of the date of this filing.</w:t>
      </w:r>
    </w:p>
    <w:p>
      <w:pPr>
        <w:spacing w:after="0" w:line="27" w:lineRule="exact"/>
        <w:rPr>
          <w:rFonts w:ascii="Times New Roman" w:cs="Times New Roman" w:eastAsia="Times New Roman" w:hAnsi="Times New Roman"/>
          <w:sz w:val="18"/>
          <w:szCs w:val="18"/>
          <w:color w:val="auto"/>
        </w:rPr>
      </w:pPr>
    </w:p>
    <w:p>
      <w:pPr>
        <w:ind w:left="340" w:right="240" w:hanging="332"/>
        <w:spacing w:after="0" w:line="255"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percentage is based on a total of 113,627,715 Shares expected to be outstanding following the closing of the Issuer’s Concurrent Private Placement on April 9, 2024, as reported in the Issuer’s current report on Form 8-K filed with the SEC on April 9, 2024, plus 253,133 Shares that the Reporting Person has the right to acquire within 60 days of the date of this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spacing w:after="0"/>
        <w:tabs>
          <w:tab w:leader="none" w:pos="5000" w:val="left"/>
          <w:tab w:leader="none" w:pos="9960" w:val="left"/>
        </w:tabs>
        <w:rPr>
          <w:sz w:val="20"/>
          <w:szCs w:val="20"/>
          <w:color w:val="auto"/>
        </w:rPr>
      </w:pPr>
      <w:r>
        <w:rPr>
          <w:rFonts w:ascii="Times New Roman" w:cs="Times New Roman" w:eastAsia="Times New Roman" w:hAnsi="Times New Roman"/>
          <w:sz w:val="18"/>
          <w:szCs w:val="18"/>
          <w:color w:val="auto"/>
        </w:rPr>
        <w:t>CUSIP No: 09075X108</w:t>
      </w:r>
      <w:r>
        <w:rPr>
          <w:sz w:val="20"/>
          <w:szCs w:val="20"/>
          <w:color w:val="auto"/>
        </w:rPr>
        <w:tab/>
      </w:r>
      <w:r>
        <w:rPr>
          <w:rFonts w:ascii="Times New Roman" w:cs="Times New Roman" w:eastAsia="Times New Roman" w:hAnsi="Times New Roman"/>
          <w:sz w:val="18"/>
          <w:szCs w:val="18"/>
          <w:color w:val="auto"/>
        </w:rPr>
        <w:t>SCHEDULE 13D</w:t>
      </w:r>
      <w:r>
        <w:rPr>
          <w:sz w:val="20"/>
          <w:szCs w:val="20"/>
          <w:color w:val="auto"/>
        </w:rPr>
        <w:tab/>
      </w:r>
      <w:r>
        <w:rPr>
          <w:rFonts w:ascii="Times New Roman" w:cs="Times New Roman" w:eastAsia="Times New Roman" w:hAnsi="Times New Roman"/>
          <w:sz w:val="17"/>
          <w:szCs w:val="17"/>
          <w:color w:val="auto"/>
        </w:rPr>
        <w:t xml:space="preserve">Page </w:t>
      </w:r>
      <w:r>
        <w:rPr>
          <w:rFonts w:ascii="Times New Roman" w:cs="Times New Roman" w:eastAsia="Times New Roman" w:hAnsi="Times New Roman"/>
          <w:sz w:val="17"/>
          <w:szCs w:val="17"/>
          <w:b w:val="1"/>
          <w:bCs w:val="1"/>
          <w:color w:val="auto"/>
        </w:rPr>
        <w:t>7</w:t>
      </w:r>
      <w:r>
        <w:rPr>
          <w:rFonts w:ascii="Times New Roman" w:cs="Times New Roman" w:eastAsia="Times New Roman" w:hAnsi="Times New Roman"/>
          <w:sz w:val="17"/>
          <w:szCs w:val="17"/>
          <w:color w:val="auto"/>
        </w:rPr>
        <w:t xml:space="preserve"> of </w:t>
      </w:r>
      <w:r>
        <w:rPr>
          <w:rFonts w:ascii="Times New Roman" w:cs="Times New Roman" w:eastAsia="Times New Roman" w:hAnsi="Times New Roman"/>
          <w:sz w:val="17"/>
          <w:szCs w:val="17"/>
          <w:b w:val="1"/>
          <w:bCs w:val="1"/>
          <w:color w:val="auto"/>
        </w:rPr>
        <w:t>9</w:t>
      </w:r>
      <w:r>
        <w:rPr>
          <w:rFonts w:ascii="Times New Roman" w:cs="Times New Roman" w:eastAsia="Times New Roman" w:hAnsi="Times New Roman"/>
          <w:sz w:val="17"/>
          <w:szCs w:val="17"/>
          <w:color w:val="auto"/>
        </w:rPr>
        <w:t xml:space="preserve"> pages</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Security and Issuer</w:t>
      </w:r>
    </w:p>
    <w:p>
      <w:pPr>
        <w:spacing w:after="0" w:line="2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Item 1 of the Schedule 13D is hereby amended and supplemented as follows:</w:t>
      </w:r>
    </w:p>
    <w:p>
      <w:pPr>
        <w:spacing w:after="0" w:line="22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This Amendment No. 2 to Schedule 13D (“Amendment No. 2”) is being filed by the undersigned, pursuant to §240.13d-2(a), to amend and supplement the Schedule 13D filed with the U.S. Securities and Exchange Commission (the “SEC”) on January 13, 2023, as amended on August 7, 2023 (collectively, the “Schedule 13D”), with respect to the common stock, par value $0.001 per share (the “Shares”), of Biodesix, Inc. (the “Issuer” or the “Company”), whose principal executive offices are located at 919 West Dillon Rd., Louisville, Colorado 80027.</w:t>
      </w:r>
    </w:p>
    <w:p>
      <w:pPr>
        <w:spacing w:after="0" w:line="17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Source and Amount of Funds or Other Consideration</w:t>
      </w:r>
    </w:p>
    <w:p>
      <w:pPr>
        <w:spacing w:after="0" w:line="2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Item 3 of the Schedule 13D is hereby amended and supplemented as follows:</w:t>
      </w:r>
    </w:p>
    <w:p>
      <w:pPr>
        <w:spacing w:after="0" w:line="227"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On April 5, 2024, the Issuer entered into securities purchase agreements (the “Securities Purchase Agreements”) with various investors, including the Perpetuity Trust and KFDI-B (collectively, the “Investors”), for the issuance and sale by the Company of an aggregate of 760,857 shares of Series A Non-Voting Convertible Preferred Stock, par value $0.001 per share (the “Series A Preferred Stock”) in an offering (the “Concurrent Private Placement”). Pursuant to the terms of the Securities Purchase Agreements, the Company has agreed to submit to its stockholders the approval of the conversion of the Series A Preferred Stock into Shares in accordance with Nasdaq Stock Market Rules (the “Conversion Proposal”) at its 2024 annual meeting of stockholders. Following such approval of the Conversion Proposal, each share of Series A Preferred Stock will automatically convert into 40 Shares, subject to certain limitations, including that the Reporting Persons are prohibited from converting shares of Series A Preferred Stock into Shares if, as a result of such conversion, the Reporting Persons, together with their affiliates, would beneficially own more than 19.9% of the total number of Shares issued and outstanding immediately after giving effect to such conversion. The Securities Purchase Agreements include customary representations, warranties and covenants by the parties to the agreement. Pursuant to the Securities Purchase Agreements, the Investors purchased the Series A Preferred Stock at a purchase price of $46.00 per share for an aggregate purchase price of approximately $35.0 million.</w:t>
      </w:r>
    </w:p>
    <w:p>
      <w:pPr>
        <w:spacing w:after="0" w:line="19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The Perpetuity Trust purchased 43,478 shares of Series A Preferred Stock in the Concurrent Private Placement, which will automatically convert into 1,739,120 Shares following approval of the Conversion Proposal, at a purchase price of $46.00 per share, for an aggregate purchase price of approximately $2,000,008, using the working capital of the Perpetuity Trust. KFDI-B purchased 65,218 shares of Series A Preferred Stock in the Concurrent Private Placement, which will automatically convert into 2,608,720 Shares following approval of the Conversion Proposal, at a purchase price of $46.00 per share, for an aggregate purchase price of approximately $3,000,008, using the working capital of KFDI-B.</w:t>
      </w:r>
    </w:p>
    <w:p>
      <w:pPr>
        <w:spacing w:after="0" w:line="183"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Securities Purchase Agreements does not purport to be complete and is qualified in its entirety by reference to the full text of the Securities Purchase Agreements, the form of which is attached as Exhibit 3 to this Amendment No. 2 and is incorporated herein by reference.</w:t>
      </w:r>
    </w:p>
    <w:p>
      <w:pPr>
        <w:spacing w:after="0" w:line="17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Purpose of Transaction</w:t>
      </w:r>
    </w:p>
    <w:p>
      <w:pPr>
        <w:spacing w:after="0" w:line="2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Item 4 of the Schedule 13D is hereby amended and supplemented as follows:</w:t>
      </w:r>
    </w:p>
    <w:p>
      <w:pPr>
        <w:spacing w:after="0" w:line="2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response to Item 3 of this Amendment No. 2 is incorporated by reference herein.</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Interest in Securities of the Issuer</w:t>
      </w:r>
    </w:p>
    <w:p>
      <w:pPr>
        <w:spacing w:after="0" w:line="2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Item 5(a) - (c) and (e) of the Schedule 13D is hereby amended and supplemented as follows:</w:t>
      </w:r>
    </w:p>
    <w:p>
      <w:pPr>
        <w:spacing w:after="0" w:line="227"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(a, b) As of the date hereof, Mr. Kennedy may be deemed to beneficially own, in the aggregate, 21,253,376 Shares, which represents approximately 18.7% of the Shares outstanding.</w:t>
      </w:r>
    </w:p>
    <w:p>
      <w:pPr>
        <w:spacing w:after="0" w:line="162"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Mr. Kennedy’s beneficial ownership consists of (1) 253,133 Shares that Mr. Kennedy has the right to acquire upon settlement of vested RSUs within 60 days of the date of this filing, (2) 10,304,824 Shares held directly by the Revocable Trust, which represents approximately 9.1% of the Shares outstanding, (3) 10,528,753 Shares held directly by the Perpetuity Trust, which represents approximately 9.3% of the Shares outstanding, and (4) 166,666 Shares held directly by KFDI-B, which represents approximately 0.1% of the Shares outstanding. This amount excludes 4,347,840 Shares into which the 108,696 shares of Series A Preferred Stock will automatically convert following approval of the Conversion Proposal, because the Reporting Persons do not have the right to acquire such Shares prior to stockholder approval of the Conversion Proposal.</w:t>
      </w:r>
    </w:p>
    <w:p>
      <w:pPr>
        <w:spacing w:after="0" w:line="18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The foregoing beneficial ownership percentages are based on a total of 113,627,715 Shares expected to be outstanding following the closing of the Issuer’s Concurrent Private Placement on April 9, 2024, as reported in the Issuer’s current report on Form 8-K filed with the SEC on April 9, 2024, plus, for purposes of calculating Mr. Kennedy’s beneficial ownership percentage, 253,133 Shares that Mr. Kennedy has the right to acquire within 60 days of the date of this filing.</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As sole trustee of the Revocable Trust, investment direction advisor of the Perpetuity Trust, and manager of KFDI-B, Mr. Kennedy shares with each of the Revocable Trust, the Perpetuity Trust, and KFDI-B the power to vote or direct the vote, and the power to dispose or direct the disposition of, the Shares beneficially owned by each of the Revocable Trust, the Perpetuity Trust, and KFDI-B.</w:t>
      </w:r>
    </w:p>
    <w:p>
      <w:pPr>
        <w:spacing w:after="0" w:line="176" w:lineRule="exact"/>
        <w:rPr>
          <w:sz w:val="20"/>
          <w:szCs w:val="20"/>
          <w:color w:val="auto"/>
        </w:rPr>
      </w:pPr>
    </w:p>
    <w:p>
      <w:pPr>
        <w:jc w:val="both"/>
        <w:ind w:right="20" w:firstLine="1304"/>
        <w:spacing w:after="0" w:line="266" w:lineRule="auto"/>
        <w:tabs>
          <w:tab w:leader="none" w:pos="154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response to Item 3 of this Amendment No. 2 is incorporated by reference herein. On March 11, 2024, 34,526 Shares previously held by the GRAT Trust were transferred back to the Revocable Trust as an annuity payment. Except as set forth in this Amendment No. 2, no transactions in the Shares have been effected by the Reporting Persons within the past 60 days.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 As of March 11, 2024, the GRAT Trust ceased to beneficially own any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825" w:gutter="0" w:footer="0" w:header="0"/>
        </w:sectPr>
      </w:pPr>
    </w:p>
    <w:bookmarkStart w:id="7" w:name="page8"/>
    <w:bookmarkEnd w:id="7"/>
    <w:p>
      <w:pPr>
        <w:spacing w:after="0"/>
        <w:tabs>
          <w:tab w:leader="none" w:pos="5000" w:val="left"/>
          <w:tab w:leader="none" w:pos="9960" w:val="left"/>
        </w:tabs>
        <w:rPr>
          <w:sz w:val="20"/>
          <w:szCs w:val="20"/>
          <w:color w:val="auto"/>
        </w:rPr>
      </w:pPr>
      <w:r>
        <w:rPr>
          <w:rFonts w:ascii="Times New Roman" w:cs="Times New Roman" w:eastAsia="Times New Roman" w:hAnsi="Times New Roman"/>
          <w:sz w:val="18"/>
          <w:szCs w:val="18"/>
          <w:color w:val="auto"/>
        </w:rPr>
        <w:t>CUSIP No: 09075X108</w:t>
      </w:r>
      <w:r>
        <w:rPr>
          <w:sz w:val="20"/>
          <w:szCs w:val="20"/>
          <w:color w:val="auto"/>
        </w:rPr>
        <w:tab/>
      </w:r>
      <w:r>
        <w:rPr>
          <w:rFonts w:ascii="Times New Roman" w:cs="Times New Roman" w:eastAsia="Times New Roman" w:hAnsi="Times New Roman"/>
          <w:sz w:val="18"/>
          <w:szCs w:val="18"/>
          <w:color w:val="auto"/>
        </w:rPr>
        <w:t>SCHEDULE 13D</w:t>
      </w:r>
      <w:r>
        <w:rPr>
          <w:sz w:val="20"/>
          <w:szCs w:val="20"/>
          <w:color w:val="auto"/>
        </w:rPr>
        <w:tab/>
      </w:r>
      <w:r>
        <w:rPr>
          <w:rFonts w:ascii="Times New Roman" w:cs="Times New Roman" w:eastAsia="Times New Roman" w:hAnsi="Times New Roman"/>
          <w:sz w:val="17"/>
          <w:szCs w:val="17"/>
          <w:color w:val="auto"/>
        </w:rPr>
        <w:t xml:space="preserve">Page </w:t>
      </w:r>
      <w:r>
        <w:rPr>
          <w:rFonts w:ascii="Times New Roman" w:cs="Times New Roman" w:eastAsia="Times New Roman" w:hAnsi="Times New Roman"/>
          <w:sz w:val="17"/>
          <w:szCs w:val="17"/>
          <w:b w:val="1"/>
          <w:bCs w:val="1"/>
          <w:color w:val="auto"/>
        </w:rPr>
        <w:t>8</w:t>
      </w:r>
      <w:r>
        <w:rPr>
          <w:rFonts w:ascii="Times New Roman" w:cs="Times New Roman" w:eastAsia="Times New Roman" w:hAnsi="Times New Roman"/>
          <w:sz w:val="17"/>
          <w:szCs w:val="17"/>
          <w:color w:val="auto"/>
        </w:rPr>
        <w:t xml:space="preserve"> of </w:t>
      </w:r>
      <w:r>
        <w:rPr>
          <w:rFonts w:ascii="Times New Roman" w:cs="Times New Roman" w:eastAsia="Times New Roman" w:hAnsi="Times New Roman"/>
          <w:sz w:val="17"/>
          <w:szCs w:val="17"/>
          <w:b w:val="1"/>
          <w:bCs w:val="1"/>
          <w:color w:val="auto"/>
        </w:rPr>
        <w:t>9</w:t>
      </w:r>
      <w:r>
        <w:rPr>
          <w:rFonts w:ascii="Times New Roman" w:cs="Times New Roman" w:eastAsia="Times New Roman" w:hAnsi="Times New Roman"/>
          <w:sz w:val="17"/>
          <w:szCs w:val="17"/>
          <w:color w:val="auto"/>
        </w:rPr>
        <w:t xml:space="preserve"> pages</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Contracts, Arrangements, Understandings or Relationships with Respect to Securities of the Issuer.</w:t>
      </w:r>
    </w:p>
    <w:p>
      <w:pPr>
        <w:spacing w:after="0" w:line="2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Item 6 of the Schedule 13D is hereby amended and supplemented as follows:</w:t>
      </w:r>
    </w:p>
    <w:p>
      <w:pPr>
        <w:spacing w:after="0" w:line="2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response to Item 3 of this Amendment No. 2 is incorporated by reference herein.</w:t>
      </w:r>
    </w:p>
    <w:p>
      <w:pPr>
        <w:spacing w:after="0" w:line="22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Registration Rights Agreement</w:t>
      </w:r>
    </w:p>
    <w:p>
      <w:pPr>
        <w:spacing w:after="0" w:line="227"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In connection with the Concurrent Private Placement, the Issuer also entered into a Registration Rights Agreement, dated April 5, 2024 (the “Registration Rights Agreement”), with the Investors, which provides that the Issuer will register the resale of the Shares issuable upon conversion of the Series A Preferred Stock. The Issuer is required to prepare and file an initial registration statement with the SEC as soon as reasonably practicable, but in no event later than April 23, 2024, and to use best efforts to have the registration statement declared effective within 50 days after the closing of the Concurrent Private Placement, subject to the approval of the Conversion Proposal being received at the Company’s 2024 annual meeting of stockholders.</w:t>
      </w:r>
    </w:p>
    <w:p>
      <w:pPr>
        <w:spacing w:after="0" w:line="183"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Registration Rights Agreement does not purport to be complete and is qualified in its entirety by reference to the full text of the Registration Rights Agreement, the form of which is attached as Exhibit 4 to this Amendment No. 2 and is incorporated herein by reference.</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Except as otherwise set forth in this Amendment No. 2, there are no contracts, arrangements, understandings or relationships between the Reporting Persons and any other person with respect to any securities of the Issuer.</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Material to be Filed as Exhibits</w:t>
      </w:r>
    </w:p>
    <w:p>
      <w:pPr>
        <w:spacing w:after="0" w:line="2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Item 7 of the Schedule 13D is hereby amended and supplemented as follows:</w:t>
      </w:r>
    </w:p>
    <w:p>
      <w:pPr>
        <w:spacing w:after="0" w:line="227" w:lineRule="exact"/>
        <w:rPr>
          <w:sz w:val="20"/>
          <w:szCs w:val="20"/>
          <w:color w:val="auto"/>
        </w:rPr>
      </w:pPr>
    </w:p>
    <w:p>
      <w:pPr>
        <w:ind w:left="920" w:right="240" w:hanging="903"/>
        <w:spacing w:after="0" w:line="282" w:lineRule="auto"/>
        <w:tabs>
          <w:tab w:leader="none" w:pos="900" w:val="left"/>
        </w:tabs>
        <w:rPr>
          <w:sz w:val="20"/>
          <w:szCs w:val="20"/>
          <w:color w:val="auto"/>
        </w:rPr>
      </w:pPr>
      <w:r>
        <w:rPr>
          <w:rFonts w:ascii="Times New Roman" w:cs="Times New Roman" w:eastAsia="Times New Roman" w:hAnsi="Times New Roman"/>
          <w:sz w:val="18"/>
          <w:szCs w:val="18"/>
          <w:color w:val="auto"/>
        </w:rPr>
        <w:t>Exhibit 3</w:t>
        <w:tab/>
        <w:t>Form of Securities Purchase Agreements (incorporated by reference to Exhibit 10.2 to the Issuer’s current report on Form 8-K filed with the SEC on April 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2743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42" w:lineRule="exact"/>
        <w:rPr>
          <w:sz w:val="20"/>
          <w:szCs w:val="20"/>
          <w:color w:val="auto"/>
        </w:rPr>
      </w:pPr>
    </w:p>
    <w:p>
      <w:pPr>
        <w:ind w:left="920" w:right="320" w:hanging="903"/>
        <w:spacing w:after="0" w:line="282" w:lineRule="auto"/>
        <w:tabs>
          <w:tab w:leader="none" w:pos="900" w:val="left"/>
        </w:tabs>
        <w:rPr>
          <w:sz w:val="20"/>
          <w:szCs w:val="20"/>
          <w:color w:val="auto"/>
        </w:rPr>
      </w:pPr>
      <w:r>
        <w:rPr>
          <w:rFonts w:ascii="Times New Roman" w:cs="Times New Roman" w:eastAsia="Times New Roman" w:hAnsi="Times New Roman"/>
          <w:sz w:val="18"/>
          <w:szCs w:val="18"/>
          <w:color w:val="auto"/>
        </w:rPr>
        <w:t>Exhibit 4</w:t>
        <w:tab/>
        <w:t>Form of Registration Rights Agreement (incorporated by reference to Exhibit 10.3 to the Issuer’s current report on Form 8-K filed with the SEC on April 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2743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spacing w:after="0"/>
        <w:tabs>
          <w:tab w:leader="none" w:pos="5000" w:val="left"/>
          <w:tab w:leader="none" w:pos="9960" w:val="left"/>
        </w:tabs>
        <w:rPr>
          <w:sz w:val="20"/>
          <w:szCs w:val="20"/>
          <w:color w:val="auto"/>
        </w:rPr>
      </w:pPr>
      <w:r>
        <w:rPr>
          <w:rFonts w:ascii="Times New Roman" w:cs="Times New Roman" w:eastAsia="Times New Roman" w:hAnsi="Times New Roman"/>
          <w:sz w:val="18"/>
          <w:szCs w:val="18"/>
          <w:color w:val="auto"/>
        </w:rPr>
        <w:t>CUSIP No: 09075X108</w:t>
      </w:r>
      <w:r>
        <w:rPr>
          <w:sz w:val="20"/>
          <w:szCs w:val="20"/>
          <w:color w:val="auto"/>
        </w:rPr>
        <w:tab/>
      </w:r>
      <w:r>
        <w:rPr>
          <w:rFonts w:ascii="Times New Roman" w:cs="Times New Roman" w:eastAsia="Times New Roman" w:hAnsi="Times New Roman"/>
          <w:sz w:val="18"/>
          <w:szCs w:val="18"/>
          <w:color w:val="auto"/>
        </w:rPr>
        <w:t>SCHEDULE 13D</w:t>
      </w:r>
      <w:r>
        <w:rPr>
          <w:sz w:val="20"/>
          <w:szCs w:val="20"/>
          <w:color w:val="auto"/>
        </w:rPr>
        <w:tab/>
      </w:r>
      <w:r>
        <w:rPr>
          <w:rFonts w:ascii="Times New Roman" w:cs="Times New Roman" w:eastAsia="Times New Roman" w:hAnsi="Times New Roman"/>
          <w:sz w:val="17"/>
          <w:szCs w:val="17"/>
          <w:color w:val="auto"/>
        </w:rPr>
        <w:t xml:space="preserve">Page </w:t>
      </w:r>
      <w:r>
        <w:rPr>
          <w:rFonts w:ascii="Times New Roman" w:cs="Times New Roman" w:eastAsia="Times New Roman" w:hAnsi="Times New Roman"/>
          <w:sz w:val="17"/>
          <w:szCs w:val="17"/>
          <w:b w:val="1"/>
          <w:bCs w:val="1"/>
          <w:color w:val="auto"/>
        </w:rPr>
        <w:t>9</w:t>
      </w:r>
      <w:r>
        <w:rPr>
          <w:rFonts w:ascii="Times New Roman" w:cs="Times New Roman" w:eastAsia="Times New Roman" w:hAnsi="Times New Roman"/>
          <w:sz w:val="17"/>
          <w:szCs w:val="17"/>
          <w:color w:val="auto"/>
        </w:rPr>
        <w:t xml:space="preserve"> of </w:t>
      </w:r>
      <w:r>
        <w:rPr>
          <w:rFonts w:ascii="Times New Roman" w:cs="Times New Roman" w:eastAsia="Times New Roman" w:hAnsi="Times New Roman"/>
          <w:sz w:val="17"/>
          <w:szCs w:val="17"/>
          <w:b w:val="1"/>
          <w:bCs w:val="1"/>
          <w:color w:val="auto"/>
        </w:rPr>
        <w:t>9</w:t>
      </w:r>
      <w:r>
        <w:rPr>
          <w:rFonts w:ascii="Times New Roman" w:cs="Times New Roman" w:eastAsia="Times New Roman" w:hAnsi="Times New Roman"/>
          <w:sz w:val="17"/>
          <w:szCs w:val="17"/>
          <w:color w:val="auto"/>
        </w:rPr>
        <w:t xml:space="preserve"> pages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03"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LAWRENCE T. KENNEDY, JR. REVOCABLE TRUST UAD 6/19/01</w:t>
      </w:r>
    </w:p>
    <w:p>
      <w:pPr>
        <w:spacing w:after="0" w:line="22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Lawrence T. Kennedy, Jr.</w:t>
      </w:r>
    </w:p>
    <w:p>
      <w:pPr>
        <w:spacing w:after="0" w:line="2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Name: Lawrence T. Kennedy, Jr.</w:t>
      </w:r>
    </w:p>
    <w:p>
      <w:pPr>
        <w:spacing w:after="0" w:line="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Title: Trustee</w:t>
      </w:r>
    </w:p>
    <w:p>
      <w:pPr>
        <w:spacing w:after="0" w:line="203"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LAWRENCE T. KENNEDY, JR. PERPETUITY TRUST UAD 6/30/16</w:t>
      </w:r>
    </w:p>
    <w:p>
      <w:pPr>
        <w:spacing w:after="0" w:line="22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Susan Callahan</w:t>
      </w:r>
    </w:p>
    <w:p>
      <w:pPr>
        <w:spacing w:after="0" w:line="2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Name: Susan Callahan</w:t>
      </w:r>
    </w:p>
    <w:p>
      <w:pPr>
        <w:spacing w:after="0" w:line="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Title: Bryn Mawr Trust Company of Delaware, Trustee</w:t>
      </w:r>
    </w:p>
    <w:p>
      <w:pPr>
        <w:spacing w:after="0" w:line="203"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LAIR BDSX GRAT 2022-3.2</w:t>
      </w:r>
    </w:p>
    <w:p>
      <w:pPr>
        <w:spacing w:after="0" w:line="22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Lawrence T. Kennedy, Jr.</w:t>
      </w:r>
    </w:p>
    <w:p>
      <w:pPr>
        <w:spacing w:after="0" w:line="2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Name: Lawrence T. Kennedy, Jr.</w:t>
      </w:r>
    </w:p>
    <w:p>
      <w:pPr>
        <w:spacing w:after="0" w:line="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Title: Trustee</w:t>
      </w:r>
    </w:p>
    <w:p>
      <w:pPr>
        <w:spacing w:after="0" w:line="203"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KFDI-B LLC</w:t>
      </w:r>
    </w:p>
    <w:p>
      <w:pPr>
        <w:spacing w:after="0" w:line="22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Lawrence T. Kennedy, Jr.</w:t>
      </w:r>
    </w:p>
    <w:p>
      <w:pPr>
        <w:spacing w:after="0" w:line="2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Name: Lawrence T. Kennedy, Jr.</w:t>
      </w:r>
    </w:p>
    <w:p>
      <w:pPr>
        <w:spacing w:after="0" w:line="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Title: Manager</w:t>
      </w:r>
    </w:p>
    <w:p>
      <w:pPr>
        <w:spacing w:after="0" w:line="203"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Lawrence T. Kennedy, Jr.</w:t>
      </w:r>
    </w:p>
    <w:p>
      <w:pPr>
        <w:spacing w:after="0" w:line="22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u w:val="single" w:color="auto"/>
          <w:color w:val="auto"/>
        </w:rPr>
        <w:t>/s/ Lawrence T. Kennedy, Jr.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9,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Attention: Intentional misstatements or omissions of fact constitute federal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2024-04-09T18:47:16Z</dcterms:created>
  <dcterms:modified xsi:type="dcterms:W3CDTF">2024-04-09T18:47:16Z</dcterms:modified>
</cp:coreProperties>
</file>