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Biodesix,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Common Stock, Par Value $0.001 Per Share</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09075X108</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(CUSIP Number)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Jack W. Schuler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100 N. Field Drive, Suite 360</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Lake Forest, Illinois 60045</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u w:val="single" w:color="auto"/>
          <w:color w:val="auto"/>
        </w:rPr>
        <w:t>(224) 880-1210</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April 7, 2022</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9" w:lineRule="exact"/>
        <w:rPr>
          <w:sz w:val="24"/>
          <w:szCs w:val="24"/>
          <w:color w:val="auto"/>
        </w:rPr>
      </w:pPr>
    </w:p>
    <w:p>
      <w:pPr>
        <w:spacing w:after="0" w:line="280" w:lineRule="exact"/>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21"/>
          <w:szCs w:val="21"/>
          <w:color w:val="auto"/>
        </w:rPr>
        <w:t>☐</w:t>
      </w:r>
    </w:p>
    <w:p>
      <w:pPr>
        <w:spacing w:after="0" w:line="183"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Rule 13d-7 for other parties to whom copies are to be sent.</w:t>
      </w:r>
    </w:p>
    <w:p>
      <w:pPr>
        <w:spacing w:after="0" w:line="185" w:lineRule="exact"/>
        <w:rPr>
          <w:sz w:val="24"/>
          <w:szCs w:val="24"/>
          <w:color w:val="auto"/>
        </w:rPr>
      </w:pPr>
    </w:p>
    <w:p>
      <w:pPr>
        <w:jc w:val="both"/>
        <w:ind w:firstLine="8"/>
        <w:spacing w:after="0" w:line="244" w:lineRule="auto"/>
        <w:tabs>
          <w:tab w:leader="none" w:pos="16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40" w:type="dxa"/>
            <w:vAlign w:val="bottom"/>
          </w:tcPr>
          <w:p>
            <w:pPr>
              <w:spacing w:after="0"/>
              <w:rPr>
                <w:sz w:val="20"/>
                <w:szCs w:val="20"/>
                <w:color w:val="auto"/>
              </w:rPr>
            </w:pPr>
          </w:p>
        </w:tc>
        <w:tc>
          <w:tcPr>
            <w:tcW w:w="568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SCHEDULE 13D</w:t>
            </w:r>
          </w:p>
        </w:tc>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Page 2 of 5 Page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7000" w:type="dxa"/>
            <w:vAlign w:val="bottom"/>
            <w:tcBorders>
              <w:bottom w:val="single" w:sz="8" w:color="auto"/>
            </w:tcBorders>
            <w:gridSpan w:val="4"/>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Jack W. Schuler</w:t>
            </w:r>
          </w:p>
        </w:tc>
        <w:tc>
          <w:tcPr>
            <w:tcW w:w="5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320" w:type="dxa"/>
            <w:vAlign w:val="bottom"/>
          </w:tcPr>
          <w:p>
            <w:pPr>
              <w:spacing w:after="0"/>
              <w:rPr>
                <w:sz w:val="21"/>
                <w:szCs w:val="21"/>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56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5680" w:type="dxa"/>
            <w:vAlign w:val="bottom"/>
            <w:shd w:val="clear" w:color="auto" w:fill="BFBFBF"/>
          </w:tcPr>
          <w:p>
            <w:pPr>
              <w:spacing w:after="0"/>
              <w:rPr>
                <w:sz w:val="20"/>
                <w:szCs w:val="20"/>
                <w:color w:val="auto"/>
              </w:rPr>
            </w:pPr>
          </w:p>
        </w:tc>
        <w:tc>
          <w:tcPr>
            <w:tcW w:w="23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5680" w:type="dxa"/>
            <w:vAlign w:val="bottom"/>
            <w:shd w:val="clear" w:color="auto" w:fill="BFBFBF"/>
          </w:tcPr>
          <w:p>
            <w:pPr>
              <w:spacing w:after="0"/>
              <w:rPr>
                <w:sz w:val="24"/>
                <w:szCs w:val="24"/>
                <w:color w:val="auto"/>
              </w:rPr>
            </w:pPr>
          </w:p>
        </w:tc>
        <w:tc>
          <w:tcPr>
            <w:tcW w:w="232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5680" w:type="dxa"/>
            <w:vAlign w:val="bottom"/>
            <w:tcBorders>
              <w:bottom w:val="single" w:sz="8" w:color="auto"/>
            </w:tcBorders>
            <w:shd w:val="clear" w:color="auto" w:fill="BFBFBF"/>
          </w:tcPr>
          <w:p>
            <w:pPr>
              <w:spacing w:after="0"/>
              <w:rPr>
                <w:sz w:val="23"/>
                <w:szCs w:val="23"/>
                <w:color w:val="auto"/>
              </w:rPr>
            </w:pPr>
          </w:p>
        </w:tc>
        <w:tc>
          <w:tcPr>
            <w:tcW w:w="232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PF</w:t>
            </w:r>
          </w:p>
        </w:tc>
        <w:tc>
          <w:tcPr>
            <w:tcW w:w="5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gridSpan w:val="4"/>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7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5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6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5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11,268,177 (1)</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68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6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568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56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2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56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11,268,177 (1)</w:t>
            </w: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56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AGGREGATE AMOUNT BENEFICIALLY OWNED BY EACH REPORTING PERSON</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11,268,177 (1)</w:t>
            </w:r>
          </w:p>
        </w:tc>
        <w:tc>
          <w:tcPr>
            <w:tcW w:w="5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gridSpan w:val="2"/>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0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2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7000" w:type="dxa"/>
            <w:vAlign w:val="bottom"/>
            <w:gridSpan w:val="4"/>
            <w:vMerge w:val="continue"/>
          </w:tcPr>
          <w:p>
            <w:pPr>
              <w:spacing w:after="0"/>
              <w:rPr>
                <w:sz w:val="7"/>
                <w:szCs w:val="7"/>
                <w:color w:val="auto"/>
              </w:rPr>
            </w:pPr>
          </w:p>
        </w:tc>
        <w:tc>
          <w:tcPr>
            <w:tcW w:w="2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7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29.3% (2)</w:t>
            </w:r>
          </w:p>
        </w:tc>
        <w:tc>
          <w:tcPr>
            <w:tcW w:w="5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56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7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5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40" w:right="60" w:hanging="178"/>
        <w:spacing w:after="0" w:line="282" w:lineRule="auto"/>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11,717 Shares that the Reporting Person has the right to acquire upon exercise of options exercisable within 60 days of the date of this filing.</w:t>
      </w:r>
    </w:p>
    <w:p>
      <w:pPr>
        <w:spacing w:after="0" w:line="188" w:lineRule="exact"/>
        <w:rPr>
          <w:rFonts w:ascii="Times New Roman" w:cs="Times New Roman" w:eastAsia="Times New Roman" w:hAnsi="Times New Roman"/>
          <w:sz w:val="18"/>
          <w:szCs w:val="18"/>
          <w:color w:val="auto"/>
        </w:rPr>
      </w:pPr>
    </w:p>
    <w:p>
      <w:pPr>
        <w:ind w:left="240" w:right="400" w:hanging="178"/>
        <w:spacing w:after="0" w:line="282" w:lineRule="auto"/>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the sum of 38,437,781 Shares outstanding, based on information from the Issuer, plus 11,717 Shares that the Reporting Person has the right to acquire upon exercise of options exercisable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40" w:type="dxa"/>
            <w:vAlign w:val="bottom"/>
          </w:tcPr>
          <w:p>
            <w:pPr>
              <w:spacing w:after="0"/>
              <w:rPr>
                <w:sz w:val="20"/>
                <w:szCs w:val="20"/>
                <w:color w:val="auto"/>
              </w:rPr>
            </w:pPr>
          </w:p>
        </w:tc>
        <w:tc>
          <w:tcPr>
            <w:tcW w:w="568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SCHEDULE 13D</w:t>
            </w:r>
          </w:p>
        </w:tc>
        <w:tc>
          <w:tcPr>
            <w:tcW w:w="2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Page 3 of 5 Page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7000" w:type="dxa"/>
            <w:vAlign w:val="bottom"/>
            <w:tcBorders>
              <w:bottom w:val="single" w:sz="8" w:color="auto"/>
            </w:tcBorders>
            <w:gridSpan w:val="4"/>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0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Jack W. Schuler Living Trust</w:t>
            </w: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000" w:type="dxa"/>
            <w:vAlign w:val="bottom"/>
            <w:tcBorders>
              <w:bottom w:val="single" w:sz="8" w:color="auto"/>
            </w:tcBorders>
            <w:gridSpan w:val="4"/>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320" w:type="dxa"/>
            <w:vAlign w:val="bottom"/>
          </w:tcPr>
          <w:p>
            <w:pPr>
              <w:spacing w:after="0"/>
              <w:rPr>
                <w:sz w:val="21"/>
                <w:szCs w:val="21"/>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56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5680" w:type="dxa"/>
            <w:vAlign w:val="bottom"/>
            <w:shd w:val="clear" w:color="auto" w:fill="BFBFBF"/>
          </w:tcPr>
          <w:p>
            <w:pPr>
              <w:spacing w:after="0"/>
              <w:rPr>
                <w:sz w:val="20"/>
                <w:szCs w:val="20"/>
                <w:color w:val="auto"/>
              </w:rPr>
            </w:pPr>
          </w:p>
        </w:tc>
        <w:tc>
          <w:tcPr>
            <w:tcW w:w="23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5680" w:type="dxa"/>
            <w:vAlign w:val="bottom"/>
            <w:shd w:val="clear" w:color="auto" w:fill="BFBFBF"/>
          </w:tcPr>
          <w:p>
            <w:pPr>
              <w:spacing w:after="0"/>
              <w:rPr>
                <w:sz w:val="24"/>
                <w:szCs w:val="24"/>
                <w:color w:val="auto"/>
              </w:rPr>
            </w:pPr>
          </w:p>
        </w:tc>
        <w:tc>
          <w:tcPr>
            <w:tcW w:w="232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5680" w:type="dxa"/>
            <w:vAlign w:val="bottom"/>
            <w:tcBorders>
              <w:bottom w:val="single" w:sz="8" w:color="auto"/>
            </w:tcBorders>
            <w:shd w:val="clear" w:color="auto" w:fill="BFBFBF"/>
          </w:tcPr>
          <w:p>
            <w:pPr>
              <w:spacing w:after="0"/>
              <w:rPr>
                <w:sz w:val="23"/>
                <w:szCs w:val="23"/>
                <w:color w:val="auto"/>
              </w:rPr>
            </w:pPr>
          </w:p>
        </w:tc>
        <w:tc>
          <w:tcPr>
            <w:tcW w:w="232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5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gridSpan w:val="4"/>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7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5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56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5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11,256,460</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68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6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568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56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2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56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11,256,460</w:t>
            </w: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56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AGGREGATE AMOUNT BENEFICIALLY OWNED BY EACH REPORTING PERSON</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11,256,460</w:t>
            </w:r>
          </w:p>
        </w:tc>
        <w:tc>
          <w:tcPr>
            <w:tcW w:w="5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gridSpan w:val="2"/>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0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2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7000" w:type="dxa"/>
            <w:vAlign w:val="bottom"/>
            <w:gridSpan w:val="4"/>
            <w:vMerge w:val="continue"/>
          </w:tcPr>
          <w:p>
            <w:pPr>
              <w:spacing w:after="0"/>
              <w:rPr>
                <w:sz w:val="7"/>
                <w:szCs w:val="7"/>
                <w:color w:val="auto"/>
              </w:rPr>
            </w:pPr>
          </w:p>
        </w:tc>
        <w:tc>
          <w:tcPr>
            <w:tcW w:w="2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7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29.3% (1)</w:t>
            </w:r>
          </w:p>
        </w:tc>
        <w:tc>
          <w:tcPr>
            <w:tcW w:w="5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56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7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 This percentage is based on 38,437,781 Shares outstanding, based on information from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5600" w:val="left"/>
          <w:tab w:leader="none" w:pos="842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4 of 5 Page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Security and Issuer</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Item 1 of the Schedule 13D is hereby amended and supplemented as follows:</w:t>
      </w:r>
    </w:p>
    <w:p>
      <w:pPr>
        <w:spacing w:after="0" w:line="23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This Amendment No. 2 to Schedule 13D (“Amendment No. 2”) is being filed by the undersigned, pursuant to §240.13d-2(a), to amend and supplement the Schedule 13D filed with the U.S. Securities and Exchange Commission (the “SEC”) on November 9, 2020, (the “Initial Schedule 13D”), as amended on January 28, 2022 (collectively, the “Schedule 13D”), with respect to the common stock, par value $0.001 per share (the “Shares”), of Biodesix, Inc. (the “Issuer” or the “Company”), whose principal executive offices are located at 2970 Wilderness Place, Suite 100, Boulder, Colorado 80301.</w:t>
      </w:r>
    </w:p>
    <w:p>
      <w:pPr>
        <w:spacing w:after="0" w:line="20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Item 3 of the Schedule 13D is hereby amended and supplemented as follows:</w:t>
      </w:r>
    </w:p>
    <w:p>
      <w:pPr>
        <w:spacing w:after="0" w:line="23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On April 7, 2022, the Reporting Person entered into a subscription agreement with the Issuer (the "PIPE Offering"), pursuant to which the Reporting Person agreed to purchase 2,793,296 Shares at a price of $1.79 per Share.</w:t>
      </w:r>
    </w:p>
    <w:p>
      <w:pPr>
        <w:spacing w:after="0" w:line="1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Item 5(a) - (c) of the Schedule 13D is hereby amended and supplemented as follows:</w:t>
      </w:r>
    </w:p>
    <w:p>
      <w:pPr>
        <w:spacing w:after="0" w:line="23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(a, b) As of April 7, 2022 and the date hereof, Mr. Schuler may be deemed to beneficially own, in the aggregate, 11,268,177 Shares, which represents approximately 29.3% of the Shares outstanding.</w:t>
      </w:r>
    </w:p>
    <w:p>
      <w:pPr>
        <w:spacing w:after="0" w:line="18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Mr. Schuler’s beneficial ownership consists of (1) 11,717 Shares that Mr. Schuler has the right to acquire upon exercise of options exercisable within 60 days of the date of this filing and (2) 11,256,460 held by the Trust, representing approximately 29.3% of the Shares outstanding.</w:t>
      </w:r>
    </w:p>
    <w:p>
      <w:pPr>
        <w:spacing w:after="0" w:line="20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The foregoing beneficial ownership percentages are based on 38,437,781 Shares outstanding as of the date of this filing, based on information from the Issuer, plus, for purposes of calculating Mr. Schuler’s beneficial ownership percentage, 11,717 Shares that Mr. Schuler has the right to acquire upon exercise of options exercisable within 60 days of the date of this filing.</w:t>
      </w:r>
    </w:p>
    <w:p>
      <w:pPr>
        <w:spacing w:after="0" w:line="207"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As sole trustee of the Trust, Mr. Schuler shares with the Trust the power to vote or direct the vote, and the power to dispose or direct the disposition of, the 11,256,460 Shares beneficially owned by the Trust.</w:t>
      </w:r>
    </w:p>
    <w:p>
      <w:pPr>
        <w:spacing w:after="0" w:line="185" w:lineRule="exact"/>
        <w:rPr>
          <w:sz w:val="20"/>
          <w:szCs w:val="20"/>
          <w:color w:val="auto"/>
        </w:rPr>
      </w:pPr>
    </w:p>
    <w:p>
      <w:pPr>
        <w:ind w:right="20" w:firstLine="1304"/>
        <w:spacing w:after="0" w:line="258" w:lineRule="auto"/>
        <w:tabs>
          <w:tab w:leader="none" w:pos="163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response to Item 3 of this Schedule 13D is incorporated by reference herein. Other than the Shares acquired in the PIPE Offering, the Reporting Person has not effected any transactions in the Shares within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5600" w:val="left"/>
          <w:tab w:leader="none" w:pos="842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5 of 5 Page</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Jack W. Schuler</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Jack W.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6986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Jack W. Schuler Living Trust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Jack W.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69862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Jack W. Schuler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 Trustee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Schuler Family Foundation</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Jack W.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69862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Jack W. Schuler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11,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Attention: Intentional misstatements or omissions of act constitute federal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2022-04-11T15:17:33Z</dcterms:created>
  <dcterms:modified xsi:type="dcterms:W3CDTF">2022-04-11T15:17:33Z</dcterms:modified>
</cp:coreProperties>
</file>