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43"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1"/>
          <w:szCs w:val="11"/>
          <w:b w:val="1"/>
          <w:bCs w:val="1"/>
          <w:color w:val="auto"/>
        </w:rPr>
        <w:t>As filed with the Securities and Exchange Commission on May 21, 2026.</w:t>
      </w:r>
    </w:p>
    <w:p>
      <w:pPr>
        <w:spacing w:after="0" w:line="5" w:lineRule="exact"/>
        <w:rPr>
          <w:sz w:val="24"/>
          <w:szCs w:val="24"/>
          <w:color w:val="auto"/>
        </w:rPr>
      </w:pPr>
    </w:p>
    <w:p>
      <w:pPr>
        <w:ind w:left="8680"/>
        <w:spacing w:after="0"/>
        <w:rPr>
          <w:sz w:val="20"/>
          <w:szCs w:val="20"/>
          <w:color w:val="auto"/>
        </w:rPr>
      </w:pPr>
      <w:r>
        <w:rPr>
          <w:rFonts w:ascii="Times New Roman" w:cs="Times New Roman" w:eastAsia="Times New Roman" w:hAnsi="Times New Roman"/>
          <w:sz w:val="11"/>
          <w:szCs w:val="11"/>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817880</wp:posOffset>
            </wp:positionH>
            <wp:positionV relativeFrom="paragraph">
              <wp:posOffset>52070</wp:posOffset>
            </wp:positionV>
            <wp:extent cx="553847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38470" cy="698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85725</wp:posOffset>
            </wp:positionV>
            <wp:extent cx="55384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38470" cy="6985"/>
                    </a:xfrm>
                    <a:prstGeom prst="rect">
                      <a:avLst/>
                    </a:prstGeom>
                    <a:noFill/>
                  </pic:spPr>
                </pic:pic>
              </a:graphicData>
            </a:graphic>
          </wp:anchor>
        </w:drawing>
      </w:r>
    </w:p>
    <w:p>
      <w:pPr>
        <w:spacing w:after="0" w:line="15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73660</wp:posOffset>
            </wp:positionV>
            <wp:extent cx="116078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11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FORM S-3</w:t>
      </w:r>
    </w:p>
    <w:p>
      <w:pPr>
        <w:spacing w:after="0" w:line="3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1"/>
          <w:szCs w:val="21"/>
          <w:b w:val="1"/>
          <w:bCs w:val="1"/>
          <w:color w:val="auto"/>
        </w:rPr>
        <w:t>REGISTRATION STATEMENT</w:t>
      </w:r>
    </w:p>
    <w:p>
      <w:pPr>
        <w:jc w:val="center"/>
        <w:ind w:right="-1140"/>
        <w:spacing w:after="0"/>
        <w:rPr>
          <w:sz w:val="20"/>
          <w:szCs w:val="20"/>
          <w:color w:val="auto"/>
        </w:rPr>
      </w:pPr>
      <w:r>
        <w:rPr>
          <w:rFonts w:ascii="Times New Roman" w:cs="Times New Roman" w:eastAsia="Times New Roman" w:hAnsi="Times New Roman"/>
          <w:sz w:val="16"/>
          <w:szCs w:val="16"/>
          <w:b w:val="1"/>
          <w:bCs w:val="1"/>
          <w:i w:val="1"/>
          <w:iCs w:val="1"/>
          <w:color w:val="auto"/>
        </w:rPr>
        <w:t>UNDER</w:t>
      </w:r>
    </w:p>
    <w:p>
      <w:pPr>
        <w:jc w:val="center"/>
        <w:ind w:right="-1140"/>
        <w:spacing w:after="0"/>
        <w:rPr>
          <w:sz w:val="20"/>
          <w:szCs w:val="20"/>
          <w:color w:val="auto"/>
        </w:rPr>
      </w:pPr>
      <w:r>
        <w:rPr>
          <w:rFonts w:ascii="Times New Roman" w:cs="Times New Roman" w:eastAsia="Times New Roman" w:hAnsi="Times New Roman"/>
          <w:sz w:val="16"/>
          <w:szCs w:val="16"/>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73660</wp:posOffset>
            </wp:positionV>
            <wp:extent cx="116078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103"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28"/>
          <w:szCs w:val="28"/>
          <w:b w:val="1"/>
          <w:bCs w:val="1"/>
          <w:color w:val="auto"/>
        </w:rPr>
        <w:t>BIODESIX, INC.</w:t>
      </w:r>
    </w:p>
    <w:p>
      <w:pPr>
        <w:spacing w:after="0" w:line="48"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79375</wp:posOffset>
            </wp:positionV>
            <wp:extent cx="116078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167" w:lineRule="exact"/>
        <w:rPr>
          <w:sz w:val="24"/>
          <w:szCs w:val="24"/>
          <w:color w:val="auto"/>
        </w:rPr>
      </w:pPr>
    </w:p>
    <w:tbl>
      <w:tblPr>
        <w:tblLayout w:type="fixed"/>
        <w:tblInd w:w="2740" w:type="dxa"/>
        <w:tblCellMar>
          <w:top w:w="0" w:type="dxa"/>
          <w:left w:w="0" w:type="dxa"/>
          <w:bottom w:w="0" w:type="dxa"/>
          <w:right w:w="0" w:type="dxa"/>
        </w:tblCellMar>
      </w:tblPr>
      <w:tr>
        <w:trPr>
          <w:trHeight w:val="154"/>
        </w:trPr>
        <w:tc>
          <w:tcPr>
            <w:tcW w:w="3040" w:type="dxa"/>
            <w:vAlign w:val="bottom"/>
          </w:tcPr>
          <w:p>
            <w:pPr>
              <w:jc w:val="center"/>
              <w:ind w:right="1501"/>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2680" w:type="dxa"/>
            <w:vAlign w:val="bottom"/>
          </w:tcPr>
          <w:p>
            <w:pPr>
              <w:jc w:val="center"/>
              <w:ind w:left="1481"/>
              <w:spacing w:after="0"/>
              <w:rPr>
                <w:sz w:val="20"/>
                <w:szCs w:val="20"/>
                <w:color w:val="auto"/>
              </w:rPr>
            </w:pPr>
            <w:r>
              <w:rPr>
                <w:rFonts w:ascii="Times New Roman" w:cs="Times New Roman" w:eastAsia="Times New Roman" w:hAnsi="Times New Roman"/>
                <w:sz w:val="13"/>
                <w:szCs w:val="13"/>
                <w:b w:val="1"/>
                <w:bCs w:val="1"/>
                <w:color w:val="auto"/>
                <w:w w:val="98"/>
              </w:rPr>
              <w:t>20-3986492</w:t>
            </w:r>
          </w:p>
        </w:tc>
      </w:tr>
      <w:tr>
        <w:trPr>
          <w:trHeight w:val="118"/>
        </w:trPr>
        <w:tc>
          <w:tcPr>
            <w:tcW w:w="3040" w:type="dxa"/>
            <w:vAlign w:val="bottom"/>
          </w:tcPr>
          <w:p>
            <w:pPr>
              <w:jc w:val="center"/>
              <w:ind w:right="1481"/>
              <w:spacing w:after="0" w:line="118" w:lineRule="exact"/>
              <w:rPr>
                <w:sz w:val="20"/>
                <w:szCs w:val="20"/>
                <w:color w:val="auto"/>
              </w:rPr>
            </w:pPr>
            <w:r>
              <w:rPr>
                <w:rFonts w:ascii="Times New Roman" w:cs="Times New Roman" w:eastAsia="Times New Roman" w:hAnsi="Times New Roman"/>
                <w:sz w:val="11"/>
                <w:szCs w:val="11"/>
                <w:b w:val="1"/>
                <w:bCs w:val="1"/>
                <w:color w:val="auto"/>
              </w:rPr>
              <w:t>(State or other jurisdiction of</w:t>
            </w:r>
          </w:p>
        </w:tc>
        <w:tc>
          <w:tcPr>
            <w:tcW w:w="2680" w:type="dxa"/>
            <w:vAlign w:val="bottom"/>
          </w:tcPr>
          <w:p>
            <w:pPr>
              <w:jc w:val="center"/>
              <w:ind w:left="1481"/>
              <w:spacing w:after="0" w:line="118" w:lineRule="exact"/>
              <w:rPr>
                <w:sz w:val="20"/>
                <w:szCs w:val="20"/>
                <w:color w:val="auto"/>
              </w:rPr>
            </w:pPr>
            <w:r>
              <w:rPr>
                <w:rFonts w:ascii="Times New Roman" w:cs="Times New Roman" w:eastAsia="Times New Roman" w:hAnsi="Times New Roman"/>
                <w:sz w:val="11"/>
                <w:szCs w:val="11"/>
                <w:b w:val="1"/>
                <w:bCs w:val="1"/>
                <w:color w:val="auto"/>
              </w:rPr>
              <w:t>(I.R.S. Employer</w:t>
            </w:r>
          </w:p>
        </w:tc>
      </w:tr>
      <w:tr>
        <w:trPr>
          <w:trHeight w:val="150"/>
        </w:trPr>
        <w:tc>
          <w:tcPr>
            <w:tcW w:w="3040" w:type="dxa"/>
            <w:vAlign w:val="bottom"/>
          </w:tcPr>
          <w:p>
            <w:pPr>
              <w:jc w:val="center"/>
              <w:ind w:right="1501"/>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tc>
        <w:tc>
          <w:tcPr>
            <w:tcW w:w="2680" w:type="dxa"/>
            <w:vAlign w:val="bottom"/>
          </w:tcPr>
          <w:p>
            <w:pPr>
              <w:jc w:val="center"/>
              <w:ind w:left="1481"/>
              <w:spacing w:after="0"/>
              <w:rPr>
                <w:sz w:val="20"/>
                <w:szCs w:val="20"/>
                <w:color w:val="auto"/>
              </w:rPr>
            </w:pPr>
            <w:r>
              <w:rPr>
                <w:rFonts w:ascii="Times New Roman" w:cs="Times New Roman" w:eastAsia="Times New Roman" w:hAnsi="Times New Roman"/>
                <w:sz w:val="11"/>
                <w:szCs w:val="11"/>
                <w:b w:val="1"/>
                <w:bCs w:val="1"/>
                <w:color w:val="auto"/>
              </w:rPr>
              <w:t>Identification Number)</w:t>
            </w:r>
          </w:p>
        </w:tc>
      </w:tr>
    </w:tbl>
    <w:p>
      <w:pPr>
        <w:spacing w:after="0" w:line="17"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Biodesix, Inc.</w:t>
      </w:r>
    </w:p>
    <w:p>
      <w:pPr>
        <w:spacing w:after="0" w:line="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919 West Dillon Road</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Louisville, Colorado 80027</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(303) 417-0500</w:t>
      </w:r>
    </w:p>
    <w:p>
      <w:pPr>
        <w:spacing w:after="0" w:line="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72390</wp:posOffset>
            </wp:positionV>
            <wp:extent cx="116078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124"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Scott Hutton</w:t>
      </w:r>
    </w:p>
    <w:p>
      <w:pPr>
        <w:spacing w:after="0" w:line="1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President and Chief Executive Officer</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Biodesix, Inc.</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919 West Dillon Road</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Louisville, Colorado 80027</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(303) 417-0500</w:t>
      </w:r>
    </w:p>
    <w:p>
      <w:pPr>
        <w:spacing w:after="0" w:line="1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1"/>
          <w:szCs w:val="11"/>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72390</wp:posOffset>
            </wp:positionV>
            <wp:extent cx="11607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122"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i w:val="1"/>
          <w:iCs w:val="1"/>
          <w:color w:val="auto"/>
        </w:rPr>
        <w:t>Copies to:</w:t>
      </w:r>
    </w:p>
    <w:p>
      <w:pPr>
        <w:spacing w:after="0" w:line="2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Frank F. Rahmani, Esq.</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Samir A. Gandhi, Esq.</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Sidley Austin LLP</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555 California Street, Suite 2000</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San Francisco, California 94104</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Telephone: (415) 772-1200</w:t>
      </w:r>
    </w:p>
    <w:p>
      <w:pPr>
        <w:spacing w:after="0" w:line="1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3"/>
          <w:szCs w:val="13"/>
          <w:b w:val="1"/>
          <w:bCs w:val="1"/>
          <w:color w:val="auto"/>
        </w:rPr>
        <w:t>Facsimile: (415) 772-7400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84455</wp:posOffset>
            </wp:positionV>
            <wp:extent cx="116078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133"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3"/>
          <w:szCs w:val="13"/>
          <w:b w:val="1"/>
          <w:bCs w:val="1"/>
          <w:color w:val="auto"/>
        </w:rPr>
        <w:t xml:space="preserve">Approximate date of commencement of proposed sale to the public: </w:t>
      </w:r>
      <w:r>
        <w:rPr>
          <w:rFonts w:ascii="Times New Roman" w:cs="Times New Roman" w:eastAsia="Times New Roman" w:hAnsi="Times New Roman"/>
          <w:sz w:val="13"/>
          <w:szCs w:val="13"/>
          <w:color w:val="auto"/>
        </w:rPr>
        <w:t>From time to time after this registration statement becomes effective.</w:t>
      </w:r>
    </w:p>
    <w:p>
      <w:pPr>
        <w:spacing w:after="0" w:line="19" w:lineRule="exact"/>
        <w:rPr>
          <w:sz w:val="24"/>
          <w:szCs w:val="24"/>
          <w:color w:val="auto"/>
        </w:rPr>
      </w:pPr>
    </w:p>
    <w:p>
      <w:pPr>
        <w:ind w:left="1280"/>
        <w:spacing w:after="0" w:line="150" w:lineRule="exact"/>
        <w:rPr>
          <w:sz w:val="20"/>
          <w:szCs w:val="20"/>
          <w:color w:val="auto"/>
        </w:rPr>
      </w:pPr>
      <w:r>
        <w:rPr>
          <w:rFonts w:ascii="Times New Roman" w:cs="Times New Roman" w:eastAsia="Times New Roman" w:hAnsi="Times New Roman"/>
          <w:sz w:val="13"/>
          <w:szCs w:val="13"/>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3"/>
          <w:szCs w:val="13"/>
          <w:color w:val="auto"/>
        </w:rPr>
        <w:t>☐</w:t>
      </w:r>
    </w:p>
    <w:p>
      <w:pPr>
        <w:spacing w:after="0" w:line="69" w:lineRule="exact"/>
        <w:rPr>
          <w:sz w:val="24"/>
          <w:szCs w:val="24"/>
          <w:color w:val="auto"/>
        </w:rPr>
      </w:pPr>
    </w:p>
    <w:p>
      <w:pPr>
        <w:ind w:left="1280" w:right="239"/>
        <w:spacing w:after="0" w:line="174" w:lineRule="exact"/>
        <w:rPr>
          <w:sz w:val="20"/>
          <w:szCs w:val="20"/>
          <w:color w:val="auto"/>
        </w:rPr>
      </w:pPr>
      <w:r>
        <w:rPr>
          <w:rFonts w:ascii="Times New Roman" w:cs="Times New Roman" w:eastAsia="Times New Roman" w:hAnsi="Times New Roman"/>
          <w:sz w:val="13"/>
          <w:szCs w:val="13"/>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3"/>
          <w:szCs w:val="13"/>
          <w:color w:val="auto"/>
        </w:rPr>
        <w:t>☒</w:t>
      </w:r>
    </w:p>
    <w:p>
      <w:pPr>
        <w:ind w:left="1280" w:right="179"/>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7" w:lineRule="exact"/>
        <w:rPr>
          <w:sz w:val="24"/>
          <w:szCs w:val="24"/>
          <w:color w:val="auto"/>
        </w:rPr>
      </w:pPr>
    </w:p>
    <w:p>
      <w:pPr>
        <w:ind w:left="1280" w:right="639"/>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6" w:lineRule="exact"/>
        <w:rPr>
          <w:sz w:val="24"/>
          <w:szCs w:val="24"/>
          <w:color w:val="auto"/>
        </w:rPr>
      </w:pPr>
    </w:p>
    <w:p>
      <w:pPr>
        <w:ind w:left="1280" w:right="619"/>
        <w:spacing w:after="0" w:line="174" w:lineRule="exact"/>
        <w:rPr>
          <w:sz w:val="20"/>
          <w:szCs w:val="20"/>
          <w:color w:val="auto"/>
        </w:rPr>
      </w:pPr>
      <w:r>
        <w:rPr>
          <w:rFonts w:ascii="Times New Roman" w:cs="Times New Roman" w:eastAsia="Times New Roman" w:hAnsi="Times New Roman"/>
          <w:sz w:val="13"/>
          <w:szCs w:val="13"/>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3"/>
          <w:szCs w:val="13"/>
          <w:color w:val="auto"/>
        </w:rPr>
        <w:t>☐</w:t>
      </w:r>
    </w:p>
    <w:p>
      <w:pPr>
        <w:ind w:left="1280" w:right="259"/>
        <w:spacing w:after="0" w:line="171" w:lineRule="exact"/>
        <w:rPr>
          <w:sz w:val="20"/>
          <w:szCs w:val="20"/>
          <w:color w:val="auto"/>
        </w:rPr>
      </w:pPr>
      <w:r>
        <w:rPr>
          <w:rFonts w:ascii="Times New Roman" w:cs="Times New Roman" w:eastAsia="Times New Roman" w:hAnsi="Times New Roman"/>
          <w:sz w:val="13"/>
          <w:szCs w:val="13"/>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3"/>
          <w:szCs w:val="13"/>
          <w:color w:val="auto"/>
        </w:rPr>
        <w:t>☐</w:t>
      </w:r>
    </w:p>
    <w:p>
      <w:pPr>
        <w:spacing w:after="0" w:line="7" w:lineRule="exact"/>
        <w:rPr>
          <w:sz w:val="24"/>
          <w:szCs w:val="24"/>
          <w:color w:val="auto"/>
        </w:rPr>
      </w:pPr>
    </w:p>
    <w:p>
      <w:pPr>
        <w:ind w:left="1280" w:right="179"/>
        <w:spacing w:after="0" w:line="260"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80" w:type="dxa"/>
        <w:tblCellMar>
          <w:top w:w="0" w:type="dxa"/>
          <w:left w:w="0" w:type="dxa"/>
          <w:bottom w:w="0" w:type="dxa"/>
          <w:right w:w="0" w:type="dxa"/>
        </w:tblCellMar>
      </w:tblPr>
      <w:tr>
        <w:trPr>
          <w:trHeight w:val="211"/>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94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422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4"/>
        </w:trPr>
        <w:tc>
          <w:tcPr>
            <w:tcW w:w="12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940" w:type="dxa"/>
            <w:vAlign w:val="bottom"/>
          </w:tcPr>
          <w:p>
            <w:pPr>
              <w:ind w:left="140"/>
              <w:spacing w:after="0" w:line="131" w:lineRule="exact"/>
              <w:rPr>
                <w:sz w:val="20"/>
                <w:szCs w:val="20"/>
                <w:color w:val="auto"/>
              </w:rPr>
            </w:pPr>
            <w:r>
              <w:rPr>
                <w:rFonts w:ascii="MS PGothic" w:cs="MS PGothic" w:eastAsia="MS PGothic" w:hAnsi="MS PGothic"/>
                <w:sz w:val="13"/>
                <w:szCs w:val="13"/>
                <w:color w:val="auto"/>
              </w:rPr>
              <w:t>☒</w:t>
            </w:r>
          </w:p>
        </w:tc>
        <w:tc>
          <w:tcPr>
            <w:tcW w:w="422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215"/>
        </w:trPr>
        <w:tc>
          <w:tcPr>
            <w:tcW w:w="12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220" w:type="dxa"/>
            <w:vAlign w:val="bottom"/>
          </w:tcPr>
          <w:p>
            <w:pPr>
              <w:ind w:left="2680"/>
              <w:spacing w:after="0"/>
              <w:rPr>
                <w:sz w:val="20"/>
                <w:szCs w:val="20"/>
                <w:color w:val="auto"/>
              </w:rPr>
            </w:pPr>
            <w:r>
              <w:rPr>
                <w:rFonts w:ascii="Times New Roman" w:cs="Times New Roman" w:eastAsia="Times New Roman" w:hAnsi="Times New Roman"/>
                <w:sz w:val="13"/>
                <w:szCs w:val="13"/>
                <w:color w:val="auto"/>
              </w:rPr>
              <w:t>Emerging growth company</w:t>
            </w:r>
          </w:p>
        </w:tc>
        <w:tc>
          <w:tcPr>
            <w:tcW w:w="220" w:type="dxa"/>
            <w:vAlign w:val="bottom"/>
          </w:tcPr>
          <w:p>
            <w:pPr>
              <w:ind w:left="12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 w:lineRule="exact"/>
        <w:rPr>
          <w:sz w:val="24"/>
          <w:szCs w:val="24"/>
          <w:color w:val="auto"/>
        </w:rPr>
      </w:pPr>
    </w:p>
    <w:p>
      <w:pPr>
        <w:ind w:left="1280" w:right="439"/>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3003550</wp:posOffset>
            </wp:positionH>
            <wp:positionV relativeFrom="paragraph">
              <wp:posOffset>65405</wp:posOffset>
            </wp:positionV>
            <wp:extent cx="116078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113" w:lineRule="exact"/>
        <w:rPr>
          <w:sz w:val="24"/>
          <w:szCs w:val="24"/>
          <w:color w:val="auto"/>
        </w:rPr>
      </w:pPr>
    </w:p>
    <w:p>
      <w:pPr>
        <w:ind w:left="1280" w:right="159"/>
        <w:spacing w:after="0" w:line="267" w:lineRule="auto"/>
        <w:rPr>
          <w:sz w:val="20"/>
          <w:szCs w:val="20"/>
          <w:color w:val="auto"/>
        </w:rPr>
      </w:pPr>
      <w:r>
        <w:rPr>
          <w:rFonts w:ascii="Times New Roman" w:cs="Times New Roman" w:eastAsia="Times New Roman" w:hAnsi="Times New Roman"/>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817880</wp:posOffset>
            </wp:positionH>
            <wp:positionV relativeFrom="paragraph">
              <wp:posOffset>60960</wp:posOffset>
            </wp:positionV>
            <wp:extent cx="553847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38470" cy="698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94615</wp:posOffset>
            </wp:positionV>
            <wp:extent cx="553847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38470" cy="6985"/>
                    </a:xfrm>
                    <a:prstGeom prst="rect">
                      <a:avLst/>
                    </a:prstGeom>
                    <a:noFill/>
                  </pic:spPr>
                </pic:pic>
              </a:graphicData>
            </a:graphic>
          </wp:anchor>
        </w:drawing>
      </w:r>
    </w:p>
    <w:p>
      <w:pPr>
        <w:sectPr>
          <w:pgSz w:w="11900" w:h="16838" w:orient="portrait"/>
          <w:cols w:equalWidth="0" w:num="1">
            <w:col w:w="10159"/>
          </w:cols>
          <w:pgMar w:left="300" w:top="208"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ectPr>
          <w:pgSz w:w="11900" w:h="16838" w:orient="portrait"/>
          <w:cols w:equalWidth="0" w:num="1">
            <w:col w:w="10159"/>
          </w:cols>
          <w:pgMar w:left="300" w:top="390" w:right="1440" w:bottom="1440" w:gutter="0" w:footer="0" w:header="0"/>
        </w:sectPr>
      </w:pPr>
    </w:p>
    <w:p>
      <w:pPr>
        <w:spacing w:after="0" w:line="267" w:lineRule="exact"/>
        <w:rPr>
          <w:sz w:val="20"/>
          <w:szCs w:val="20"/>
          <w:color w:val="auto"/>
        </w:rPr>
      </w:pPr>
    </w:p>
    <w:tbl>
      <w:tblPr>
        <w:tblLayout w:type="fixed"/>
        <w:tblInd w:w="1280" w:type="dxa"/>
        <w:tblCellMar>
          <w:top w:w="0" w:type="dxa"/>
          <w:left w:w="0" w:type="dxa"/>
          <w:bottom w:w="0" w:type="dxa"/>
          <w:right w:w="0" w:type="dxa"/>
        </w:tblCellMar>
      </w:tblPr>
      <w:tr>
        <w:trPr>
          <w:trHeight w:val="1359"/>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securities or accept</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effective. This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jurisdiction where</w:t>
            </w:r>
          </w:p>
        </w:tc>
        <w:tc>
          <w:tcPr>
            <w:tcW w:w="140" w:type="dxa"/>
            <w:vAlign w:val="bottom"/>
          </w:tcPr>
          <w:p>
            <w:pPr>
              <w:spacing w:after="0"/>
              <w:rPr>
                <w:sz w:val="24"/>
                <w:szCs w:val="24"/>
                <w:color w:val="auto"/>
              </w:rPr>
            </w:pPr>
          </w:p>
        </w:tc>
      </w:tr>
      <w:tr>
        <w:trPr>
          <w:trHeight w:val="7925"/>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The information in this prospectus is not complete and may be changed. The selling stockholders may not sell these</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an offer to buy these securities until the registration statement filed with the Securities and Exchange Commission is</w:t>
            </w:r>
          </w:p>
        </w:tc>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F4338"/>
              </w:rPr>
              <w:t>prospectus is not an offer to sell these securities, and it is not soliciting offers to buy these securities in any state or</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such offer or sale is not permitted.</w:t>
            </w:r>
          </w:p>
        </w:tc>
      </w:tr>
    </w:tbl>
    <w:p>
      <w:pPr>
        <w:spacing w:after="0" w:line="20" w:lineRule="exact"/>
        <w:rPr>
          <w:sz w:val="20"/>
          <w:szCs w:val="20"/>
          <w:color w:val="auto"/>
        </w:rPr>
      </w:pPr>
      <w:r>
        <w:rPr>
          <w:sz w:val="20"/>
          <w:szCs w:val="20"/>
          <w:color w:val="auto"/>
        </w:rPr>
        <w:br w:type="column"/>
      </w:r>
    </w:p>
    <w:p>
      <w:pPr>
        <w:spacing w:after="0" w:line="35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4"/>
          <w:szCs w:val="14"/>
          <w:b w:val="1"/>
          <w:bCs w:val="1"/>
          <w:color w:val="FF4338"/>
        </w:rPr>
        <w:t>Subject to Completion, Dated May 21, 2026</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1521460</wp:posOffset>
            </wp:positionH>
            <wp:positionV relativeFrom="paragraph">
              <wp:posOffset>125730</wp:posOffset>
            </wp:positionV>
            <wp:extent cx="1635760" cy="318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5760" cy="318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34"/>
          <w:szCs w:val="34"/>
          <w:b w:val="1"/>
          <w:bCs w:val="1"/>
          <w:color w:val="auto"/>
        </w:rPr>
        <w:t>BIODESIX, INC.</w:t>
      </w:r>
    </w:p>
    <w:p>
      <w:pPr>
        <w:spacing w:after="0" w:line="162"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0"/>
          <w:szCs w:val="20"/>
          <w:b w:val="1"/>
          <w:bCs w:val="1"/>
          <w:color w:val="auto"/>
        </w:rPr>
        <w:t>Up to 375,000 Shares of Common Stock</w:t>
      </w:r>
    </w:p>
    <w:p>
      <w:pPr>
        <w:spacing w:after="0" w:line="144" w:lineRule="exact"/>
        <w:rPr>
          <w:sz w:val="20"/>
          <w:szCs w:val="20"/>
          <w:color w:val="auto"/>
        </w:rPr>
      </w:pPr>
    </w:p>
    <w:p>
      <w:pPr>
        <w:jc w:val="center"/>
        <w:ind w:right="819"/>
        <w:spacing w:after="0"/>
        <w:rPr>
          <w:sz w:val="20"/>
          <w:szCs w:val="20"/>
          <w:color w:val="auto"/>
        </w:rPr>
      </w:pPr>
      <w:r>
        <w:rPr>
          <w:rFonts w:ascii="Times New Roman" w:cs="Times New Roman" w:eastAsia="Times New Roman" w:hAnsi="Times New Roman"/>
          <w:sz w:val="20"/>
          <w:szCs w:val="20"/>
          <w:b w:val="1"/>
          <w:bCs w:val="1"/>
          <w:color w:val="auto"/>
        </w:rPr>
        <w:t>Offered by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186690</wp:posOffset>
            </wp:positionV>
            <wp:extent cx="98425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84250" cy="698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959"/>
        <w:spacing w:after="0" w:line="257" w:lineRule="auto"/>
        <w:rPr>
          <w:sz w:val="20"/>
          <w:szCs w:val="20"/>
          <w:color w:val="auto"/>
        </w:rPr>
      </w:pPr>
      <w:r>
        <w:rPr>
          <w:rFonts w:ascii="Times New Roman" w:cs="Times New Roman" w:eastAsia="Times New Roman" w:hAnsi="Times New Roman"/>
          <w:sz w:val="14"/>
          <w:szCs w:val="14"/>
          <w:color w:val="auto"/>
        </w:rPr>
        <w:t>This prospectus relates to the proposed resale or other disposition by the selling stockholder identified in this prospectus, or its pledgees, donees, transferees or other successors in interest, from time to time, of up to 375,000 shares, (the “Shares”), of our common stock, par value $0.001 per share, or common stock, issuable upon exercise of certain warrant certificates, (the “Warrant Certificates”), granted to Perceptive Credit Holdings IV, LP (“Perceptive”), in connection with that certain Credit Agreement and Guaranty, (the “Credit Agreement”), dated as of November 16, 2022 (as amended pursuant to that certain First Amendment to Credit Agreement and Guaranty, dated as of May 10, 2023, as amended pursuant to that certain Second Amendment to Credit Agreement and Guaranty, dated as of August 4, 2023, as amended pursuant to that certain Third Amendment to Credit Agreement and Guaranty, dated as of February 29, 2024, as amended pursuant to that certain Fourth Amendment to Credit Agreement and Guaranty, dated as of October 30, 2024, as amended pursuant to that certain Fifth Amendment to Credit Agreement and Guaranty, dated as of February 28, 2025, and as amended pursuant to that certain Sixth Amendment to Credit Agreement and Guaranty, dated as of February 25, 2026), by and between us and Perceptive, as lender and administrative agent. We are registering the Shares on behalf of the selling stockholder, to be offered and sold from time to time, to satisfy certain registration rights that we have granted to the selling stockholder.</w:t>
      </w:r>
    </w:p>
    <w:p>
      <w:pPr>
        <w:spacing w:after="0" w:line="121" w:lineRule="exact"/>
        <w:rPr>
          <w:sz w:val="20"/>
          <w:szCs w:val="20"/>
          <w:color w:val="auto"/>
        </w:rPr>
      </w:pPr>
    </w:p>
    <w:p>
      <w:pPr>
        <w:ind w:right="879"/>
        <w:spacing w:after="0" w:line="260" w:lineRule="auto"/>
        <w:rPr>
          <w:sz w:val="20"/>
          <w:szCs w:val="20"/>
          <w:color w:val="auto"/>
        </w:rPr>
      </w:pPr>
      <w:r>
        <w:rPr>
          <w:rFonts w:ascii="Times New Roman" w:cs="Times New Roman" w:eastAsia="Times New Roman" w:hAnsi="Times New Roman"/>
          <w:sz w:val="14"/>
          <w:szCs w:val="14"/>
          <w:color w:val="auto"/>
        </w:rPr>
        <w:t>The selling stockholder may resell or dispose of the Shares, or interests therein, at fixed prices, at prevailing market prices at the time of sale or at prices negotiated with purchasers, to or through underwriters, broker-dealers, agents, or through any other means described in the section of this prospectus entitled “Plan of Distribution.” The selling stockholder will bear its respective commissions and discounts, if any, attributable to the sale or disposition of the Shares, or interests therein, held by such selling stockholder. We will bear all costs, expenses and fees in connection with the registration of the Shares. We will not receive any of the proceeds from the sale of the Shares by the selling stockholder. To the extent the Warrant Certificates are exercised on a cash basis, if at all, we will receive proceeds from the exercise of the Warrant Certificate. We cannot predict when or in what amounts the selling stockholder may sell any of the Shares offered by this prospectus.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This prospectus may not be used to offer and sell securities unless accompanied by the applicable prospectus supplement.</w:t>
      </w:r>
    </w:p>
    <w:p>
      <w:pPr>
        <w:spacing w:after="0" w:line="151" w:lineRule="exact"/>
        <w:rPr>
          <w:sz w:val="20"/>
          <w:szCs w:val="20"/>
          <w:color w:val="auto"/>
        </w:rPr>
      </w:pPr>
    </w:p>
    <w:p>
      <w:pPr>
        <w:ind w:right="1019"/>
        <w:spacing w:after="0" w:line="290"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“BDSX.” On May 20, 2026, the last reported sale price of our common stock was $14.37.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142240</wp:posOffset>
            </wp:positionV>
            <wp:extent cx="98425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4250" cy="6985"/>
                    </a:xfrm>
                    <a:prstGeom prst="rect">
                      <a:avLst/>
                    </a:prstGeom>
                    <a:noFill/>
                  </pic:spPr>
                </pic:pic>
              </a:graphicData>
            </a:graphic>
          </wp:anchor>
        </w:drawing>
      </w:r>
    </w:p>
    <w:p>
      <w:pPr>
        <w:spacing w:after="0" w:line="340" w:lineRule="exact"/>
        <w:rPr>
          <w:sz w:val="20"/>
          <w:szCs w:val="20"/>
          <w:color w:val="auto"/>
        </w:rPr>
      </w:pPr>
    </w:p>
    <w:p>
      <w:pPr>
        <w:ind w:right="999" w:firstLine="294"/>
        <w:spacing w:after="0" w:line="245" w:lineRule="auto"/>
        <w:rPr>
          <w:sz w:val="20"/>
          <w:szCs w:val="20"/>
          <w:color w:val="auto"/>
        </w:rPr>
      </w:pPr>
      <w:r>
        <w:rPr>
          <w:rFonts w:ascii="Times New Roman" w:cs="Times New Roman" w:eastAsia="Times New Roman" w:hAnsi="Times New Roman"/>
          <w:sz w:val="17"/>
          <w:szCs w:val="17"/>
          <w:b w:val="1"/>
          <w:bCs w:val="1"/>
          <w:color w:val="auto"/>
        </w:rPr>
        <w:t>Investing in our securities involves significant risks. We strongly recommend that you read carefully the risks we describe in this prospectus and in any accompanying prospectus supplement, as well as the risk factors that are incorporated by reference into this prospectus from our filings made with the Securities and Exchange Commission.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6 of this prospectus</w:t>
      </w:r>
      <w:r>
        <w:rPr>
          <w:rFonts w:ascii="Times New Roman" w:cs="Times New Roman" w:eastAsia="Times New Roman" w:hAnsi="Times New Roman"/>
          <w:sz w:val="17"/>
          <w:szCs w:val="17"/>
          <w:b w:val="1"/>
          <w:bCs w:val="1"/>
          <w:i w:val="1"/>
          <w:iCs w:val="1"/>
          <w:color w:val="auto"/>
        </w:rPr>
        <w:t>.</w:t>
      </w:r>
    </w:p>
    <w:p>
      <w:pPr>
        <w:spacing w:after="0" w:line="111" w:lineRule="exact"/>
        <w:rPr>
          <w:sz w:val="20"/>
          <w:szCs w:val="20"/>
          <w:color w:val="auto"/>
        </w:rPr>
      </w:pPr>
    </w:p>
    <w:p>
      <w:pPr>
        <w:ind w:right="1059"/>
        <w:spacing w:after="0" w:line="27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1847215</wp:posOffset>
            </wp:positionH>
            <wp:positionV relativeFrom="paragraph">
              <wp:posOffset>149225</wp:posOffset>
            </wp:positionV>
            <wp:extent cx="98425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4250" cy="6985"/>
                    </a:xfrm>
                    <a:prstGeom prst="rect">
                      <a:avLst/>
                    </a:prstGeom>
                    <a:noFill/>
                  </pic:spPr>
                </pic:pic>
              </a:graphicData>
            </a:graphic>
          </wp:anchor>
        </w:drawing>
      </w:r>
    </w:p>
    <w:p>
      <w:pPr>
        <w:spacing w:after="0" w:line="359" w:lineRule="exact"/>
        <w:rPr>
          <w:sz w:val="20"/>
          <w:szCs w:val="20"/>
          <w:color w:val="auto"/>
        </w:rPr>
      </w:pPr>
    </w:p>
    <w:p>
      <w:pPr>
        <w:ind w:left="2320"/>
        <w:spacing w:after="0"/>
        <w:tabs>
          <w:tab w:leader="none" w:pos="4680" w:val="left"/>
        </w:tabs>
        <w:rPr>
          <w:sz w:val="20"/>
          <w:szCs w:val="20"/>
          <w:color w:val="auto"/>
        </w:rPr>
      </w:pPr>
      <w:r>
        <w:rPr>
          <w:rFonts w:ascii="Times New Roman" w:cs="Times New Roman" w:eastAsia="Times New Roman" w:hAnsi="Times New Roman"/>
          <w:sz w:val="14"/>
          <w:szCs w:val="14"/>
          <w:b w:val="1"/>
          <w:bCs w:val="1"/>
          <w:color w:val="auto"/>
        </w:rPr>
        <w:t xml:space="preserve">The date of this prospectus is          </w:t>
      </w:r>
      <w:r>
        <w:rPr>
          <w:sz w:val="20"/>
          <w:szCs w:val="20"/>
          <w:color w:val="auto"/>
        </w:rPr>
        <w:tab/>
      </w:r>
      <w:r>
        <w:rPr>
          <w:rFonts w:ascii="Times New Roman" w:cs="Times New Roman" w:eastAsia="Times New Roman" w:hAnsi="Times New Roman"/>
          <w:sz w:val="13"/>
          <w:szCs w:val="13"/>
          <w:b w:val="1"/>
          <w:bCs w:val="1"/>
          <w:color w:val="auto"/>
        </w:rPr>
        <w:t>, 2026</w:t>
      </w:r>
    </w:p>
    <w:p>
      <w:pPr>
        <w:sectPr>
          <w:pgSz w:w="11900" w:h="16838" w:orient="portrait"/>
          <w:cols w:equalWidth="0" w:num="2">
            <w:col w:w="1900" w:space="60"/>
            <w:col w:w="8199"/>
          </w:cols>
          <w:pgMar w:left="300" w:top="39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tbl>
      <w:tblPr>
        <w:tblLayout w:type="fixed"/>
        <w:tblInd w:w="1280" w:type="dxa"/>
        <w:tblCellMar>
          <w:top w:w="0" w:type="dxa"/>
          <w:left w:w="0" w:type="dxa"/>
          <w:bottom w:w="0" w:type="dxa"/>
          <w:right w:w="0" w:type="dxa"/>
        </w:tblCellMar>
      </w:tblPr>
      <w:tr>
        <w:trPr>
          <w:trHeight w:val="187"/>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840" w:type="dxa"/>
            <w:vAlign w:val="bottom"/>
          </w:tcPr>
          <w:p>
            <w:pPr>
              <w:spacing w:after="0"/>
              <w:rPr>
                <w:sz w:val="16"/>
                <w:szCs w:val="16"/>
                <w:color w:val="auto"/>
              </w:rPr>
            </w:pPr>
          </w:p>
        </w:tc>
      </w:tr>
      <w:tr>
        <w:trPr>
          <w:trHeight w:val="332"/>
        </w:trPr>
        <w:tc>
          <w:tcPr>
            <w:tcW w:w="6840" w:type="dxa"/>
            <w:vAlign w:val="bottom"/>
            <w:gridSpan w:val="14"/>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51"/>
        </w:trPr>
        <w:tc>
          <w:tcPr>
            <w:tcW w:w="1660" w:type="dxa"/>
            <w:vAlign w:val="bottom"/>
            <w:tcBorders>
              <w:top w:val="single" w:sz="8" w:color="0000EE"/>
              <w:bottom w:val="single" w:sz="8" w:color="0000EE"/>
            </w:tcBorders>
            <w:gridSpan w:val="7"/>
          </w:tcPr>
          <w:p>
            <w:pPr>
              <w:spacing w:after="0" w:line="151" w:lineRule="exact"/>
              <w:rPr>
                <w:sz w:val="20"/>
                <w:szCs w:val="20"/>
                <w:color w:val="auto"/>
              </w:rPr>
            </w:pPr>
            <w:r>
              <w:rPr>
                <w:rFonts w:ascii="Times New Roman" w:cs="Times New Roman" w:eastAsia="Times New Roman" w:hAnsi="Times New Roman"/>
                <w:sz w:val="14"/>
                <w:szCs w:val="14"/>
                <w:color w:val="0000EE"/>
              </w:rPr>
              <w:t>PROSPECTUS SUMMARY</w:t>
            </w:r>
          </w:p>
        </w:tc>
        <w:tc>
          <w:tcPr>
            <w:tcW w:w="100" w:type="dxa"/>
            <w:vAlign w:val="bottom"/>
            <w:tcBorders>
              <w:top w:val="single" w:sz="8" w:color="0000EE"/>
            </w:tcBorders>
            <w:gridSpan w:val="2"/>
          </w:tcPr>
          <w:p>
            <w:pPr>
              <w:spacing w:after="0"/>
              <w:rPr>
                <w:sz w:val="13"/>
                <w:szCs w:val="13"/>
                <w:color w:val="auto"/>
              </w:rPr>
            </w:pPr>
          </w:p>
        </w:tc>
        <w:tc>
          <w:tcPr>
            <w:tcW w:w="5080" w:type="dxa"/>
            <w:vAlign w:val="bottom"/>
            <w:gridSpan w:val="5"/>
          </w:tcPr>
          <w:p>
            <w:pPr>
              <w:spacing w:after="0"/>
              <w:rPr>
                <w:sz w:val="13"/>
                <w:szCs w:val="13"/>
                <w:color w:val="auto"/>
              </w:rPr>
            </w:pP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w:t>
            </w:r>
          </w:p>
        </w:tc>
      </w:tr>
      <w:tr>
        <w:trPr>
          <w:trHeight w:val="151"/>
        </w:trPr>
        <w:tc>
          <w:tcPr>
            <w:tcW w:w="1020" w:type="dxa"/>
            <w:vAlign w:val="bottom"/>
            <w:tcBorders>
              <w:bottom w:val="single" w:sz="8" w:color="0000EE"/>
            </w:tcBorders>
            <w:gridSpan w:val="3"/>
          </w:tcPr>
          <w:p>
            <w:pPr>
              <w:spacing w:after="0" w:line="151" w:lineRule="exact"/>
              <w:rPr>
                <w:sz w:val="20"/>
                <w:szCs w:val="20"/>
                <w:color w:val="auto"/>
              </w:rPr>
            </w:pPr>
            <w:r>
              <w:rPr>
                <w:rFonts w:ascii="Times New Roman" w:cs="Times New Roman" w:eastAsia="Times New Roman" w:hAnsi="Times New Roman"/>
                <w:sz w:val="14"/>
                <w:szCs w:val="14"/>
                <w:color w:val="0000EE"/>
              </w:rPr>
              <w:t>THE OFFERING</w:t>
            </w:r>
          </w:p>
        </w:tc>
        <w:tc>
          <w:tcPr>
            <w:tcW w:w="5820" w:type="dxa"/>
            <w:vAlign w:val="bottom"/>
            <w:gridSpan w:val="11"/>
          </w:tcPr>
          <w:p>
            <w:pPr>
              <w:spacing w:after="0"/>
              <w:rPr>
                <w:sz w:val="13"/>
                <w:szCs w:val="13"/>
                <w:color w:val="auto"/>
              </w:rPr>
            </w:pP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5</w:t>
            </w:r>
          </w:p>
        </w:tc>
      </w:tr>
      <w:tr>
        <w:trPr>
          <w:trHeight w:val="151"/>
        </w:trPr>
        <w:tc>
          <w:tcPr>
            <w:tcW w:w="1000" w:type="dxa"/>
            <w:vAlign w:val="bottom"/>
            <w:tcBorders>
              <w:bottom w:val="single" w:sz="8" w:color="0000EE"/>
            </w:tcBorders>
            <w:gridSpan w:val="2"/>
          </w:tcPr>
          <w:p>
            <w:pPr>
              <w:spacing w:after="0" w:line="151" w:lineRule="exact"/>
              <w:rPr>
                <w:sz w:val="20"/>
                <w:szCs w:val="20"/>
                <w:color w:val="auto"/>
              </w:rPr>
            </w:pPr>
            <w:r>
              <w:rPr>
                <w:rFonts w:ascii="Times New Roman" w:cs="Times New Roman" w:eastAsia="Times New Roman" w:hAnsi="Times New Roman"/>
                <w:sz w:val="14"/>
                <w:szCs w:val="14"/>
                <w:color w:val="0000EE"/>
                <w:w w:val="99"/>
              </w:rPr>
              <w:t>RISK FACTORS</w:t>
            </w:r>
          </w:p>
        </w:tc>
        <w:tc>
          <w:tcPr>
            <w:tcW w:w="5840" w:type="dxa"/>
            <w:vAlign w:val="bottom"/>
            <w:gridSpan w:val="12"/>
          </w:tcPr>
          <w:p>
            <w:pPr>
              <w:spacing w:after="0"/>
              <w:rPr>
                <w:sz w:val="13"/>
                <w:szCs w:val="13"/>
                <w:color w:val="auto"/>
              </w:rPr>
            </w:pP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6</w:t>
            </w:r>
          </w:p>
        </w:tc>
      </w:tr>
      <w:tr>
        <w:trPr>
          <w:trHeight w:val="151"/>
        </w:trPr>
        <w:tc>
          <w:tcPr>
            <w:tcW w:w="6840" w:type="dxa"/>
            <w:vAlign w:val="bottom"/>
            <w:gridSpan w:val="14"/>
          </w:tcPr>
          <w:p>
            <w:pPr>
              <w:spacing w:after="0" w:line="151" w:lineRule="exact"/>
              <w:rPr>
                <w:sz w:val="20"/>
                <w:szCs w:val="20"/>
                <w:color w:val="auto"/>
              </w:rPr>
            </w:pPr>
            <w:r>
              <w:rPr>
                <w:rFonts w:ascii="Times New Roman" w:cs="Times New Roman" w:eastAsia="Times New Roman" w:hAnsi="Times New Roman"/>
                <w:sz w:val="14"/>
                <w:szCs w:val="14"/>
                <w:color w:val="0000EE"/>
              </w:rPr>
              <w:t>CAUTIONARY NOTE REGARDING FORWARD-LOOKING STATEMENTS</w:t>
            </w: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6</w:t>
            </w:r>
          </w:p>
        </w:tc>
      </w:tr>
      <w:tr>
        <w:trPr>
          <w:trHeight w:val="151"/>
        </w:trPr>
        <w:tc>
          <w:tcPr>
            <w:tcW w:w="1260" w:type="dxa"/>
            <w:vAlign w:val="bottom"/>
            <w:tcBorders>
              <w:top w:val="single" w:sz="8" w:color="0000EE"/>
              <w:bottom w:val="single" w:sz="8" w:color="0000EE"/>
            </w:tcBorders>
            <w:gridSpan w:val="5"/>
          </w:tcPr>
          <w:p>
            <w:pPr>
              <w:spacing w:after="0" w:line="151" w:lineRule="exact"/>
              <w:rPr>
                <w:sz w:val="20"/>
                <w:szCs w:val="20"/>
                <w:color w:val="auto"/>
              </w:rPr>
            </w:pPr>
            <w:r>
              <w:rPr>
                <w:rFonts w:ascii="Times New Roman" w:cs="Times New Roman" w:eastAsia="Times New Roman" w:hAnsi="Times New Roman"/>
                <w:sz w:val="14"/>
                <w:szCs w:val="14"/>
                <w:color w:val="0000EE"/>
              </w:rPr>
              <w:t>USE OF PROCEEDS</w:t>
            </w:r>
          </w:p>
        </w:tc>
        <w:tc>
          <w:tcPr>
            <w:tcW w:w="3320" w:type="dxa"/>
            <w:vAlign w:val="bottom"/>
            <w:tcBorders>
              <w:top w:val="single" w:sz="8" w:color="0000EE"/>
            </w:tcBorders>
            <w:gridSpan w:val="8"/>
          </w:tcPr>
          <w:p>
            <w:pPr>
              <w:spacing w:after="0"/>
              <w:rPr>
                <w:sz w:val="13"/>
                <w:szCs w:val="13"/>
                <w:color w:val="auto"/>
              </w:rPr>
            </w:pPr>
          </w:p>
        </w:tc>
        <w:tc>
          <w:tcPr>
            <w:tcW w:w="2260" w:type="dxa"/>
            <w:vAlign w:val="bottom"/>
          </w:tcPr>
          <w:p>
            <w:pPr>
              <w:spacing w:after="0"/>
              <w:rPr>
                <w:sz w:val="13"/>
                <w:szCs w:val="13"/>
                <w:color w:val="auto"/>
              </w:rPr>
            </w:pP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9</w:t>
            </w:r>
          </w:p>
        </w:tc>
      </w:tr>
      <w:tr>
        <w:trPr>
          <w:trHeight w:val="151"/>
        </w:trPr>
        <w:tc>
          <w:tcPr>
            <w:tcW w:w="1680" w:type="dxa"/>
            <w:vAlign w:val="bottom"/>
            <w:tcBorders>
              <w:bottom w:val="single" w:sz="8" w:color="0000EE"/>
            </w:tcBorders>
            <w:gridSpan w:val="8"/>
          </w:tcPr>
          <w:p>
            <w:pPr>
              <w:spacing w:after="0" w:line="151" w:lineRule="exact"/>
              <w:rPr>
                <w:sz w:val="20"/>
                <w:szCs w:val="20"/>
                <w:color w:val="auto"/>
              </w:rPr>
            </w:pPr>
            <w:r>
              <w:rPr>
                <w:rFonts w:ascii="Times New Roman" w:cs="Times New Roman" w:eastAsia="Times New Roman" w:hAnsi="Times New Roman"/>
                <w:sz w:val="14"/>
                <w:szCs w:val="14"/>
                <w:color w:val="0000EE"/>
              </w:rPr>
              <w:t>SELLING STOCKHOLDER</w:t>
            </w:r>
          </w:p>
        </w:tc>
        <w:tc>
          <w:tcPr>
            <w:tcW w:w="5160" w:type="dxa"/>
            <w:vAlign w:val="bottom"/>
            <w:gridSpan w:val="6"/>
          </w:tcPr>
          <w:p>
            <w:pPr>
              <w:spacing w:after="0"/>
              <w:rPr>
                <w:sz w:val="13"/>
                <w:szCs w:val="13"/>
                <w:color w:val="auto"/>
              </w:rPr>
            </w:pP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10</w:t>
            </w:r>
          </w:p>
        </w:tc>
      </w:tr>
      <w:tr>
        <w:trPr>
          <w:trHeight w:val="151"/>
        </w:trPr>
        <w:tc>
          <w:tcPr>
            <w:tcW w:w="6840" w:type="dxa"/>
            <w:vAlign w:val="bottom"/>
            <w:gridSpan w:val="14"/>
          </w:tcPr>
          <w:p>
            <w:pPr>
              <w:spacing w:after="0" w:line="151" w:lineRule="exact"/>
              <w:rPr>
                <w:sz w:val="20"/>
                <w:szCs w:val="20"/>
                <w:color w:val="auto"/>
              </w:rPr>
            </w:pPr>
            <w:r>
              <w:rPr>
                <w:rFonts w:ascii="Times New Roman" w:cs="Times New Roman" w:eastAsia="Times New Roman" w:hAnsi="Times New Roman"/>
                <w:sz w:val="14"/>
                <w:szCs w:val="14"/>
                <w:color w:val="0000EE"/>
              </w:rPr>
              <w:t>PLAN OF DISTRIBUTION</w:t>
            </w: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12</w:t>
            </w:r>
          </w:p>
        </w:tc>
      </w:tr>
      <w:tr>
        <w:trPr>
          <w:trHeight w:val="20"/>
        </w:trPr>
        <w:tc>
          <w:tcPr>
            <w:tcW w:w="620" w:type="dxa"/>
            <w:vAlign w:val="bottom"/>
            <w:shd w:val="clear" w:color="auto" w:fill="0000EE"/>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51"/>
        </w:trPr>
        <w:tc>
          <w:tcPr>
            <w:tcW w:w="2280" w:type="dxa"/>
            <w:vAlign w:val="bottom"/>
            <w:tcBorders>
              <w:bottom w:val="single" w:sz="8" w:color="0000EE"/>
            </w:tcBorders>
            <w:gridSpan w:val="10"/>
          </w:tcPr>
          <w:p>
            <w:pPr>
              <w:spacing w:after="0" w:line="151" w:lineRule="exact"/>
              <w:rPr>
                <w:sz w:val="20"/>
                <w:szCs w:val="20"/>
                <w:color w:val="auto"/>
              </w:rPr>
            </w:pPr>
            <w:r>
              <w:rPr>
                <w:rFonts w:ascii="Times New Roman" w:cs="Times New Roman" w:eastAsia="Times New Roman" w:hAnsi="Times New Roman"/>
                <w:sz w:val="14"/>
                <w:szCs w:val="14"/>
                <w:color w:val="0000EE"/>
              </w:rPr>
              <w:t>DESCRIPTION OF CAPITAL STOCK</w:t>
            </w:r>
          </w:p>
        </w:tc>
        <w:tc>
          <w:tcPr>
            <w:tcW w:w="4560" w:type="dxa"/>
            <w:vAlign w:val="bottom"/>
            <w:gridSpan w:val="4"/>
          </w:tcPr>
          <w:p>
            <w:pPr>
              <w:spacing w:after="0"/>
              <w:rPr>
                <w:sz w:val="13"/>
                <w:szCs w:val="13"/>
                <w:color w:val="auto"/>
              </w:rPr>
            </w:pP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15</w:t>
            </w:r>
          </w:p>
        </w:tc>
      </w:tr>
      <w:tr>
        <w:trPr>
          <w:trHeight w:val="151"/>
        </w:trPr>
        <w:tc>
          <w:tcPr>
            <w:tcW w:w="1160" w:type="dxa"/>
            <w:vAlign w:val="bottom"/>
            <w:tcBorders>
              <w:bottom w:val="single" w:sz="8" w:color="0000EE"/>
            </w:tcBorders>
            <w:gridSpan w:val="4"/>
          </w:tcPr>
          <w:p>
            <w:pPr>
              <w:spacing w:after="0" w:line="151" w:lineRule="exact"/>
              <w:rPr>
                <w:sz w:val="20"/>
                <w:szCs w:val="20"/>
                <w:color w:val="auto"/>
              </w:rPr>
            </w:pPr>
            <w:r>
              <w:rPr>
                <w:rFonts w:ascii="Times New Roman" w:cs="Times New Roman" w:eastAsia="Times New Roman" w:hAnsi="Times New Roman"/>
                <w:sz w:val="14"/>
                <w:szCs w:val="14"/>
                <w:color w:val="0000EE"/>
                <w:w w:val="99"/>
              </w:rPr>
              <w:t>LEGAL MATTERS</w:t>
            </w:r>
          </w:p>
        </w:tc>
        <w:tc>
          <w:tcPr>
            <w:tcW w:w="5680" w:type="dxa"/>
            <w:vAlign w:val="bottom"/>
            <w:gridSpan w:val="10"/>
          </w:tcPr>
          <w:p>
            <w:pPr>
              <w:spacing w:after="0"/>
              <w:rPr>
                <w:sz w:val="13"/>
                <w:szCs w:val="13"/>
                <w:color w:val="auto"/>
              </w:rPr>
            </w:pP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19</w:t>
            </w:r>
          </w:p>
        </w:tc>
      </w:tr>
      <w:tr>
        <w:trPr>
          <w:trHeight w:val="151"/>
        </w:trPr>
        <w:tc>
          <w:tcPr>
            <w:tcW w:w="620" w:type="dxa"/>
            <w:vAlign w:val="bottom"/>
            <w:tcBorders>
              <w:bottom w:val="single" w:sz="8" w:color="0000EE"/>
            </w:tcBorders>
          </w:tcPr>
          <w:p>
            <w:pPr>
              <w:spacing w:after="0" w:line="151" w:lineRule="exact"/>
              <w:rPr>
                <w:sz w:val="20"/>
                <w:szCs w:val="20"/>
                <w:color w:val="auto"/>
              </w:rPr>
            </w:pPr>
            <w:r>
              <w:rPr>
                <w:rFonts w:ascii="Times New Roman" w:cs="Times New Roman" w:eastAsia="Times New Roman" w:hAnsi="Times New Roman"/>
                <w:sz w:val="14"/>
                <w:szCs w:val="14"/>
                <w:color w:val="0000EE"/>
                <w:w w:val="98"/>
              </w:rPr>
              <w:t>EXPERTS</w:t>
            </w:r>
          </w:p>
        </w:tc>
        <w:tc>
          <w:tcPr>
            <w:tcW w:w="6220" w:type="dxa"/>
            <w:vAlign w:val="bottom"/>
            <w:gridSpan w:val="13"/>
          </w:tcPr>
          <w:p>
            <w:pPr>
              <w:spacing w:after="0"/>
              <w:rPr>
                <w:sz w:val="13"/>
                <w:szCs w:val="13"/>
                <w:color w:val="auto"/>
              </w:rPr>
            </w:pP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19</w:t>
            </w:r>
          </w:p>
        </w:tc>
      </w:tr>
      <w:tr>
        <w:trPr>
          <w:trHeight w:val="151"/>
        </w:trPr>
        <w:tc>
          <w:tcPr>
            <w:tcW w:w="6840" w:type="dxa"/>
            <w:vAlign w:val="bottom"/>
            <w:gridSpan w:val="14"/>
          </w:tcPr>
          <w:p>
            <w:pPr>
              <w:spacing w:after="0" w:line="151"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20</w:t>
            </w:r>
          </w:p>
        </w:tc>
      </w:tr>
      <w:tr>
        <w:trPr>
          <w:trHeight w:val="20"/>
        </w:trPr>
        <w:tc>
          <w:tcPr>
            <w:tcW w:w="3020" w:type="dxa"/>
            <w:vAlign w:val="bottom"/>
            <w:gridSpan w:val="11"/>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51"/>
        </w:trPr>
        <w:tc>
          <w:tcPr>
            <w:tcW w:w="6840" w:type="dxa"/>
            <w:vAlign w:val="bottom"/>
            <w:gridSpan w:val="14"/>
          </w:tcPr>
          <w:p>
            <w:pPr>
              <w:spacing w:after="0" w:line="151"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18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20</w:t>
            </w:r>
          </w:p>
        </w:tc>
      </w:tr>
      <w:tr>
        <w:trPr>
          <w:trHeight w:val="20"/>
        </w:trPr>
        <w:tc>
          <w:tcPr>
            <w:tcW w:w="6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12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4"/>
          <w:szCs w:val="14"/>
          <w:color w:val="auto"/>
        </w:rPr>
        <w:t>i</w:t>
      </w:r>
    </w:p>
    <w:p>
      <w:pPr>
        <w:sectPr>
          <w:pgSz w:w="11900" w:h="16838" w:orient="portrait"/>
          <w:cols w:equalWidth="0" w:num="1">
            <w:col w:w="10159"/>
          </w:cols>
          <w:pgMar w:left="300" w:top="39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ABOUT THIS PROSPECTUS</w:t>
      </w:r>
    </w:p>
    <w:p>
      <w:pPr>
        <w:spacing w:after="0" w:line="183" w:lineRule="exact"/>
        <w:rPr>
          <w:sz w:val="20"/>
          <w:szCs w:val="20"/>
          <w:color w:val="auto"/>
        </w:rPr>
      </w:pPr>
    </w:p>
    <w:p>
      <w:pPr>
        <w:ind w:left="1280" w:right="239" w:firstLine="349"/>
        <w:spacing w:after="0" w:line="260"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We have not, and the selling stockholder has not, authorized anyone else to provide you with different or additional information from that contained in this prospectus. We take no responsibility for, and can provide no assurance as to the reliability of, any information that others may give. The selling stockholder is offering to sell, and seeking offers to buy, shares of our common stock only in jurisdictions where offers and sales are permitted. You should assume that the information appearing in this prospectus is accurate only as of the date on the front cover of this prospectus, regardless of the time of delivery of this prospectus or of any sale of common stock. Our business, financial condition, results of operations and prospects may have changed since such date. The terms “Biodesix,” the “Company,” “our,” “us” and “we,” as used in this prospectus, refer to Biodesix, Inc., unless we state otherwise or the context indicates otherwise.</w:t>
      </w:r>
    </w:p>
    <w:p>
      <w:pPr>
        <w:spacing w:after="0" w:line="147" w:lineRule="exact"/>
        <w:rPr>
          <w:sz w:val="20"/>
          <w:szCs w:val="20"/>
          <w:color w:val="auto"/>
        </w:rPr>
      </w:pPr>
    </w:p>
    <w:p>
      <w:pPr>
        <w:ind w:left="1280" w:right="319" w:firstLine="349"/>
        <w:spacing w:after="0" w:line="272" w:lineRule="auto"/>
        <w:rPr>
          <w:sz w:val="20"/>
          <w:szCs w:val="20"/>
          <w:color w:val="auto"/>
        </w:rPr>
      </w:pPr>
      <w:r>
        <w:rPr>
          <w:rFonts w:ascii="Times New Roman" w:cs="Times New Roman" w:eastAsia="Times New Roman" w:hAnsi="Times New Roman"/>
          <w:sz w:val="14"/>
          <w:szCs w:val="14"/>
          <w:color w:val="auto"/>
        </w:rPr>
        <w:t>This prospectus and the information incorporated herein by reference include trademarks, service marks and trade names owned by us or other companies. All trademarks, service marks and trade names included or incorporated by reference in this prospectus are the property of their respective owners.</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10159"/>
          </w:cols>
          <w:pgMar w:left="300" w:top="390"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170180</wp:posOffset>
            </wp:positionV>
            <wp:extent cx="5544820" cy="48183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544820" cy="4818380"/>
                    </a:xfrm>
                    <a:prstGeom prst="rect">
                      <a:avLst/>
                    </a:prstGeom>
                    <a:noFill/>
                  </pic:spPr>
                </pic:pic>
              </a:graphicData>
            </a:graphic>
          </wp:anchor>
        </w:drawing>
      </w:r>
    </w:p>
    <w:p>
      <w:pPr>
        <w:spacing w:after="0" w:line="37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81" w:lineRule="exact"/>
        <w:rPr>
          <w:sz w:val="20"/>
          <w:szCs w:val="20"/>
          <w:color w:val="auto"/>
        </w:rPr>
      </w:pPr>
    </w:p>
    <w:p>
      <w:pPr>
        <w:ind w:left="1420" w:right="419"/>
        <w:spacing w:after="0" w:line="262" w:lineRule="auto"/>
        <w:rPr>
          <w:sz w:val="20"/>
          <w:szCs w:val="20"/>
          <w:color w:val="auto"/>
        </w:rPr>
      </w:pPr>
      <w:r>
        <w:rPr>
          <w:rFonts w:ascii="Times New Roman" w:cs="Times New Roman" w:eastAsia="Times New Roman" w:hAnsi="Times New Roman"/>
          <w:sz w:val="14"/>
          <w:szCs w:val="14"/>
          <w:i w:val="1"/>
          <w:iCs w:val="1"/>
          <w:color w:val="auto"/>
        </w:rPr>
        <w:t>The following summary highlights information contained elsewhere in this prospectus. This summary is not complete and does not contain all of the information that you need to consider before making an investment decision. For a more complete understanding of our company, you should read and consider carefully the more detailed information included or incorporated by reference in this prospectus and any applicable prospectus supplement, including the factors described under the heading “Risk Factors” of this prospectus, as well as the information incorporated by reference from our most recent Annual Report on Form 10-K and our most recent Quarterly Report on Form 10-Q, before making an investment decision.</w:t>
      </w:r>
    </w:p>
    <w:p>
      <w:pPr>
        <w:spacing w:after="0" w:line="14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Overview of the Company</w:t>
      </w:r>
    </w:p>
    <w:p>
      <w:pPr>
        <w:spacing w:after="0" w:line="98" w:lineRule="exact"/>
        <w:rPr>
          <w:sz w:val="20"/>
          <w:szCs w:val="20"/>
          <w:color w:val="auto"/>
        </w:rPr>
      </w:pPr>
    </w:p>
    <w:p>
      <w:pPr>
        <w:ind w:left="1420" w:right="359" w:firstLine="337"/>
        <w:spacing w:after="0" w:line="263" w:lineRule="auto"/>
        <w:rPr>
          <w:sz w:val="20"/>
          <w:szCs w:val="20"/>
          <w:color w:val="auto"/>
        </w:rPr>
      </w:pPr>
      <w:r>
        <w:rPr>
          <w:rFonts w:ascii="Times New Roman" w:cs="Times New Roman" w:eastAsia="Times New Roman" w:hAnsi="Times New Roman"/>
          <w:sz w:val="14"/>
          <w:szCs w:val="14"/>
          <w:color w:val="auto"/>
        </w:rPr>
        <w:t>We are a leading diagnostic solutions company, driven to improve clinical care and outcomes for patients. The Company develops diagnostic tests using a multi-omic approach to harness the strengths of different technologies that are best suited to address important clinical questions. 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spacing w:after="0" w:line="22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Diagnostic Tests</w:t>
      </w:r>
    </w:p>
    <w:p>
      <w:pPr>
        <w:spacing w:after="0" w:line="9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color w:val="auto"/>
        </w:rPr>
        <w:t>We offer five blood-based lung diagnostic tests for use across the lung cancer continuum of care:</w:t>
      </w:r>
    </w:p>
    <w:p>
      <w:pPr>
        <w:spacing w:after="0" w:line="265"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i w:val="1"/>
          <w:iCs w:val="1"/>
          <w:u w:val="single" w:color="auto"/>
          <w:color w:val="auto"/>
        </w:rPr>
        <w:t>Diagnosis – Nodule Management</w:t>
      </w:r>
    </w:p>
    <w:p>
      <w:pPr>
        <w:spacing w:after="0" w:line="106" w:lineRule="exact"/>
        <w:rPr>
          <w:sz w:val="20"/>
          <w:szCs w:val="20"/>
          <w:color w:val="auto"/>
        </w:rPr>
      </w:pPr>
    </w:p>
    <w:p>
      <w:pPr>
        <w:ind w:left="2160" w:right="319" w:hanging="316"/>
        <w:spacing w:after="0" w:line="244" w:lineRule="auto"/>
        <w:tabs>
          <w:tab w:leader="none" w:pos="21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Nodify CDT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Nodify XL2</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tests, marketed as Nodify Lung</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Nodule Risk Assessment, assess a suspicious lung nodule’s risk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the only company to offer two commercial blood-based tests to help physicians reclassify risk of malignancy in patients with suspicious lung nodules.</w:t>
      </w:r>
    </w:p>
    <w:p>
      <w:pPr>
        <w:spacing w:after="0" w:line="24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i w:val="1"/>
          <w:iCs w:val="1"/>
          <w:u w:val="single" w:color="auto"/>
          <w:color w:val="auto"/>
        </w:rPr>
        <w:t>Lung Cancer Treatment &amp; Monitoring</w:t>
      </w:r>
    </w:p>
    <w:p>
      <w:pPr>
        <w:spacing w:after="0" w:line="106" w:lineRule="exact"/>
        <w:rPr>
          <w:sz w:val="20"/>
          <w:szCs w:val="20"/>
          <w:color w:val="auto"/>
        </w:rPr>
      </w:pPr>
    </w:p>
    <w:p>
      <w:pPr>
        <w:ind w:left="2160" w:right="379" w:hanging="316"/>
        <w:spacing w:after="0" w:line="243" w:lineRule="auto"/>
        <w:tabs>
          <w:tab w:leader="none" w:pos="21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GeneStrat</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4"/>
          <w:szCs w:val="14"/>
          <w:i w:val="1"/>
          <w:iCs w:val="1"/>
          <w:color w:val="auto"/>
        </w:rPr>
        <w:t xml:space="preserve"> ddPCR, GeneStrat NGS</w:t>
      </w:r>
      <w:r>
        <w:rPr>
          <w:rFonts w:ascii="Times New Roman" w:cs="Times New Roman" w:eastAsia="Times New Roman" w:hAnsi="Times New Roman"/>
          <w:sz w:val="21"/>
          <w:szCs w:val="21"/>
          <w:i w:val="1"/>
          <w:iCs w:val="1"/>
          <w:color w:val="auto"/>
          <w:vertAlign w:val="superscript"/>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w:t>
      </w:r>
      <w:r>
        <w:rPr>
          <w:rFonts w:ascii="Times New Roman" w:cs="Times New Roman" w:eastAsia="Times New Roman" w:hAnsi="Times New Roman"/>
          <w:sz w:val="14"/>
          <w:szCs w:val="14"/>
          <w:i w:val="1"/>
          <w:iCs w:val="1"/>
          <w:color w:val="auto"/>
        </w:rPr>
        <w:t xml:space="preserve"> VeriStrat</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tests, marketed as part of our IQLung</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testing strategy, are used following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w:t>
      </w:r>
    </w:p>
    <w:p>
      <w:pPr>
        <w:spacing w:after="0" w:line="25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10159"/>
          </w:cols>
          <w:pgMar w:left="300" w:top="390"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170180</wp:posOffset>
            </wp:positionV>
            <wp:extent cx="5544820" cy="4695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544820" cy="4695825"/>
                    </a:xfrm>
                    <a:prstGeom prst="rect">
                      <a:avLst/>
                    </a:prstGeom>
                    <a:noFill/>
                  </pic:spPr>
                </pic:pic>
              </a:graphicData>
            </a:graphic>
          </wp:anchor>
        </w:drawing>
      </w:r>
    </w:p>
    <w:p>
      <w:pPr>
        <w:spacing w:after="0" w:line="377" w:lineRule="exact"/>
        <w:rPr>
          <w:sz w:val="20"/>
          <w:szCs w:val="20"/>
          <w:color w:val="auto"/>
        </w:rPr>
      </w:pPr>
    </w:p>
    <w:p>
      <w:pPr>
        <w:ind w:left="2180" w:right="319"/>
        <w:spacing w:after="0" w:line="290" w:lineRule="auto"/>
        <w:rPr>
          <w:sz w:val="20"/>
          <w:szCs w:val="20"/>
          <w:color w:val="auto"/>
        </w:rPr>
      </w:pPr>
      <w:r>
        <w:rPr>
          <w:rFonts w:ascii="Times New Roman" w:cs="Times New Roman" w:eastAsia="Times New Roman" w:hAnsi="Times New Roman"/>
          <w:sz w:val="14"/>
          <w:szCs w:val="14"/>
          <w:color w:val="auto"/>
        </w:rPr>
        <w:t>stage patients eligible for targeted therapy or clinical trial enrollment. The VeriStrat test is a blood-based proteomic test that provides a personalized view of each patient’s immune response to their lung cancer.</w:t>
      </w:r>
    </w:p>
    <w:p>
      <w:pPr>
        <w:spacing w:after="0" w:line="208"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4"/>
          <w:szCs w:val="14"/>
          <w:b w:val="1"/>
          <w:bCs w:val="1"/>
          <w:color w:val="auto"/>
        </w:rPr>
        <w:t>Development Services</w:t>
      </w:r>
    </w:p>
    <w:p>
      <w:pPr>
        <w:spacing w:after="0" w:line="98" w:lineRule="exact"/>
        <w:rPr>
          <w:sz w:val="20"/>
          <w:szCs w:val="20"/>
          <w:color w:val="auto"/>
        </w:rPr>
      </w:pPr>
    </w:p>
    <w:p>
      <w:pPr>
        <w:ind w:left="1420" w:right="399" w:firstLine="337"/>
        <w:spacing w:after="0" w:line="266" w:lineRule="auto"/>
        <w:rPr>
          <w:sz w:val="20"/>
          <w:szCs w:val="20"/>
          <w:color w:val="auto"/>
        </w:rPr>
      </w:pPr>
      <w:r>
        <w:rPr>
          <w:rFonts w:ascii="Times New Roman" w:cs="Times New Roman" w:eastAsia="Times New Roman" w:hAnsi="Times New Roman"/>
          <w:sz w:val="14"/>
          <w:szCs w:val="14"/>
          <w:color w:val="auto"/>
        </w:rPr>
        <w:t>Biodesix Development Services enable the world’s leading biopharmaceutical, life sciences, and research institutions with scientific, technological, and operational capabilities that fuel the development of diagnostic tests, tools, and therapeutics. We provide development services to enable therapeutic clinical trials, the validation of life sciences tools and diagnostics, and the discovery, development, and commercialization of diagnostics. Biodesix Development Services have been utilized by over 65 industry clients and academic partners.</w:t>
      </w:r>
    </w:p>
    <w:p>
      <w:pPr>
        <w:spacing w:after="0" w:line="141" w:lineRule="exact"/>
        <w:rPr>
          <w:sz w:val="20"/>
          <w:szCs w:val="20"/>
          <w:color w:val="auto"/>
        </w:rPr>
      </w:pPr>
    </w:p>
    <w:p>
      <w:pPr>
        <w:jc w:val="both"/>
        <w:ind w:left="1420" w:right="639" w:firstLine="337"/>
        <w:spacing w:after="0" w:line="272" w:lineRule="auto"/>
        <w:rPr>
          <w:sz w:val="20"/>
          <w:szCs w:val="20"/>
          <w:color w:val="auto"/>
        </w:rPr>
      </w:pPr>
      <w:r>
        <w:rPr>
          <w:rFonts w:ascii="Times New Roman" w:cs="Times New Roman" w:eastAsia="Times New Roman" w:hAnsi="Times New Roman"/>
          <w:sz w:val="14"/>
          <w:szCs w:val="14"/>
          <w:color w:val="auto"/>
        </w:rPr>
        <w:t>We continuously revisit our technology strategy and roadmap to integrate new technologies into our evolving offering, which ultimately support the addition of new service and product revenue offerings. We believe that no single technology can interrogate the complexity of the human disease state to help solve all clinical questions. For that reason, we employ a multi-omic approach to solving diagnostic challenges.</w:t>
      </w:r>
    </w:p>
    <w:p>
      <w:pPr>
        <w:spacing w:after="0" w:line="137" w:lineRule="exact"/>
        <w:rPr>
          <w:sz w:val="20"/>
          <w:szCs w:val="20"/>
          <w:color w:val="auto"/>
        </w:rPr>
      </w:pPr>
    </w:p>
    <w:p>
      <w:pPr>
        <w:ind w:left="1420" w:right="559" w:firstLine="337"/>
        <w:spacing w:after="0" w:line="272" w:lineRule="auto"/>
        <w:rPr>
          <w:sz w:val="20"/>
          <w:szCs w:val="20"/>
          <w:color w:val="auto"/>
        </w:rPr>
      </w:pPr>
      <w:r>
        <w:rPr>
          <w:rFonts w:ascii="Times New Roman" w:cs="Times New Roman" w:eastAsia="Times New Roman" w:hAnsi="Times New Roman"/>
          <w:sz w:val="14"/>
          <w:szCs w:val="14"/>
          <w:color w:val="auto"/>
        </w:rPr>
        <w:t>We offer end-to-end diagnostic solutions, including translational research, initial biomarker discovery, assay design, development, and validation, testing of clinical trial samples, regulatory, reimbursement, commercialization, and logistical support services. We offer our existing on-market tests, a suite of other research tests and the capability to custom design and develop novel tests for use by our customers.</w:t>
      </w:r>
    </w:p>
    <w:p>
      <w:pPr>
        <w:spacing w:after="0" w:line="137" w:lineRule="exact"/>
        <w:rPr>
          <w:sz w:val="20"/>
          <w:szCs w:val="20"/>
          <w:color w:val="auto"/>
        </w:rPr>
      </w:pPr>
    </w:p>
    <w:p>
      <w:pPr>
        <w:ind w:left="1420" w:right="339" w:firstLine="337"/>
        <w:spacing w:after="0" w:line="272" w:lineRule="auto"/>
        <w:rPr>
          <w:sz w:val="20"/>
          <w:szCs w:val="20"/>
          <w:color w:val="auto"/>
        </w:rPr>
      </w:pPr>
      <w:r>
        <w:rPr>
          <w:rFonts w:ascii="Times New Roman" w:cs="Times New Roman" w:eastAsia="Times New Roman" w:hAnsi="Times New Roman"/>
          <w:sz w:val="14"/>
          <w:szCs w:val="14"/>
          <w:color w:val="auto"/>
        </w:rPr>
        <w:t>While our Development Services revenue continues to grow, it is important to note that we benefit from these partnerships in ways that expand beyond revenue. We are continuously expanding our knowledge and biological understanding of multiple diseases and the rapidly evolving treatment and regulatory approval landscape.</w:t>
      </w:r>
    </w:p>
    <w:p>
      <w:pPr>
        <w:spacing w:after="0" w:line="22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Implications of Being a Smaller Reporting Company</w:t>
      </w:r>
    </w:p>
    <w:p>
      <w:pPr>
        <w:spacing w:after="0" w:line="98" w:lineRule="exact"/>
        <w:rPr>
          <w:sz w:val="20"/>
          <w:szCs w:val="20"/>
          <w:color w:val="auto"/>
        </w:rPr>
      </w:pPr>
    </w:p>
    <w:p>
      <w:pPr>
        <w:ind w:left="1420" w:right="359" w:firstLine="337"/>
        <w:spacing w:after="0" w:line="263" w:lineRule="auto"/>
        <w:rPr>
          <w:sz w:val="20"/>
          <w:szCs w:val="20"/>
          <w:color w:val="auto"/>
        </w:rPr>
      </w:pPr>
      <w:r>
        <w:rPr>
          <w:rFonts w:ascii="Times New Roman" w:cs="Times New Roman" w:eastAsia="Times New Roman" w:hAnsi="Times New Roman"/>
          <w:sz w:val="14"/>
          <w:szCs w:val="14"/>
          <w:color w:val="auto"/>
        </w:rPr>
        <w:t>We are a “smaller reporting company” as defined in the Securities Exchange Act of 1934, as amended (the “Exchange Act”). We will be able to take advantage of the scaled disclosures available to smaller reporting companies for so long as our voting and non-voting common stock held by nonaffiliates is less than $250.00 million measured on the last business day of our second fiscal quarter, or our annual revenue is less than $100.00 million during the most recently completed fiscal year and our voting and non-voting common stock held by nonaffiliates is less than $700.00 million measured on the last business day of our second fiscal quarter.</w:t>
      </w:r>
    </w:p>
    <w:p>
      <w:pPr>
        <w:spacing w:after="0" w:line="14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Our Corporate Information</w:t>
      </w:r>
    </w:p>
    <w:p>
      <w:pPr>
        <w:spacing w:after="0" w:line="98" w:lineRule="exact"/>
        <w:rPr>
          <w:sz w:val="20"/>
          <w:szCs w:val="20"/>
          <w:color w:val="auto"/>
        </w:rPr>
      </w:pPr>
    </w:p>
    <w:p>
      <w:pPr>
        <w:ind w:left="1420" w:right="479" w:firstLine="337"/>
        <w:spacing w:after="0" w:line="290" w:lineRule="auto"/>
        <w:rPr>
          <w:sz w:val="20"/>
          <w:szCs w:val="20"/>
          <w:color w:val="auto"/>
        </w:rPr>
      </w:pPr>
      <w:r>
        <w:rPr>
          <w:rFonts w:ascii="Times New Roman" w:cs="Times New Roman" w:eastAsia="Times New Roman" w:hAnsi="Times New Roman"/>
          <w:sz w:val="14"/>
          <w:szCs w:val="14"/>
          <w:color w:val="auto"/>
        </w:rPr>
        <w:t>We were incorporated in Delaware in 2005 as Elston Technologies, Inc. Our principal executive offices are located at 919 West Dillon Rd., Louisville, Colorado 80027, and our telephone number is (303) 417-0500. On June 20, 2006, we changed our name to Biodesix, Inc.</w:t>
      </w:r>
    </w:p>
    <w:p>
      <w:pPr>
        <w:spacing w:after="0" w:line="124" w:lineRule="exact"/>
        <w:rPr>
          <w:sz w:val="20"/>
          <w:szCs w:val="20"/>
          <w:color w:val="auto"/>
        </w:rPr>
      </w:pPr>
    </w:p>
    <w:p>
      <w:pPr>
        <w:jc w:val="both"/>
        <w:ind w:left="1420" w:right="459" w:firstLine="337"/>
        <w:spacing w:after="0" w:line="272" w:lineRule="auto"/>
        <w:rPr>
          <w:sz w:val="20"/>
          <w:szCs w:val="20"/>
          <w:color w:val="auto"/>
        </w:rPr>
      </w:pPr>
      <w:r>
        <w:rPr>
          <w:rFonts w:ascii="Times New Roman" w:cs="Times New Roman" w:eastAsia="Times New Roman" w:hAnsi="Times New Roman"/>
          <w:sz w:val="14"/>
          <w:szCs w:val="14"/>
          <w:color w:val="auto"/>
        </w:rPr>
        <w:t>Our website address is www.biodesix.com. Information contained on, or accessible from, or hyperlinked to, our website is not incorporated by reference into this prospectus, and you should not consider information on our website to be part of this prospectus, or in deciding whether to purchase our securities.</w:t>
      </w:r>
    </w:p>
    <w:p>
      <w:pPr>
        <w:spacing w:after="0" w:line="137" w:lineRule="exact"/>
        <w:rPr>
          <w:sz w:val="20"/>
          <w:szCs w:val="20"/>
          <w:color w:val="auto"/>
        </w:rPr>
      </w:pPr>
    </w:p>
    <w:p>
      <w:pPr>
        <w:ind w:left="1420" w:right="319" w:firstLine="337"/>
        <w:spacing w:after="0" w:line="272" w:lineRule="auto"/>
        <w:rPr>
          <w:sz w:val="20"/>
          <w:szCs w:val="20"/>
          <w:color w:val="auto"/>
        </w:rPr>
      </w:pPr>
      <w:r>
        <w:rPr>
          <w:rFonts w:ascii="Times New Roman" w:cs="Times New Roman" w:eastAsia="Times New Roman" w:hAnsi="Times New Roman"/>
          <w:sz w:val="14"/>
          <w:szCs w:val="14"/>
          <w:color w:val="auto"/>
        </w:rPr>
        <w:t>Our filings with the SEC are posted on our website at www.biodesix.com. Other than the specifically incorporated SEC filings, the information found on or accessible through our website is not part of this or any other report we file with or furnish to the SEC. The public can also obtain copies of these filings by accessing the SEC’s website at http://www.sec.gov.</w:t>
      </w:r>
    </w:p>
    <w:p>
      <w:pPr>
        <w:spacing w:after="0" w:line="23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10159"/>
          </w:cols>
          <w:pgMar w:left="300" w:top="390"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815340</wp:posOffset>
            </wp:positionH>
            <wp:positionV relativeFrom="paragraph">
              <wp:posOffset>170180</wp:posOffset>
            </wp:positionV>
            <wp:extent cx="5544820" cy="10039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544820" cy="1003935"/>
                    </a:xfrm>
                    <a:prstGeom prst="rect">
                      <a:avLst/>
                    </a:prstGeom>
                    <a:noFill/>
                  </pic:spPr>
                </pic:pic>
              </a:graphicData>
            </a:graphic>
          </wp:anchor>
        </w:drawing>
      </w:r>
    </w:p>
    <w:p>
      <w:pPr>
        <w:spacing w:after="0" w:line="375"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b w:val="1"/>
          <w:bCs w:val="1"/>
          <w:color w:val="auto"/>
        </w:rPr>
        <w:t>Perceptive Warrants</w:t>
      </w:r>
    </w:p>
    <w:p>
      <w:pPr>
        <w:spacing w:after="0" w:line="98" w:lineRule="exact"/>
        <w:rPr>
          <w:sz w:val="20"/>
          <w:szCs w:val="20"/>
          <w:color w:val="auto"/>
        </w:rPr>
      </w:pPr>
    </w:p>
    <w:p>
      <w:pPr>
        <w:ind w:left="1420" w:right="319" w:firstLine="337"/>
        <w:spacing w:after="0" w:line="262" w:lineRule="auto"/>
        <w:rPr>
          <w:sz w:val="20"/>
          <w:szCs w:val="20"/>
          <w:color w:val="auto"/>
        </w:rPr>
      </w:pPr>
      <w:r>
        <w:rPr>
          <w:rFonts w:ascii="Times New Roman" w:cs="Times New Roman" w:eastAsia="Times New Roman" w:hAnsi="Times New Roman"/>
          <w:sz w:val="14"/>
          <w:szCs w:val="14"/>
          <w:color w:val="auto"/>
        </w:rPr>
        <w:t>On November 21, 2022, as consideration for the Credit Agreement, the Company issued Perceptive a warrant to purchase up to 250,000 shares of the Company’s common stock. On May 10, 2023, as consideration for the First Amendment to the Credit Agreement, the Company issued Perceptive a warrant to purchase up to 25,000 shares of the Company’s common stock. On February 25, 2026, as consideration for the Sixth Amendment to the Credit Agreement, the Company issued Perceptive a warrant to purchase up to 100,000 shares of the Company’s common stock. In connection with the warrant issued on February 25, 2026, the Company agreed to file, within 90 days of such issuance, a registration statement on Form S-3 covering the resale of all outstanding Perceptive warrants.</w:t>
      </w:r>
    </w:p>
    <w:p>
      <w:pPr>
        <w:spacing w:after="0" w:line="239"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10159"/>
          </w:cols>
          <w:pgMar w:left="300" w:top="39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500" w:hanging="62"/>
        <w:spacing w:after="0" w:line="290" w:lineRule="auto"/>
        <w:rPr>
          <w:sz w:val="20"/>
          <w:szCs w:val="20"/>
          <w:color w:val="auto"/>
        </w:rPr>
      </w:pPr>
      <w:r>
        <w:rPr>
          <w:rFonts w:ascii="Times New Roman" w:cs="Times New Roman" w:eastAsia="Times New Roman" w:hAnsi="Times New Roman"/>
          <w:sz w:val="14"/>
          <w:szCs w:val="14"/>
          <w:color w:val="auto"/>
        </w:rPr>
        <w:t>Shares of common stock that may be offered by the selling stockholders</w:t>
      </w:r>
    </w:p>
    <w:p>
      <w:pPr>
        <w:spacing w:after="0" w:line="15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Terms of the offering</w:t>
      </w:r>
    </w:p>
    <w:p>
      <w:pPr>
        <w:spacing w:after="0" w:line="37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4"/>
          <w:szCs w:val="14"/>
          <w:color w:val="auto"/>
        </w:rPr>
        <w:t>NASDAQ Global Market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-2941955</wp:posOffset>
            </wp:positionH>
            <wp:positionV relativeFrom="paragraph">
              <wp:posOffset>-613410</wp:posOffset>
            </wp:positionV>
            <wp:extent cx="719963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9630" cy="33020"/>
                    </a:xfrm>
                    <a:prstGeom prst="rect">
                      <a:avLst/>
                    </a:prstGeom>
                    <a:noFill/>
                  </pic:spPr>
                </pic:pic>
              </a:graphicData>
            </a:graphic>
          </wp:anchor>
        </w:drawing>
        <w:drawing>
          <wp:anchor simplePos="0" relativeHeight="251657728" behindDoc="1" locked="0" layoutInCell="0" allowOverlap="1">
            <wp:simplePos x="0" y="0"/>
            <wp:positionH relativeFrom="column">
              <wp:posOffset>-2117725</wp:posOffset>
            </wp:positionH>
            <wp:positionV relativeFrom="paragraph">
              <wp:posOffset>-182245</wp:posOffset>
            </wp:positionV>
            <wp:extent cx="5544820" cy="2442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544820" cy="244284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Up to 375,000 shares of our common stock.</w:t>
      </w:r>
    </w:p>
    <w:p>
      <w:pPr>
        <w:spacing w:after="0" w:line="384" w:lineRule="exact"/>
        <w:rPr>
          <w:sz w:val="20"/>
          <w:szCs w:val="20"/>
          <w:color w:val="auto"/>
        </w:rPr>
      </w:pPr>
    </w:p>
    <w:p>
      <w:pPr>
        <w:ind w:right="479"/>
        <w:spacing w:after="0" w:line="290" w:lineRule="auto"/>
        <w:rPr>
          <w:sz w:val="20"/>
          <w:szCs w:val="20"/>
          <w:color w:val="auto"/>
        </w:rPr>
      </w:pPr>
      <w:r>
        <w:rPr>
          <w:rFonts w:ascii="Times New Roman" w:cs="Times New Roman" w:eastAsia="Times New Roman" w:hAnsi="Times New Roman"/>
          <w:sz w:val="14"/>
          <w:szCs w:val="14"/>
          <w:color w:val="auto"/>
        </w:rPr>
        <w:t>The selling stockholder will determine when and how they will sell the Shares offered in this prospectus, as described in the “Plan of Distribution.”</w:t>
      </w:r>
    </w:p>
    <w:p>
      <w:pPr>
        <w:spacing w:after="0" w:line="145" w:lineRule="exact"/>
        <w:rPr>
          <w:sz w:val="20"/>
          <w:szCs w:val="20"/>
          <w:color w:val="auto"/>
        </w:rPr>
      </w:pPr>
    </w:p>
    <w:p>
      <w:pPr>
        <w:ind w:right="339"/>
        <w:spacing w:after="0" w:line="263"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by the selling stockholder in this offering. See “Use of Proceeds.” To the extent the Warrant Certificates are exercised on a cash basis, if at all, we will receive proceeds from the exercise of the Warrant Certificates. We currently intend to use these proceeds, if any, for working capital and general corporate purposes. See “Use of Proceeds” in this prospectus for more information.</w:t>
      </w:r>
    </w:p>
    <w:p>
      <w:pPr>
        <w:spacing w:after="0" w:line="165" w:lineRule="exact"/>
        <w:rPr>
          <w:sz w:val="20"/>
          <w:szCs w:val="20"/>
          <w:color w:val="auto"/>
        </w:rPr>
      </w:pPr>
    </w:p>
    <w:p>
      <w:pPr>
        <w:ind w:right="319"/>
        <w:spacing w:after="0" w:line="266" w:lineRule="auto"/>
        <w:rPr>
          <w:sz w:val="20"/>
          <w:szCs w:val="20"/>
          <w:color w:val="auto"/>
        </w:rPr>
      </w:pPr>
      <w:r>
        <w:rPr>
          <w:rFonts w:ascii="Times New Roman" w:cs="Times New Roman" w:eastAsia="Times New Roman" w:hAnsi="Times New Roman"/>
          <w:sz w:val="14"/>
          <w:szCs w:val="14"/>
          <w:color w:val="auto"/>
        </w:rPr>
        <w:t>See “Risk Factors” in this prospectus and the other information included in, or incorporated by reference into, this prospectus or any prospectus supplement for a discussion of certain factors you should carefully consider before deciding to invest in shares of our common stock.</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“BDSX”</w:t>
      </w:r>
    </w:p>
    <w:p>
      <w:pPr>
        <w:spacing w:after="0" w:line="200" w:lineRule="exact"/>
        <w:rPr>
          <w:sz w:val="20"/>
          <w:szCs w:val="20"/>
          <w:color w:val="auto"/>
        </w:rPr>
      </w:pPr>
    </w:p>
    <w:p>
      <w:pPr>
        <w:sectPr>
          <w:pgSz w:w="11900" w:h="16838" w:orient="portrait"/>
          <w:cols w:equalWidth="0" w:num="2">
            <w:col w:w="4360" w:space="260"/>
            <w:col w:w="5539"/>
          </w:cols>
          <w:pgMar w:left="300" w:top="390" w:right="1440" w:bottom="1440" w:gutter="0" w:footer="0" w:header="0"/>
        </w:sectPr>
      </w:pPr>
    </w:p>
    <w:p>
      <w:pPr>
        <w:spacing w:after="0" w:line="88"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10159"/>
          </w:cols>
          <w:pgMar w:left="300" w:top="390" w:right="1440"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3" w:lineRule="exact"/>
        <w:rPr>
          <w:sz w:val="20"/>
          <w:szCs w:val="20"/>
          <w:color w:val="auto"/>
        </w:rPr>
      </w:pPr>
    </w:p>
    <w:p>
      <w:pPr>
        <w:ind w:left="1280" w:right="379" w:firstLine="349"/>
        <w:spacing w:after="0" w:line="263" w:lineRule="auto"/>
        <w:rPr>
          <w:sz w:val="20"/>
          <w:szCs w:val="20"/>
          <w:color w:val="auto"/>
        </w:rPr>
      </w:pPr>
      <w:r>
        <w:rPr>
          <w:rFonts w:ascii="Times New Roman" w:cs="Times New Roman" w:eastAsia="Times New Roman" w:hAnsi="Times New Roman"/>
          <w:sz w:val="14"/>
          <w:szCs w:val="14"/>
          <w:color w:val="auto"/>
        </w:rPr>
        <w:t>Investing in our common stock involves a high degree of risk. Before deciding whether to invest in our common stock, you should consider carefully the risks and uncertainties described under the section captioned “Risk Factors” contained in our most recent Annual Report on Form 10-K, our most recent Quarterly Report on Form 10-Q and other filings we make with the Securities and Exchange Commission (the “SEC”) from time to time, which are incorporated by reference herein in their entirety, together with the other information in this prospectus and in the documents incorporated by reference in this prospectus.</w:t>
      </w:r>
    </w:p>
    <w:p>
      <w:pPr>
        <w:spacing w:after="0" w:line="144" w:lineRule="exact"/>
        <w:rPr>
          <w:sz w:val="20"/>
          <w:szCs w:val="20"/>
          <w:color w:val="auto"/>
        </w:rPr>
      </w:pPr>
    </w:p>
    <w:p>
      <w:pPr>
        <w:ind w:left="1280" w:right="259" w:firstLine="349"/>
        <w:spacing w:after="0" w:line="263" w:lineRule="auto"/>
        <w:rPr>
          <w:sz w:val="20"/>
          <w:szCs w:val="20"/>
          <w:color w:val="auto"/>
        </w:rPr>
      </w:pPr>
      <w:r>
        <w:rPr>
          <w:rFonts w:ascii="Times New Roman" w:cs="Times New Roman" w:eastAsia="Times New Roman" w:hAnsi="Times New Roman"/>
          <w:sz w:val="14"/>
          <w:szCs w:val="14"/>
          <w:color w:val="auto"/>
        </w:rPr>
        <w:t>The risks described in our most recent Annual Report on Form 10-K, our most recent Quarterly Report on Form 10-Q and the other filings we make with the SEC incorporated by reference herein are not the only ones facing our company. Additional risks and uncertainties may also impair our business operations. If any of the risks described in our most recent Annual Report on Form 10-K, our most recent Quarterly Report on Form 10-Q and the other filings incorporated by reference herein occurs, our business, financial condition, results of operations and future growth prospects could be harmed. In these circumstances, the market price of our common stock could decline, and you may lose all or part of your investment.</w:t>
      </w:r>
    </w:p>
    <w:p>
      <w:pPr>
        <w:spacing w:after="0" w:line="313"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83" w:lineRule="exact"/>
        <w:rPr>
          <w:sz w:val="20"/>
          <w:szCs w:val="20"/>
          <w:color w:val="auto"/>
        </w:rPr>
      </w:pPr>
    </w:p>
    <w:p>
      <w:pPr>
        <w:ind w:left="1280" w:right="159" w:firstLine="349"/>
        <w:spacing w:after="0" w:line="260" w:lineRule="auto"/>
        <w:rPr>
          <w:sz w:val="20"/>
          <w:szCs w:val="20"/>
          <w:color w:val="auto"/>
        </w:rPr>
      </w:pPr>
      <w:r>
        <w:rPr>
          <w:rFonts w:ascii="Times New Roman" w:cs="Times New Roman" w:eastAsia="Times New Roman" w:hAnsi="Times New Roman"/>
          <w:sz w:val="14"/>
          <w:szCs w:val="14"/>
          <w:color w:val="auto"/>
        </w:rPr>
        <w:t>This prospectus includes and incorporates by reference “forward-looking statements” within the meaning of the U.S. Private Securities Litigation Reform Act of 1995 and releases issued by the SEC and within the meaning of Section 27A of the Securities Act of 1933, as amended (the “Securities Act”), and Section 21E of the Securities Exchange Act of 1934, as amended (the “Exchange Act”). All statements other than statements of historical fact are “forward-looking statements” for purposes of this prospectus. In some cases, you can identify forward-looking statements by terminology such as “may,” “could,” “will,” “would,” “should,” “expect,” “plan,” “anticipate,” “believe,” “estimate,” “intend,” “predict,” “seek,” “contemplate,” “project,” “continue,” “potential,” “ongoing,” “goal,” or the negative of these terms or other comparable terminology. These forward-looking statements include, but are not limited to, statements about:</w:t>
      </w:r>
    </w:p>
    <w:p>
      <w:pPr>
        <w:spacing w:after="0" w:line="73" w:lineRule="exact"/>
        <w:rPr>
          <w:sz w:val="20"/>
          <w:szCs w:val="20"/>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achieve or sustain profitability;</w:t>
      </w:r>
    </w:p>
    <w:p>
      <w:pPr>
        <w:spacing w:after="0" w:line="106" w:lineRule="exact"/>
        <w:rPr>
          <w:rFonts w:ascii="Times New Roman" w:cs="Times New Roman" w:eastAsia="Times New Roman" w:hAnsi="Times New Roman"/>
          <w:sz w:val="14"/>
          <w:szCs w:val="14"/>
          <w:color w:val="auto"/>
        </w:rPr>
      </w:pPr>
    </w:p>
    <w:p>
      <w:pPr>
        <w:ind w:left="2060" w:right="459" w:hanging="350"/>
        <w:spacing w:after="0" w:line="290"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attain significant market acceptance among payers, providers, clinics, patients, and biopharmaceutical companies for our diagnostic tests;</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managing our growth, which could disrupt our operations;</w:t>
      </w:r>
    </w:p>
    <w:p>
      <w:pPr>
        <w:spacing w:after="0" w:line="106" w:lineRule="exact"/>
        <w:rPr>
          <w:rFonts w:ascii="Times New Roman" w:cs="Times New Roman" w:eastAsia="Times New Roman" w:hAnsi="Times New Roman"/>
          <w:sz w:val="14"/>
          <w:szCs w:val="14"/>
          <w:color w:val="auto"/>
        </w:rPr>
      </w:pPr>
    </w:p>
    <w:p>
      <w:pPr>
        <w:ind w:left="2060" w:right="279" w:hanging="350"/>
        <w:spacing w:after="0" w:line="290"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retain sales and marketing personnel, and failure to increase our sales and marketing capabilities or develop broad awareness of our diagnostic tests to generate revenue growth</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maintain our current relationships, or enter into new relationships, with biopharmaceutical companies;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fluctuation in our operating results, causing our operating results to fall below expectations or any guidance we provide;</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performance and reliability to maintain and grow our business;</w:t>
      </w:r>
    </w:p>
    <w:p>
      <w:pPr>
        <w:spacing w:after="0" w:line="106" w:lineRule="exact"/>
        <w:rPr>
          <w:rFonts w:ascii="Times New Roman" w:cs="Times New Roman" w:eastAsia="Times New Roman" w:hAnsi="Times New Roman"/>
          <w:sz w:val="14"/>
          <w:szCs w:val="14"/>
          <w:color w:val="auto"/>
        </w:rPr>
      </w:pPr>
    </w:p>
    <w:p>
      <w:pPr>
        <w:ind w:left="2060" w:right="579" w:hanging="350"/>
        <w:spacing w:after="0" w:line="290" w:lineRule="auto"/>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suppliers, including courier services and single source suppliers, which make us vulnerable to supply problems and price fluctuations;</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 pandemic, epidemic, or outbreak of an infectious disease in the United States (U.S.) or worldwide;</w:t>
      </w:r>
    </w:p>
    <w:p>
      <w:pPr>
        <w:spacing w:after="0" w:line="106" w:lineRule="exact"/>
        <w:rPr>
          <w:rFonts w:ascii="Times New Roman" w:cs="Times New Roman" w:eastAsia="Times New Roman" w:hAnsi="Times New Roman"/>
          <w:sz w:val="14"/>
          <w:szCs w:val="14"/>
          <w:color w:val="auto"/>
        </w:rPr>
      </w:pPr>
    </w:p>
    <w:p>
      <w:pPr>
        <w:ind w:left="5600" w:right="359" w:hanging="3890"/>
        <w:spacing w:after="0" w:line="352" w:lineRule="auto"/>
        <w:tabs>
          <w:tab w:leader="none" w:pos="2044"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natural or man-made disasters and other similar events negatively impacting our business, financial condition, and results of operations; 6</w:t>
      </w:r>
    </w:p>
    <w:p>
      <w:pPr>
        <w:sectPr>
          <w:pgSz w:w="11900" w:h="16838" w:orient="portrait"/>
          <w:cols w:equalWidth="0" w:num="1">
            <w:col w:w="10159"/>
          </w:cols>
          <w:pgMar w:left="300" w:top="390"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2060" w:right="379" w:hanging="350"/>
        <w:spacing w:after="0" w:line="290"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offer high-quality support for our diagnostic tests, which may adversely affect our relationships with providers and negatively impact our reputation among patients and providers;</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continue to innovate and improve our diagnostic tests and services we offer;</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or data privacy breaches or other unauthorized or improper access;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disruptions in our information technology systems;</w:t>
      </w:r>
    </w:p>
    <w:p>
      <w:pPr>
        <w:spacing w:after="0" w:line="106" w:lineRule="exact"/>
        <w:rPr>
          <w:rFonts w:ascii="Times New Roman" w:cs="Times New Roman" w:eastAsia="Times New Roman" w:hAnsi="Times New Roman"/>
          <w:sz w:val="14"/>
          <w:szCs w:val="14"/>
          <w:color w:val="auto"/>
        </w:rPr>
      </w:pPr>
    </w:p>
    <w:p>
      <w:pPr>
        <w:ind w:left="2060" w:right="659" w:hanging="350"/>
        <w:spacing w:after="0" w:line="290"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incurrence of substantial liabilities and limiting or halting the marketing and sale of our diagnostic tests due to product liability lawsuits;</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inability to compete successfully with competition from many sources, including larger companies;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issues, service interruptions or price increases by our shipping carriers;</w:t>
      </w:r>
    </w:p>
    <w:p>
      <w:pPr>
        <w:spacing w:after="0" w:line="106" w:lineRule="exact"/>
        <w:rPr>
          <w:rFonts w:ascii="Times New Roman" w:cs="Times New Roman" w:eastAsia="Times New Roman" w:hAnsi="Times New Roman"/>
          <w:sz w:val="14"/>
          <w:szCs w:val="14"/>
          <w:color w:val="auto"/>
        </w:rPr>
      </w:pPr>
    </w:p>
    <w:p>
      <w:pPr>
        <w:ind w:left="2060" w:right="439" w:hanging="350"/>
        <w:spacing w:after="0" w:line="290"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cost-containment efforts of our customers, purchasing groups and integrated delivery networks having a material adverse effect on our sales and profitability;</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effects of litigation and other proceedings;</w:t>
      </w:r>
    </w:p>
    <w:p>
      <w:pPr>
        <w:spacing w:after="0" w:line="106" w:lineRule="exact"/>
        <w:rPr>
          <w:rFonts w:ascii="Times New Roman" w:cs="Times New Roman" w:eastAsia="Times New Roman" w:hAnsi="Times New Roman"/>
          <w:sz w:val="14"/>
          <w:szCs w:val="14"/>
          <w:color w:val="auto"/>
        </w:rPr>
      </w:pPr>
    </w:p>
    <w:p>
      <w:pPr>
        <w:ind w:left="2060" w:right="199" w:hanging="350"/>
        <w:spacing w:after="0" w:line="290"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and financial market conditions, including enhanced U.S. tariffs, import/export restrictions or other trade barriers, which may have a negative effect on global economic conditions, financial markets and our business;</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personnel;</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current and future debt financing placing restrictions on our operating and financial flexibility;</w:t>
      </w:r>
    </w:p>
    <w:p>
      <w:pPr>
        <w:spacing w:after="0" w:line="106" w:lineRule="exact"/>
        <w:rPr>
          <w:rFonts w:ascii="Times New Roman" w:cs="Times New Roman" w:eastAsia="Times New Roman" w:hAnsi="Times New Roman"/>
          <w:sz w:val="14"/>
          <w:szCs w:val="14"/>
          <w:color w:val="auto"/>
        </w:rPr>
      </w:pPr>
    </w:p>
    <w:p>
      <w:pPr>
        <w:ind w:left="2060" w:right="359" w:hanging="350"/>
        <w:spacing w:after="0" w:line="290"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need to raise additional capital to fund our existing operations, develop our platform, commercialize new diagnostic tests, or expand our operations;</w:t>
      </w:r>
    </w:p>
    <w:p>
      <w:pPr>
        <w:spacing w:after="0" w:line="49" w:lineRule="exact"/>
        <w:rPr>
          <w:rFonts w:ascii="Times New Roman" w:cs="Times New Roman" w:eastAsia="Times New Roman" w:hAnsi="Times New Roman"/>
          <w:sz w:val="14"/>
          <w:szCs w:val="14"/>
          <w:color w:val="auto"/>
        </w:rPr>
      </w:pPr>
    </w:p>
    <w:p>
      <w:pPr>
        <w:ind w:left="2060" w:right="359" w:hanging="350"/>
        <w:spacing w:after="0" w:line="290"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of other businesses, which could require significant management attention, disrupt our business, dilute stockholder value and adversely affect our results of operations;</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uncertainty of the insurance coverage and reimbursement status of newly approved diagnostic tests;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healthcare reform measures that could hinder or prevent the commercial success of our diagnostic tests;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anti-corruption, anti-bribery, anti-money laundering and similar laws;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healthcare fraud and abuse laws;</w:t>
      </w:r>
    </w:p>
    <w:p>
      <w:pPr>
        <w:spacing w:after="0" w:line="106" w:lineRule="exact"/>
        <w:rPr>
          <w:rFonts w:ascii="Times New Roman" w:cs="Times New Roman" w:eastAsia="Times New Roman" w:hAnsi="Times New Roman"/>
          <w:sz w:val="14"/>
          <w:szCs w:val="14"/>
          <w:color w:val="auto"/>
        </w:rPr>
      </w:pPr>
    </w:p>
    <w:p>
      <w:pPr>
        <w:ind w:left="2060" w:right="259" w:hanging="350"/>
        <w:spacing w:after="0" w:line="290"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receive regulatory clearance or approval or certification for, and introduce new diagnostic tests or enhancements to existing diagnostic tests that will be accepted by the market in a timely manner;</w:t>
      </w:r>
    </w:p>
    <w:p>
      <w:pPr>
        <w:spacing w:after="0" w:line="49" w:lineRule="exact"/>
        <w:rPr>
          <w:rFonts w:ascii="Times New Roman" w:cs="Times New Roman" w:eastAsia="Times New Roman" w:hAnsi="Times New Roman"/>
          <w:sz w:val="14"/>
          <w:szCs w:val="14"/>
          <w:color w:val="auto"/>
        </w:rPr>
      </w:pPr>
    </w:p>
    <w:p>
      <w:pPr>
        <w:ind w:left="2060" w:right="259" w:hanging="350"/>
        <w:spacing w:after="0" w:line="290"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ongoing FDA or other domestic and foreign regulatory authority requirements, or unanticipated problems with our diagnostic tests, causing them to be subject to restrictions or withdrawal from the market;</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product recalls;</w:t>
      </w:r>
    </w:p>
    <w:p>
      <w:pPr>
        <w:spacing w:after="0" w:line="106" w:lineRule="exact"/>
        <w:rPr>
          <w:rFonts w:ascii="Times New Roman" w:cs="Times New Roman" w:eastAsia="Times New Roman" w:hAnsi="Times New Roman"/>
          <w:sz w:val="14"/>
          <w:szCs w:val="14"/>
          <w:color w:val="auto"/>
        </w:rPr>
      </w:pPr>
    </w:p>
    <w:p>
      <w:pPr>
        <w:ind w:left="2060" w:right="619" w:hanging="350"/>
        <w:spacing w:after="0" w:line="290"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proceedings initiated by third parties alleging that we are infringing, misappropriating, or otherwise violating their intellectual property rights, the outcome of which would be uncertain;</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volatility of the trading price of our common stock;</w:t>
      </w:r>
    </w:p>
    <w:p>
      <w:pPr>
        <w:spacing w:after="0" w:line="106" w:lineRule="exact"/>
        <w:rPr>
          <w:rFonts w:ascii="Times New Roman" w:cs="Times New Roman" w:eastAsia="Times New Roman" w:hAnsi="Times New Roman"/>
          <w:sz w:val="14"/>
          <w:szCs w:val="14"/>
          <w:color w:val="auto"/>
        </w:rPr>
      </w:pPr>
    </w:p>
    <w:p>
      <w:pPr>
        <w:ind w:left="2060" w:right="699" w:hanging="350"/>
        <w:spacing w:after="0" w:line="290" w:lineRule="auto"/>
        <w:tabs>
          <w:tab w:leader="none" w:pos="2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assurance that our common stock will maintain compliance with the minimum bid price requirement or other applicable listing standards of The Nasdaq Stock Market LLC (Nasdaq) or another national securities exchange;</w:t>
      </w:r>
    </w:p>
    <w:p>
      <w:pPr>
        <w:spacing w:after="0" w:line="7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10159"/>
          </w:cols>
          <w:pgMar w:left="300" w:top="390"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2060" w:right="459" w:hanging="350"/>
        <w:spacing w:after="0" w:line="290" w:lineRule="auto"/>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inaccurate estimates or judgments relating to our critical accounting policies, which could cause our operating results to fall below the expectations of securities analysts and investors; and</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uncertainties and factors, including those set forth under “Risk Factors.”</w:t>
      </w:r>
    </w:p>
    <w:p>
      <w:pPr>
        <w:spacing w:after="0" w:line="181" w:lineRule="exact"/>
        <w:rPr>
          <w:sz w:val="20"/>
          <w:szCs w:val="20"/>
          <w:color w:val="auto"/>
        </w:rPr>
      </w:pPr>
    </w:p>
    <w:p>
      <w:pPr>
        <w:ind w:left="1280" w:right="279" w:firstLine="349"/>
        <w:spacing w:after="0" w:line="259" w:lineRule="auto"/>
        <w:rPr>
          <w:sz w:val="20"/>
          <w:szCs w:val="20"/>
          <w:color w:val="auto"/>
        </w:rPr>
      </w:pPr>
      <w:r>
        <w:rPr>
          <w:rFonts w:ascii="Times New Roman" w:cs="Times New Roman" w:eastAsia="Times New Roman" w:hAnsi="Times New Roman"/>
          <w:sz w:val="14"/>
          <w:szCs w:val="14"/>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“Risk Factors” contained in this prospectus and any related free writing prospectus, and in any other documents incorporated herein or therein. Any forward-looking statement in this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47" w:lineRule="exact"/>
        <w:rPr>
          <w:sz w:val="20"/>
          <w:szCs w:val="20"/>
          <w:color w:val="auto"/>
        </w:rPr>
      </w:pPr>
    </w:p>
    <w:p>
      <w:pPr>
        <w:ind w:left="1280" w:right="319" w:firstLine="349"/>
        <w:spacing w:after="0" w:line="260" w:lineRule="auto"/>
        <w:rPr>
          <w:sz w:val="20"/>
          <w:szCs w:val="20"/>
          <w:color w:val="auto"/>
        </w:rPr>
      </w:pPr>
      <w:r>
        <w:rPr>
          <w:rFonts w:ascii="Times New Roman" w:cs="Times New Roman" w:eastAsia="Times New Roman" w:hAnsi="Times New Roman"/>
          <w:sz w:val="14"/>
          <w:szCs w:val="14"/>
          <w:color w:val="auto"/>
        </w:rPr>
        <w:t>This prospectus and the documents incorporated by reference may also contain estimates, projections and other information concerning our industry and our business, including estimated market size,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medical and other information from reports, research surveys, studies and similar data prepared by third parties, industry, medical and general publications, government data and similar sources. In some cases, we do not expressly refer to the sources from which this information is derived. In that regard, when we refer to one or more sources of this type of information in any paragraph, you should assume that other information of this type appearing in the same paragraph is derived from the same sources, unless otherwise expressly stated or the context otherwise requires.</w:t>
      </w:r>
    </w:p>
    <w:p>
      <w:pPr>
        <w:spacing w:after="0" w:line="91"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10159"/>
          </w:cols>
          <w:pgMar w:left="300" w:top="390"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83" w:lineRule="exact"/>
        <w:rPr>
          <w:sz w:val="20"/>
          <w:szCs w:val="20"/>
          <w:color w:val="auto"/>
        </w:rPr>
      </w:pPr>
    </w:p>
    <w:p>
      <w:pPr>
        <w:ind w:left="1280" w:right="159" w:firstLine="349"/>
        <w:spacing w:after="0" w:line="262" w:lineRule="auto"/>
        <w:rPr>
          <w:sz w:val="20"/>
          <w:szCs w:val="20"/>
          <w:color w:val="auto"/>
        </w:rPr>
      </w:pPr>
      <w:r>
        <w:rPr>
          <w:rFonts w:ascii="Times New Roman" w:cs="Times New Roman" w:eastAsia="Times New Roman" w:hAnsi="Times New Roman"/>
          <w:sz w:val="14"/>
          <w:szCs w:val="14"/>
          <w:color w:val="auto"/>
        </w:rPr>
        <w:t>We will not receive any proceeds from the sale of the Shares covered by this prospectus and any accompanying prospectus supplement. All proceeds from the sale of the Shares will be received by the selling stockholder named herein. We will bear all other costs, fees and expenses incurred in effecting the registration of the Shares covered by this prospectus and any accompanying prospectus supplement, including, without limitation, all registration and filing fees, Nasdaq listing fees and fees and expenses of our counsel and our accountants, in accordance with the terms of the Warrant Certificates. The selling stockholder will pay any discounts, commissions, and fees of underwriters, selling brokers, dealer managers or similar securities industry professionals incurred by such selling stockholder in disposing of the Shares covered by this prospectus.</w:t>
      </w:r>
    </w:p>
    <w:p>
      <w:pPr>
        <w:spacing w:after="0" w:line="143" w:lineRule="exact"/>
        <w:rPr>
          <w:sz w:val="20"/>
          <w:szCs w:val="20"/>
          <w:color w:val="auto"/>
        </w:rPr>
      </w:pPr>
    </w:p>
    <w:p>
      <w:pPr>
        <w:ind w:left="1280" w:right="319" w:firstLine="349"/>
        <w:spacing w:after="0" w:line="272" w:lineRule="auto"/>
        <w:rPr>
          <w:sz w:val="20"/>
          <w:szCs w:val="20"/>
          <w:color w:val="auto"/>
        </w:rPr>
      </w:pPr>
      <w:r>
        <w:rPr>
          <w:rFonts w:ascii="Times New Roman" w:cs="Times New Roman" w:eastAsia="Times New Roman" w:hAnsi="Times New Roman"/>
          <w:sz w:val="14"/>
          <w:szCs w:val="14"/>
          <w:color w:val="auto"/>
        </w:rPr>
        <w:t>The holder of the Warrant Certificates is not obligated to exercise the Warrant Certificates, and we cannot predict whether the holder of the Warrant Certificates will choose to exercise the Warrant Certificates. We may receive proceeds from any cash exercise of the Warrant Certificates. We currently intend to use such proceeds, if any, for working capital and general corporate purposes.</w:t>
      </w:r>
    </w:p>
    <w:p>
      <w:pPr>
        <w:spacing w:after="0" w:line="83"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10159"/>
          </w:cols>
          <w:pgMar w:left="300" w:top="390"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SELLING STOCKHOLDER</w:t>
      </w:r>
    </w:p>
    <w:p>
      <w:pPr>
        <w:spacing w:after="0" w:line="18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This prospectus covers the resale from time to time of up to 375,000 Shares issuable upon the vesting and exercise of the Warrant Certificates.</w:t>
      </w:r>
    </w:p>
    <w:p>
      <w:pPr>
        <w:spacing w:after="0" w:line="181" w:lineRule="exact"/>
        <w:rPr>
          <w:sz w:val="20"/>
          <w:szCs w:val="20"/>
          <w:color w:val="auto"/>
        </w:rPr>
      </w:pPr>
    </w:p>
    <w:p>
      <w:pPr>
        <w:ind w:left="1280" w:right="399" w:firstLine="349"/>
        <w:spacing w:after="0" w:line="272" w:lineRule="auto"/>
        <w:rPr>
          <w:sz w:val="20"/>
          <w:szCs w:val="20"/>
          <w:color w:val="auto"/>
        </w:rPr>
      </w:pPr>
      <w:r>
        <w:rPr>
          <w:rFonts w:ascii="Times New Roman" w:cs="Times New Roman" w:eastAsia="Times New Roman" w:hAnsi="Times New Roman"/>
          <w:sz w:val="14"/>
          <w:szCs w:val="14"/>
          <w:color w:val="auto"/>
        </w:rPr>
        <w:t>The selling stockholder may offer and sell, from time to time, any of the Shares described under the column “Number of Shares Being Offered Hereby (Maximum Number) That May Be Sold” in the table below. Except for the ownership of any securities and the Credit Agreement described above, the selling stockholder has not had any material relationship with us within the past three years.</w:t>
      </w:r>
    </w:p>
    <w:p>
      <w:pPr>
        <w:spacing w:after="0" w:line="137" w:lineRule="exact"/>
        <w:rPr>
          <w:sz w:val="20"/>
          <w:szCs w:val="20"/>
          <w:color w:val="auto"/>
        </w:rPr>
      </w:pPr>
    </w:p>
    <w:p>
      <w:pPr>
        <w:ind w:left="1280" w:right="359" w:firstLine="349"/>
        <w:spacing w:after="0" w:line="272" w:lineRule="auto"/>
        <w:rPr>
          <w:sz w:val="20"/>
          <w:szCs w:val="20"/>
          <w:color w:val="auto"/>
        </w:rPr>
      </w:pPr>
      <w:r>
        <w:rPr>
          <w:rFonts w:ascii="Times New Roman" w:cs="Times New Roman" w:eastAsia="Times New Roman" w:hAnsi="Times New Roman"/>
          <w:sz w:val="14"/>
          <w:szCs w:val="14"/>
          <w:color w:val="auto"/>
        </w:rPr>
        <w:t>As used in this prospectus, the term “selling stockholder” includes the selling stockholder listed in the table below, together with any additional selling stockholders listed in a subsequent amendment to this prospectus, and their donees, pledgees, assignees, transferees, distributees and successors-in-interest that receive shares in any non-sale transfer after the date of this prospectus.</w:t>
      </w:r>
    </w:p>
    <w:p>
      <w:pPr>
        <w:spacing w:after="0" w:line="137" w:lineRule="exact"/>
        <w:rPr>
          <w:sz w:val="20"/>
          <w:szCs w:val="20"/>
          <w:color w:val="auto"/>
        </w:rPr>
      </w:pPr>
    </w:p>
    <w:p>
      <w:pPr>
        <w:ind w:left="1280" w:right="259" w:firstLine="349"/>
        <w:spacing w:after="0" w:line="258" w:lineRule="auto"/>
        <w:rPr>
          <w:sz w:val="20"/>
          <w:szCs w:val="20"/>
          <w:color w:val="auto"/>
        </w:rPr>
      </w:pPr>
      <w:r>
        <w:rPr>
          <w:rFonts w:ascii="Times New Roman" w:cs="Times New Roman" w:eastAsia="Times New Roman" w:hAnsi="Times New Roman"/>
          <w:sz w:val="14"/>
          <w:szCs w:val="14"/>
          <w:color w:val="auto"/>
        </w:rPr>
        <w:t>The table below lists the selling stockholder and other information regarding the beneficial ownership of the Shares by the selling stockholder as of May 12, 2026. The following table also provides the number of Shares that may be sold by the selling stockholder under this prospectus and that the selling stockholder will beneficially own assuming all the Shares that may be offered pursuant to this prospectus are sold. The number of shares described under the column “Beneficial Ownership Prior to this Offering” for the selling stockholder includes all shares of our common stock beneficially held by the selling stockholder as of May 12, 2026, which includes the Shares issuable upon the vesting and exercise of the Warrant Certificates. There is a limitation on the aggregate number of shares of common stock beneficially owned by the selling stockholder set forth in the Warrant Certificates (the “Beneficial Ownership Limitation”), due to which the Warrant Certificates may not be exercised if the aggregate number of shares of common stock beneficially owned by the selling stockholder immediately following such exercise would exceed 9.99%. Because the selling stockholder may dispose of all, none or some portion of their Shares, no estimate can be given as to the number of Shares that will be beneficially owned by a selling stockholder upon termination of this offering.</w:t>
      </w:r>
    </w:p>
    <w:p>
      <w:pPr>
        <w:spacing w:after="0" w:line="151" w:lineRule="exact"/>
        <w:rPr>
          <w:sz w:val="20"/>
          <w:szCs w:val="20"/>
          <w:color w:val="auto"/>
        </w:rPr>
      </w:pPr>
    </w:p>
    <w:p>
      <w:pPr>
        <w:ind w:left="1280" w:right="259" w:firstLine="349"/>
        <w:spacing w:after="0" w:line="263" w:lineRule="auto"/>
        <w:rPr>
          <w:sz w:val="20"/>
          <w:szCs w:val="20"/>
          <w:color w:val="auto"/>
        </w:rPr>
      </w:pPr>
      <w:r>
        <w:rPr>
          <w:rFonts w:ascii="Times New Roman" w:cs="Times New Roman" w:eastAsia="Times New Roman" w:hAnsi="Times New Roman"/>
          <w:sz w:val="14"/>
          <w:szCs w:val="14"/>
          <w:color w:val="auto"/>
        </w:rPr>
        <w:t>For purposes of the table below, however, we have assumed that after termination of this offering none of the Shares covered by this prospectus will be beneficially owned by the selling stockholder and further assumed that the selling stockholder will not acquire beneficial ownership of any additional Shares during the offering. In addition, the selling stockholder may have sold, transferred or otherwise disposed of, or may sell, transfer or otherwise dispose of, at any time and from time to time, the Shares in transactions exempt from the registration requirements of the Securities Act after the date on which the information in the table is presented. See the section titled “Plan of Distribution.”</w:t>
      </w:r>
    </w:p>
    <w:p>
      <w:pPr>
        <w:spacing w:after="0" w:line="152"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21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320" w:type="dxa"/>
            <w:vAlign w:val="bottom"/>
            <w:gridSpan w:val="4"/>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Beneficial</w:t>
            </w:r>
          </w:p>
        </w:tc>
        <w:tc>
          <w:tcPr>
            <w:tcW w:w="0" w:type="dxa"/>
            <w:vAlign w:val="bottom"/>
          </w:tcPr>
          <w:p>
            <w:pPr>
              <w:spacing w:after="0"/>
              <w:rPr>
                <w:sz w:val="1"/>
                <w:szCs w:val="1"/>
                <w:color w:val="auto"/>
              </w:rPr>
            </w:pPr>
          </w:p>
        </w:tc>
      </w:tr>
      <w:tr>
        <w:trPr>
          <w:trHeight w:val="118"/>
        </w:trPr>
        <w:tc>
          <w:tcPr>
            <w:tcW w:w="21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Beneficial</w:t>
            </w:r>
          </w:p>
        </w:tc>
        <w:tc>
          <w:tcPr>
            <w:tcW w:w="120" w:type="dxa"/>
            <w:vAlign w:val="bottom"/>
          </w:tcPr>
          <w:p>
            <w:pPr>
              <w:spacing w:after="0"/>
              <w:rPr>
                <w:sz w:val="10"/>
                <w:szCs w:val="10"/>
                <w:color w:val="auto"/>
              </w:rPr>
            </w:pPr>
          </w:p>
        </w:tc>
        <w:tc>
          <w:tcPr>
            <w:tcW w:w="122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1"/>
                <w:szCs w:val="11"/>
                <w:b w:val="1"/>
                <w:bCs w:val="1"/>
                <w:color w:val="auto"/>
              </w:rPr>
              <w:t>Being Offered</w:t>
            </w:r>
          </w:p>
        </w:tc>
        <w:tc>
          <w:tcPr>
            <w:tcW w:w="1320" w:type="dxa"/>
            <w:vAlign w:val="bottom"/>
            <w:gridSpan w:val="4"/>
          </w:tcPr>
          <w:p>
            <w:pPr>
              <w:jc w:val="center"/>
              <w:ind w:right="180"/>
              <w:spacing w:after="0" w:line="118" w:lineRule="exact"/>
              <w:rPr>
                <w:sz w:val="20"/>
                <w:szCs w:val="20"/>
                <w:color w:val="auto"/>
              </w:rPr>
            </w:pPr>
            <w:r>
              <w:rPr>
                <w:rFonts w:ascii="Times New Roman" w:cs="Times New Roman" w:eastAsia="Times New Roman" w:hAnsi="Times New Roman"/>
                <w:sz w:val="11"/>
                <w:szCs w:val="11"/>
                <w:b w:val="1"/>
                <w:bCs w:val="1"/>
                <w:color w:val="auto"/>
              </w:rPr>
              <w:t>Ownership After</w:t>
            </w:r>
          </w:p>
        </w:tc>
        <w:tc>
          <w:tcPr>
            <w:tcW w:w="0" w:type="dxa"/>
            <w:vAlign w:val="bottom"/>
          </w:tcPr>
          <w:p>
            <w:pPr>
              <w:spacing w:after="0"/>
              <w:rPr>
                <w:sz w:val="1"/>
                <w:szCs w:val="1"/>
                <w:color w:val="auto"/>
              </w:rPr>
            </w:pPr>
          </w:p>
        </w:tc>
      </w:tr>
      <w:tr>
        <w:trPr>
          <w:trHeight w:val="118"/>
        </w:trPr>
        <w:tc>
          <w:tcPr>
            <w:tcW w:w="21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0" w:type="dxa"/>
            <w:vAlign w:val="bottom"/>
            <w:gridSpan w:val="4"/>
            <w:vMerge w:val="continue"/>
          </w:tcPr>
          <w:p>
            <w:pPr>
              <w:spacing w:after="0"/>
              <w:rPr>
                <w:sz w:val="10"/>
                <w:szCs w:val="10"/>
                <w:color w:val="auto"/>
              </w:rPr>
            </w:pPr>
          </w:p>
        </w:tc>
        <w:tc>
          <w:tcPr>
            <w:tcW w:w="134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1"/>
                <w:szCs w:val="11"/>
                <w:b w:val="1"/>
                <w:bCs w:val="1"/>
                <w:color w:val="auto"/>
              </w:rPr>
              <w:t>Hereby (Maximum</w:t>
            </w:r>
          </w:p>
        </w:tc>
        <w:tc>
          <w:tcPr>
            <w:tcW w:w="1320" w:type="dxa"/>
            <w:vAlign w:val="bottom"/>
            <w:gridSpan w:val="4"/>
          </w:tcPr>
          <w:p>
            <w:pPr>
              <w:jc w:val="center"/>
              <w:ind w:right="180"/>
              <w:spacing w:after="0" w:line="118" w:lineRule="exact"/>
              <w:rPr>
                <w:sz w:val="20"/>
                <w:szCs w:val="20"/>
                <w:color w:val="auto"/>
              </w:rPr>
            </w:pPr>
            <w:r>
              <w:rPr>
                <w:rFonts w:ascii="Times New Roman" w:cs="Times New Roman" w:eastAsia="Times New Roman" w:hAnsi="Times New Roman"/>
                <w:sz w:val="11"/>
                <w:szCs w:val="11"/>
                <w:b w:val="1"/>
                <w:bCs w:val="1"/>
                <w:color w:val="auto"/>
              </w:rPr>
              <w:t>the Sale of the</w:t>
            </w:r>
          </w:p>
        </w:tc>
        <w:tc>
          <w:tcPr>
            <w:tcW w:w="0" w:type="dxa"/>
            <w:vAlign w:val="bottom"/>
          </w:tcPr>
          <w:p>
            <w:pPr>
              <w:spacing w:after="0"/>
              <w:rPr>
                <w:sz w:val="1"/>
                <w:szCs w:val="1"/>
                <w:color w:val="auto"/>
              </w:rPr>
            </w:pPr>
          </w:p>
        </w:tc>
      </w:tr>
      <w:tr>
        <w:trPr>
          <w:trHeight w:val="118"/>
        </w:trPr>
        <w:tc>
          <w:tcPr>
            <w:tcW w:w="214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1400" w:type="dxa"/>
            <w:vAlign w:val="bottom"/>
            <w:gridSpan w:val="4"/>
          </w:tcPr>
          <w:p>
            <w:pPr>
              <w:jc w:val="center"/>
              <w:ind w:right="260"/>
              <w:spacing w:after="0" w:line="118" w:lineRule="exact"/>
              <w:rPr>
                <w:sz w:val="20"/>
                <w:szCs w:val="20"/>
                <w:color w:val="auto"/>
              </w:rPr>
            </w:pPr>
            <w:r>
              <w:rPr>
                <w:rFonts w:ascii="Times New Roman" w:cs="Times New Roman" w:eastAsia="Times New Roman" w:hAnsi="Times New Roman"/>
                <w:sz w:val="11"/>
                <w:szCs w:val="11"/>
                <w:b w:val="1"/>
                <w:bCs w:val="1"/>
                <w:color w:val="auto"/>
              </w:rPr>
              <w:t>Ownership Prior to</w:t>
            </w:r>
          </w:p>
        </w:tc>
        <w:tc>
          <w:tcPr>
            <w:tcW w:w="120" w:type="dxa"/>
            <w:vAlign w:val="bottom"/>
          </w:tcPr>
          <w:p>
            <w:pPr>
              <w:spacing w:after="0"/>
              <w:rPr>
                <w:sz w:val="10"/>
                <w:szCs w:val="10"/>
                <w:color w:val="auto"/>
              </w:rPr>
            </w:pPr>
          </w:p>
        </w:tc>
        <w:tc>
          <w:tcPr>
            <w:tcW w:w="122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1"/>
                <w:szCs w:val="11"/>
                <w:b w:val="1"/>
                <w:bCs w:val="1"/>
                <w:color w:val="auto"/>
              </w:rPr>
              <w:t>Number) That</w:t>
            </w:r>
          </w:p>
        </w:tc>
        <w:tc>
          <w:tcPr>
            <w:tcW w:w="1320" w:type="dxa"/>
            <w:vAlign w:val="bottom"/>
            <w:gridSpan w:val="4"/>
          </w:tcPr>
          <w:p>
            <w:pPr>
              <w:jc w:val="center"/>
              <w:ind w:right="180"/>
              <w:spacing w:after="0" w:line="118" w:lineRule="exact"/>
              <w:rPr>
                <w:sz w:val="20"/>
                <w:szCs w:val="20"/>
                <w:color w:val="auto"/>
              </w:rPr>
            </w:pPr>
            <w:r>
              <w:rPr>
                <w:rFonts w:ascii="Times New Roman" w:cs="Times New Roman" w:eastAsia="Times New Roman" w:hAnsi="Times New Roman"/>
                <w:sz w:val="11"/>
                <w:szCs w:val="11"/>
                <w:b w:val="1"/>
                <w:bCs w:val="1"/>
                <w:color w:val="auto"/>
              </w:rPr>
              <w:t>Maximum Number</w:t>
            </w:r>
          </w:p>
        </w:tc>
        <w:tc>
          <w:tcPr>
            <w:tcW w:w="0" w:type="dxa"/>
            <w:vAlign w:val="bottom"/>
          </w:tcPr>
          <w:p>
            <w:pPr>
              <w:spacing w:after="0"/>
              <w:rPr>
                <w:sz w:val="1"/>
                <w:szCs w:val="1"/>
                <w:color w:val="auto"/>
              </w:rPr>
            </w:pPr>
          </w:p>
        </w:tc>
      </w:tr>
      <w:tr>
        <w:trPr>
          <w:trHeight w:val="137"/>
        </w:trPr>
        <w:tc>
          <w:tcPr>
            <w:tcW w:w="21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Address of Selling Stockholder</w:t>
            </w:r>
            <w:r>
              <w:rPr>
                <w:rFonts w:ascii="Times New Roman" w:cs="Times New Roman" w:eastAsia="Times New Roman" w:hAnsi="Times New Roman"/>
                <w:sz w:val="8"/>
                <w:szCs w:val="8"/>
                <w:b w:val="1"/>
                <w:bCs w:val="1"/>
                <w:color w:val="auto"/>
              </w:rPr>
              <w:t>(1)</w:t>
            </w:r>
          </w:p>
        </w:tc>
        <w:tc>
          <w:tcPr>
            <w:tcW w:w="2540" w:type="dxa"/>
            <w:vAlign w:val="bottom"/>
          </w:tcPr>
          <w:p>
            <w:pPr>
              <w:spacing w:after="0"/>
              <w:rPr>
                <w:sz w:val="11"/>
                <w:szCs w:val="11"/>
                <w:color w:val="auto"/>
              </w:rPr>
            </w:pPr>
          </w:p>
        </w:tc>
        <w:tc>
          <w:tcPr>
            <w:tcW w:w="1400" w:type="dxa"/>
            <w:vAlign w:val="bottom"/>
            <w:gridSpan w:val="4"/>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this Offering</w:t>
            </w:r>
            <w:r>
              <w:rPr>
                <w:rFonts w:ascii="Times New Roman" w:cs="Times New Roman" w:eastAsia="Times New Roman" w:hAnsi="Times New Roman"/>
                <w:sz w:val="8"/>
                <w:szCs w:val="8"/>
                <w:b w:val="1"/>
                <w:bCs w:val="1"/>
                <w:color w:val="auto"/>
              </w:rPr>
              <w:t>(2)</w:t>
            </w:r>
          </w:p>
        </w:tc>
        <w:tc>
          <w:tcPr>
            <w:tcW w:w="120" w:type="dxa"/>
            <w:vAlign w:val="bottom"/>
          </w:tcPr>
          <w:p>
            <w:pPr>
              <w:spacing w:after="0"/>
              <w:rPr>
                <w:sz w:val="11"/>
                <w:szCs w:val="11"/>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rPr>
              <w:t>May Be Sold</w:t>
            </w:r>
            <w:r>
              <w:rPr>
                <w:rFonts w:ascii="Times New Roman" w:cs="Times New Roman" w:eastAsia="Times New Roman" w:hAnsi="Times New Roman"/>
                <w:sz w:val="8"/>
                <w:szCs w:val="8"/>
                <w:b w:val="1"/>
                <w:bCs w:val="1"/>
                <w:color w:val="auto"/>
              </w:rPr>
              <w:t>(3)</w:t>
            </w:r>
          </w:p>
        </w:tc>
        <w:tc>
          <w:tcPr>
            <w:tcW w:w="1320" w:type="dxa"/>
            <w:vAlign w:val="bottom"/>
            <w:gridSpan w:val="4"/>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of Shares</w:t>
            </w:r>
            <w:r>
              <w:rPr>
                <w:rFonts w:ascii="Times New Roman" w:cs="Times New Roman" w:eastAsia="Times New Roman" w:hAnsi="Times New Roman"/>
                <w:sz w:val="8"/>
                <w:szCs w:val="8"/>
                <w:b w:val="1"/>
                <w:bCs w:val="1"/>
                <w:color w:val="auto"/>
              </w:rPr>
              <w:t>(4)</w:t>
            </w:r>
          </w:p>
        </w:tc>
        <w:tc>
          <w:tcPr>
            <w:tcW w:w="0" w:type="dxa"/>
            <w:vAlign w:val="bottom"/>
          </w:tcPr>
          <w:p>
            <w:pPr>
              <w:spacing w:after="0"/>
              <w:rPr>
                <w:sz w:val="1"/>
                <w:szCs w:val="1"/>
                <w:color w:val="auto"/>
              </w:rPr>
            </w:pPr>
          </w:p>
        </w:tc>
      </w:tr>
      <w:tr>
        <w:trPr>
          <w:trHeight w:val="103"/>
        </w:trPr>
        <w:tc>
          <w:tcPr>
            <w:tcW w:w="2140" w:type="dxa"/>
            <w:vAlign w:val="bottom"/>
            <w:tcBorders>
              <w:bottom w:val="single" w:sz="8" w:color="auto"/>
            </w:tcBorders>
            <w:vMerge w:val="continue"/>
          </w:tcPr>
          <w:p>
            <w:pPr>
              <w:spacing w:after="0"/>
              <w:rPr>
                <w:sz w:val="8"/>
                <w:szCs w:val="8"/>
                <w:color w:val="auto"/>
              </w:rPr>
            </w:pPr>
          </w:p>
        </w:tc>
        <w:tc>
          <w:tcPr>
            <w:tcW w:w="2540" w:type="dxa"/>
            <w:vAlign w:val="bottom"/>
          </w:tcPr>
          <w:p>
            <w:pPr>
              <w:spacing w:after="0"/>
              <w:rPr>
                <w:sz w:val="8"/>
                <w:szCs w:val="8"/>
                <w:color w:val="auto"/>
              </w:rPr>
            </w:pPr>
          </w:p>
        </w:tc>
        <w:tc>
          <w:tcPr>
            <w:tcW w:w="520" w:type="dxa"/>
            <w:vAlign w:val="bottom"/>
            <w:tcBorders>
              <w:top w:val="single" w:sz="8" w:color="auto"/>
            </w:tcBorders>
          </w:tcPr>
          <w:p>
            <w:pPr>
              <w:ind w:left="40"/>
              <w:spacing w:after="0" w:line="98" w:lineRule="exact"/>
              <w:rPr>
                <w:sz w:val="20"/>
                <w:szCs w:val="20"/>
                <w:color w:val="auto"/>
              </w:rPr>
            </w:pPr>
            <w:r>
              <w:rPr>
                <w:rFonts w:ascii="Times New Roman" w:cs="Times New Roman" w:eastAsia="Times New Roman" w:hAnsi="Times New Roman"/>
                <w:sz w:val="11"/>
                <w:szCs w:val="11"/>
                <w:b w:val="1"/>
                <w:bCs w:val="1"/>
                <w:color w:val="auto"/>
              </w:rPr>
              <w:t>Number</w:t>
            </w:r>
          </w:p>
        </w:tc>
        <w:tc>
          <w:tcPr>
            <w:tcW w:w="640" w:type="dxa"/>
            <w:vAlign w:val="bottom"/>
            <w:tcBorders>
              <w:top w:val="single" w:sz="8" w:color="auto"/>
            </w:tcBorders>
            <w:gridSpan w:val="2"/>
          </w:tcPr>
          <w:p>
            <w:pPr>
              <w:ind w:left="260"/>
              <w:spacing w:after="0" w:line="98"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Borders>
              <w:top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top w:val="single" w:sz="8" w:color="auto"/>
            </w:tcBorders>
          </w:tcPr>
          <w:p>
            <w:pPr>
              <w:ind w:left="40"/>
              <w:spacing w:after="0" w:line="98" w:lineRule="exact"/>
              <w:rPr>
                <w:sz w:val="20"/>
                <w:szCs w:val="20"/>
                <w:color w:val="auto"/>
              </w:rPr>
            </w:pPr>
            <w:r>
              <w:rPr>
                <w:rFonts w:ascii="Times New Roman" w:cs="Times New Roman" w:eastAsia="Times New Roman" w:hAnsi="Times New Roman"/>
                <w:sz w:val="11"/>
                <w:szCs w:val="11"/>
                <w:b w:val="1"/>
                <w:bCs w:val="1"/>
                <w:color w:val="auto"/>
              </w:rPr>
              <w:t>Number</w:t>
            </w:r>
          </w:p>
        </w:tc>
        <w:tc>
          <w:tcPr>
            <w:tcW w:w="660" w:type="dxa"/>
            <w:vAlign w:val="bottom"/>
            <w:tcBorders>
              <w:top w:val="single" w:sz="8" w:color="auto"/>
            </w:tcBorders>
            <w:gridSpan w:val="2"/>
          </w:tcPr>
          <w:p>
            <w:pPr>
              <w:ind w:left="280"/>
              <w:spacing w:after="0" w:line="98" w:lineRule="exact"/>
              <w:rPr>
                <w:sz w:val="20"/>
                <w:szCs w:val="20"/>
                <w:color w:val="auto"/>
              </w:rPr>
            </w:pPr>
            <w:r>
              <w:rPr>
                <w:rFonts w:ascii="Times New Roman" w:cs="Times New Roman" w:eastAsia="Times New Roman" w:hAnsi="Times New Roman"/>
                <w:sz w:val="11"/>
                <w:szCs w:val="11"/>
                <w:b w:val="1"/>
                <w:bCs w:val="1"/>
                <w:color w:val="auto"/>
                <w:w w:val="99"/>
              </w:rPr>
              <w:t>Percent</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1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Perceptive Credit Holdings IV, LP</w:t>
            </w:r>
          </w:p>
        </w:tc>
        <w:tc>
          <w:tcPr>
            <w:tcW w:w="25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2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140" w:type="dxa"/>
            <w:vAlign w:val="bottom"/>
            <w:vMerge w:val="continue"/>
            <w:shd w:val="clear" w:color="auto" w:fill="CCEEFF"/>
          </w:tcPr>
          <w:p>
            <w:pPr>
              <w:spacing w:after="0"/>
              <w:rPr>
                <w:sz w:val="13"/>
                <w:szCs w:val="13"/>
                <w:color w:val="auto"/>
              </w:rPr>
            </w:pPr>
          </w:p>
        </w:tc>
        <w:tc>
          <w:tcPr>
            <w:tcW w:w="2540" w:type="dxa"/>
            <w:vAlign w:val="bottom"/>
            <w:vMerge w:val="continue"/>
            <w:shd w:val="clear" w:color="auto" w:fill="CCEEFF"/>
          </w:tcPr>
          <w:p>
            <w:pPr>
              <w:spacing w:after="0"/>
              <w:rPr>
                <w:sz w:val="13"/>
                <w:szCs w:val="13"/>
                <w:color w:val="auto"/>
              </w:rPr>
            </w:pPr>
          </w:p>
        </w:tc>
        <w:tc>
          <w:tcPr>
            <w:tcW w:w="52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rPr>
              <w:t>483,694</w:t>
            </w:r>
          </w:p>
        </w:tc>
        <w:tc>
          <w:tcPr>
            <w:tcW w:w="260" w:type="dxa"/>
            <w:vAlign w:val="bottom"/>
            <w:vMerge w:val="continue"/>
            <w:shd w:val="clear" w:color="auto" w:fill="CCEEFF"/>
          </w:tcPr>
          <w:p>
            <w:pPr>
              <w:spacing w:after="0"/>
              <w:rPr>
                <w:sz w:val="13"/>
                <w:szCs w:val="13"/>
                <w:color w:val="auto"/>
              </w:rPr>
            </w:pPr>
          </w:p>
        </w:tc>
        <w:tc>
          <w:tcPr>
            <w:tcW w:w="620" w:type="dxa"/>
            <w:vAlign w:val="bottom"/>
            <w:gridSpan w:val="2"/>
            <w:shd w:val="clear" w:color="auto" w:fill="CCEEFF"/>
          </w:tcPr>
          <w:p>
            <w:pPr>
              <w:jc w:val="right"/>
              <w:ind w:right="140"/>
              <w:spacing w:after="0" w:line="153" w:lineRule="exact"/>
              <w:rPr>
                <w:sz w:val="20"/>
                <w:szCs w:val="20"/>
                <w:color w:val="auto"/>
              </w:rPr>
            </w:pPr>
            <w:r>
              <w:rPr>
                <w:rFonts w:ascii="Times New Roman" w:cs="Times New Roman" w:eastAsia="Times New Roman" w:hAnsi="Times New Roman"/>
                <w:sz w:val="14"/>
                <w:szCs w:val="14"/>
                <w:color w:val="auto"/>
              </w:rPr>
              <w:t>4.67%</w:t>
            </w:r>
          </w:p>
        </w:tc>
        <w:tc>
          <w:tcPr>
            <w:tcW w:w="1060" w:type="dxa"/>
            <w:vAlign w:val="bottom"/>
            <w:gridSpan w:val="2"/>
            <w:vMerge w:val="continue"/>
            <w:shd w:val="clear" w:color="auto" w:fill="CCEEFF"/>
          </w:tcPr>
          <w:p>
            <w:pPr>
              <w:spacing w:after="0"/>
              <w:rPr>
                <w:sz w:val="13"/>
                <w:szCs w:val="13"/>
                <w:color w:val="auto"/>
              </w:rPr>
            </w:pPr>
          </w:p>
        </w:tc>
        <w:tc>
          <w:tcPr>
            <w:tcW w:w="280" w:type="dxa"/>
            <w:vAlign w:val="bottom"/>
            <w:vMerge w:val="continue"/>
            <w:shd w:val="clear" w:color="auto" w:fill="CCEEFF"/>
          </w:tcPr>
          <w:p>
            <w:pPr>
              <w:spacing w:after="0"/>
              <w:rPr>
                <w:sz w:val="13"/>
                <w:szCs w:val="13"/>
                <w:color w:val="auto"/>
              </w:rPr>
            </w:pPr>
          </w:p>
        </w:tc>
        <w:tc>
          <w:tcPr>
            <w:tcW w:w="500" w:type="dxa"/>
            <w:vAlign w:val="bottom"/>
            <w:shd w:val="clear" w:color="auto" w:fill="CCEEFF"/>
          </w:tcPr>
          <w:p>
            <w:pPr>
              <w:ind w:left="40"/>
              <w:spacing w:after="0" w:line="153" w:lineRule="exact"/>
              <w:rPr>
                <w:sz w:val="20"/>
                <w:szCs w:val="20"/>
                <w:color w:val="auto"/>
              </w:rPr>
            </w:pPr>
            <w:r>
              <w:rPr>
                <w:rFonts w:ascii="Times New Roman" w:cs="Times New Roman" w:eastAsia="Times New Roman" w:hAnsi="Times New Roman"/>
                <w:sz w:val="14"/>
                <w:szCs w:val="14"/>
                <w:color w:val="auto"/>
                <w:w w:val="96"/>
              </w:rPr>
              <w:t>108,694</w:t>
            </w:r>
          </w:p>
        </w:tc>
        <w:tc>
          <w:tcPr>
            <w:tcW w:w="280" w:type="dxa"/>
            <w:vAlign w:val="bottom"/>
            <w:vMerge w:val="continue"/>
            <w:shd w:val="clear" w:color="auto" w:fill="CCEEFF"/>
          </w:tcPr>
          <w:p>
            <w:pPr>
              <w:spacing w:after="0"/>
              <w:rPr>
                <w:sz w:val="13"/>
                <w:szCs w:val="13"/>
                <w:color w:val="auto"/>
              </w:rPr>
            </w:pPr>
          </w:p>
        </w:tc>
        <w:tc>
          <w:tcPr>
            <w:tcW w:w="540" w:type="dxa"/>
            <w:vAlign w:val="bottom"/>
            <w:gridSpan w:val="2"/>
            <w:shd w:val="clear" w:color="auto" w:fill="CCEEFF"/>
          </w:tcPr>
          <w:p>
            <w:pPr>
              <w:jc w:val="right"/>
              <w:ind w:right="60"/>
              <w:spacing w:after="0" w:line="153" w:lineRule="exact"/>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ind w:left="1620" w:right="339" w:hanging="337"/>
        <w:spacing w:after="0" w:line="260" w:lineRule="auto"/>
        <w:tabs>
          <w:tab w:leader="none" w:pos="16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information regarding the selling stockholder was provided by the selling stockholder as of May 12, 2026. Perceptive Credit Advisors, LLC (“Perceptive Credit”) is the investment manager to Perceptive and PCOF EQ AIV, LP (“AIV”), and accordingly, may be deemed to beneficially own the securities directly held by Perceptive and AIV. Perceptive Advisors LLC is the general partner of Perceptive Credit, Joseph Edelman is the managing member of Perceptive Advisors LLC, and accordingly, Perceptive Advisors LLC or Mr. Edelman may be deemed to beneficially own the securities held by Perceptive and AIV. Perceptive Credit, Perceptive Advisors LLC and Mr. Edelman disclaim beneficial ownership of such shares except to the extent of its or his pecuniary interest therein. The principal business address and address for notice of Perceptive is 51 Astor Place, 10th Floor, New York, New York 10003.</w:t>
      </w:r>
    </w:p>
    <w:p>
      <w:pPr>
        <w:spacing w:after="0" w:line="9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10159"/>
          </w:cols>
          <w:pgMar w:left="300" w:top="390"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jc w:val="both"/>
        <w:ind w:left="1620" w:right="459" w:hanging="337"/>
        <w:spacing w:after="0" w:line="265" w:lineRule="auto"/>
        <w:tabs>
          <w:tab w:leader="none" w:pos="1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reported under “Beneficial Ownership Prior to this Offering” includes (i) 375,000 shares of common stock underlying the Warrant Certificates held by Perceptive, (ii) 51,828 shares of common stock held by Perceptive and (iii) 56,866 shares of common stock held by AIV.</w:t>
      </w:r>
    </w:p>
    <w:p>
      <w:pPr>
        <w:ind w:left="1620" w:right="319" w:hanging="337"/>
        <w:spacing w:after="0" w:line="254" w:lineRule="auto"/>
        <w:tabs>
          <w:tab w:leader="none" w:pos="1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common stock in the column “Number of Shares Being Offered Hereby (Maximum Number) That May Be Sold” represents all of the Shares that the selling stockholder may offer and sell from time to time under this prospectus, consisting of all of the Shares issuable upon the exercise of the Warrant Certificates, without giving effect to the Beneficial Ownership Limitation.</w:t>
      </w:r>
    </w:p>
    <w:p>
      <w:pPr>
        <w:spacing w:after="0" w:line="1" w:lineRule="exact"/>
        <w:rPr>
          <w:rFonts w:ascii="Times New Roman" w:cs="Times New Roman" w:eastAsia="Times New Roman" w:hAnsi="Times New Roman"/>
          <w:sz w:val="14"/>
          <w:szCs w:val="14"/>
          <w:color w:val="auto"/>
        </w:rPr>
      </w:pPr>
    </w:p>
    <w:p>
      <w:pPr>
        <w:jc w:val="both"/>
        <w:ind w:left="1620" w:right="299" w:hanging="337"/>
        <w:spacing w:after="0" w:line="262" w:lineRule="auto"/>
        <w:tabs>
          <w:tab w:leader="none" w:pos="16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selling stockholder has not informed us, and we do not know, when or in what amounts the selling stockholder may offer for sale the Shares pursuant to this offering. For purposes of this table, we have assumed that the selling stockholder will have sold all of the Shares covered by this prospectus upon the completion of this offering.</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10159"/>
          </w:cols>
          <w:pgMar w:left="300" w:top="390"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PLAN OF DISTRIBUTION</w:t>
      </w:r>
    </w:p>
    <w:p>
      <w:pPr>
        <w:spacing w:after="0" w:line="183" w:lineRule="exact"/>
        <w:rPr>
          <w:sz w:val="20"/>
          <w:szCs w:val="20"/>
          <w:color w:val="auto"/>
        </w:rPr>
      </w:pPr>
    </w:p>
    <w:p>
      <w:pPr>
        <w:ind w:left="1280" w:right="199" w:firstLine="349"/>
        <w:spacing w:after="0" w:line="262" w:lineRule="auto"/>
        <w:rPr>
          <w:sz w:val="20"/>
          <w:szCs w:val="20"/>
          <w:color w:val="auto"/>
        </w:rPr>
      </w:pPr>
      <w:r>
        <w:rPr>
          <w:rFonts w:ascii="Times New Roman" w:cs="Times New Roman" w:eastAsia="Times New Roman" w:hAnsi="Times New Roman"/>
          <w:sz w:val="14"/>
          <w:szCs w:val="14"/>
          <w:color w:val="auto"/>
        </w:rPr>
        <w:t>We are registering the Shares issued to the selling stockholder to permit the sale, transfer or other disposition of these Shares by the selling stockholder or their donees, pledgees, transferees or other successors-in-interest from time to time after the date of this prospectus. We will not receive any of the proceeds from the sale by the selling stockholders of its Shares. We will, or will procure to, bear all fees and expenses incident to our obligation to register the Shares. In the event that the selling stockholder elects to sell its Shares through an underwritten offering on a firm commitment or best efforts basis, we will amend the registration statement to which this prospectus relates to disclose all relevant and material information regarding such offering and sale.</w:t>
      </w:r>
    </w:p>
    <w:p>
      <w:pPr>
        <w:spacing w:after="0" w:line="143" w:lineRule="exact"/>
        <w:rPr>
          <w:sz w:val="20"/>
          <w:szCs w:val="20"/>
          <w:color w:val="auto"/>
        </w:rPr>
      </w:pPr>
    </w:p>
    <w:p>
      <w:pPr>
        <w:ind w:left="1280" w:right="219" w:firstLine="349"/>
        <w:spacing w:after="0" w:line="260" w:lineRule="auto"/>
        <w:rPr>
          <w:sz w:val="20"/>
          <w:szCs w:val="20"/>
          <w:color w:val="auto"/>
        </w:rPr>
      </w:pPr>
      <w:r>
        <w:rPr>
          <w:rFonts w:ascii="Times New Roman" w:cs="Times New Roman" w:eastAsia="Times New Roman" w:hAnsi="Times New Roman"/>
          <w:sz w:val="14"/>
          <w:szCs w:val="14"/>
          <w:color w:val="auto"/>
        </w:rPr>
        <w:t>The selling stockholder may sell all or a portion of the shares of common stock beneficially owned by it and the Shares offered hereby from time to time. If the Shares are sold through underwriters or broker-dealers, the selling stockholder will be responsible for underwriting discounts (it being understood that the selling stockholder shall not be deemed to be underwriters solely as a result of their participation in this offering) or commissions or agent’s commissions. The Shares may be sold on any national securities exchange or quotation service on which the Shares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 may use any one or more of the following methods when selling their Shares:</w:t>
      </w:r>
    </w:p>
    <w:p>
      <w:pPr>
        <w:spacing w:after="0" w:line="69" w:lineRule="exact"/>
        <w:rPr>
          <w:sz w:val="20"/>
          <w:szCs w:val="20"/>
          <w:color w:val="auto"/>
        </w:rPr>
      </w:pPr>
    </w:p>
    <w:p>
      <w:pPr>
        <w:ind w:left="2060" w:hanging="350"/>
        <w:spacing w:after="0"/>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ordinary brokerage transactions and transactions in which a broker-dealer solicits purchasers;</w:t>
      </w:r>
    </w:p>
    <w:p>
      <w:pPr>
        <w:spacing w:after="0" w:line="106" w:lineRule="exact"/>
        <w:rPr>
          <w:rFonts w:ascii="Times New Roman" w:cs="Times New Roman" w:eastAsia="Times New Roman" w:hAnsi="Times New Roman"/>
          <w:sz w:val="14"/>
          <w:szCs w:val="14"/>
          <w:color w:val="auto"/>
        </w:rPr>
      </w:pPr>
    </w:p>
    <w:p>
      <w:pPr>
        <w:ind w:left="2060" w:right="179" w:hanging="350"/>
        <w:spacing w:after="0" w:line="290" w:lineRule="auto"/>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 trades in which a broker-dealer will attempt to sell the Shares as agent, but may position and resell a portion of the block as principal to facilitate the transaction;</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purchases by a broker-dealer as principal and resale by the broker-dealer for its account;</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exchange distribution in accordance with the rules of the applicable exchange;</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privately negotiated transactions;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“at-the-market” or through market makers or into an existing market for the Shares;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entered into after the effective date of the registration statement of which this prospectus is a part;</w:t>
      </w:r>
    </w:p>
    <w:p>
      <w:pPr>
        <w:spacing w:after="0" w:line="106" w:lineRule="exact"/>
        <w:rPr>
          <w:rFonts w:ascii="Times New Roman" w:cs="Times New Roman" w:eastAsia="Times New Roman" w:hAnsi="Times New Roman"/>
          <w:sz w:val="14"/>
          <w:szCs w:val="14"/>
          <w:color w:val="auto"/>
        </w:rPr>
      </w:pPr>
    </w:p>
    <w:p>
      <w:pPr>
        <w:ind w:left="2060" w:right="439" w:hanging="350"/>
        <w:spacing w:after="0" w:line="290" w:lineRule="auto"/>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writing or settlement of options or other hedging transactions, whether through an options exchange or otherwise, after the effective date of the registration statement of which this prospectus is a part;</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the distribution of the Shares by any selling stockholders to its partners, members or stockholders;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broker-dealers that agree with the selling stockholders to sell a specified number of such shares at a stipulated price per share;</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one or more underwritten offerings on a firm commitment or best efforts basis;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combination of any such methods of sale; and</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method permitted pursuant to applicable law.</w:t>
      </w:r>
    </w:p>
    <w:p>
      <w:pPr>
        <w:spacing w:after="0" w:line="181" w:lineRule="exact"/>
        <w:rPr>
          <w:sz w:val="20"/>
          <w:szCs w:val="20"/>
          <w:color w:val="auto"/>
        </w:rPr>
      </w:pPr>
    </w:p>
    <w:p>
      <w:pPr>
        <w:jc w:val="both"/>
        <w:ind w:left="1280" w:right="339" w:firstLine="349"/>
        <w:spacing w:after="0" w:line="272" w:lineRule="auto"/>
        <w:rPr>
          <w:sz w:val="20"/>
          <w:szCs w:val="20"/>
          <w:color w:val="auto"/>
        </w:rPr>
      </w:pPr>
      <w:r>
        <w:rPr>
          <w:rFonts w:ascii="Times New Roman" w:cs="Times New Roman" w:eastAsia="Times New Roman" w:hAnsi="Times New Roman"/>
          <w:sz w:val="14"/>
          <w:szCs w:val="14"/>
          <w:color w:val="auto"/>
        </w:rPr>
        <w:t>The selling stockholder also may resell all or a portion of the Shares in open market transactions in reliance upon Rule 144, as permitted by that rule, or Section 4(a)(1) under the Securities Act, if available, rather than under this prospectus, provided that they meet the criteria and conform to the requirements of those provisions.</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10159"/>
          </w:cols>
          <w:pgMar w:left="300" w:top="390"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1280" w:right="299" w:firstLine="349"/>
        <w:spacing w:after="0" w:line="262" w:lineRule="auto"/>
        <w:rPr>
          <w:sz w:val="20"/>
          <w:szCs w:val="20"/>
          <w:color w:val="auto"/>
        </w:rPr>
      </w:pPr>
      <w:r>
        <w:rPr>
          <w:rFonts w:ascii="Times New Roman" w:cs="Times New Roman" w:eastAsia="Times New Roman" w:hAnsi="Times New Roman"/>
          <w:sz w:val="14"/>
          <w:szCs w:val="14"/>
          <w:color w:val="auto"/>
        </w:rPr>
        <w:t>Broker-dealers engaged by the selling stockholder may arrange for other broker-dealers to participate in sales. If the selling stockholder effects such transactions by selling Shares to or through underwriters, broker-dealers or agents, such underwriters, broker-dealers or agents may receive commissions in the form of discounts, concessions or commissions from the selling stockholder or commissions from purchasers of the Shares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2121; and in the case of a principal transaction a markup or markdown in compliance with FINRA IM-2121.01.</w:t>
      </w:r>
    </w:p>
    <w:p>
      <w:pPr>
        <w:spacing w:after="0" w:line="143" w:lineRule="exact"/>
        <w:rPr>
          <w:sz w:val="20"/>
          <w:szCs w:val="20"/>
          <w:color w:val="auto"/>
        </w:rPr>
      </w:pPr>
    </w:p>
    <w:p>
      <w:pPr>
        <w:ind w:left="1280" w:right="179" w:firstLine="349"/>
        <w:spacing w:after="0" w:line="258" w:lineRule="auto"/>
        <w:rPr>
          <w:sz w:val="20"/>
          <w:szCs w:val="20"/>
          <w:color w:val="auto"/>
        </w:rPr>
      </w:pPr>
      <w:r>
        <w:rPr>
          <w:rFonts w:ascii="Times New Roman" w:cs="Times New Roman" w:eastAsia="Times New Roman" w:hAnsi="Times New Roman"/>
          <w:sz w:val="14"/>
          <w:szCs w:val="14"/>
          <w:color w:val="auto"/>
        </w:rPr>
        <w:t>In connection with sales of the Shares or otherwise, the selling stockholder may enter into hedging transactions with broker-dealers or other financial institutions, which may in turn engage in short sales of the Shares in the course of hedging in positions they assume. The selling stockholder may also sell its Shares short and if such short sale takes place after the date that this registration statement is declared effective by the SEC, the selling stockholder may deliver its Shares covered by this prospectus to close out short positions and to return borrowed shares of common stock in connection with such short sales. The selling stockholder may also loan or pledge its shares of common stock to broker-dealers that in turn may sell such shares, to the extent permitted by applicable law.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 has been advised that it may not use its Shares, the resale of which has been registered on this registration statement, to cover short sales of our common stock made prior to the date the registration statement, of which this prospectus forms a part, has been declared effective by the SEC.</w:t>
      </w:r>
    </w:p>
    <w:p>
      <w:pPr>
        <w:spacing w:after="0" w:line="149" w:lineRule="exact"/>
        <w:rPr>
          <w:sz w:val="20"/>
          <w:szCs w:val="20"/>
          <w:color w:val="auto"/>
        </w:rPr>
      </w:pPr>
    </w:p>
    <w:p>
      <w:pPr>
        <w:ind w:left="1280" w:right="159" w:firstLine="349"/>
        <w:spacing w:after="0" w:line="262" w:lineRule="auto"/>
        <w:rPr>
          <w:sz w:val="20"/>
          <w:szCs w:val="20"/>
          <w:color w:val="auto"/>
        </w:rPr>
      </w:pPr>
      <w:r>
        <w:rPr>
          <w:rFonts w:ascii="Times New Roman" w:cs="Times New Roman" w:eastAsia="Times New Roman" w:hAnsi="Times New Roman"/>
          <w:sz w:val="14"/>
          <w:szCs w:val="14"/>
          <w:color w:val="auto"/>
        </w:rPr>
        <w:t>The selling stockholder may, from time to time, pledge or grant a security interest in some or all of the shares of common stock owned by it and, if it defaults in the performance of its secured obligations, the pledgees or secured parties may offer and sell the Shares from time to time pursuant to this prospectus or any amendment to this prospectus under Rule 424(b)(3) or other applicable provision of the Securities Act, amending, if necessary, the list of the selling stockholder to include the pledgee, transferee or other successors in interest as selling stockholders under this prospectus. The selling stockholder also may transfer and donate the Shares in other circumstances in which case the transferees, donees, pledgees or other successors in interest will be the selling beneficial owners for purposes of this prospectus.</w:t>
      </w:r>
    </w:p>
    <w:p>
      <w:pPr>
        <w:spacing w:after="0" w:line="143" w:lineRule="exact"/>
        <w:rPr>
          <w:sz w:val="20"/>
          <w:szCs w:val="20"/>
          <w:color w:val="auto"/>
        </w:rPr>
      </w:pPr>
    </w:p>
    <w:p>
      <w:pPr>
        <w:ind w:left="1280" w:right="179" w:firstLine="349"/>
        <w:spacing w:after="0" w:line="262" w:lineRule="auto"/>
        <w:rPr>
          <w:sz w:val="20"/>
          <w:szCs w:val="20"/>
          <w:color w:val="auto"/>
        </w:rPr>
      </w:pPr>
      <w:r>
        <w:rPr>
          <w:rFonts w:ascii="Times New Roman" w:cs="Times New Roman" w:eastAsia="Times New Roman" w:hAnsi="Times New Roman"/>
          <w:sz w:val="14"/>
          <w:szCs w:val="14"/>
          <w:color w:val="auto"/>
        </w:rPr>
        <w:t>The selling stockholder and any broker-dealer or agents participating in the distribution of the Shares may be deemed to be “underwriters” within the meaning of Section 2(a)(11)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2(a)(11)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Exchange Act.</w:t>
      </w:r>
    </w:p>
    <w:p>
      <w:pPr>
        <w:spacing w:after="0" w:line="143" w:lineRule="exact"/>
        <w:rPr>
          <w:sz w:val="20"/>
          <w:szCs w:val="20"/>
          <w:color w:val="auto"/>
        </w:rPr>
      </w:pPr>
    </w:p>
    <w:p>
      <w:pPr>
        <w:ind w:left="1280" w:right="399" w:firstLine="349"/>
        <w:spacing w:after="0" w:line="262" w:lineRule="auto"/>
        <w:rPr>
          <w:sz w:val="20"/>
          <w:szCs w:val="20"/>
          <w:color w:val="auto"/>
        </w:rPr>
      </w:pPr>
      <w:r>
        <w:rPr>
          <w:rFonts w:ascii="Times New Roman" w:cs="Times New Roman" w:eastAsia="Times New Roman" w:hAnsi="Times New Roman"/>
          <w:sz w:val="14"/>
          <w:szCs w:val="14"/>
          <w:color w:val="auto"/>
        </w:rPr>
        <w:t>The selling stockholder has informed the Company that it is not a registered broker-dealer and does not have any written or oral agreement or understanding, directly or indirectly, with any person to distribute the Shares. Upon the Company being notified in writing by the selling stockholder that any material arrangement has been entered into with a broker-dealer for the sale of Shares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of common stock involved, (iii) the price at which such shares of common stock were sold, (iv) the commissions paid or discounts or</w:t>
      </w:r>
    </w:p>
    <w:p>
      <w:pPr>
        <w:spacing w:after="0" w:line="8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10159"/>
          </w:cols>
          <w:pgMar w:left="300" w:top="390"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1280" w:right="159"/>
        <w:spacing w:after="0" w:line="290" w:lineRule="auto"/>
        <w:rPr>
          <w:sz w:val="20"/>
          <w:szCs w:val="20"/>
          <w:color w:val="auto"/>
        </w:rPr>
      </w:pPr>
      <w:r>
        <w:rPr>
          <w:rFonts w:ascii="Times New Roman" w:cs="Times New Roman" w:eastAsia="Times New Roman" w:hAnsi="Times New Roman"/>
          <w:sz w:val="14"/>
          <w:szCs w:val="14"/>
          <w:color w:val="auto"/>
        </w:rPr>
        <w:t>concessions allowed to such broker-dealer(s), where applicable, (v) that such broker-dealer(s) did not conduct any investigation to verify the information set out in this prospectus, and (vi) other facts material to the transaction.</w:t>
      </w:r>
    </w:p>
    <w:p>
      <w:pPr>
        <w:spacing w:after="0" w:line="124" w:lineRule="exact"/>
        <w:rPr>
          <w:sz w:val="20"/>
          <w:szCs w:val="20"/>
          <w:color w:val="auto"/>
        </w:rPr>
      </w:pPr>
    </w:p>
    <w:p>
      <w:pPr>
        <w:ind w:left="1280" w:right="199" w:firstLine="349"/>
        <w:spacing w:after="0" w:line="272" w:lineRule="auto"/>
        <w:rPr>
          <w:sz w:val="20"/>
          <w:szCs w:val="20"/>
          <w:color w:val="auto"/>
        </w:rPr>
      </w:pPr>
      <w:r>
        <w:rPr>
          <w:rFonts w:ascii="Times New Roman" w:cs="Times New Roman" w:eastAsia="Times New Roman" w:hAnsi="Times New Roman"/>
          <w:sz w:val="14"/>
          <w:szCs w:val="14"/>
          <w:color w:val="auto"/>
        </w:rPr>
        <w:t>Under the securities laws of some U.S. states, the Shares may be sold in such states only through registered or licensed brokers or dealers. In addition, in some U.S. states the Shares may not be sold unless such Shares have been registered or qualified for sale in such state or an exemption from registration or qualification is available and is complied with.</w:t>
      </w:r>
    </w:p>
    <w:p>
      <w:pPr>
        <w:spacing w:after="0" w:line="137" w:lineRule="exact"/>
        <w:rPr>
          <w:sz w:val="20"/>
          <w:szCs w:val="20"/>
          <w:color w:val="auto"/>
        </w:rPr>
      </w:pPr>
    </w:p>
    <w:p>
      <w:pPr>
        <w:ind w:left="1280" w:right="359" w:firstLine="349"/>
        <w:spacing w:after="0" w:line="290" w:lineRule="auto"/>
        <w:rPr>
          <w:sz w:val="20"/>
          <w:szCs w:val="20"/>
          <w:color w:val="auto"/>
        </w:rPr>
      </w:pPr>
      <w:r>
        <w:rPr>
          <w:rFonts w:ascii="Times New Roman" w:cs="Times New Roman" w:eastAsia="Times New Roman" w:hAnsi="Times New Roman"/>
          <w:sz w:val="14"/>
          <w:szCs w:val="14"/>
          <w:color w:val="auto"/>
        </w:rPr>
        <w:t>There can be no assurance that the selling stockholder will sell any or all of the Shares registered pursuant to the shelf registration statement, of which this prospectus forms a part.</w:t>
      </w:r>
    </w:p>
    <w:p>
      <w:pPr>
        <w:spacing w:after="0" w:line="124" w:lineRule="exact"/>
        <w:rPr>
          <w:sz w:val="20"/>
          <w:szCs w:val="20"/>
          <w:color w:val="auto"/>
        </w:rPr>
      </w:pPr>
    </w:p>
    <w:p>
      <w:pPr>
        <w:ind w:left="1280" w:right="159" w:firstLine="349"/>
        <w:spacing w:after="0" w:line="262" w:lineRule="auto"/>
        <w:rPr>
          <w:sz w:val="20"/>
          <w:szCs w:val="20"/>
          <w:color w:val="auto"/>
        </w:rPr>
      </w:pPr>
      <w:r>
        <w:rPr>
          <w:rFonts w:ascii="Times New Roman" w:cs="Times New Roman" w:eastAsia="Times New Roman" w:hAnsi="Times New Roman"/>
          <w:sz w:val="14"/>
          <w:szCs w:val="14"/>
          <w:color w:val="auto"/>
        </w:rPr>
        <w:t>The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by the selling stockholder and any other participating person. To the extent applicable, Regulation M may also restrict the ability of any person engaged in the distribution of the Shares to engage in market-making activities with respect to the Shares. All of the foregoing may affect the marketability of the Shares and the ability of any person or entity to engage in market-making activities with respect to the Shares.</w:t>
      </w:r>
    </w:p>
    <w:p>
      <w:pPr>
        <w:spacing w:after="0" w:line="143" w:lineRule="exact"/>
        <w:rPr>
          <w:sz w:val="20"/>
          <w:szCs w:val="20"/>
          <w:color w:val="auto"/>
        </w:rPr>
      </w:pPr>
    </w:p>
    <w:p>
      <w:pPr>
        <w:jc w:val="both"/>
        <w:ind w:left="1280" w:right="379" w:firstLine="349"/>
        <w:spacing w:after="0" w:line="272" w:lineRule="auto"/>
        <w:rPr>
          <w:sz w:val="20"/>
          <w:szCs w:val="20"/>
          <w:color w:val="auto"/>
        </w:rPr>
      </w:pPr>
      <w:r>
        <w:rPr>
          <w:rFonts w:ascii="Times New Roman" w:cs="Times New Roman" w:eastAsia="Times New Roman" w:hAnsi="Times New Roman"/>
          <w:sz w:val="14"/>
          <w:szCs w:val="14"/>
          <w:color w:val="auto"/>
        </w:rPr>
        <w:t>We will pay all expenses of the registration of the Shares, including, without limitation, SEC filing fees and expenses of compliance with state securities or “blue sky” laws; provided, however, that the selling stockholder will pay all underwriting discounts and selling commissions, if any, and any related legal expenses incurred by it.</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10159"/>
          </w:cols>
          <w:pgMar w:left="300" w:top="390"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181" w:lineRule="exact"/>
        <w:rPr>
          <w:sz w:val="20"/>
          <w:szCs w:val="20"/>
          <w:color w:val="auto"/>
        </w:rPr>
      </w:pPr>
    </w:p>
    <w:p>
      <w:pPr>
        <w:ind w:left="1280" w:right="199" w:firstLine="349"/>
        <w:spacing w:after="0" w:line="267" w:lineRule="auto"/>
        <w:rPr>
          <w:sz w:val="20"/>
          <w:szCs w:val="20"/>
          <w:color w:val="auto"/>
        </w:rPr>
      </w:pPr>
      <w:r>
        <w:rPr>
          <w:rFonts w:ascii="Times New Roman" w:cs="Times New Roman" w:eastAsia="Times New Roman" w:hAnsi="Times New Roman"/>
          <w:sz w:val="14"/>
          <w:szCs w:val="14"/>
          <w:i w:val="1"/>
          <w:iCs w:val="1"/>
          <w:color w:val="auto"/>
        </w:rPr>
        <w:t>The following description summarizes some of the terms of capital stock. Because it is only a summary, it does not contain all the information that may be important to you and is subject to and qualified in its entirety by reference to our amended and restated certificate of incorporation, or the Certificate of Incorporation, and amended and restated bylaws, or the Bylaws, which are filed as exhibits to our most recent Annual Report on Form 10-K and are incorporated by reference herein. We encourage you to read our Certificate of Incorporation and our Bylaws for additional information.</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8" w:lineRule="exact"/>
        <w:rPr>
          <w:sz w:val="20"/>
          <w:szCs w:val="20"/>
          <w:color w:val="auto"/>
        </w:rPr>
      </w:pPr>
    </w:p>
    <w:p>
      <w:pPr>
        <w:ind w:left="1280" w:right="199" w:firstLine="349"/>
        <w:spacing w:after="0" w:line="263" w:lineRule="auto"/>
        <w:rPr>
          <w:sz w:val="20"/>
          <w:szCs w:val="20"/>
          <w:color w:val="auto"/>
        </w:rPr>
      </w:pPr>
      <w:r>
        <w:rPr>
          <w:rFonts w:ascii="Times New Roman" w:cs="Times New Roman" w:eastAsia="Times New Roman" w:hAnsi="Times New Roman"/>
          <w:sz w:val="14"/>
          <w:szCs w:val="14"/>
          <w:color w:val="auto"/>
        </w:rPr>
        <w:t>Our charter authorizes us to issue up to 200,000,000 shares of common stock, par value $0.001 per share, and 5,000,000 shares of preferred stock, par value $0.001 per share. The following summary sets forth some of the general terms of our common stock. Because this is a summary, it does not contain all of the information that may be important to you. For a more detailed description of our common stock, you should read our amended and restated certificate of incorporation and the amended and restated bylaws, each of which is an exhibit to our Annual Report on Form 10-K to which this summary is also an exhibit, and the applicable provisions of the Delaware General Corporation Law (the “DGCL”).</w:t>
      </w:r>
    </w:p>
    <w:p>
      <w:pPr>
        <w:spacing w:after="0" w:line="22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As of May 20, 2026, we had outstanding 10,355,809 shares of common stock.</w:t>
      </w:r>
    </w:p>
    <w:p>
      <w:pPr>
        <w:spacing w:after="0" w:line="2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Voting Rights</w:t>
      </w:r>
    </w:p>
    <w:p>
      <w:pPr>
        <w:spacing w:after="0" w:line="100" w:lineRule="exact"/>
        <w:rPr>
          <w:sz w:val="20"/>
          <w:szCs w:val="20"/>
          <w:color w:val="auto"/>
        </w:rPr>
      </w:pPr>
    </w:p>
    <w:p>
      <w:pPr>
        <w:ind w:left="1280" w:right="299" w:firstLine="349"/>
        <w:spacing w:after="0" w:line="266" w:lineRule="auto"/>
        <w:rPr>
          <w:sz w:val="20"/>
          <w:szCs w:val="20"/>
          <w:color w:val="auto"/>
        </w:rPr>
      </w:pPr>
      <w:r>
        <w:rPr>
          <w:rFonts w:ascii="Times New Roman" w:cs="Times New Roman" w:eastAsia="Times New Roman" w:hAnsi="Times New Roman"/>
          <w:sz w:val="14"/>
          <w:szCs w:val="14"/>
          <w:color w:val="auto"/>
        </w:rPr>
        <w:t>Each holder of common stock is entitled to one vote for each share on all matters properly submitted to a vote of the stockholders, including the election of directors. Under our amended and restated certificate of incorporation and amended and restated bylaws, our stockholders do not have cumulative voting rights. Because of this, the holders of a majority of the shares of common stock entitled to vote in any election of directors can elect all of the directors standing for election.</w:t>
      </w:r>
    </w:p>
    <w:p>
      <w:pPr>
        <w:spacing w:after="0" w:line="22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Dividend Rights</w:t>
      </w:r>
    </w:p>
    <w:p>
      <w:pPr>
        <w:spacing w:after="0" w:line="100" w:lineRule="exact"/>
        <w:rPr>
          <w:sz w:val="20"/>
          <w:szCs w:val="20"/>
          <w:color w:val="auto"/>
        </w:rPr>
      </w:pPr>
    </w:p>
    <w:p>
      <w:pPr>
        <w:jc w:val="both"/>
        <w:ind w:left="1280" w:right="339" w:firstLine="349"/>
        <w:spacing w:after="0" w:line="272" w:lineRule="auto"/>
        <w:rPr>
          <w:sz w:val="20"/>
          <w:szCs w:val="20"/>
          <w:color w:val="auto"/>
        </w:rPr>
      </w:pPr>
      <w:r>
        <w:rPr>
          <w:rFonts w:ascii="Times New Roman" w:cs="Times New Roman" w:eastAsia="Times New Roman" w:hAnsi="Times New Roman"/>
          <w:sz w:val="14"/>
          <w:szCs w:val="14"/>
          <w:color w:val="auto"/>
        </w:rPr>
        <w:t>Subject to preferences that may apply to any then-outstanding preferred stock, the holders of common stock are entitled to receive ratably those dividends, if any, as may be declared from time to time by the Board of Directors out of legally available funds. We do not anticipate paying any cash dividends in the foreseeable future.</w:t>
      </w:r>
    </w:p>
    <w:p>
      <w:pPr>
        <w:spacing w:after="0" w:line="2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Liquidation Rights</w:t>
      </w:r>
    </w:p>
    <w:p>
      <w:pPr>
        <w:spacing w:after="0" w:line="100" w:lineRule="exact"/>
        <w:rPr>
          <w:sz w:val="20"/>
          <w:szCs w:val="20"/>
          <w:color w:val="auto"/>
        </w:rPr>
      </w:pPr>
    </w:p>
    <w:p>
      <w:pPr>
        <w:ind w:left="1280" w:right="519" w:firstLine="349"/>
        <w:spacing w:after="0" w:line="272"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2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Preemptive or Similar Rights</w:t>
      </w:r>
    </w:p>
    <w:p>
      <w:pPr>
        <w:spacing w:after="0" w:line="100" w:lineRule="exact"/>
        <w:rPr>
          <w:sz w:val="20"/>
          <w:szCs w:val="20"/>
          <w:color w:val="auto"/>
        </w:rPr>
      </w:pPr>
    </w:p>
    <w:p>
      <w:pPr>
        <w:ind w:left="1280" w:right="159" w:firstLine="349"/>
        <w:spacing w:after="0" w:line="272" w:lineRule="auto"/>
        <w:rPr>
          <w:sz w:val="20"/>
          <w:szCs w:val="20"/>
          <w:color w:val="auto"/>
        </w:rPr>
      </w:pPr>
      <w:r>
        <w:rPr>
          <w:rFonts w:ascii="Times New Roman" w:cs="Times New Roman" w:eastAsia="Times New Roman" w:hAnsi="Times New Roman"/>
          <w:sz w:val="14"/>
          <w:szCs w:val="14"/>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21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Reverse Stock Split</w:t>
      </w:r>
    </w:p>
    <w:p>
      <w:pPr>
        <w:spacing w:after="0" w:line="100" w:lineRule="exact"/>
        <w:rPr>
          <w:sz w:val="20"/>
          <w:szCs w:val="20"/>
          <w:color w:val="auto"/>
        </w:rPr>
      </w:pPr>
    </w:p>
    <w:p>
      <w:pPr>
        <w:ind w:left="1280" w:right="179" w:firstLine="349"/>
        <w:spacing w:after="0" w:line="290" w:lineRule="auto"/>
        <w:rPr>
          <w:sz w:val="20"/>
          <w:szCs w:val="20"/>
          <w:color w:val="auto"/>
        </w:rPr>
      </w:pPr>
      <w:r>
        <w:rPr>
          <w:rFonts w:ascii="Times New Roman" w:cs="Times New Roman" w:eastAsia="Times New Roman" w:hAnsi="Times New Roman"/>
          <w:sz w:val="14"/>
          <w:szCs w:val="14"/>
          <w:color w:val="auto"/>
        </w:rPr>
        <w:t>On September 12, 2025, the Company filed a certificate of amendment of its Certificate of Incorporation with the Secretary of State of the State of Delaware, which caused each twenty (20) shares of common stock</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10159"/>
          </w:cols>
          <w:pgMar w:left="300" w:top="390"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jc w:val="both"/>
        <w:ind w:left="1280" w:right="539"/>
        <w:spacing w:after="0" w:line="272" w:lineRule="auto"/>
        <w:rPr>
          <w:sz w:val="20"/>
          <w:szCs w:val="20"/>
          <w:color w:val="auto"/>
        </w:rPr>
      </w:pPr>
      <w:r>
        <w:rPr>
          <w:rFonts w:ascii="Times New Roman" w:cs="Times New Roman" w:eastAsia="Times New Roman" w:hAnsi="Times New Roman"/>
          <w:sz w:val="14"/>
          <w:szCs w:val="14"/>
          <w:color w:val="auto"/>
        </w:rPr>
        <w:t>either issued and outstanding or held by the Company in treasury stock immediately prior to 12:01 a.m., Eastern Time, on September 15, 2025 to automatically and without any action on the part of the respective holders thereof, be combined and converted into one (1) share of common stock without increasing or decreasing the par value of each share.</w:t>
      </w:r>
    </w:p>
    <w:p>
      <w:pPr>
        <w:spacing w:after="0" w:line="2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8" w:lineRule="exact"/>
        <w:rPr>
          <w:sz w:val="20"/>
          <w:szCs w:val="20"/>
          <w:color w:val="auto"/>
        </w:rPr>
      </w:pPr>
    </w:p>
    <w:p>
      <w:pPr>
        <w:ind w:left="1280" w:right="179" w:firstLine="349"/>
        <w:spacing w:after="0" w:line="262" w:lineRule="auto"/>
        <w:rPr>
          <w:sz w:val="20"/>
          <w:szCs w:val="20"/>
          <w:color w:val="auto"/>
        </w:rPr>
      </w:pPr>
      <w:r>
        <w:rPr>
          <w:rFonts w:ascii="Times New Roman" w:cs="Times New Roman" w:eastAsia="Times New Roman" w:hAnsi="Times New Roman"/>
          <w:sz w:val="14"/>
          <w:szCs w:val="14"/>
          <w:color w:val="auto"/>
        </w:rPr>
        <w:t>Our Board of Directors may, without further action by our stockholders, fix the rights, preferences, privileges and restrictions of up to an aggregate of 5,000,000 shares of preferred stock in one or more series and authorize their issuance. These rights, preferences and privileges could include dividend rights, conversion rights, voting rights, terms of redemption, liquidation preferences and the number of shares constituting any series or the designation of such series, any or all of which may be greater than the rights of common stock. Any issuance of preferred stock could adversely affect the voting power of holders of common stock and the likelihood that such holders would receive dividend payments and payments on liquidation. In addition, the issuance of preferred stock could have the effect of delaying, deterring or preventing a change of control or other corporate action.</w:t>
      </w:r>
    </w:p>
    <w:p>
      <w:pPr>
        <w:spacing w:after="0" w:line="1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Currently, no shares of preferred stock are outstanding. We have no present plan to issue any shares of preferred stock.</w:t>
      </w:r>
    </w:p>
    <w:p>
      <w:pPr>
        <w:spacing w:after="0" w:line="2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Certificate of Incorporation and Bylaws</w:t>
      </w:r>
    </w:p>
    <w:p>
      <w:pPr>
        <w:spacing w:after="0" w:line="10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w:t>
      </w:r>
    </w:p>
    <w:p>
      <w:pPr>
        <w:spacing w:after="0" w:line="106" w:lineRule="exact"/>
        <w:rPr>
          <w:sz w:val="20"/>
          <w:szCs w:val="20"/>
          <w:color w:val="auto"/>
        </w:rPr>
      </w:pPr>
    </w:p>
    <w:p>
      <w:pPr>
        <w:ind w:left="2060" w:right="359" w:hanging="350"/>
        <w:spacing w:after="0" w:line="290" w:lineRule="auto"/>
        <w:tabs>
          <w:tab w:leader="none" w:pos="20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permit our Board of Directors to issue up to 5,000,000 shares of preferred stock, with any rights, preferences and privileges as they may designate, including the right to approve an acquisition or other change of control;</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authorized number of directors may be changed only by resolution of our Board of Directors;</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Board of Directors will be classified into three classes of directors;</w:t>
      </w:r>
    </w:p>
    <w:p>
      <w:pPr>
        <w:spacing w:after="0" w:line="106" w:lineRule="exact"/>
        <w:rPr>
          <w:rFonts w:ascii="Times New Roman" w:cs="Times New Roman" w:eastAsia="Times New Roman" w:hAnsi="Times New Roman"/>
          <w:sz w:val="14"/>
          <w:szCs w:val="14"/>
          <w:color w:val="auto"/>
        </w:rPr>
      </w:pPr>
    </w:p>
    <w:p>
      <w:pPr>
        <w:ind w:left="2060" w:right="359" w:hanging="350"/>
        <w:spacing w:after="0" w:line="272" w:lineRule="auto"/>
        <w:tabs>
          <w:tab w:leader="none" w:pos="20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subject to the rights of any series of preferred stock to elect directors, directors may only be removed for cause, which removal may be effected, subject to any limitation imposed by law, by the holders of at least a majority of the voting power of all of our then-outstanding shares of the capital stock entitled to vote generally at an election of directors; and</w:t>
      </w:r>
    </w:p>
    <w:p>
      <w:pPr>
        <w:spacing w:after="0" w:line="61" w:lineRule="exact"/>
        <w:rPr>
          <w:rFonts w:ascii="Times New Roman" w:cs="Times New Roman" w:eastAsia="Times New Roman" w:hAnsi="Times New Roman"/>
          <w:sz w:val="14"/>
          <w:szCs w:val="14"/>
          <w:color w:val="auto"/>
        </w:rPr>
      </w:pPr>
    </w:p>
    <w:p>
      <w:pPr>
        <w:ind w:left="2060" w:right="439" w:hanging="350"/>
        <w:spacing w:after="0" w:line="290" w:lineRule="auto"/>
        <w:tabs>
          <w:tab w:leader="none" w:pos="20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all vacancies, including newly created directorships, may, except as otherwise required by law, be filled by the affirmative vote of a majority of directors then in office, even if less than a quorum.</w:t>
      </w:r>
    </w:p>
    <w:p>
      <w:pPr>
        <w:spacing w:after="0" w:line="49" w:lineRule="exact"/>
        <w:rPr>
          <w:rFonts w:ascii="Times New Roman" w:cs="Times New Roman" w:eastAsia="Times New Roman" w:hAnsi="Times New Roman"/>
          <w:sz w:val="14"/>
          <w:szCs w:val="14"/>
          <w:color w:val="auto"/>
        </w:rPr>
      </w:pPr>
    </w:p>
    <w:p>
      <w:pPr>
        <w:ind w:left="2060" w:right="179" w:hanging="350"/>
        <w:spacing w:after="0" w:line="272" w:lineRule="auto"/>
        <w:tabs>
          <w:tab w:leader="none" w:pos="20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any action to be taken by our stockholders must be effected at a duly called annual or special meeting of stockholders and not be taken by written consent or electronic transmission, except as otherwise expressly provided by the terms of any series of preferred stock permitting the holders of preferred stock to act by written consent;</w:t>
      </w:r>
    </w:p>
    <w:p>
      <w:pPr>
        <w:spacing w:after="0" w:line="61" w:lineRule="exact"/>
        <w:rPr>
          <w:rFonts w:ascii="Times New Roman" w:cs="Times New Roman" w:eastAsia="Times New Roman" w:hAnsi="Times New Roman"/>
          <w:sz w:val="14"/>
          <w:szCs w:val="14"/>
          <w:color w:val="auto"/>
        </w:rPr>
      </w:pPr>
    </w:p>
    <w:p>
      <w:pPr>
        <w:ind w:left="2060" w:right="239" w:hanging="350"/>
        <w:spacing w:after="0" w:line="272" w:lineRule="auto"/>
        <w:tabs>
          <w:tab w:leader="none" w:pos="20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61" w:lineRule="exact"/>
        <w:rPr>
          <w:rFonts w:ascii="Times New Roman" w:cs="Times New Roman" w:eastAsia="Times New Roman" w:hAnsi="Times New Roman"/>
          <w:sz w:val="14"/>
          <w:szCs w:val="14"/>
          <w:color w:val="auto"/>
        </w:rPr>
      </w:pPr>
    </w:p>
    <w:p>
      <w:pPr>
        <w:ind w:left="2060" w:right="179" w:hanging="350"/>
        <w:spacing w:after="0" w:line="290" w:lineRule="auto"/>
        <w:tabs>
          <w:tab w:leader="none" w:pos="20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special meetings of our stockholders may be called only by the chairman of our Board of Directors, our chief executive officer or by our Board of Directors pursuant to a resolution adopted by a majority of the total number of authorized directors; and</w:t>
      </w:r>
    </w:p>
    <w:p>
      <w:pPr>
        <w:spacing w:after="0" w:line="49" w:lineRule="exact"/>
        <w:rPr>
          <w:rFonts w:ascii="Times New Roman" w:cs="Times New Roman" w:eastAsia="Times New Roman" w:hAnsi="Times New Roman"/>
          <w:sz w:val="14"/>
          <w:szCs w:val="14"/>
          <w:color w:val="auto"/>
        </w:rPr>
      </w:pPr>
    </w:p>
    <w:p>
      <w:pPr>
        <w:ind w:left="2060" w:right="279" w:hanging="350"/>
        <w:spacing w:after="0" w:line="290" w:lineRule="auto"/>
        <w:tabs>
          <w:tab w:leader="none" w:pos="206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provide for cumulative voting rights, therefore allowing the holders of a majority of the shares of common stock entitled to vote in any election of directors to elect all of the directors standing for election, if they should so choose.</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10159"/>
          </w:cols>
          <w:pgMar w:left="300" w:top="390"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1280" w:right="599" w:firstLine="349"/>
        <w:spacing w:after="0" w:line="290" w:lineRule="auto"/>
        <w:rPr>
          <w:sz w:val="20"/>
          <w:szCs w:val="20"/>
          <w:color w:val="auto"/>
        </w:rPr>
      </w:pPr>
      <w:r>
        <w:rPr>
          <w:rFonts w:ascii="Times New Roman" w:cs="Times New Roman" w:eastAsia="Times New Roman" w:hAnsi="Times New Roman"/>
          <w:sz w:val="14"/>
          <w:szCs w:val="14"/>
          <w:color w:val="auto"/>
        </w:rPr>
        <w:t>The amendment of any of these provisions would require approval by the holders of at least 66 2/3% of the voting power of all of our then-outstanding capital stock entitled to vote generally in the election of directors, voting together as a single class.</w:t>
      </w:r>
    </w:p>
    <w:p>
      <w:pPr>
        <w:spacing w:after="0" w:line="124" w:lineRule="exact"/>
        <w:rPr>
          <w:sz w:val="20"/>
          <w:szCs w:val="20"/>
          <w:color w:val="auto"/>
        </w:rPr>
      </w:pPr>
    </w:p>
    <w:p>
      <w:pPr>
        <w:ind w:left="1280" w:right="159" w:firstLine="349"/>
        <w:spacing w:after="0" w:line="263" w:lineRule="auto"/>
        <w:rPr>
          <w:sz w:val="20"/>
          <w:szCs w:val="20"/>
          <w:color w:val="auto"/>
        </w:rPr>
      </w:pPr>
      <w:r>
        <w:rPr>
          <w:rFonts w:ascii="Times New Roman" w:cs="Times New Roman" w:eastAsia="Times New Roman" w:hAnsi="Times New Roman"/>
          <w:sz w:val="14"/>
          <w:szCs w:val="14"/>
          <w:color w:val="auto"/>
        </w:rPr>
        <w:t>The combination of these provisions make it more difficult for our existing stockholders to replace our Board of Directors as well as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44" w:lineRule="exact"/>
        <w:rPr>
          <w:sz w:val="20"/>
          <w:szCs w:val="20"/>
          <w:color w:val="auto"/>
        </w:rPr>
      </w:pPr>
    </w:p>
    <w:p>
      <w:pPr>
        <w:ind w:left="1280" w:right="219" w:firstLine="349"/>
        <w:spacing w:after="0" w:line="263" w:lineRule="auto"/>
        <w:rPr>
          <w:sz w:val="20"/>
          <w:szCs w:val="20"/>
          <w:color w:val="auto"/>
        </w:rPr>
      </w:pPr>
      <w:r>
        <w:rPr>
          <w:rFonts w:ascii="Times New Roman" w:cs="Times New Roman" w:eastAsia="Times New Roman" w:hAnsi="Times New Roman"/>
          <w:sz w:val="14"/>
          <w:szCs w:val="14"/>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Delaware business combination statute</w:t>
      </w:r>
    </w:p>
    <w:p>
      <w:pPr>
        <w:spacing w:after="0" w:line="100" w:lineRule="exact"/>
        <w:rPr>
          <w:sz w:val="20"/>
          <w:szCs w:val="20"/>
          <w:color w:val="auto"/>
        </w:rPr>
      </w:pPr>
    </w:p>
    <w:p>
      <w:pPr>
        <w:ind w:left="1280" w:right="399" w:firstLine="349"/>
        <w:spacing w:after="0" w:line="262" w:lineRule="auto"/>
        <w:rPr>
          <w:sz w:val="20"/>
          <w:szCs w:val="20"/>
          <w:color w:val="auto"/>
        </w:rPr>
      </w:pPr>
      <w:r>
        <w:rPr>
          <w:rFonts w:ascii="Times New Roman" w:cs="Times New Roman" w:eastAsia="Times New Roman" w:hAnsi="Times New Roman"/>
          <w:sz w:val="14"/>
          <w:szCs w:val="14"/>
          <w:color w:val="auto"/>
        </w:rPr>
        <w:t>We are subject to Section 203 of the DGCL. Subject to certain exceptions, Section 203 prevents a publicly held Delaware corporation from engaging in a “business combination” with any “interested stockholder” for three years following the date that the person became an interested stockholder, unless the interested stockholder attained such status with the approval of our Board of Directors or unless the business combination is approved in a prescribed manner. A “business combination” includes, among other things, a merger or consolidation involving us and the “interested stockholder” and the sale of more than 10% of our assets. In general, an “interested stockholder” is any entity or person beneficially owning 15% or more of our outstanding voting stock and any entity or person affiliated with or controlling or controlled by such entity or person.</w:t>
      </w:r>
    </w:p>
    <w:p>
      <w:pPr>
        <w:spacing w:after="0" w:line="2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Amendment of certificate of incorporation and bylaws</w:t>
      </w:r>
    </w:p>
    <w:p>
      <w:pPr>
        <w:spacing w:after="0" w:line="100" w:lineRule="exact"/>
        <w:rPr>
          <w:sz w:val="20"/>
          <w:szCs w:val="20"/>
          <w:color w:val="auto"/>
        </w:rPr>
      </w:pPr>
    </w:p>
    <w:p>
      <w:pPr>
        <w:ind w:left="1280" w:right="319" w:firstLine="349"/>
        <w:spacing w:after="0" w:line="290" w:lineRule="auto"/>
        <w:rPr>
          <w:sz w:val="20"/>
          <w:szCs w:val="20"/>
          <w:color w:val="auto"/>
        </w:rPr>
      </w:pPr>
      <w:r>
        <w:rPr>
          <w:rFonts w:ascii="Times New Roman" w:cs="Times New Roman" w:eastAsia="Times New Roman" w:hAnsi="Times New Roman"/>
          <w:sz w:val="14"/>
          <w:szCs w:val="14"/>
          <w:color w:val="auto"/>
        </w:rPr>
        <w:t>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w:t>
      </w:r>
    </w:p>
    <w:p>
      <w:pPr>
        <w:spacing w:after="0" w:line="20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i w:val="1"/>
          <w:iCs w:val="1"/>
          <w:color w:val="auto"/>
        </w:rPr>
        <w:t>Exclusive forum selection</w:t>
      </w:r>
    </w:p>
    <w:p>
      <w:pPr>
        <w:spacing w:after="0" w:line="100" w:lineRule="exact"/>
        <w:rPr>
          <w:sz w:val="20"/>
          <w:szCs w:val="20"/>
          <w:color w:val="auto"/>
        </w:rPr>
      </w:pPr>
    </w:p>
    <w:p>
      <w:pPr>
        <w:ind w:left="1280" w:right="199" w:firstLine="349"/>
        <w:spacing w:after="0" w:line="258" w:lineRule="auto"/>
        <w:rPr>
          <w:sz w:val="20"/>
          <w:szCs w:val="20"/>
          <w:color w:val="auto"/>
        </w:rPr>
      </w:pPr>
      <w:r>
        <w:rPr>
          <w:rFonts w:ascii="Times New Roman" w:cs="Times New Roman" w:eastAsia="Times New Roman" w:hAnsi="Times New Roman"/>
          <w:sz w:val="14"/>
          <w:szCs w:val="14"/>
          <w:color w:val="auto"/>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9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10159"/>
          </w:cols>
          <w:pgMar w:left="300" w:top="390" w:right="1440"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Listing on The Nasdaq Global Market</w:t>
      </w:r>
    </w:p>
    <w:p>
      <w:pPr>
        <w:spacing w:after="0" w:line="9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Our common stock is listed on The Nasdaq Global Market under the symbol “BDSX.”</w:t>
      </w:r>
    </w:p>
    <w:p>
      <w:pPr>
        <w:spacing w:after="0" w:line="26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Authorized but unissued shares</w:t>
      </w:r>
    </w:p>
    <w:p>
      <w:pPr>
        <w:spacing w:after="0" w:line="98" w:lineRule="exact"/>
        <w:rPr>
          <w:sz w:val="20"/>
          <w:szCs w:val="20"/>
          <w:color w:val="auto"/>
        </w:rPr>
      </w:pPr>
    </w:p>
    <w:p>
      <w:pPr>
        <w:ind w:left="1280" w:right="179" w:firstLine="349"/>
        <w:spacing w:after="0" w:line="266" w:lineRule="auto"/>
        <w:rPr>
          <w:sz w:val="20"/>
          <w:szCs w:val="20"/>
          <w:color w:val="auto"/>
        </w:rPr>
      </w:pPr>
      <w:r>
        <w:rPr>
          <w:rFonts w:ascii="Times New Roman" w:cs="Times New Roman" w:eastAsia="Times New Roman" w:hAnsi="Times New Roman"/>
          <w:sz w:val="14"/>
          <w:szCs w:val="14"/>
          <w:color w:val="auto"/>
        </w:rPr>
        <w:t>The authorized but unissued shares of common stock and preferred stock are available for future issuance without stockholder approval, subject to any limitations imposed by the listing requirements of The Nasdaq 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8" w:lineRule="exact"/>
        <w:rPr>
          <w:sz w:val="20"/>
          <w:szCs w:val="20"/>
          <w:color w:val="auto"/>
        </w:rPr>
      </w:pPr>
    </w:p>
    <w:p>
      <w:pPr>
        <w:ind w:left="1280" w:right="319" w:firstLine="349"/>
        <w:spacing w:after="0" w:line="290" w:lineRule="auto"/>
        <w:rPr>
          <w:sz w:val="20"/>
          <w:szCs w:val="20"/>
          <w:color w:val="auto"/>
        </w:rPr>
      </w:pPr>
      <w:r>
        <w:rPr>
          <w:rFonts w:ascii="Times New Roman" w:cs="Times New Roman" w:eastAsia="Times New Roman" w:hAnsi="Times New Roman"/>
          <w:sz w:val="14"/>
          <w:szCs w:val="14"/>
          <w:color w:val="auto"/>
        </w:rPr>
        <w:t>The transfer agent and registrar for our common stock is Computershare Trust Company, N.A. The transfer agent’s address is 150 Royall Street, Canton, Massachusetts 02021, and its telephone number is (800) 736-3001.</w:t>
      </w:r>
    </w:p>
    <w:p>
      <w:pPr>
        <w:spacing w:after="0" w:line="7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10159"/>
          </w:cols>
          <w:pgMar w:left="300" w:top="390" w:right="1440"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83"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The validity of the shares of common stock being offered hereby will be passed upon for us by Sidley Austin LLP, San Francisco, California.</w:t>
      </w:r>
    </w:p>
    <w:p>
      <w:pPr>
        <w:spacing w:after="0" w:line="2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4"/>
          <w:szCs w:val="14"/>
          <w:color w:val="auto"/>
        </w:rPr>
        <w:t>Partners of Sidley Austin LLP own less than 1% of our outstanding common stock.</w:t>
      </w:r>
    </w:p>
    <w:p>
      <w:pPr>
        <w:spacing w:after="0" w:line="3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3" w:lineRule="exact"/>
        <w:rPr>
          <w:sz w:val="20"/>
          <w:szCs w:val="20"/>
          <w:color w:val="auto"/>
        </w:rPr>
      </w:pPr>
    </w:p>
    <w:p>
      <w:pPr>
        <w:ind w:left="1280" w:right="299" w:firstLine="349"/>
        <w:spacing w:after="0" w:line="272" w:lineRule="auto"/>
        <w:rPr>
          <w:sz w:val="20"/>
          <w:szCs w:val="20"/>
          <w:color w:val="auto"/>
        </w:rPr>
      </w:pPr>
      <w:r>
        <w:rPr>
          <w:rFonts w:ascii="Times New Roman" w:cs="Times New Roman" w:eastAsia="Times New Roman" w:hAnsi="Times New Roman"/>
          <w:sz w:val="14"/>
          <w:szCs w:val="14"/>
          <w:color w:val="auto"/>
        </w:rPr>
        <w:t>The financial statements of Biodesix, Inc. as of December 31, 2025 and 2024, and for the years then ended, have been incorporated by reference herein in reliance upon the report of KPMG LLP, independent registered public accounting firm, incorporated by reference herein, and upon the authority of said firm as experts in accounting and auditing.</w:t>
      </w:r>
    </w:p>
    <w:p>
      <w:pPr>
        <w:spacing w:after="0" w:line="8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10159"/>
          </w:cols>
          <w:pgMar w:left="300" w:top="390" w:right="1440"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3" w:lineRule="exact"/>
        <w:rPr>
          <w:sz w:val="20"/>
          <w:szCs w:val="20"/>
          <w:color w:val="auto"/>
        </w:rPr>
      </w:pPr>
    </w:p>
    <w:p>
      <w:pPr>
        <w:ind w:left="1280" w:right="159" w:firstLine="349"/>
        <w:spacing w:after="0" w:line="259"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with respect to the securities offered by this prospectus and any applicable prospectus supplement. This prospectus and any applicable prospectus supplement do not contain all of the information set forth in the registration statement and its exhibits and schedules in accordance with SEC rules and regulations. For further information with respect to our Company and the securities being offered by this prospectus and any applicable prospectus supplement, we refer you to the registration statement, including its exhibits and schedules. Statements contained in this prospectus and any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website at http://www.sec.gov.</w:t>
      </w:r>
    </w:p>
    <w:p>
      <w:pPr>
        <w:spacing w:after="0" w:line="147" w:lineRule="exact"/>
        <w:rPr>
          <w:sz w:val="20"/>
          <w:szCs w:val="20"/>
          <w:color w:val="auto"/>
        </w:rPr>
      </w:pPr>
    </w:p>
    <w:p>
      <w:pPr>
        <w:ind w:left="1280" w:right="259" w:firstLine="349"/>
        <w:spacing w:after="0" w:line="263"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documents with the SEC under the Exchange Act. The SEC maintains a website that contains reports, proxy and information statements and other information regarding issuers, including us, that file electronically with the SEC. You may obtain documents that we file with the SEC at http://www.sec.gov. We also make these documents available on our website at www.biodesix.com. Our website and the information contained or accessible through our website is not incorporated by reference in this prospectus or any prospectus supplement, and you should not consider it part of this prospectus or any prospectus supplement.</w:t>
      </w:r>
    </w:p>
    <w:p>
      <w:pPr>
        <w:spacing w:after="0" w:line="31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4"/>
          <w:szCs w:val="14"/>
          <w:b w:val="1"/>
          <w:bCs w:val="1"/>
          <w:color w:val="auto"/>
        </w:rPr>
        <w:t>INCORPORATION OF CERTAIN INFORMATION BY REFERENCE</w:t>
      </w:r>
    </w:p>
    <w:p>
      <w:pPr>
        <w:spacing w:after="0" w:line="183" w:lineRule="exact"/>
        <w:rPr>
          <w:sz w:val="20"/>
          <w:szCs w:val="20"/>
          <w:color w:val="auto"/>
        </w:rPr>
      </w:pPr>
    </w:p>
    <w:p>
      <w:pPr>
        <w:ind w:left="1280" w:right="159" w:firstLine="349"/>
        <w:spacing w:after="0" w:line="263" w:lineRule="auto"/>
        <w:rPr>
          <w:sz w:val="20"/>
          <w:szCs w:val="20"/>
          <w:color w:val="auto"/>
        </w:rPr>
      </w:pPr>
      <w:r>
        <w:rPr>
          <w:rFonts w:ascii="Times New Roman" w:cs="Times New Roman" w:eastAsia="Times New Roman" w:hAnsi="Times New Roman"/>
          <w:sz w:val="14"/>
          <w:szCs w:val="14"/>
          <w:color w:val="auto"/>
        </w:rPr>
        <w:t>SEC rules permit us to incorporate information by reference in this prospectus. This means that we can disclose important information to you by referring you to another document filed separately with the SEC. The information incorporated by reference is considered to be part of this prospectus, except for information superseded by information contained in this prospectus itself or in any subsequently filed incorporated document. This prospectus and any accompanying prospectus supplement incorporate by reference the documents set forth below that have previously been filed with the SEC. These documents contain important information about us and our business and financial condition.</w:t>
      </w:r>
    </w:p>
    <w:p>
      <w:pPr>
        <w:spacing w:after="0" w:line="69" w:lineRule="exact"/>
        <w:rPr>
          <w:sz w:val="20"/>
          <w:szCs w:val="20"/>
          <w:color w:val="auto"/>
        </w:rPr>
      </w:pPr>
    </w:p>
    <w:p>
      <w:pPr>
        <w:ind w:left="2060" w:hanging="350"/>
        <w:spacing w:after="0"/>
        <w:tabs>
          <w:tab w:leader="none" w:pos="20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49">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year ended December 31, 2025, filed with the SEC on February 26, 2026;</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Quarterly Report on </w:t>
      </w:r>
      <w:hyperlink r:id="rId50">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period ended March 31, 2026, filed with the SEC on May 4, 2026;</w:t>
      </w:r>
    </w:p>
    <w:p>
      <w:pPr>
        <w:spacing w:after="0" w:line="106"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51">
        <w:r>
          <w:rPr>
            <w:rFonts w:ascii="Times New Roman" w:cs="Times New Roman" w:eastAsia="Times New Roman" w:hAnsi="Times New Roman"/>
            <w:sz w:val="14"/>
            <w:szCs w:val="14"/>
            <w:u w:val="single" w:color="auto"/>
            <w:color w:val="0000EE"/>
          </w:rPr>
          <w:t>January 12,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2">
        <w:r>
          <w:rPr>
            <w:rFonts w:ascii="Times New Roman" w:cs="Times New Roman" w:eastAsia="Times New Roman" w:hAnsi="Times New Roman"/>
            <w:sz w:val="14"/>
            <w:szCs w:val="14"/>
            <w:u w:val="single" w:color="auto"/>
            <w:color w:val="0000EE"/>
          </w:rPr>
          <w:t>May 20, 2026</w:t>
        </w:r>
      </w:hyperlink>
      <w:r>
        <w:rPr>
          <w:rFonts w:ascii="Times New Roman" w:cs="Times New Roman" w:eastAsia="Times New Roman" w:hAnsi="Times New Roman"/>
          <w:sz w:val="14"/>
          <w:szCs w:val="14"/>
          <w:color w:val="auto"/>
        </w:rPr>
        <w:t>;</w:t>
      </w:r>
    </w:p>
    <w:p>
      <w:pPr>
        <w:spacing w:after="0" w:line="106" w:lineRule="exact"/>
        <w:rPr>
          <w:rFonts w:ascii="Times New Roman" w:cs="Times New Roman" w:eastAsia="Times New Roman" w:hAnsi="Times New Roman"/>
          <w:sz w:val="14"/>
          <w:szCs w:val="14"/>
          <w:color w:val="auto"/>
        </w:rPr>
      </w:pPr>
    </w:p>
    <w:p>
      <w:pPr>
        <w:ind w:left="2060" w:right="519" w:hanging="350"/>
        <w:spacing w:after="0" w:line="290" w:lineRule="auto"/>
        <w:tabs>
          <w:tab w:leader="none" w:pos="20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Form 10-K from our Definitive Proxy Statement on Schedule 14A, filed with the SEC on </w:t>
      </w:r>
      <w:hyperlink r:id="rId53">
        <w:r>
          <w:rPr>
            <w:rFonts w:ascii="Times New Roman" w:cs="Times New Roman" w:eastAsia="Times New Roman" w:hAnsi="Times New Roman"/>
            <w:sz w:val="14"/>
            <w:szCs w:val="14"/>
            <w:u w:val="single" w:color="auto"/>
            <w:color w:val="0000EE"/>
          </w:rPr>
          <w:t>April 9, 2026</w:t>
        </w:r>
      </w:hyperlink>
      <w:r>
        <w:rPr>
          <w:rFonts w:ascii="Times New Roman" w:cs="Times New Roman" w:eastAsia="Times New Roman" w:hAnsi="Times New Roman"/>
          <w:sz w:val="14"/>
          <w:szCs w:val="14"/>
          <w:color w:val="auto"/>
        </w:rPr>
        <w:t>; and</w:t>
      </w:r>
    </w:p>
    <w:p>
      <w:pPr>
        <w:spacing w:after="0" w:line="49" w:lineRule="exact"/>
        <w:rPr>
          <w:rFonts w:ascii="Times New Roman" w:cs="Times New Roman" w:eastAsia="Times New Roman" w:hAnsi="Times New Roman"/>
          <w:sz w:val="14"/>
          <w:szCs w:val="14"/>
          <w:color w:val="auto"/>
        </w:rPr>
      </w:pPr>
    </w:p>
    <w:p>
      <w:pPr>
        <w:ind w:left="2060" w:hanging="350"/>
        <w:spacing w:after="0"/>
        <w:tabs>
          <w:tab w:leader="none" w:pos="20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54">
        <w:r>
          <w:rPr>
            <w:rFonts w:ascii="Times New Roman" w:cs="Times New Roman" w:eastAsia="Times New Roman" w:hAnsi="Times New Roman"/>
            <w:sz w:val="14"/>
            <w:szCs w:val="14"/>
            <w:u w:val="single" w:color="auto"/>
            <w:color w:val="0000EE"/>
          </w:rPr>
          <w:t>Form 8-A</w:t>
        </w:r>
      </w:hyperlink>
      <w:r>
        <w:rPr>
          <w:rFonts w:ascii="Times New Roman" w:cs="Times New Roman" w:eastAsia="Times New Roman" w:hAnsi="Times New Roman"/>
          <w:sz w:val="14"/>
          <w:szCs w:val="14"/>
          <w:color w:val="auto"/>
        </w:rPr>
        <w:t>, dated October 26, 2020.</w:t>
      </w:r>
    </w:p>
    <w:p>
      <w:pPr>
        <w:spacing w:after="0" w:line="181" w:lineRule="exact"/>
        <w:rPr>
          <w:rFonts w:ascii="Times New Roman" w:cs="Times New Roman" w:eastAsia="Times New Roman" w:hAnsi="Times New Roman"/>
          <w:sz w:val="14"/>
          <w:szCs w:val="14"/>
          <w:color w:val="auto"/>
        </w:rPr>
      </w:pPr>
    </w:p>
    <w:p>
      <w:pPr>
        <w:ind w:left="1280" w:right="299" w:firstLine="349"/>
        <w:spacing w:after="0" w:line="263" w:lineRule="auto"/>
        <w:rPr>
          <w:sz w:val="20"/>
          <w:szCs w:val="20"/>
          <w:color w:val="auto"/>
        </w:rPr>
      </w:pPr>
      <w:r>
        <w:rPr>
          <w:rFonts w:ascii="Times New Roman" w:cs="Times New Roman" w:eastAsia="Times New Roman" w:hAnsi="Times New Roman"/>
          <w:sz w:val="14"/>
          <w:szCs w:val="14"/>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w:t>
      </w:r>
    </w:p>
    <w:p>
      <w:pPr>
        <w:spacing w:after="0" w:line="91" w:lineRule="exact"/>
        <w:rPr>
          <w:rFonts w:ascii="Times New Roman" w:cs="Times New Roman" w:eastAsia="Times New Roman" w:hAnsi="Times New Roman"/>
          <w:sz w:val="14"/>
          <w:szCs w:val="14"/>
          <w:color w:val="auto"/>
        </w:rPr>
      </w:pPr>
    </w:p>
    <w:p>
      <w:pPr>
        <w:ind w:left="5580"/>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10159"/>
          </w:cols>
          <w:pgMar w:left="300" w:top="390" w:right="1440"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1280" w:right="359"/>
        <w:spacing w:after="0" w:line="290" w:lineRule="auto"/>
        <w:rPr>
          <w:sz w:val="20"/>
          <w:szCs w:val="20"/>
          <w:color w:val="auto"/>
        </w:rPr>
      </w:pPr>
      <w:r>
        <w:rPr>
          <w:rFonts w:ascii="Times New Roman" w:cs="Times New Roman" w:eastAsia="Times New Roman" w:hAnsi="Times New Roman"/>
          <w:sz w:val="14"/>
          <w:szCs w:val="14"/>
          <w:color w:val="auto"/>
        </w:rPr>
        <w:t>any of the securities covered under this prospectus shall be deemed to be incorporated by reference into this prospectus and will automatically update and supersede the information in this prospectus and any previously filed documents.</w:t>
      </w:r>
    </w:p>
    <w:p>
      <w:pPr>
        <w:spacing w:after="0" w:line="124" w:lineRule="exact"/>
        <w:rPr>
          <w:sz w:val="20"/>
          <w:szCs w:val="20"/>
          <w:color w:val="auto"/>
        </w:rPr>
      </w:pPr>
    </w:p>
    <w:p>
      <w:pPr>
        <w:ind w:left="1280" w:right="199" w:firstLine="349"/>
        <w:spacing w:after="0" w:line="266" w:lineRule="auto"/>
        <w:rPr>
          <w:sz w:val="20"/>
          <w:szCs w:val="20"/>
          <w:color w:val="auto"/>
        </w:rPr>
      </w:pPr>
      <w:r>
        <w:rPr>
          <w:rFonts w:ascii="Times New Roman" w:cs="Times New Roman" w:eastAsia="Times New Roman" w:hAnsi="Times New Roman"/>
          <w:sz w:val="14"/>
          <w:szCs w:val="14"/>
          <w:color w:val="auto"/>
        </w:rPr>
        <w:t>Any statement contained herein or in a document incorporated or deemed to be incorporated by reference in this prospectus shall be deemed to be modified or superseded for purposes of this prospectus to the extent that a statement contained in this prospectus, or in any other subsequently filed document which also is or is deemed to be incorporated by reference in this prospectus, modifies or supersedes such earlier statement. Any statement so modified or superseded shall not be deemed, except as so modified or superseded, to constitute a part of this prospectus.</w:t>
      </w:r>
    </w:p>
    <w:p>
      <w:pPr>
        <w:spacing w:after="0" w:line="141" w:lineRule="exact"/>
        <w:rPr>
          <w:sz w:val="20"/>
          <w:szCs w:val="20"/>
          <w:color w:val="auto"/>
        </w:rPr>
      </w:pPr>
    </w:p>
    <w:p>
      <w:pPr>
        <w:ind w:left="1280" w:right="199" w:firstLine="349"/>
        <w:spacing w:after="0" w:line="266" w:lineRule="auto"/>
        <w:rPr>
          <w:sz w:val="20"/>
          <w:szCs w:val="20"/>
          <w:color w:val="auto"/>
        </w:rPr>
      </w:pPr>
      <w:r>
        <w:rPr>
          <w:rFonts w:ascii="Times New Roman" w:cs="Times New Roman" w:eastAsia="Times New Roman" w:hAnsi="Times New Roman"/>
          <w:sz w:val="14"/>
          <w:szCs w:val="14"/>
          <w:color w:val="auto"/>
        </w:rPr>
        <w:t>You can obtain any of the filings incorporated by reference into this prospectus through us or from the SEC through the SEC’s website at http://www.sec.gov. Upon request, we will provide, without charge, a copy of any or all of the reports and documents referred to above which have been incorporated by reference into this prospectus. Prospective investors may obtain documents incorporated by reference in this prospectus by requesting them in writing or by telephone from us at our executive offices at:</w:t>
      </w:r>
    </w:p>
    <w:p>
      <w:pPr>
        <w:spacing w:after="0" w:line="1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Biodesix, Inc.</w:t>
      </w:r>
    </w:p>
    <w:p>
      <w:pPr>
        <w:spacing w:after="0" w:line="2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919 West Dillon Road</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Louisville, Colorado 80027</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(303) 417-0500</w:t>
      </w:r>
    </w:p>
    <w:p>
      <w:pPr>
        <w:spacing w:after="0" w:line="167" w:lineRule="exact"/>
        <w:rPr>
          <w:sz w:val="20"/>
          <w:szCs w:val="20"/>
          <w:color w:val="auto"/>
        </w:rPr>
      </w:pPr>
    </w:p>
    <w:p>
      <w:pPr>
        <w:ind w:left="1280" w:right="219" w:firstLine="349"/>
        <w:spacing w:after="0" w:line="266" w:lineRule="auto"/>
        <w:rPr>
          <w:sz w:val="20"/>
          <w:szCs w:val="20"/>
          <w:color w:val="auto"/>
        </w:rPr>
      </w:pPr>
      <w:r>
        <w:rPr>
          <w:rFonts w:ascii="Times New Roman" w:cs="Times New Roman" w:eastAsia="Times New Roman" w:hAnsi="Times New Roman"/>
          <w:sz w:val="14"/>
          <w:szCs w:val="14"/>
          <w:color w:val="auto"/>
        </w:rPr>
        <w:t>Our reports and documents incorporated by reference herein may also be found in the “Investor Relations” section of our website at www.biodesix.com. The content of our website and any information that is linked to or accessible from our website (other than our filings with the SEC that are incorporated by reference, as set forth under “Incorporation of Certain Information by Reference” is not incorporated by reference into this prospectus and you should not consider it a part of this prospectus.</w:t>
      </w:r>
    </w:p>
    <w:p>
      <w:pPr>
        <w:spacing w:after="0" w:line="88"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10159"/>
          </w:cols>
          <w:pgMar w:left="300" w:top="390" w:right="1440"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193675</wp:posOffset>
            </wp:positionV>
            <wp:extent cx="553847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538470" cy="1333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234315</wp:posOffset>
            </wp:positionV>
            <wp:extent cx="553847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5538470" cy="698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1096010</wp:posOffset>
            </wp:positionV>
            <wp:extent cx="1635760" cy="31877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635760" cy="318770"/>
                    </a:xfrm>
                    <a:prstGeom prst="rect">
                      <a:avLst/>
                    </a:prstGeom>
                    <a:noFill/>
                  </pic:spPr>
                </pic:pic>
              </a:graphicData>
            </a:graphic>
          </wp:anchor>
        </w:drawing>
      </w:r>
    </w:p>
    <w:p>
      <w:pPr>
        <w:sectPr>
          <w:pgSz w:w="11900" w:h="16838" w:orient="portrait"/>
          <w:cols w:equalWidth="0" w:num="1">
            <w:col w:w="10159"/>
          </w:cols>
          <w:pgMar w:left="300" w:top="3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9"/>
          <w:szCs w:val="19"/>
          <w:b w:val="1"/>
          <w:bCs w:val="1"/>
          <w:color w:val="auto"/>
        </w:rPr>
        <w:t>Up to 375,000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920750</wp:posOffset>
            </wp:positionV>
            <wp:extent cx="116078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3003550</wp:posOffset>
            </wp:positionH>
            <wp:positionV relativeFrom="paragraph">
              <wp:posOffset>190500</wp:posOffset>
            </wp:positionV>
            <wp:extent cx="116078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116078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4"/>
          <w:szCs w:val="14"/>
          <w:b w:val="1"/>
          <w:bCs w:val="1"/>
          <w:color w:val="auto"/>
        </w:rPr>
        <w: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342900</wp:posOffset>
            </wp:positionV>
            <wp:extent cx="553847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5538470" cy="6985"/>
                    </a:xfrm>
                    <a:prstGeom prst="rect">
                      <a:avLst/>
                    </a:prstGeom>
                    <a:noFill/>
                  </pic:spPr>
                </pic:pic>
              </a:graphicData>
            </a:graphic>
          </wp:anchor>
        </w:drawing>
        <w:drawing>
          <wp:anchor simplePos="0" relativeHeight="251657728" behindDoc="1" locked="0" layoutInCell="0" allowOverlap="1">
            <wp:simplePos x="0" y="0"/>
            <wp:positionH relativeFrom="column">
              <wp:posOffset>817880</wp:posOffset>
            </wp:positionH>
            <wp:positionV relativeFrom="paragraph">
              <wp:posOffset>396875</wp:posOffset>
            </wp:positionV>
            <wp:extent cx="553847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5538470" cy="13335"/>
                    </a:xfrm>
                    <a:prstGeom prst="rect">
                      <a:avLst/>
                    </a:prstGeom>
                    <a:noFill/>
                  </pic:spPr>
                </pic:pic>
              </a:graphicData>
            </a:graphic>
          </wp:anchor>
        </w:drawing>
      </w:r>
    </w:p>
    <w:p>
      <w:pPr>
        <w:sectPr>
          <w:pgSz w:w="11900" w:h="16838" w:orient="portrait"/>
          <w:cols w:equalWidth="0" w:num="1">
            <w:col w:w="10159"/>
          </w:cols>
          <w:pgMar w:left="300" w:top="390" w:right="1440"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4">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87" w:lineRule="exact"/>
        <w:rPr>
          <w:sz w:val="20"/>
          <w:szCs w:val="20"/>
          <w:color w:val="auto"/>
        </w:rPr>
      </w:pPr>
    </w:p>
    <w:p>
      <w:pPr>
        <w:ind w:left="128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Item 14.</w:t>
      </w:r>
      <w:r>
        <w:rPr>
          <w:sz w:val="20"/>
          <w:szCs w:val="20"/>
          <w:color w:val="auto"/>
        </w:rPr>
        <w:tab/>
      </w:r>
      <w:r>
        <w:rPr>
          <w:rFonts w:ascii="Times New Roman" w:cs="Times New Roman" w:eastAsia="Times New Roman" w:hAnsi="Times New Roman"/>
          <w:sz w:val="14"/>
          <w:szCs w:val="14"/>
          <w:b w:val="1"/>
          <w:bCs w:val="1"/>
          <w:color w:val="auto"/>
        </w:rPr>
        <w:t>Other Expenses of Issuance and Distribution</w:t>
      </w:r>
    </w:p>
    <w:p>
      <w:pPr>
        <w:spacing w:after="0" w:line="98" w:lineRule="exact"/>
        <w:rPr>
          <w:sz w:val="20"/>
          <w:szCs w:val="20"/>
          <w:color w:val="auto"/>
        </w:rPr>
      </w:pPr>
    </w:p>
    <w:p>
      <w:pPr>
        <w:ind w:left="1280" w:right="279" w:firstLine="349"/>
        <w:spacing w:after="0" w:line="272" w:lineRule="auto"/>
        <w:rPr>
          <w:sz w:val="20"/>
          <w:szCs w:val="20"/>
          <w:color w:val="auto"/>
        </w:rPr>
      </w:pPr>
      <w:r>
        <w:rPr>
          <w:rFonts w:ascii="Times New Roman" w:cs="Times New Roman" w:eastAsia="Times New Roman" w:hAnsi="Times New Roman"/>
          <w:sz w:val="14"/>
          <w:szCs w:val="14"/>
          <w:color w:val="auto"/>
        </w:rPr>
        <w:t>Set forth below is an estimate (except in the case of the registration fee) of the amount of fees and expenses to be incurred in connection with the issuance and distribution of the offered securities, other than underwriting discounts and commissions. All amounts are estimates except the SEC registration fee.</w:t>
      </w:r>
    </w:p>
    <w:p>
      <w:pPr>
        <w:spacing w:after="0" w:line="173" w:lineRule="exact"/>
        <w:rPr>
          <w:sz w:val="20"/>
          <w:szCs w:val="20"/>
          <w:color w:val="auto"/>
        </w:rPr>
      </w:pPr>
    </w:p>
    <w:tbl>
      <w:tblPr>
        <w:tblLayout w:type="fixed"/>
        <w:tblInd w:w="1280" w:type="dxa"/>
        <w:tblCellMar>
          <w:top w:w="0" w:type="dxa"/>
          <w:left w:w="0" w:type="dxa"/>
          <w:bottom w:w="0" w:type="dxa"/>
          <w:right w:w="0" w:type="dxa"/>
        </w:tblCellMar>
      </w:tblPr>
      <w:tr>
        <w:trPr>
          <w:trHeight w:val="171"/>
        </w:trPr>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SEC registration fee</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749.37</w:t>
            </w:r>
          </w:p>
        </w:tc>
        <w:tc>
          <w:tcPr>
            <w:tcW w:w="60" w:type="dxa"/>
            <w:vAlign w:val="bottom"/>
            <w:shd w:val="clear" w:color="auto" w:fill="CCEEFF"/>
          </w:tcPr>
          <w:p>
            <w:pPr>
              <w:spacing w:after="0"/>
              <w:rPr>
                <w:sz w:val="14"/>
                <w:szCs w:val="14"/>
                <w:color w:val="auto"/>
              </w:rPr>
            </w:pPr>
          </w:p>
        </w:tc>
      </w:tr>
      <w:tr>
        <w:trPr>
          <w:trHeight w:val="171"/>
        </w:trPr>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Legal fees and expenses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71"/>
        </w:trPr>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Accounting fees and expenses</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r>
      <w:tr>
        <w:trPr>
          <w:trHeight w:val="171"/>
        </w:trPr>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Printing expenses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71"/>
        </w:trPr>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Transfer agent and registrar fees</w:t>
            </w:r>
          </w:p>
        </w:tc>
        <w:tc>
          <w:tcPr>
            <w:tcW w:w="1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r>
      <w:tr>
        <w:trPr>
          <w:trHeight w:val="172"/>
        </w:trPr>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4"/>
                <w:szCs w:val="14"/>
                <w:color w:val="auto"/>
              </w:rPr>
              <w:t>Miscellaneous</w:t>
            </w: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r>
      <w:tr>
        <w:trPr>
          <w:trHeight w:val="171"/>
        </w:trPr>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r>
      <w:tr>
        <w:trPr>
          <w:trHeight w:val="107"/>
        </w:trPr>
        <w:tc>
          <w:tcPr>
            <w:tcW w:w="2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4060" w:type="dxa"/>
            <w:vAlign w:val="bottom"/>
            <w:gridSpan w:val="2"/>
          </w:tcPr>
          <w:p>
            <w:pPr>
              <w:spacing w:after="0"/>
              <w:rPr>
                <w:sz w:val="9"/>
                <w:szCs w:val="9"/>
                <w:color w:val="auto"/>
              </w:rPr>
            </w:pPr>
          </w:p>
        </w:tc>
        <w:tc>
          <w:tcPr>
            <w:tcW w:w="1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93"/>
        </w:trPr>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4820" w:type="dxa"/>
            <w:vAlign w:val="bottom"/>
            <w:gridSpan w:val="3"/>
          </w:tcPr>
          <w:p>
            <w:pPr>
              <w:ind w:left="140"/>
              <w:spacing w:after="0"/>
              <w:rPr>
                <w:sz w:val="20"/>
                <w:szCs w:val="20"/>
                <w:color w:val="auto"/>
              </w:rPr>
            </w:pPr>
            <w:r>
              <w:rPr>
                <w:rFonts w:ascii="Times New Roman" w:cs="Times New Roman" w:eastAsia="Times New Roman" w:hAnsi="Times New Roman"/>
                <w:sz w:val="14"/>
                <w:szCs w:val="14"/>
                <w:color w:val="auto"/>
              </w:rPr>
              <w:t>Estimated expenses not presently known.</w:t>
            </w:r>
          </w:p>
        </w:tc>
        <w:tc>
          <w:tcPr>
            <w:tcW w:w="1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r>
    </w:tbl>
    <w:p>
      <w:pPr>
        <w:spacing w:after="0" w:line="273" w:lineRule="exact"/>
        <w:rPr>
          <w:sz w:val="20"/>
          <w:szCs w:val="20"/>
          <w:color w:val="auto"/>
        </w:rPr>
      </w:pPr>
    </w:p>
    <w:p>
      <w:pPr>
        <w:ind w:left="128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Item 15.</w:t>
      </w:r>
      <w:r>
        <w:rPr>
          <w:sz w:val="20"/>
          <w:szCs w:val="20"/>
          <w:color w:val="auto"/>
        </w:rPr>
        <w:tab/>
      </w:r>
      <w:r>
        <w:rPr>
          <w:rFonts w:ascii="Times New Roman" w:cs="Times New Roman" w:eastAsia="Times New Roman" w:hAnsi="Times New Roman"/>
          <w:sz w:val="14"/>
          <w:szCs w:val="14"/>
          <w:b w:val="1"/>
          <w:bCs w:val="1"/>
          <w:color w:val="auto"/>
        </w:rPr>
        <w:t>Indemnification of Directors and Officers</w:t>
      </w:r>
    </w:p>
    <w:p>
      <w:pPr>
        <w:spacing w:after="0" w:line="98" w:lineRule="exact"/>
        <w:rPr>
          <w:sz w:val="20"/>
          <w:szCs w:val="20"/>
          <w:color w:val="auto"/>
        </w:rPr>
      </w:pPr>
    </w:p>
    <w:p>
      <w:pPr>
        <w:ind w:left="1280" w:right="219" w:firstLine="349"/>
        <w:spacing w:after="0" w:line="266" w:lineRule="auto"/>
        <w:rPr>
          <w:sz w:val="20"/>
          <w:szCs w:val="20"/>
          <w:color w:val="auto"/>
        </w:rPr>
      </w:pPr>
      <w:r>
        <w:rPr>
          <w:rFonts w:ascii="Times New Roman" w:cs="Times New Roman" w:eastAsia="Times New Roman" w:hAnsi="Times New Roman"/>
          <w:sz w:val="14"/>
          <w:szCs w:val="14"/>
          <w:color w:val="auto"/>
        </w:rPr>
        <w:t>No director of the Company shall be personally liable to the Company or its stockholders for monetary damages for breach of fiduciary duty as a director, except to the extent such exemption from liability or limitation thereof is not permitted under the DGCL, as it presently exists or may hereafter be amended from time to time.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41" w:lineRule="exact"/>
        <w:rPr>
          <w:sz w:val="20"/>
          <w:szCs w:val="20"/>
          <w:color w:val="auto"/>
        </w:rPr>
      </w:pPr>
    </w:p>
    <w:p>
      <w:pPr>
        <w:ind w:left="1280" w:right="179" w:firstLine="349"/>
        <w:spacing w:after="0" w:line="259" w:lineRule="auto"/>
        <w:rPr>
          <w:sz w:val="20"/>
          <w:szCs w:val="20"/>
          <w:color w:val="auto"/>
        </w:rPr>
      </w:pPr>
      <w:r>
        <w:rPr>
          <w:rFonts w:ascii="Times New Roman" w:cs="Times New Roman" w:eastAsia="Times New Roman" w:hAnsi="Times New Roman"/>
          <w:sz w:val="14"/>
          <w:szCs w:val="14"/>
          <w:color w:val="auto"/>
        </w:rPr>
        <w:t>The Company shall indemnify its directors and officers to the fullest extent authorized or permitted by the DGCL, as now or hereafter in effect, and such right to indemnification shall continue as to a person who has ceased to be a director or officer of the Company and shall inure to the benefit of such person’s heirs, executors and personal and legal representatives. A director’s or officer’s right to indemnification shall include the right to be paid by the Company the expenses incurred in defending or otherwise participating in any proceeding in advance of its final disposition, provided that such director or officer presents to the Company a written undertaking to repay such amount if it shall ultimately be determined that such director or officer is not entitled to be indemnified by the Company. Notwithstanding the foregoing, except for proceedings to enforce any director’s or officer’s rights to indemnification or rights to advancement of expenses, the Company shall not be obligated to indemnify any director or officer, or advance expenses of any director or officer, (or such director’s or officer’s heirs, executors or personal or legal representatives) in connection with any proceeding (or part thereof) initiated by such person unless such proceeding (or part thereof) was authorized by the Board.</w:t>
      </w:r>
    </w:p>
    <w:p>
      <w:pPr>
        <w:spacing w:after="0" w:line="147" w:lineRule="exact"/>
        <w:rPr>
          <w:sz w:val="20"/>
          <w:szCs w:val="20"/>
          <w:color w:val="auto"/>
        </w:rPr>
      </w:pPr>
    </w:p>
    <w:p>
      <w:pPr>
        <w:ind w:left="1280" w:right="159" w:firstLine="349"/>
        <w:spacing w:after="0" w:line="272" w:lineRule="auto"/>
        <w:rPr>
          <w:sz w:val="20"/>
          <w:szCs w:val="20"/>
          <w:color w:val="auto"/>
        </w:rPr>
      </w:pPr>
      <w:r>
        <w:rPr>
          <w:rFonts w:ascii="Times New Roman" w:cs="Times New Roman" w:eastAsia="Times New Roman" w:hAnsi="Times New Roman"/>
          <w:sz w:val="14"/>
          <w:szCs w:val="14"/>
          <w:color w:val="auto"/>
        </w:rPr>
        <w:t>The rights to indemnification and advancement of expenses shall neither be exclusive of, nor be deemed in limitation of, any rights to which any person may otherwise be or become entitled or permitted under the Certificate of Incorporation, the Bylaws, any statute, agreement, vote of stockholders or disinterested directors or otherwise.</w:t>
      </w:r>
    </w:p>
    <w:p>
      <w:pPr>
        <w:spacing w:after="0" w:line="137" w:lineRule="exact"/>
        <w:rPr>
          <w:sz w:val="20"/>
          <w:szCs w:val="20"/>
          <w:color w:val="auto"/>
        </w:rPr>
      </w:pPr>
    </w:p>
    <w:p>
      <w:pPr>
        <w:ind w:left="1280" w:right="219" w:firstLine="349"/>
        <w:spacing w:after="0" w:line="272" w:lineRule="auto"/>
        <w:rPr>
          <w:sz w:val="20"/>
          <w:szCs w:val="20"/>
          <w:color w:val="auto"/>
        </w:rPr>
      </w:pPr>
      <w:r>
        <w:rPr>
          <w:rFonts w:ascii="Times New Roman" w:cs="Times New Roman" w:eastAsia="Times New Roman" w:hAnsi="Times New Roman"/>
          <w:sz w:val="14"/>
          <w:szCs w:val="14"/>
          <w:color w:val="auto"/>
        </w:rPr>
        <w:t>To the fullest extent authorized or permitted by the DGCL, the Company may purchase and maintain insurance on behalf of any current or former director or officer of the Company against any liability asserted against such person, whether or not the Company would have the power to indemnify such person against such liability.</w:t>
      </w:r>
    </w:p>
    <w:p>
      <w:pPr>
        <w:spacing w:after="0" w:line="137" w:lineRule="exact"/>
        <w:rPr>
          <w:sz w:val="20"/>
          <w:szCs w:val="20"/>
          <w:color w:val="auto"/>
        </w:rPr>
      </w:pPr>
    </w:p>
    <w:p>
      <w:pPr>
        <w:ind w:left="1280" w:right="399" w:firstLine="349"/>
        <w:spacing w:after="0" w:line="272" w:lineRule="auto"/>
        <w:rPr>
          <w:sz w:val="20"/>
          <w:szCs w:val="20"/>
          <w:color w:val="auto"/>
        </w:rPr>
      </w:pPr>
      <w:r>
        <w:rPr>
          <w:rFonts w:ascii="Times New Roman" w:cs="Times New Roman" w:eastAsia="Times New Roman" w:hAnsi="Times New Roman"/>
          <w:sz w:val="14"/>
          <w:szCs w:val="14"/>
          <w:color w:val="auto"/>
        </w:rPr>
        <w:t>Any underwriting agreement or distribution agreement that we enter into with any underwriter or agents involved in the offering or sale of any securities registered hereby may require such underwriters or dealers to indemnify us, some or all of our directors and officers and our controlling persons, if any, for specified liabilities, which may include liabilities under the Securities Act.</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II-1</w:t>
      </w:r>
    </w:p>
    <w:p>
      <w:pPr>
        <w:sectPr>
          <w:pgSz w:w="11900" w:h="16838" w:orient="portrait"/>
          <w:cols w:equalWidth="0" w:num="1">
            <w:col w:w="10159"/>
          </w:cols>
          <w:pgMar w:left="300" w:top="390"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4" w:lineRule="exact"/>
        <w:rPr>
          <w:sz w:val="20"/>
          <w:szCs w:val="20"/>
          <w:color w:val="auto"/>
        </w:rPr>
      </w:pPr>
    </w:p>
    <w:tbl>
      <w:tblPr>
        <w:tblLayout w:type="fixed"/>
        <w:tblInd w:w="1280" w:type="dxa"/>
        <w:tblCellMar>
          <w:top w:w="0" w:type="dxa"/>
          <w:left w:w="0" w:type="dxa"/>
          <w:bottom w:w="0" w:type="dxa"/>
          <w:right w:w="0" w:type="dxa"/>
        </w:tblCellMar>
      </w:tblPr>
      <w:tr>
        <w:trPr>
          <w:trHeight w:val="189"/>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16.</w:t>
            </w:r>
          </w:p>
        </w:tc>
        <w:tc>
          <w:tcPr>
            <w:tcW w:w="8060" w:type="dxa"/>
            <w:vAlign w:val="bottom"/>
            <w:gridSpan w:val="31"/>
          </w:tcPr>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Exhibits</w:t>
            </w:r>
          </w:p>
        </w:tc>
        <w:tc>
          <w:tcPr>
            <w:tcW w:w="0" w:type="dxa"/>
            <w:vAlign w:val="bottom"/>
          </w:tcPr>
          <w:p>
            <w:pPr>
              <w:spacing w:after="0"/>
              <w:rPr>
                <w:sz w:val="1"/>
                <w:szCs w:val="1"/>
                <w:color w:val="auto"/>
              </w:rPr>
            </w:pPr>
          </w:p>
        </w:tc>
      </w:tr>
      <w:tr>
        <w:trPr>
          <w:trHeight w:val="195"/>
        </w:trPr>
        <w:tc>
          <w:tcPr>
            <w:tcW w:w="6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140" w:type="dxa"/>
            <w:vAlign w:val="bottom"/>
            <w:gridSpan w:val="26"/>
            <w:vMerge w:val="restart"/>
          </w:tcPr>
          <w:p>
            <w:pPr>
              <w:ind w:left="660"/>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c>
          <w:tcPr>
            <w:tcW w:w="0" w:type="dxa"/>
            <w:vAlign w:val="bottom"/>
          </w:tcPr>
          <w:p>
            <w:pPr>
              <w:spacing w:after="0"/>
              <w:rPr>
                <w:sz w:val="1"/>
                <w:szCs w:val="1"/>
                <w:color w:val="auto"/>
              </w:rPr>
            </w:pPr>
          </w:p>
        </w:tc>
      </w:tr>
      <w:tr>
        <w:trPr>
          <w:trHeight w:val="138"/>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5140" w:type="dxa"/>
            <w:vAlign w:val="bottom"/>
            <w:tcBorders>
              <w:bottom w:val="single" w:sz="8" w:color="auto"/>
            </w:tcBorders>
            <w:gridSpan w:val="26"/>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740" w:type="dxa"/>
            <w:vAlign w:val="bottom"/>
            <w:gridSpan w:val="30"/>
          </w:tcPr>
          <w:p>
            <w:pPr>
              <w:spacing w:after="0"/>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Amended and Restated Certificate of Incorporation of Biodesix, Inc. (previously filed with the Company’s Annual Report on Form</w:t>
              </w:r>
            </w:hyperlink>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0" w:type="dxa"/>
            <w:vAlign w:val="bottom"/>
            <w:tcBorders>
              <w:top w:val="single" w:sz="8" w:color="0000EE"/>
              <w:bottom w:val="single" w:sz="8" w:color="0000EE"/>
            </w:tcBorders>
            <w:gridSpan w:val="4"/>
          </w:tcPr>
          <w:p>
            <w:pPr>
              <w:spacing w:after="0" w:line="151" w:lineRule="exact"/>
              <w:rPr>
                <w:rFonts w:ascii="Times New Roman" w:cs="Times New Roman" w:eastAsia="Times New Roman" w:hAnsi="Times New Roman"/>
                <w:sz w:val="14"/>
                <w:szCs w:val="14"/>
                <w:color w:val="0000EE"/>
              </w:rPr>
            </w:pPr>
            <w:hyperlink r:id="rId66">
              <w:r>
                <w:rPr>
                  <w:rFonts w:ascii="Times New Roman" w:cs="Times New Roman" w:eastAsia="Times New Roman" w:hAnsi="Times New Roman"/>
                  <w:sz w:val="14"/>
                  <w:szCs w:val="14"/>
                  <w:color w:val="0000EE"/>
                </w:rPr>
                <w:t>10-K filed with the SEC on March 13, 2021).</w:t>
              </w:r>
            </w:hyperlink>
          </w:p>
        </w:tc>
        <w:tc>
          <w:tcPr>
            <w:tcW w:w="4880" w:type="dxa"/>
            <w:vAlign w:val="bottom"/>
            <w:tcBorders>
              <w:top w:val="single" w:sz="8" w:color="0000EE"/>
            </w:tcBorders>
            <w:gridSpan w:val="20"/>
          </w:tcPr>
          <w:p>
            <w:pPr>
              <w:spacing w:after="0"/>
              <w:rPr>
                <w:sz w:val="13"/>
                <w:szCs w:val="13"/>
                <w:color w:val="auto"/>
              </w:rPr>
            </w:pPr>
          </w:p>
        </w:tc>
        <w:tc>
          <w:tcPr>
            <w:tcW w:w="2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40" w:type="dxa"/>
            <w:vAlign w:val="bottom"/>
            <w:gridSpan w:val="30"/>
          </w:tcPr>
          <w:p>
            <w:pPr>
              <w:spacing w:after="0"/>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Amended and Restated Bylaws of Biodesix, Inc. (previously filed with the Company’s Annual Report on Form 10-K filed with the</w:t>
              </w:r>
            </w:hyperlink>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tcBorders>
              <w:top w:val="single" w:sz="8" w:color="0000EE"/>
              <w:bottom w:val="single" w:sz="8" w:color="0000EE"/>
            </w:tcBorders>
            <w:gridSpan w:val="2"/>
          </w:tcPr>
          <w:p>
            <w:pPr>
              <w:spacing w:after="0" w:line="151" w:lineRule="exact"/>
              <w:rPr>
                <w:rFonts w:ascii="Times New Roman" w:cs="Times New Roman" w:eastAsia="Times New Roman" w:hAnsi="Times New Roman"/>
                <w:sz w:val="14"/>
                <w:szCs w:val="14"/>
                <w:color w:val="0000EE"/>
              </w:rPr>
            </w:pPr>
            <w:hyperlink r:id="rId67">
              <w:r>
                <w:rPr>
                  <w:rFonts w:ascii="Times New Roman" w:cs="Times New Roman" w:eastAsia="Times New Roman" w:hAnsi="Times New Roman"/>
                  <w:sz w:val="14"/>
                  <w:szCs w:val="14"/>
                  <w:color w:val="0000EE"/>
                </w:rPr>
                <w:t>SEC on March 13, 2021).</w:t>
              </w:r>
            </w:hyperlink>
          </w:p>
        </w:tc>
        <w:tc>
          <w:tcPr>
            <w:tcW w:w="5980" w:type="dxa"/>
            <w:vAlign w:val="bottom"/>
            <w:tcBorders>
              <w:top w:val="single" w:sz="8" w:color="0000EE"/>
            </w:tcBorders>
            <w:gridSpan w:val="21"/>
          </w:tcPr>
          <w:p>
            <w:pPr>
              <w:spacing w:after="0"/>
              <w:rPr>
                <w:sz w:val="13"/>
                <w:szCs w:val="13"/>
                <w:color w:val="auto"/>
              </w:rPr>
            </w:pPr>
          </w:p>
        </w:tc>
        <w:tc>
          <w:tcPr>
            <w:tcW w:w="2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3.3**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40" w:type="dxa"/>
            <w:vAlign w:val="bottom"/>
            <w:gridSpan w:val="30"/>
          </w:tcPr>
          <w:p>
            <w:pPr>
              <w:spacing w:after="0"/>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Certificate of Amendment to the Amended and Restated Certificate of Incorporation of the Registrant (previously filed with the</w:t>
              </w:r>
            </w:hyperlink>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80" w:type="dxa"/>
            <w:vAlign w:val="bottom"/>
            <w:tcBorders>
              <w:top w:val="single" w:sz="8" w:color="0000EE"/>
            </w:tcBorders>
            <w:gridSpan w:val="20"/>
          </w:tcPr>
          <w:p>
            <w:pPr>
              <w:spacing w:after="0" w:line="151" w:lineRule="exact"/>
              <w:rPr>
                <w:rFonts w:ascii="Times New Roman" w:cs="Times New Roman" w:eastAsia="Times New Roman" w:hAnsi="Times New Roman"/>
                <w:sz w:val="14"/>
                <w:szCs w:val="14"/>
                <w:color w:val="0000EE"/>
              </w:rPr>
            </w:pPr>
            <w:hyperlink r:id="rId68">
              <w:r>
                <w:rPr>
                  <w:rFonts w:ascii="Times New Roman" w:cs="Times New Roman" w:eastAsia="Times New Roman" w:hAnsi="Times New Roman"/>
                  <w:sz w:val="14"/>
                  <w:szCs w:val="14"/>
                  <w:color w:val="0000EE"/>
                </w:rPr>
                <w:t>Company’s Current Report on Form 8-K filed with the SEC on September 15, 2025).</w:t>
              </w:r>
            </w:hyperlink>
          </w:p>
        </w:tc>
        <w:tc>
          <w:tcPr>
            <w:tcW w:w="46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3.4**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40" w:type="dxa"/>
            <w:vAlign w:val="bottom"/>
            <w:gridSpan w:val="30"/>
          </w:tcPr>
          <w:p>
            <w:pPr>
              <w:spacing w:after="0"/>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Certificate of Elimination of the Series A Non-Voting Convertible Preferred Stock of Biodesix, Inc. (previously filed with the</w:t>
              </w:r>
            </w:hyperlink>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160" w:type="dxa"/>
            <w:vAlign w:val="bottom"/>
            <w:tcBorders>
              <w:top w:val="single" w:sz="8" w:color="0000EE"/>
            </w:tcBorders>
            <w:gridSpan w:val="16"/>
          </w:tcPr>
          <w:p>
            <w:pPr>
              <w:spacing w:after="0" w:line="151" w:lineRule="exact"/>
              <w:rPr>
                <w:rFonts w:ascii="Times New Roman" w:cs="Times New Roman" w:eastAsia="Times New Roman" w:hAnsi="Times New Roman"/>
                <w:sz w:val="14"/>
                <w:szCs w:val="14"/>
                <w:color w:val="0000EE"/>
              </w:rPr>
            </w:pPr>
            <w:hyperlink r:id="rId69">
              <w:r>
                <w:rPr>
                  <w:rFonts w:ascii="Times New Roman" w:cs="Times New Roman" w:eastAsia="Times New Roman" w:hAnsi="Times New Roman"/>
                  <w:sz w:val="14"/>
                  <w:szCs w:val="14"/>
                  <w:color w:val="0000EE"/>
                </w:rPr>
                <w:t>Company’s Current Report on Form 8-K filed with the SEC on September 15, 2025).</w:t>
              </w:r>
            </w:hyperlink>
          </w:p>
        </w:tc>
        <w:tc>
          <w:tcPr>
            <w:tcW w:w="5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4.1**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40" w:type="dxa"/>
            <w:vAlign w:val="bottom"/>
            <w:tcBorders>
              <w:bottom w:val="single" w:sz="8" w:color="0000EE"/>
            </w:tcBorders>
            <w:gridSpan w:val="29"/>
          </w:tcPr>
          <w:p>
            <w:pPr>
              <w:spacing w:after="0"/>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Warrant to Purchase Stock, dated November 21, 2022, issued by the Company to Perceptive Credit Holdings IV, LP (previously filed</w:t>
              </w:r>
            </w:hyperlink>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360" w:type="dxa"/>
            <w:vAlign w:val="bottom"/>
            <w:tcBorders>
              <w:bottom w:val="single" w:sz="8" w:color="0000EE"/>
            </w:tcBorders>
            <w:gridSpan w:val="8"/>
          </w:tcPr>
          <w:p>
            <w:pPr>
              <w:spacing w:after="0" w:line="151" w:lineRule="exact"/>
              <w:rPr>
                <w:rFonts w:ascii="Times New Roman" w:cs="Times New Roman" w:eastAsia="Times New Roman" w:hAnsi="Times New Roman"/>
                <w:sz w:val="14"/>
                <w:szCs w:val="14"/>
                <w:color w:val="0000EE"/>
              </w:rPr>
            </w:pPr>
            <w:hyperlink r:id="rId70">
              <w:r>
                <w:rPr>
                  <w:rFonts w:ascii="Times New Roman" w:cs="Times New Roman" w:eastAsia="Times New Roman" w:hAnsi="Times New Roman"/>
                  <w:sz w:val="14"/>
                  <w:szCs w:val="14"/>
                  <w:color w:val="0000EE"/>
                </w:rPr>
                <w:t>with the Company’s Current Report on Form 8-K filed with the SEC on November 21, 2022).</w:t>
              </w:r>
            </w:hyperlink>
          </w:p>
        </w:tc>
        <w:tc>
          <w:tcPr>
            <w:tcW w:w="2380" w:type="dxa"/>
            <w:vAlign w:val="bottom"/>
            <w:gridSpan w:val="22"/>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4.2**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580" w:type="dxa"/>
            <w:vAlign w:val="bottom"/>
            <w:tcBorders>
              <w:bottom w:val="single" w:sz="8" w:color="0000EE"/>
            </w:tcBorders>
            <w:gridSpan w:val="27"/>
          </w:tcPr>
          <w:p>
            <w:pPr>
              <w:spacing w:after="0"/>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Warrant to Purchase Stock, dated May 10, 2023, issued by the Company to Perceptive Credit Holdings IV, LP (previously filed with</w:t>
              </w:r>
            </w:hyperlink>
          </w:p>
        </w:tc>
        <w:tc>
          <w:tcPr>
            <w:tcW w:w="1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740" w:type="dxa"/>
            <w:vAlign w:val="bottom"/>
            <w:gridSpan w:val="30"/>
          </w:tcPr>
          <w:p>
            <w:pPr>
              <w:spacing w:after="0" w:line="151" w:lineRule="exact"/>
              <w:rPr>
                <w:rFonts w:ascii="Times New Roman" w:cs="Times New Roman" w:eastAsia="Times New Roman" w:hAnsi="Times New Roman"/>
                <w:sz w:val="14"/>
                <w:szCs w:val="14"/>
                <w:color w:val="0000EE"/>
              </w:rPr>
            </w:pPr>
            <w:hyperlink r:id="rId71">
              <w:r>
                <w:rPr>
                  <w:rFonts w:ascii="Times New Roman" w:cs="Times New Roman" w:eastAsia="Times New Roman" w:hAnsi="Times New Roman"/>
                  <w:sz w:val="14"/>
                  <w:szCs w:val="14"/>
                  <w:color w:val="0000EE"/>
                </w:rPr>
                <w:t>the Company’s Quarterly Report on Form 10-Q filed with the SEC on May 11, 2023).</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14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4.3**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40" w:type="dxa"/>
            <w:vAlign w:val="bottom"/>
            <w:gridSpan w:val="30"/>
          </w:tcPr>
          <w:p>
            <w:pPr>
              <w:spacing w:after="0"/>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First Amendment to Warrant Certificate, dated February 28, 2025, issued by the Company to Perceptive Credit Holdings IV, LP</w:t>
              </w:r>
            </w:hyperlink>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320" w:type="dxa"/>
            <w:vAlign w:val="bottom"/>
            <w:tcBorders>
              <w:top w:val="single" w:sz="8" w:color="0000EE"/>
            </w:tcBorders>
            <w:gridSpan w:val="21"/>
          </w:tcPr>
          <w:p>
            <w:pPr>
              <w:spacing w:after="0" w:line="151" w:lineRule="exact"/>
              <w:rPr>
                <w:rFonts w:ascii="Times New Roman" w:cs="Times New Roman" w:eastAsia="Times New Roman" w:hAnsi="Times New Roman"/>
                <w:sz w:val="14"/>
                <w:szCs w:val="14"/>
                <w:color w:val="0000EE"/>
              </w:rPr>
            </w:pPr>
            <w:hyperlink r:id="rId72">
              <w:r>
                <w:rPr>
                  <w:rFonts w:ascii="Times New Roman" w:cs="Times New Roman" w:eastAsia="Times New Roman" w:hAnsi="Times New Roman"/>
                  <w:sz w:val="14"/>
                  <w:szCs w:val="14"/>
                  <w:color w:val="0000EE"/>
                </w:rPr>
                <w:t>(previously filed with the Company’s Annual Report on Form 10-K filed with the SEC on March 3, 2025).</w:t>
              </w:r>
            </w:hyperlink>
          </w:p>
        </w:tc>
        <w:tc>
          <w:tcPr>
            <w:tcW w:w="4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3560" w:type="dxa"/>
            <w:vAlign w:val="bottom"/>
            <w:gridSpan w:val="4"/>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4.4**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80" w:type="dxa"/>
            <w:vAlign w:val="bottom"/>
            <w:tcBorders>
              <w:bottom w:val="single" w:sz="8" w:color="0000EE"/>
            </w:tcBorders>
            <w:gridSpan w:val="14"/>
          </w:tcPr>
          <w:p>
            <w:pPr>
              <w:spacing w:after="0"/>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First Amendment to Warrant Certificate, dated May 12, 2025, issued by the Company to Perceptive Credit Holdings IV, LP</w:t>
              </w:r>
            </w:hyperlink>
          </w:p>
        </w:tc>
        <w:tc>
          <w:tcPr>
            <w:tcW w:w="660" w:type="dxa"/>
            <w:vAlign w:val="bottom"/>
            <w:gridSpan w:val="16"/>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0" w:type="dxa"/>
            <w:vAlign w:val="bottom"/>
            <w:tcBorders>
              <w:bottom w:val="single" w:sz="8" w:color="0000EE"/>
            </w:tcBorders>
            <w:gridSpan w:val="11"/>
          </w:tcPr>
          <w:p>
            <w:pPr>
              <w:spacing w:after="0" w:line="151" w:lineRule="exact"/>
              <w:rPr>
                <w:rFonts w:ascii="Times New Roman" w:cs="Times New Roman" w:eastAsia="Times New Roman" w:hAnsi="Times New Roman"/>
                <w:sz w:val="14"/>
                <w:szCs w:val="14"/>
                <w:color w:val="0000EE"/>
              </w:rPr>
            </w:pPr>
            <w:hyperlink r:id="rId73">
              <w:r>
                <w:rPr>
                  <w:rFonts w:ascii="Times New Roman" w:cs="Times New Roman" w:eastAsia="Times New Roman" w:hAnsi="Times New Roman"/>
                  <w:sz w:val="14"/>
                  <w:szCs w:val="14"/>
                  <w:color w:val="0000EE"/>
                </w:rPr>
                <w:t>(previously filed with the Company’s Quarterly Report on Form 10-Q filed with the SEC on May 13, 2025).</w:t>
              </w:r>
            </w:hyperlink>
          </w:p>
        </w:tc>
        <w:tc>
          <w:tcPr>
            <w:tcW w:w="154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4.5**</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40" w:type="dxa"/>
            <w:vAlign w:val="bottom"/>
            <w:tcBorders>
              <w:bottom w:val="single" w:sz="8" w:color="0000EE"/>
            </w:tcBorders>
            <w:gridSpan w:val="19"/>
          </w:tcPr>
          <w:p>
            <w:pPr>
              <w:spacing w:after="0"/>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Second Amendment to Warrant Certificate, dated May 12, 2025, issued by the Company to Perceptive Credit Holdings IV, LP</w:t>
              </w:r>
            </w:hyperlink>
          </w:p>
        </w:tc>
        <w:tc>
          <w:tcPr>
            <w:tcW w:w="500" w:type="dxa"/>
            <w:vAlign w:val="bottom"/>
            <w:gridSpan w:val="11"/>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180" w:type="dxa"/>
            <w:vAlign w:val="bottom"/>
            <w:tcBorders>
              <w:bottom w:val="single" w:sz="8" w:color="0000EE"/>
            </w:tcBorders>
            <w:gridSpan w:val="10"/>
          </w:tcPr>
          <w:p>
            <w:pPr>
              <w:spacing w:after="0" w:line="151" w:lineRule="exact"/>
              <w:rPr>
                <w:rFonts w:ascii="Times New Roman" w:cs="Times New Roman" w:eastAsia="Times New Roman" w:hAnsi="Times New Roman"/>
                <w:sz w:val="14"/>
                <w:szCs w:val="14"/>
                <w:color w:val="0000EE"/>
              </w:rPr>
            </w:pPr>
            <w:hyperlink r:id="rId74">
              <w:r>
                <w:rPr>
                  <w:rFonts w:ascii="Times New Roman" w:cs="Times New Roman" w:eastAsia="Times New Roman" w:hAnsi="Times New Roman"/>
                  <w:sz w:val="14"/>
                  <w:szCs w:val="14"/>
                  <w:color w:val="0000EE"/>
                </w:rPr>
                <w:t>(previously filed with the Company’s Quarterly Report on Form 10-Q filed with the SEC on May 13, 2025).</w:t>
              </w:r>
            </w:hyperlink>
          </w:p>
        </w:tc>
        <w:tc>
          <w:tcPr>
            <w:tcW w:w="1560" w:type="dxa"/>
            <w:vAlign w:val="bottom"/>
            <w:gridSpan w:val="20"/>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4.6**</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40" w:type="dxa"/>
            <w:vAlign w:val="bottom"/>
            <w:gridSpan w:val="30"/>
          </w:tcPr>
          <w:p>
            <w:pPr>
              <w:spacing w:after="0"/>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Warrant to Purchase Stock, dated February 25, 2026, issued by the Company to Perceptive Credit Holdings IV, LP. (previously filed</w:t>
              </w:r>
            </w:hyperlink>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560" w:type="dxa"/>
            <w:vAlign w:val="bottom"/>
            <w:tcBorders>
              <w:top w:val="single" w:sz="8" w:color="0000EE"/>
            </w:tcBorders>
            <w:gridSpan w:val="26"/>
          </w:tcPr>
          <w:p>
            <w:pPr>
              <w:spacing w:after="0" w:line="151" w:lineRule="exact"/>
              <w:rPr>
                <w:rFonts w:ascii="Times New Roman" w:cs="Times New Roman" w:eastAsia="Times New Roman" w:hAnsi="Times New Roman"/>
                <w:sz w:val="14"/>
                <w:szCs w:val="14"/>
                <w:color w:val="0000EE"/>
              </w:rPr>
            </w:pPr>
            <w:hyperlink r:id="rId75">
              <w:r>
                <w:rPr>
                  <w:rFonts w:ascii="Times New Roman" w:cs="Times New Roman" w:eastAsia="Times New Roman" w:hAnsi="Times New Roman"/>
                  <w:sz w:val="14"/>
                  <w:szCs w:val="14"/>
                  <w:color w:val="0000EE"/>
                </w:rPr>
                <w:t>with the Company’s Annual Report on Form 10-K filed with the SEC on February 26, 2026).</w:t>
              </w:r>
            </w:hyperlink>
          </w:p>
        </w:tc>
        <w:tc>
          <w:tcPr>
            <w:tcW w:w="1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6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5.1*</w:t>
            </w:r>
          </w:p>
        </w:tc>
        <w:tc>
          <w:tcPr>
            <w:tcW w:w="320" w:type="dxa"/>
            <w:vAlign w:val="bottom"/>
          </w:tcPr>
          <w:p>
            <w:pPr>
              <w:spacing w:after="0"/>
              <w:rPr>
                <w:sz w:val="20"/>
                <w:szCs w:val="20"/>
                <w:color w:val="auto"/>
              </w:rPr>
            </w:pPr>
          </w:p>
        </w:tc>
        <w:tc>
          <w:tcPr>
            <w:tcW w:w="17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4"/>
                <w:szCs w:val="14"/>
                <w:color w:val="0000EE"/>
              </w:rPr>
              <w:t>Opinion of Sidley Austin LLP.</w:t>
            </w:r>
          </w:p>
        </w:tc>
        <w:tc>
          <w:tcPr>
            <w:tcW w:w="3560" w:type="dxa"/>
            <w:vAlign w:val="bottom"/>
            <w:tcBorders>
              <w:top w:val="single" w:sz="8" w:color="0000EE"/>
            </w:tcBorders>
            <w:gridSpan w:val="4"/>
          </w:tcPr>
          <w:p>
            <w:pPr>
              <w:spacing w:after="0"/>
              <w:rPr>
                <w:sz w:val="20"/>
                <w:szCs w:val="20"/>
                <w:color w:val="auto"/>
              </w:rPr>
            </w:pPr>
          </w:p>
        </w:tc>
        <w:tc>
          <w:tcPr>
            <w:tcW w:w="2420" w:type="dxa"/>
            <w:vAlign w:val="bottom"/>
            <w:gridSpan w:val="23"/>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20" w:type="dxa"/>
            <w:vAlign w:val="bottom"/>
            <w:tcBorders>
              <w:bottom w:val="single" w:sz="8" w:color="0000EE"/>
            </w:tcBorders>
            <w:gridSpan w:val="28"/>
          </w:tcPr>
          <w:p>
            <w:pPr>
              <w:spacing w:after="0"/>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Credit Agreement and Guaranty, dated as of November 16, 2022, by and among the Company and Perceptive Credit Holdings IV LP</w:t>
              </w:r>
            </w:hyperlink>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340" w:type="dxa"/>
            <w:vAlign w:val="bottom"/>
            <w:tcBorders>
              <w:bottom w:val="single" w:sz="8" w:color="0000EE"/>
            </w:tcBorders>
            <w:gridSpan w:val="12"/>
          </w:tcPr>
          <w:p>
            <w:pPr>
              <w:spacing w:after="0" w:line="151" w:lineRule="exact"/>
              <w:rPr>
                <w:rFonts w:ascii="Times New Roman" w:cs="Times New Roman" w:eastAsia="Times New Roman" w:hAnsi="Times New Roman"/>
                <w:sz w:val="14"/>
                <w:szCs w:val="14"/>
                <w:color w:val="0000EE"/>
              </w:rPr>
            </w:pPr>
            <w:hyperlink r:id="rId76">
              <w:r>
                <w:rPr>
                  <w:rFonts w:ascii="Times New Roman" w:cs="Times New Roman" w:eastAsia="Times New Roman" w:hAnsi="Times New Roman"/>
                  <w:sz w:val="14"/>
                  <w:szCs w:val="14"/>
                  <w:color w:val="0000EE"/>
                </w:rPr>
                <w:t>(previously filed with the Company’s Current Report on Form 8-K filed with the SEC on November 21, 2022).</w:t>
              </w:r>
            </w:hyperlink>
          </w:p>
        </w:tc>
        <w:tc>
          <w:tcPr>
            <w:tcW w:w="1400" w:type="dxa"/>
            <w:vAlign w:val="bottom"/>
            <w:gridSpan w:val="18"/>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10.2**</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20" w:type="dxa"/>
            <w:vAlign w:val="bottom"/>
            <w:tcBorders>
              <w:bottom w:val="single" w:sz="8" w:color="0000EE"/>
            </w:tcBorders>
            <w:gridSpan w:val="18"/>
          </w:tcPr>
          <w:p>
            <w:pPr>
              <w:spacing w:after="0"/>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First Amendment to Credit Agreement and Guaranty, dated May 10, 2023, by and among the Company and Perceptive Credit</w:t>
              </w:r>
            </w:hyperlink>
          </w:p>
        </w:tc>
        <w:tc>
          <w:tcPr>
            <w:tcW w:w="520" w:type="dxa"/>
            <w:vAlign w:val="bottom"/>
            <w:gridSpan w:val="12"/>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120" w:type="dxa"/>
            <w:vAlign w:val="bottom"/>
            <w:tcBorders>
              <w:bottom w:val="single" w:sz="8" w:color="0000EE"/>
            </w:tcBorders>
            <w:gridSpan w:val="15"/>
          </w:tcPr>
          <w:p>
            <w:pPr>
              <w:spacing w:after="0" w:line="151" w:lineRule="exact"/>
              <w:rPr>
                <w:rFonts w:ascii="Times New Roman" w:cs="Times New Roman" w:eastAsia="Times New Roman" w:hAnsi="Times New Roman"/>
                <w:sz w:val="14"/>
                <w:szCs w:val="14"/>
                <w:color w:val="0000EE"/>
              </w:rPr>
            </w:pPr>
            <w:hyperlink r:id="rId77">
              <w:r>
                <w:rPr>
                  <w:rFonts w:ascii="Times New Roman" w:cs="Times New Roman" w:eastAsia="Times New Roman" w:hAnsi="Times New Roman"/>
                  <w:sz w:val="14"/>
                  <w:szCs w:val="14"/>
                  <w:color w:val="0000EE"/>
                </w:rPr>
                <w:t>Holdings IV LP (previously filed with the Company’s Quarterly Report on Form 10-Q filed with the SEC on May 11, 2023).</w:t>
              </w:r>
            </w:hyperlink>
          </w:p>
        </w:tc>
        <w:tc>
          <w:tcPr>
            <w:tcW w:w="620" w:type="dxa"/>
            <w:vAlign w:val="bottom"/>
            <w:gridSpan w:val="15"/>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10.3**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740" w:type="dxa"/>
            <w:vAlign w:val="bottom"/>
            <w:gridSpan w:val="30"/>
          </w:tcPr>
          <w:p>
            <w:pPr>
              <w:spacing w:after="0"/>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Second Amendment to Credit Agreement and Guaranty, dated August 4, 2023, by and among the Company and Perceptive Credit</w:t>
              </w:r>
            </w:hyperlink>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440" w:type="dxa"/>
            <w:vAlign w:val="bottom"/>
            <w:tcBorders>
              <w:top w:val="single" w:sz="8" w:color="0000EE"/>
            </w:tcBorders>
            <w:gridSpan w:val="22"/>
          </w:tcPr>
          <w:p>
            <w:pPr>
              <w:spacing w:after="0" w:line="151" w:lineRule="exact"/>
              <w:rPr>
                <w:rFonts w:ascii="Times New Roman" w:cs="Times New Roman" w:eastAsia="Times New Roman" w:hAnsi="Times New Roman"/>
                <w:sz w:val="14"/>
                <w:szCs w:val="14"/>
                <w:color w:val="0000EE"/>
              </w:rPr>
            </w:pPr>
            <w:hyperlink r:id="rId78">
              <w:r>
                <w:rPr>
                  <w:rFonts w:ascii="Times New Roman" w:cs="Times New Roman" w:eastAsia="Times New Roman" w:hAnsi="Times New Roman"/>
                  <w:sz w:val="14"/>
                  <w:szCs w:val="14"/>
                  <w:color w:val="0000EE"/>
                </w:rPr>
                <w:t>Holdings IV LP (previously filed with the Company’s Quarterly Report on Form 10-Q filed with the SEC on August 7, 2023).</w:t>
              </w:r>
            </w:hyperlink>
          </w:p>
        </w:tc>
        <w:tc>
          <w:tcPr>
            <w:tcW w:w="30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40" w:type="dxa"/>
            <w:vAlign w:val="bottom"/>
            <w:gridSpan w:val="13"/>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520" w:type="dxa"/>
            <w:vAlign w:val="bottom"/>
            <w:tcBorders>
              <w:bottom w:val="single" w:sz="8" w:color="0000EE"/>
            </w:tcBorders>
            <w:gridSpan w:val="25"/>
          </w:tcPr>
          <w:p>
            <w:pPr>
              <w:spacing w:after="0"/>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Third Amendment to Credit Agreement and Guaranty, dated February 29, 2024, by and among the Company and Perceptive Credit</w:t>
              </w:r>
            </w:hyperlink>
          </w:p>
        </w:tc>
        <w:tc>
          <w:tcPr>
            <w:tcW w:w="220" w:type="dxa"/>
            <w:vAlign w:val="bottom"/>
            <w:gridSpan w:val="5"/>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40" w:type="dxa"/>
            <w:vAlign w:val="bottom"/>
            <w:tcBorders>
              <w:bottom w:val="single" w:sz="8" w:color="0000EE"/>
            </w:tcBorders>
            <w:gridSpan w:val="13"/>
          </w:tcPr>
          <w:p>
            <w:pPr>
              <w:spacing w:after="0" w:line="151" w:lineRule="exact"/>
              <w:rPr>
                <w:rFonts w:ascii="Times New Roman" w:cs="Times New Roman" w:eastAsia="Times New Roman" w:hAnsi="Times New Roman"/>
                <w:sz w:val="14"/>
                <w:szCs w:val="14"/>
                <w:color w:val="0000EE"/>
              </w:rPr>
            </w:pPr>
            <w:hyperlink r:id="rId79">
              <w:r>
                <w:rPr>
                  <w:rFonts w:ascii="Times New Roman" w:cs="Times New Roman" w:eastAsia="Times New Roman" w:hAnsi="Times New Roman"/>
                  <w:sz w:val="14"/>
                  <w:szCs w:val="14"/>
                  <w:color w:val="0000EE"/>
                </w:rPr>
                <w:t>Holdings IV LP (previously filed with the Company’s Annual Report on Form 10-K filed with the SEC on March 1, 2024).</w:t>
              </w:r>
            </w:hyperlink>
          </w:p>
        </w:tc>
        <w:tc>
          <w:tcPr>
            <w:tcW w:w="70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II-2</w:t>
      </w:r>
    </w:p>
    <w:p>
      <w:pPr>
        <w:sectPr>
          <w:pgSz w:w="11900" w:h="16838" w:orient="portrait"/>
          <w:cols w:equalWidth="0" w:num="1">
            <w:col w:w="10159"/>
          </w:cols>
          <w:pgMar w:left="300" w:top="390" w:right="1440"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1280" w:type="dxa"/>
        <w:tblCellMar>
          <w:top w:w="0" w:type="dxa"/>
          <w:left w:w="0" w:type="dxa"/>
          <w:bottom w:w="0" w:type="dxa"/>
          <w:right w:w="0" w:type="dxa"/>
        </w:tblCellMar>
      </w:tblPr>
      <w:tr>
        <w:trPr>
          <w:trHeight w:val="126"/>
        </w:trPr>
        <w:tc>
          <w:tcPr>
            <w:tcW w:w="4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4540" w:type="dxa"/>
            <w:vAlign w:val="bottom"/>
            <w:gridSpan w:val="7"/>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Description of Document</w:t>
            </w:r>
          </w:p>
        </w:tc>
        <w:tc>
          <w:tcPr>
            <w:tcW w:w="0" w:type="dxa"/>
            <w:vAlign w:val="bottom"/>
          </w:tcPr>
          <w:p>
            <w:pPr>
              <w:spacing w:after="0"/>
              <w:rPr>
                <w:sz w:val="1"/>
                <w:szCs w:val="1"/>
                <w:color w:val="auto"/>
              </w:rPr>
            </w:pPr>
          </w:p>
        </w:tc>
      </w:tr>
      <w:tr>
        <w:trPr>
          <w:trHeight w:val="138"/>
        </w:trPr>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4540" w:type="dxa"/>
            <w:vAlign w:val="bottom"/>
            <w:tcBorders>
              <w:bottom w:val="single" w:sz="8" w:color="auto"/>
            </w:tcBorders>
            <w:gridSpan w:val="7"/>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10.5**</w:t>
            </w:r>
          </w:p>
        </w:tc>
        <w:tc>
          <w:tcPr>
            <w:tcW w:w="580" w:type="dxa"/>
            <w:vAlign w:val="bottom"/>
          </w:tcPr>
          <w:p>
            <w:pPr>
              <w:spacing w:after="0"/>
              <w:rPr>
                <w:sz w:val="18"/>
                <w:szCs w:val="18"/>
                <w:color w:val="auto"/>
              </w:rPr>
            </w:pPr>
          </w:p>
        </w:tc>
        <w:tc>
          <w:tcPr>
            <w:tcW w:w="7740" w:type="dxa"/>
            <w:vAlign w:val="bottom"/>
            <w:gridSpan w:val="11"/>
          </w:tcPr>
          <w:p>
            <w:pPr>
              <w:spacing w:after="0"/>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Fourth Amendment to Credit Agreement and Guaranty, dated October 30, 2024, by and among the Company and Perceptive Credit</w:t>
              </w:r>
            </w:hyperlink>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500" w:type="dxa"/>
            <w:vAlign w:val="bottom"/>
            <w:tcBorders>
              <w:top w:val="single" w:sz="8" w:color="0000EE"/>
              <w:bottom w:val="single" w:sz="8" w:color="0000EE"/>
            </w:tcBorders>
            <w:gridSpan w:val="9"/>
          </w:tcPr>
          <w:p>
            <w:pPr>
              <w:spacing w:after="0" w:line="151" w:lineRule="exact"/>
              <w:rPr>
                <w:rFonts w:ascii="Times New Roman" w:cs="Times New Roman" w:eastAsia="Times New Roman" w:hAnsi="Times New Roman"/>
                <w:sz w:val="14"/>
                <w:szCs w:val="14"/>
                <w:color w:val="0000EE"/>
              </w:rPr>
            </w:pPr>
            <w:hyperlink r:id="rId81">
              <w:r>
                <w:rPr>
                  <w:rFonts w:ascii="Times New Roman" w:cs="Times New Roman" w:eastAsia="Times New Roman" w:hAnsi="Times New Roman"/>
                  <w:sz w:val="14"/>
                  <w:szCs w:val="14"/>
                  <w:color w:val="0000EE"/>
                </w:rPr>
                <w:t>Holdings IV LLP (previously filed with the Company’s Quarterly Report on Form 10-Q filed with the SEC on November 1, 2024).</w:t>
              </w:r>
            </w:hyperlink>
          </w:p>
        </w:tc>
        <w:tc>
          <w:tcPr>
            <w:tcW w:w="20" w:type="dxa"/>
            <w:vAlign w:val="bottom"/>
            <w:tcBorders>
              <w:top w:val="single" w:sz="8" w:color="0000EE"/>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10.6**</w:t>
            </w:r>
          </w:p>
        </w:tc>
        <w:tc>
          <w:tcPr>
            <w:tcW w:w="580" w:type="dxa"/>
            <w:vAlign w:val="bottom"/>
          </w:tcPr>
          <w:p>
            <w:pPr>
              <w:spacing w:after="0"/>
              <w:rPr>
                <w:sz w:val="20"/>
                <w:szCs w:val="20"/>
                <w:color w:val="auto"/>
              </w:rPr>
            </w:pPr>
          </w:p>
        </w:tc>
        <w:tc>
          <w:tcPr>
            <w:tcW w:w="7480" w:type="dxa"/>
            <w:vAlign w:val="bottom"/>
            <w:tcBorders>
              <w:bottom w:val="single" w:sz="8" w:color="0000EE"/>
            </w:tcBorders>
            <w:gridSpan w:val="8"/>
          </w:tcPr>
          <w:p>
            <w:pPr>
              <w:spacing w:after="0"/>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Fifth Amendment to Credit Agreement and Guaranty, dated February 28, 2025, by and among the Company and Perceptive Credit</w:t>
              </w:r>
            </w:hyperlink>
          </w:p>
        </w:tc>
        <w:tc>
          <w:tcPr>
            <w:tcW w:w="260" w:type="dxa"/>
            <w:vAlign w:val="bottom"/>
            <w:gridSpan w:val="3"/>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040" w:type="dxa"/>
            <w:vAlign w:val="bottom"/>
            <w:tcBorders>
              <w:bottom w:val="single" w:sz="8" w:color="0000EE"/>
            </w:tcBorders>
            <w:gridSpan w:val="6"/>
          </w:tcPr>
          <w:p>
            <w:pPr>
              <w:spacing w:after="0" w:line="151" w:lineRule="exact"/>
              <w:rPr>
                <w:rFonts w:ascii="Times New Roman" w:cs="Times New Roman" w:eastAsia="Times New Roman" w:hAnsi="Times New Roman"/>
                <w:sz w:val="14"/>
                <w:szCs w:val="14"/>
                <w:color w:val="0000EE"/>
              </w:rPr>
            </w:pPr>
            <w:hyperlink r:id="rId82">
              <w:r>
                <w:rPr>
                  <w:rFonts w:ascii="Times New Roman" w:cs="Times New Roman" w:eastAsia="Times New Roman" w:hAnsi="Times New Roman"/>
                  <w:sz w:val="14"/>
                  <w:szCs w:val="14"/>
                  <w:color w:val="0000EE"/>
                </w:rPr>
                <w:t>Holdings IV LP (previously filed with the Company’s Annual Report on Form 10-K filed with the SEC on March 3, 2025).</w:t>
              </w:r>
            </w:hyperlink>
          </w:p>
        </w:tc>
        <w:tc>
          <w:tcPr>
            <w:tcW w:w="7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10.7**</w:t>
            </w:r>
          </w:p>
        </w:tc>
        <w:tc>
          <w:tcPr>
            <w:tcW w:w="580" w:type="dxa"/>
            <w:vAlign w:val="bottom"/>
          </w:tcPr>
          <w:p>
            <w:pPr>
              <w:spacing w:after="0"/>
              <w:rPr>
                <w:sz w:val="20"/>
                <w:szCs w:val="20"/>
                <w:color w:val="auto"/>
              </w:rPr>
            </w:pPr>
          </w:p>
        </w:tc>
        <w:tc>
          <w:tcPr>
            <w:tcW w:w="7500" w:type="dxa"/>
            <w:vAlign w:val="bottom"/>
            <w:tcBorders>
              <w:bottom w:val="single" w:sz="8" w:color="0000EE"/>
            </w:tcBorders>
            <w:gridSpan w:val="9"/>
          </w:tcPr>
          <w:p>
            <w:pPr>
              <w:spacing w:after="0"/>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Sixth Amendment to Credit Agreement and Guaranty, dated February 25, 2026, by and among the Company and Perceptive Credit</w:t>
              </w:r>
            </w:hyperlink>
          </w:p>
        </w:tc>
        <w:tc>
          <w:tcPr>
            <w:tcW w:w="24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740" w:type="dxa"/>
            <w:vAlign w:val="bottom"/>
            <w:gridSpan w:val="11"/>
          </w:tcPr>
          <w:p>
            <w:pPr>
              <w:spacing w:after="0" w:line="151" w:lineRule="exact"/>
              <w:rPr>
                <w:rFonts w:ascii="Times New Roman" w:cs="Times New Roman" w:eastAsia="Times New Roman" w:hAnsi="Times New Roman"/>
                <w:sz w:val="14"/>
                <w:szCs w:val="14"/>
                <w:color w:val="0000EE"/>
              </w:rPr>
            </w:pPr>
            <w:hyperlink r:id="rId83">
              <w:r>
                <w:rPr>
                  <w:rFonts w:ascii="Times New Roman" w:cs="Times New Roman" w:eastAsia="Times New Roman" w:hAnsi="Times New Roman"/>
                  <w:sz w:val="14"/>
                  <w:szCs w:val="14"/>
                  <w:color w:val="0000EE"/>
                </w:rPr>
                <w:t>Holdings IV LP (previously filed with the Company’s Annual Report on Form 10-K filed with the SEC on February 26, 2026).</w:t>
              </w:r>
            </w:hyperlink>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23.1*</w:t>
            </w:r>
          </w:p>
        </w:tc>
        <w:tc>
          <w:tcPr>
            <w:tcW w:w="580" w:type="dxa"/>
            <w:vAlign w:val="bottom"/>
          </w:tcPr>
          <w:p>
            <w:pPr>
              <w:spacing w:after="0"/>
              <w:rPr>
                <w:sz w:val="20"/>
                <w:szCs w:val="20"/>
                <w:color w:val="auto"/>
              </w:rPr>
            </w:pPr>
          </w:p>
        </w:tc>
        <w:tc>
          <w:tcPr>
            <w:tcW w:w="724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4"/>
                <w:szCs w:val="14"/>
                <w:color w:val="0000EE"/>
              </w:rPr>
              <w:t>Consent of Sidley Austin LLP (included in Exhibit 5.1).</w:t>
            </w:r>
          </w:p>
        </w:tc>
        <w:tc>
          <w:tcPr>
            <w:tcW w:w="500" w:type="dxa"/>
            <w:vAlign w:val="bottom"/>
            <w:gridSpan w:val="4"/>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23.2*</w:t>
            </w:r>
          </w:p>
        </w:tc>
        <w:tc>
          <w:tcPr>
            <w:tcW w:w="580" w:type="dxa"/>
            <w:vAlign w:val="bottom"/>
          </w:tcPr>
          <w:p>
            <w:pPr>
              <w:spacing w:after="0"/>
              <w:rPr>
                <w:sz w:val="20"/>
                <w:szCs w:val="20"/>
                <w:color w:val="auto"/>
              </w:rPr>
            </w:pPr>
          </w:p>
        </w:tc>
        <w:tc>
          <w:tcPr>
            <w:tcW w:w="32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4"/>
                <w:szCs w:val="14"/>
                <w:color w:val="0000EE"/>
              </w:rPr>
              <w:t>Consent of KPMG LLP.</w:t>
            </w:r>
          </w:p>
        </w:tc>
        <w:tc>
          <w:tcPr>
            <w:tcW w:w="454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60" w:type="dxa"/>
            <w:vAlign w:val="bottom"/>
            <w:gridSpan w:val="2"/>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24.1*</w:t>
            </w:r>
          </w:p>
        </w:tc>
        <w:tc>
          <w:tcPr>
            <w:tcW w:w="58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4"/>
                <w:szCs w:val="14"/>
                <w:color w:val="0000EE"/>
              </w:rPr>
              <w:t>Power of Attorney (included on signature page to this Registration Statement on Form S-3).</w:t>
            </w:r>
          </w:p>
        </w:tc>
        <w:tc>
          <w:tcPr>
            <w:tcW w:w="0" w:type="dxa"/>
            <w:vAlign w:val="bottom"/>
          </w:tcPr>
          <w:p>
            <w:pPr>
              <w:spacing w:after="0"/>
              <w:rPr>
                <w:sz w:val="1"/>
                <w:szCs w:val="1"/>
                <w:color w:val="auto"/>
              </w:rPr>
            </w:pPr>
          </w:p>
        </w:tc>
      </w:tr>
      <w:tr>
        <w:trPr>
          <w:trHeight w:val="237"/>
        </w:trPr>
        <w:tc>
          <w:tcPr>
            <w:tcW w:w="420" w:type="dxa"/>
            <w:vAlign w:val="bottom"/>
          </w:tcPr>
          <w:p>
            <w:pPr>
              <w:spacing w:after="0"/>
              <w:rPr>
                <w:sz w:val="20"/>
                <w:szCs w:val="20"/>
                <w:color w:val="auto"/>
              </w:rPr>
            </w:pPr>
            <w:r>
              <w:rPr>
                <w:rFonts w:ascii="Times New Roman" w:cs="Times New Roman" w:eastAsia="Times New Roman" w:hAnsi="Times New Roman"/>
                <w:sz w:val="14"/>
                <w:szCs w:val="14"/>
                <w:color w:val="auto"/>
              </w:rPr>
              <w:t> 107*</w:t>
            </w:r>
          </w:p>
        </w:tc>
        <w:tc>
          <w:tcPr>
            <w:tcW w:w="580" w:type="dxa"/>
            <w:vAlign w:val="bottom"/>
          </w:tcPr>
          <w:p>
            <w:pPr>
              <w:spacing w:after="0"/>
              <w:rPr>
                <w:sz w:val="20"/>
                <w:szCs w:val="20"/>
                <w:color w:val="auto"/>
              </w:rPr>
            </w:pPr>
          </w:p>
        </w:tc>
        <w:tc>
          <w:tcPr>
            <w:tcW w:w="98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color w:val="0000EE"/>
                <w:w w:val="99"/>
              </w:rPr>
              <w:t>Filing Fee Table.</w:t>
            </w:r>
          </w:p>
        </w:tc>
        <w:tc>
          <w:tcPr>
            <w:tcW w:w="4260" w:type="dxa"/>
            <w:vAlign w:val="bottom"/>
            <w:tcBorders>
              <w:top w:val="single" w:sz="8" w:color="0000EE"/>
            </w:tcBorders>
            <w:gridSpan w:val="3"/>
          </w:tcPr>
          <w:p>
            <w:pPr>
              <w:spacing w:after="0"/>
              <w:rPr>
                <w:sz w:val="20"/>
                <w:szCs w:val="20"/>
                <w:color w:val="auto"/>
              </w:rPr>
            </w:pPr>
          </w:p>
        </w:tc>
        <w:tc>
          <w:tcPr>
            <w:tcW w:w="2500" w:type="dxa"/>
            <w:vAlign w:val="bottom"/>
            <w:gridSpan w:val="6"/>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817880</wp:posOffset>
            </wp:positionH>
            <wp:positionV relativeFrom="paragraph">
              <wp:posOffset>81280</wp:posOffset>
            </wp:positionV>
            <wp:extent cx="603885"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extLst>
                    </a:blip>
                    <a:srcRect/>
                    <a:stretch>
                      <a:fillRect/>
                    </a:stretch>
                  </pic:blipFill>
                  <pic:spPr bwMode="auto">
                    <a:xfrm>
                      <a:off x="0" y="0"/>
                      <a:ext cx="603885" cy="6985"/>
                    </a:xfrm>
                    <a:prstGeom prst="rect">
                      <a:avLst/>
                    </a:prstGeom>
                    <a:noFill/>
                  </pic:spPr>
                </pic:pic>
              </a:graphicData>
            </a:graphic>
          </wp:anchor>
        </w:drawing>
      </w:r>
    </w:p>
    <w:p>
      <w:pPr>
        <w:spacing w:after="0" w:line="136" w:lineRule="exact"/>
        <w:rPr>
          <w:sz w:val="20"/>
          <w:szCs w:val="20"/>
          <w:color w:val="auto"/>
        </w:rPr>
      </w:pPr>
    </w:p>
    <w:p>
      <w:pPr>
        <w:ind w:left="1280" w:right="7599" w:firstLine="3"/>
        <w:spacing w:after="0" w:line="290" w:lineRule="auto"/>
        <w:tabs>
          <w:tab w:leader="none" w:pos="162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Filed herewith. ** Previously filed.</w:t>
      </w:r>
    </w:p>
    <w:p>
      <w:pPr>
        <w:spacing w:after="0" w:line="238" w:lineRule="exact"/>
        <w:rPr>
          <w:sz w:val="20"/>
          <w:szCs w:val="20"/>
          <w:color w:val="auto"/>
        </w:rPr>
      </w:pPr>
    </w:p>
    <w:p>
      <w:pPr>
        <w:ind w:left="1280"/>
        <w:spacing w:after="0"/>
        <w:tabs>
          <w:tab w:leader="none" w:pos="2120" w:val="left"/>
        </w:tabs>
        <w:rPr>
          <w:sz w:val="20"/>
          <w:szCs w:val="20"/>
          <w:color w:val="auto"/>
        </w:rPr>
      </w:pPr>
      <w:r>
        <w:rPr>
          <w:rFonts w:ascii="Times New Roman" w:cs="Times New Roman" w:eastAsia="Times New Roman" w:hAnsi="Times New Roman"/>
          <w:sz w:val="14"/>
          <w:szCs w:val="14"/>
          <w:b w:val="1"/>
          <w:bCs w:val="1"/>
          <w:color w:val="auto"/>
        </w:rPr>
        <w:t>Item 17.</w:t>
      </w:r>
      <w:r>
        <w:rPr>
          <w:sz w:val="20"/>
          <w:szCs w:val="20"/>
          <w:color w:val="auto"/>
        </w:rPr>
        <w:tab/>
      </w:r>
      <w:r>
        <w:rPr>
          <w:rFonts w:ascii="Times New Roman" w:cs="Times New Roman" w:eastAsia="Times New Roman" w:hAnsi="Times New Roman"/>
          <w:sz w:val="14"/>
          <w:szCs w:val="14"/>
          <w:b w:val="1"/>
          <w:bCs w:val="1"/>
          <w:i w:val="1"/>
          <w:iCs w:val="1"/>
          <w:color w:val="auto"/>
        </w:rPr>
        <w:t>Undertakings</w:t>
      </w:r>
    </w:p>
    <w:p>
      <w:pPr>
        <w:spacing w:after="0" w:line="110" w:lineRule="exact"/>
        <w:rPr>
          <w:sz w:val="20"/>
          <w:szCs w:val="20"/>
          <w:color w:val="auto"/>
        </w:rPr>
      </w:pPr>
    </w:p>
    <w:p>
      <w:pPr>
        <w:ind w:left="1620" w:hanging="337"/>
        <w:spacing w:after="0"/>
        <w:tabs>
          <w:tab w:leader="none" w:pos="16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w:t>
      </w:r>
    </w:p>
    <w:p>
      <w:pPr>
        <w:spacing w:after="0" w:line="106" w:lineRule="exact"/>
        <w:rPr>
          <w:rFonts w:ascii="Times New Roman" w:cs="Times New Roman" w:eastAsia="Times New Roman" w:hAnsi="Times New Roman"/>
          <w:sz w:val="14"/>
          <w:szCs w:val="14"/>
          <w:color w:val="auto"/>
        </w:rPr>
      </w:pPr>
    </w:p>
    <w:p>
      <w:pPr>
        <w:ind w:left="2060" w:hanging="435"/>
        <w:spacing w:after="0"/>
        <w:tabs>
          <w:tab w:leader="none" w:pos="206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file, during any period in which offers or sales are being made, a post-effective amendment to this registration statement:</w:t>
      </w:r>
    </w:p>
    <w:p>
      <w:pPr>
        <w:spacing w:after="0" w:line="106" w:lineRule="exact"/>
        <w:rPr>
          <w:rFonts w:ascii="Times New Roman" w:cs="Times New Roman" w:eastAsia="Times New Roman" w:hAnsi="Times New Roman"/>
          <w:sz w:val="14"/>
          <w:szCs w:val="14"/>
          <w:color w:val="auto"/>
        </w:rPr>
      </w:pPr>
    </w:p>
    <w:p>
      <w:pPr>
        <w:ind w:left="2400" w:hanging="337"/>
        <w:spacing w:after="0"/>
        <w:tabs>
          <w:tab w:leader="none" w:pos="2400" w:val="left"/>
        </w:tabs>
        <w:numPr>
          <w:ilvl w:val="2"/>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prospectus required by Section 10(a)(3) of the Securities Act;</w:t>
      </w:r>
    </w:p>
    <w:p>
      <w:pPr>
        <w:spacing w:after="0" w:line="106" w:lineRule="exact"/>
        <w:rPr>
          <w:rFonts w:ascii="Times New Roman" w:cs="Times New Roman" w:eastAsia="Times New Roman" w:hAnsi="Times New Roman"/>
          <w:sz w:val="14"/>
          <w:szCs w:val="14"/>
          <w:color w:val="auto"/>
        </w:rPr>
      </w:pPr>
    </w:p>
    <w:p>
      <w:pPr>
        <w:ind w:left="2400" w:right="179" w:hanging="337"/>
        <w:spacing w:after="0" w:line="260" w:lineRule="auto"/>
        <w:tabs>
          <w:tab w:leader="none" w:pos="2400" w:val="left"/>
        </w:tabs>
        <w:numPr>
          <w:ilvl w:val="2"/>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72" w:lineRule="exact"/>
        <w:rPr>
          <w:rFonts w:ascii="Times New Roman" w:cs="Times New Roman" w:eastAsia="Times New Roman" w:hAnsi="Times New Roman"/>
          <w:sz w:val="14"/>
          <w:szCs w:val="14"/>
          <w:color w:val="auto"/>
        </w:rPr>
      </w:pPr>
    </w:p>
    <w:p>
      <w:pPr>
        <w:ind w:left="2400" w:right="259" w:hanging="337"/>
        <w:spacing w:after="0" w:line="290" w:lineRule="auto"/>
        <w:tabs>
          <w:tab w:leader="none" w:pos="2400" w:val="left"/>
        </w:tabs>
        <w:numPr>
          <w:ilvl w:val="2"/>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include any material information with respect to the plan of distribution not previously disclosed in this registration statement or any material change to such information in this registration statement;</w:t>
      </w:r>
    </w:p>
    <w:p>
      <w:pPr>
        <w:spacing w:after="0" w:line="124" w:lineRule="exact"/>
        <w:rPr>
          <w:sz w:val="20"/>
          <w:szCs w:val="20"/>
          <w:color w:val="auto"/>
        </w:rPr>
      </w:pPr>
    </w:p>
    <w:p>
      <w:pPr>
        <w:jc w:val="both"/>
        <w:ind w:left="1280" w:right="319"/>
        <w:spacing w:after="0" w:line="266" w:lineRule="auto"/>
        <w:rPr>
          <w:sz w:val="20"/>
          <w:szCs w:val="20"/>
          <w:color w:val="auto"/>
        </w:rPr>
      </w:pPr>
      <w:r>
        <w:rPr>
          <w:rFonts w:ascii="Times New Roman" w:cs="Times New Roman" w:eastAsia="Times New Roman" w:hAnsi="Times New Roman"/>
          <w:sz w:val="14"/>
          <w:szCs w:val="14"/>
          <w:color w:val="auto"/>
        </w:rPr>
        <w:t>provided, however, that subparagraphs (i), (ii) and (iii)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this registration statement, or is contained in a form of prospectus filed pursuant to Rule 424(b) that is part of the registration statement.</w:t>
      </w:r>
    </w:p>
    <w:p>
      <w:pPr>
        <w:spacing w:after="0" w:line="67" w:lineRule="exact"/>
        <w:rPr>
          <w:sz w:val="20"/>
          <w:szCs w:val="20"/>
          <w:color w:val="auto"/>
        </w:rPr>
      </w:pPr>
    </w:p>
    <w:p>
      <w:pPr>
        <w:ind w:left="2060" w:right="159" w:hanging="435"/>
        <w:spacing w:after="0" w:line="272" w:lineRule="auto"/>
        <w:tabs>
          <w:tab w:leader="none" w:pos="20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II-3</w:t>
      </w:r>
    </w:p>
    <w:p>
      <w:pPr>
        <w:sectPr>
          <w:pgSz w:w="11900" w:h="16838" w:orient="portrait"/>
          <w:cols w:equalWidth="0" w:num="1">
            <w:col w:w="10159"/>
          </w:cols>
          <w:pgMar w:left="300" w:top="390" w:right="1440"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5">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2060" w:right="439" w:hanging="435"/>
        <w:spacing w:after="0" w:line="290" w:lineRule="auto"/>
        <w:tabs>
          <w:tab w:leader="none" w:pos="20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remove from registration by means of a post-effective amendment any of the securities being registered which remain unsold at the termination of the offering.</w:t>
      </w:r>
    </w:p>
    <w:p>
      <w:pPr>
        <w:spacing w:after="0" w:line="49" w:lineRule="exact"/>
        <w:rPr>
          <w:rFonts w:ascii="Times New Roman" w:cs="Times New Roman" w:eastAsia="Times New Roman" w:hAnsi="Times New Roman"/>
          <w:sz w:val="14"/>
          <w:szCs w:val="14"/>
          <w:color w:val="auto"/>
        </w:rPr>
      </w:pPr>
    </w:p>
    <w:p>
      <w:pPr>
        <w:ind w:left="2060" w:hanging="435"/>
        <w:spacing w:after="0"/>
        <w:tabs>
          <w:tab w:leader="none" w:pos="20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under the Securities Act to any purchaser:</w:t>
      </w:r>
    </w:p>
    <w:p>
      <w:pPr>
        <w:spacing w:after="0" w:line="106" w:lineRule="exact"/>
        <w:rPr>
          <w:rFonts w:ascii="Times New Roman" w:cs="Times New Roman" w:eastAsia="Times New Roman" w:hAnsi="Times New Roman"/>
          <w:sz w:val="14"/>
          <w:szCs w:val="14"/>
          <w:color w:val="auto"/>
        </w:rPr>
      </w:pPr>
    </w:p>
    <w:p>
      <w:pPr>
        <w:ind w:left="2400" w:right="339" w:hanging="337"/>
        <w:spacing w:after="0" w:line="290" w:lineRule="auto"/>
        <w:tabs>
          <w:tab w:leader="none" w:pos="24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49" w:lineRule="exact"/>
        <w:rPr>
          <w:rFonts w:ascii="Times New Roman" w:cs="Times New Roman" w:eastAsia="Times New Roman" w:hAnsi="Times New Roman"/>
          <w:sz w:val="14"/>
          <w:szCs w:val="14"/>
          <w:color w:val="auto"/>
        </w:rPr>
      </w:pPr>
    </w:p>
    <w:p>
      <w:pPr>
        <w:ind w:left="2400" w:right="159" w:hanging="337"/>
        <w:spacing w:after="0" w:line="258" w:lineRule="auto"/>
        <w:tabs>
          <w:tab w:leader="none" w:pos="2400" w:val="left"/>
        </w:tabs>
        <w:numPr>
          <w:ilvl w:val="1"/>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71" w:lineRule="exact"/>
        <w:rPr>
          <w:rFonts w:ascii="Times New Roman" w:cs="Times New Roman" w:eastAsia="Times New Roman" w:hAnsi="Times New Roman"/>
          <w:sz w:val="14"/>
          <w:szCs w:val="14"/>
          <w:color w:val="auto"/>
        </w:rPr>
      </w:pPr>
    </w:p>
    <w:p>
      <w:pPr>
        <w:ind w:left="2060" w:right="459" w:hanging="435"/>
        <w:spacing w:after="0" w:line="290" w:lineRule="auto"/>
        <w:tabs>
          <w:tab w:leader="none" w:pos="20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That, for the purpose of determining liability of the registrant under the Securities Act to any purchaser in the initial distribution of the securities:</w:t>
      </w:r>
    </w:p>
    <w:p>
      <w:pPr>
        <w:spacing w:after="0" w:line="124" w:lineRule="exact"/>
        <w:rPr>
          <w:sz w:val="20"/>
          <w:szCs w:val="20"/>
          <w:color w:val="auto"/>
        </w:rPr>
      </w:pPr>
    </w:p>
    <w:p>
      <w:pPr>
        <w:ind w:left="1280" w:right="259" w:firstLine="349"/>
        <w:spacing w:after="0" w:line="266" w:lineRule="auto"/>
        <w:rPr>
          <w:sz w:val="20"/>
          <w:szCs w:val="20"/>
          <w:color w:val="auto"/>
        </w:rPr>
      </w:pPr>
      <w:r>
        <w:rPr>
          <w:rFonts w:ascii="Times New Roman" w:cs="Times New Roman" w:eastAsia="Times New Roman" w:hAnsi="Times New Roman"/>
          <w:sz w:val="14"/>
          <w:szCs w:val="14"/>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67" w:lineRule="exact"/>
        <w:rPr>
          <w:sz w:val="20"/>
          <w:szCs w:val="20"/>
          <w:color w:val="auto"/>
        </w:rPr>
      </w:pPr>
    </w:p>
    <w:p>
      <w:pPr>
        <w:ind w:left="2400" w:right="279" w:hanging="337"/>
        <w:spacing w:after="0" w:line="290" w:lineRule="auto"/>
        <w:tabs>
          <w:tab w:leader="none" w:pos="24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preliminary prospectus or prospectus of the undersigned registrant relating to the offering required to be filed pursuant to Rule 424;</w:t>
      </w:r>
    </w:p>
    <w:p>
      <w:pPr>
        <w:spacing w:after="0" w:line="49" w:lineRule="exact"/>
        <w:rPr>
          <w:rFonts w:ascii="Times New Roman" w:cs="Times New Roman" w:eastAsia="Times New Roman" w:hAnsi="Times New Roman"/>
          <w:sz w:val="14"/>
          <w:szCs w:val="14"/>
          <w:color w:val="auto"/>
        </w:rPr>
      </w:pPr>
    </w:p>
    <w:p>
      <w:pPr>
        <w:ind w:left="2400" w:right="319" w:hanging="337"/>
        <w:spacing w:after="0" w:line="290" w:lineRule="auto"/>
        <w:tabs>
          <w:tab w:leader="none" w:pos="24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free writing prospectus relating to the offering prepared by or on behalf of the undersigned registrant or used or referred to by the undersigned registrant;</w:t>
      </w:r>
    </w:p>
    <w:p>
      <w:pPr>
        <w:spacing w:after="0" w:line="49" w:lineRule="exact"/>
        <w:rPr>
          <w:rFonts w:ascii="Times New Roman" w:cs="Times New Roman" w:eastAsia="Times New Roman" w:hAnsi="Times New Roman"/>
          <w:sz w:val="14"/>
          <w:szCs w:val="14"/>
          <w:color w:val="auto"/>
        </w:rPr>
      </w:pPr>
    </w:p>
    <w:p>
      <w:pPr>
        <w:ind w:left="2400" w:right="559" w:hanging="337"/>
        <w:spacing w:after="0" w:line="290" w:lineRule="auto"/>
        <w:tabs>
          <w:tab w:leader="none" w:pos="24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portion of any other free writing prospectus relating to the offering containing material information about the undersigned registrant or its securities provided by or on behalf of the undersigned registrant; and</w:t>
      </w:r>
    </w:p>
    <w:p>
      <w:pPr>
        <w:spacing w:after="0" w:line="49" w:lineRule="exact"/>
        <w:rPr>
          <w:rFonts w:ascii="Times New Roman" w:cs="Times New Roman" w:eastAsia="Times New Roman" w:hAnsi="Times New Roman"/>
          <w:sz w:val="14"/>
          <w:szCs w:val="14"/>
          <w:color w:val="auto"/>
        </w:rPr>
      </w:pPr>
    </w:p>
    <w:p>
      <w:pPr>
        <w:ind w:left="2400" w:hanging="337"/>
        <w:spacing w:after="0"/>
        <w:tabs>
          <w:tab w:leader="none" w:pos="2400" w:val="left"/>
        </w:tabs>
        <w:numPr>
          <w:ilvl w:val="1"/>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communication that is an offer in the offering made by the undersigned registrant to the purchaser.</w:t>
      </w:r>
    </w:p>
    <w:p>
      <w:pPr>
        <w:spacing w:after="0" w:line="106" w:lineRule="exact"/>
        <w:rPr>
          <w:rFonts w:ascii="Times New Roman" w:cs="Times New Roman" w:eastAsia="Times New Roman" w:hAnsi="Times New Roman"/>
          <w:sz w:val="14"/>
          <w:szCs w:val="14"/>
          <w:color w:val="auto"/>
        </w:rPr>
      </w:pPr>
    </w:p>
    <w:p>
      <w:pPr>
        <w:ind w:left="1620" w:right="219" w:hanging="337"/>
        <w:spacing w:after="0" w:line="263" w:lineRule="auto"/>
        <w:tabs>
          <w:tab w:leader="none" w:pos="16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 for the purposes of determining any liability under the Securities Act, each filing of the annual reports of the registrant pursuant to Section 13(a) or Section 15(d) of the Exchange Act (and, where applicable, each filing of an employee benefit plan’s annual report pursuant to section 15(d) of the Securities Exchange Act of 1934) that are incorporated by reference in this registration statement, if any, shall be deemed to be a new registration statement relating to the securities offered therein, and the offering of such securities at that time shall be deemed to be the initial bona fide offering thereof.</w:t>
      </w:r>
    </w:p>
    <w:p>
      <w:pPr>
        <w:spacing w:after="0" w:line="69" w:lineRule="exact"/>
        <w:rPr>
          <w:rFonts w:ascii="Times New Roman" w:cs="Times New Roman" w:eastAsia="Times New Roman" w:hAnsi="Times New Roman"/>
          <w:sz w:val="14"/>
          <w:szCs w:val="14"/>
          <w:color w:val="auto"/>
        </w:rPr>
      </w:pPr>
    </w:p>
    <w:p>
      <w:pPr>
        <w:ind w:left="1620" w:right="479" w:hanging="337"/>
        <w:spacing w:after="0" w:line="290" w:lineRule="auto"/>
        <w:tabs>
          <w:tab w:leader="none" w:pos="16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Insofar as indemnification for liabilities arising under the Securities Act may be permitted to directors, officers and controlling persons of the registrant pursuant to the foregoing provisions, or otherwise, the</w:t>
      </w:r>
    </w:p>
    <w:p>
      <w:pPr>
        <w:spacing w:after="0" w:line="71"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II-4</w:t>
      </w:r>
    </w:p>
    <w:p>
      <w:pPr>
        <w:sectPr>
          <w:pgSz w:w="11900" w:h="16838" w:orient="portrait"/>
          <w:cols w:equalWidth="0" w:num="1">
            <w:col w:w="10159"/>
          </w:cols>
          <w:pgMar w:left="300" w:top="390"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6">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8" w:lineRule="exact"/>
        <w:rPr>
          <w:sz w:val="20"/>
          <w:szCs w:val="20"/>
          <w:color w:val="auto"/>
        </w:rPr>
      </w:pPr>
    </w:p>
    <w:p>
      <w:pPr>
        <w:ind w:left="1620" w:right="159"/>
        <w:spacing w:after="0" w:line="262" w:lineRule="auto"/>
        <w:rPr>
          <w:sz w:val="20"/>
          <w:szCs w:val="20"/>
          <w:color w:val="auto"/>
        </w:rPr>
      </w:pPr>
      <w:r>
        <w:rPr>
          <w:rFonts w:ascii="Times New Roman" w:cs="Times New Roman" w:eastAsia="Times New Roman" w:hAnsi="Times New Roman"/>
          <w:sz w:val="14"/>
          <w:szCs w:val="14"/>
          <w:color w:val="auto"/>
        </w:rPr>
        <w:t>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such the Securities Act and will be governed by the final adjudication of such issue.</w:t>
      </w:r>
    </w:p>
    <w:p>
      <w:pPr>
        <w:spacing w:after="0" w:line="68" w:lineRule="exact"/>
        <w:rPr>
          <w:sz w:val="20"/>
          <w:szCs w:val="20"/>
          <w:color w:val="auto"/>
        </w:rPr>
      </w:pPr>
    </w:p>
    <w:p>
      <w:pPr>
        <w:ind w:left="1620" w:hanging="337"/>
        <w:spacing w:after="0"/>
        <w:tabs>
          <w:tab w:leader="none" w:pos="16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undersigned registrant hereby undertakes that:</w:t>
      </w:r>
    </w:p>
    <w:p>
      <w:pPr>
        <w:spacing w:after="0" w:line="106" w:lineRule="exact"/>
        <w:rPr>
          <w:rFonts w:ascii="Times New Roman" w:cs="Times New Roman" w:eastAsia="Times New Roman" w:hAnsi="Times New Roman"/>
          <w:sz w:val="14"/>
          <w:szCs w:val="14"/>
          <w:color w:val="auto"/>
        </w:rPr>
      </w:pPr>
    </w:p>
    <w:p>
      <w:pPr>
        <w:ind w:left="2060" w:right="199" w:hanging="435"/>
        <w:spacing w:after="0" w:line="270" w:lineRule="auto"/>
        <w:tabs>
          <w:tab w:leader="none" w:pos="206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 and</w:t>
      </w:r>
    </w:p>
    <w:p>
      <w:pPr>
        <w:spacing w:after="0" w:line="236" w:lineRule="exact"/>
        <w:rPr>
          <w:rFonts w:ascii="Times New Roman" w:cs="Times New Roman" w:eastAsia="Times New Roman" w:hAnsi="Times New Roman"/>
          <w:sz w:val="14"/>
          <w:szCs w:val="14"/>
          <w:color w:val="auto"/>
        </w:rPr>
      </w:pPr>
    </w:p>
    <w:p>
      <w:pPr>
        <w:jc w:val="both"/>
        <w:ind w:left="2060" w:right="239" w:hanging="435"/>
        <w:spacing w:after="0" w:line="272" w:lineRule="auto"/>
        <w:tabs>
          <w:tab w:leader="none" w:pos="2060" w:val="left"/>
        </w:tabs>
        <w:numPr>
          <w:ilvl w:val="1"/>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II-5</w:t>
      </w:r>
    </w:p>
    <w:p>
      <w:pPr>
        <w:sectPr>
          <w:pgSz w:w="11900" w:h="16838" w:orient="portrait"/>
          <w:cols w:equalWidth="0" w:num="1">
            <w:col w:w="10159"/>
          </w:cols>
          <w:pgMar w:left="300" w:top="390"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7">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3" w:lineRule="exact"/>
        <w:rPr>
          <w:sz w:val="20"/>
          <w:szCs w:val="20"/>
          <w:color w:val="auto"/>
        </w:rPr>
      </w:pPr>
    </w:p>
    <w:p>
      <w:pPr>
        <w:ind w:left="1280" w:right="479" w:firstLine="349"/>
        <w:spacing w:after="0" w:line="272"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Louisville, State of Colorado on this 21st day of May, 2026.</w:t>
      </w:r>
    </w:p>
    <w:p>
      <w:pPr>
        <w:spacing w:after="0" w:line="15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b w:val="1"/>
          <w:bCs w:val="1"/>
          <w:color w:val="auto"/>
        </w:rPr>
        <w:t>BIODESIX, INC.</w:t>
      </w:r>
    </w:p>
    <w:p>
      <w:pPr>
        <w:spacing w:after="0" w:line="183"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4"/>
          <w:szCs w:val="14"/>
          <w:color w:val="auto"/>
        </w:rPr>
        <w:t>By: /s/ Scott Hutton</w:t>
      </w:r>
    </w:p>
    <w:p>
      <w:pPr>
        <w:spacing w:after="0" w:line="2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Scott Hutton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-100965</wp:posOffset>
            </wp:positionV>
            <wp:extent cx="2056765"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8">
                      <a:extLst>
                        <a:ext uri="{28A0092B-C50C-407E-A947-70E740481C1C}"/>
                      </a:extLst>
                    </a:blip>
                    <a:srcRect/>
                    <a:stretch>
                      <a:fillRect/>
                    </a:stretch>
                  </pic:blipFill>
                  <pic:spPr bwMode="auto">
                    <a:xfrm>
                      <a:off x="0" y="0"/>
                      <a:ext cx="2056765" cy="6985"/>
                    </a:xfrm>
                    <a:prstGeom prst="rect">
                      <a:avLst/>
                    </a:prstGeom>
                    <a:noFill/>
                  </pic:spPr>
                </pic:pic>
              </a:graphicData>
            </a:graphic>
          </wp:anchor>
        </w:drawing>
      </w:r>
    </w:p>
    <w:p>
      <w:pPr>
        <w:spacing w:after="0" w:line="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p>
      <w:pPr>
        <w:spacing w:after="0" w:line="1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6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/s/ Robin Harper Cowie</w:t>
      </w:r>
    </w:p>
    <w:p>
      <w:pPr>
        <w:spacing w:after="0" w:line="2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Robin Harper Cowie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4300220</wp:posOffset>
            </wp:positionH>
            <wp:positionV relativeFrom="paragraph">
              <wp:posOffset>-100965</wp:posOffset>
            </wp:positionV>
            <wp:extent cx="2056765"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9">
                      <a:extLst>
                        <a:ext uri="{28A0092B-C50C-407E-A947-70E740481C1C}"/>
                      </a:extLst>
                    </a:blip>
                    <a:srcRect/>
                    <a:stretch>
                      <a:fillRect/>
                    </a:stretch>
                  </pic:blipFill>
                  <pic:spPr bwMode="auto">
                    <a:xfrm>
                      <a:off x="0" y="0"/>
                      <a:ext cx="2056765" cy="6985"/>
                    </a:xfrm>
                    <a:prstGeom prst="rect">
                      <a:avLst/>
                    </a:prstGeom>
                    <a:noFill/>
                  </pic:spPr>
                </pic:pic>
              </a:graphicData>
            </a:graphic>
          </wp:anchor>
        </w:drawing>
      </w:r>
    </w:p>
    <w:p>
      <w:pPr>
        <w:spacing w:after="0" w:line="1"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Chief Financial Officer, Secretary and Treasurer</w:t>
      </w:r>
    </w:p>
    <w:p>
      <w:pPr>
        <w:spacing w:after="0" w:line="10"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4"/>
          <w:szCs w:val="14"/>
          <w:color w:val="auto"/>
        </w:rPr>
        <w:t>(Principal Financial Officer)</w:t>
      </w:r>
    </w:p>
    <w:p>
      <w:pPr>
        <w:spacing w:after="0" w:line="3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POWER OF ATTORNEY AND SIGNATURES</w:t>
      </w:r>
    </w:p>
    <w:p>
      <w:pPr>
        <w:spacing w:after="0" w:line="183" w:lineRule="exact"/>
        <w:rPr>
          <w:sz w:val="20"/>
          <w:szCs w:val="20"/>
          <w:color w:val="auto"/>
        </w:rPr>
      </w:pPr>
    </w:p>
    <w:p>
      <w:pPr>
        <w:ind w:left="1280" w:right="199" w:firstLine="349"/>
        <w:spacing w:after="0" w:line="258" w:lineRule="auto"/>
        <w:rPr>
          <w:sz w:val="20"/>
          <w:szCs w:val="20"/>
          <w:color w:val="auto"/>
        </w:rPr>
      </w:pPr>
      <w:r>
        <w:rPr>
          <w:rFonts w:ascii="Times New Roman" w:cs="Times New Roman" w:eastAsia="Times New Roman" w:hAnsi="Times New Roman"/>
          <w:sz w:val="14"/>
          <w:szCs w:val="14"/>
          <w:color w:val="auto"/>
        </w:rPr>
        <w:t>We, the undersigned directors and officers of Biodesix, Inc. (the Company), hereby severally constitute and appoint Scott Hutton and Robin Harper Cowie, and each of them singly, our true and lawful attorneys, with full power to them, and to each of them singly, to sign for us and in our names in the capacities indicated below, the registration statement on Form S-3 filed herewith, and any and all pre-effective and post-effective amendments to said registration statement, and any registration statement filed pursuant to Rule 462(b) under the Securities Act of 1933, as amended, in connection with the registration under the Securities Act of 1933, as amended, of equity securities of the Company, and to file or cause to be filed the same, with all exhibits thereto and other documents in connection therewith, with the Securities and Exchange Commission, granting unto said attorneys, and each of them, full power and authority to do and perform each and every act and thing requisite and necessary to be done in connection therewith, as fully to all intents and purposes as each of them might or could do in person, and hereby ratifying and confirming all that said attorneys, and each of them, or their substitute or substitutes, shall do or cause to be done by virtue of this Power of Attorney. This Power of Attorney does not revoke any power of attorney previously granted by the undersigned, or any of them.</w:t>
      </w:r>
    </w:p>
    <w:p>
      <w:pPr>
        <w:spacing w:after="0" w:line="151" w:lineRule="exact"/>
        <w:rPr>
          <w:sz w:val="20"/>
          <w:szCs w:val="20"/>
          <w:color w:val="auto"/>
        </w:rPr>
      </w:pPr>
    </w:p>
    <w:p>
      <w:pPr>
        <w:ind w:left="1280" w:right="199" w:firstLine="349"/>
        <w:spacing w:after="0" w:line="290"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has been signed by the following persons in the capacities indicated on the date indicated:</w:t>
      </w:r>
    </w:p>
    <w:p>
      <w:pPr>
        <w:spacing w:after="0" w:line="141" w:lineRule="exact"/>
        <w:rPr>
          <w:sz w:val="20"/>
          <w:szCs w:val="20"/>
          <w:color w:val="auto"/>
        </w:rPr>
      </w:pPr>
    </w:p>
    <w:tbl>
      <w:tblPr>
        <w:tblLayout w:type="fixed"/>
        <w:tblInd w:w="1280" w:type="dxa"/>
        <w:tblCellMar>
          <w:top w:w="0" w:type="dxa"/>
          <w:left w:w="0" w:type="dxa"/>
          <w:bottom w:w="0" w:type="dxa"/>
          <w:right w:w="0" w:type="dxa"/>
        </w:tblCellMar>
      </w:tblPr>
      <w:tr>
        <w:trPr>
          <w:trHeight w:val="148"/>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39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0" w:type="dxa"/>
            <w:vAlign w:val="bottom"/>
          </w:tcPr>
          <w:p>
            <w:pPr>
              <w:spacing w:after="0"/>
              <w:rPr>
                <w:sz w:val="12"/>
                <w:szCs w:val="1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321"/>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Scott Hutton</w:t>
            </w:r>
          </w:p>
        </w:tc>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President, Chief Executive Officer and 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21, 2026</w:t>
            </w:r>
          </w:p>
        </w:tc>
      </w:tr>
      <w:tr>
        <w:trPr>
          <w:trHeight w:val="17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Scott Hutton</w:t>
            </w:r>
          </w:p>
        </w:tc>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c>
          <w:tcPr>
            <w:tcW w:w="1600" w:type="dxa"/>
            <w:vAlign w:val="bottom"/>
          </w:tcPr>
          <w:p>
            <w:pPr>
              <w:spacing w:after="0"/>
              <w:rPr>
                <w:sz w:val="15"/>
                <w:szCs w:val="15"/>
                <w:color w:val="auto"/>
              </w:rPr>
            </w:pPr>
          </w:p>
        </w:tc>
      </w:tr>
      <w:tr>
        <w:trPr>
          <w:trHeight w:val="338"/>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Robin Harper Cowie</w:t>
            </w:r>
          </w:p>
        </w:tc>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Financial Officer, Secretary and Treasurer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21, 2026</w:t>
            </w:r>
          </w:p>
        </w:tc>
      </w:tr>
      <w:tr>
        <w:trPr>
          <w:trHeight w:val="17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Robin Harper Cowie</w:t>
            </w:r>
          </w:p>
        </w:tc>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i w:val="1"/>
                <w:iCs w:val="1"/>
                <w:color w:val="auto"/>
              </w:rPr>
              <w:t>(Principal Financial Officer)</w:t>
            </w:r>
          </w:p>
        </w:tc>
        <w:tc>
          <w:tcPr>
            <w:tcW w:w="1600" w:type="dxa"/>
            <w:vAlign w:val="bottom"/>
          </w:tcPr>
          <w:p>
            <w:pPr>
              <w:spacing w:after="0"/>
              <w:rPr>
                <w:sz w:val="15"/>
                <w:szCs w:val="15"/>
                <w:color w:val="auto"/>
              </w:rPr>
            </w:pPr>
          </w:p>
        </w:tc>
      </w:tr>
      <w:tr>
        <w:trPr>
          <w:trHeight w:val="338"/>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Christopher Vazquez</w:t>
            </w:r>
          </w:p>
        </w:tc>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Chief Accounting Officer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21, 2026</w:t>
            </w:r>
          </w:p>
        </w:tc>
      </w:tr>
      <w:tr>
        <w:trPr>
          <w:trHeight w:val="17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Christopher Vazquez</w:t>
            </w:r>
          </w:p>
        </w:tc>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i w:val="1"/>
                <w:iCs w:val="1"/>
                <w:color w:val="auto"/>
              </w:rPr>
              <w:t>(Principal Accounting Officer)</w:t>
            </w:r>
          </w:p>
        </w:tc>
        <w:tc>
          <w:tcPr>
            <w:tcW w:w="1600" w:type="dxa"/>
            <w:vAlign w:val="bottom"/>
          </w:tcPr>
          <w:p>
            <w:pPr>
              <w:spacing w:after="0"/>
              <w:rPr>
                <w:sz w:val="15"/>
                <w:szCs w:val="15"/>
                <w:color w:val="auto"/>
              </w:rPr>
            </w:pPr>
          </w:p>
        </w:tc>
      </w:tr>
      <w:tr>
        <w:trPr>
          <w:trHeight w:val="338"/>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John Patience</w:t>
            </w:r>
          </w:p>
        </w:tc>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21, 2026</w:t>
            </w:r>
          </w:p>
        </w:tc>
      </w:tr>
      <w:tr>
        <w:trPr>
          <w:trHeight w:val="17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John Patience</w:t>
            </w:r>
          </w:p>
        </w:tc>
        <w:tc>
          <w:tcPr>
            <w:tcW w:w="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bl>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II-6</w:t>
      </w:r>
    </w:p>
    <w:p>
      <w:pPr>
        <w:sectPr>
          <w:pgSz w:w="11900" w:h="16838" w:orient="portrait"/>
          <w:cols w:equalWidth="0" w:num="1">
            <w:col w:w="10159"/>
          </w:cols>
          <w:pgMar w:left="300" w:top="390" w:right="1440"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drawing>
          <wp:anchor simplePos="0" relativeHeight="251657728" behindDoc="1" locked="0" layoutInCell="0" allowOverlap="1">
            <wp:simplePos x="0" y="0"/>
            <wp:positionH relativeFrom="page">
              <wp:posOffset>181610</wp:posOffset>
            </wp:positionH>
            <wp:positionV relativeFrom="page">
              <wp:posOffset>88900</wp:posOffset>
            </wp:positionV>
            <wp:extent cx="7199630"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0">
                      <a:extLst>
                        <a:ext uri="{28A0092B-C50C-407E-A947-70E740481C1C}"/>
                      </a:extLst>
                    </a:blip>
                    <a:srcRect/>
                    <a:stretch>
                      <a:fillRect/>
                    </a:stretch>
                  </pic:blipFill>
                  <pic:spPr bwMode="auto">
                    <a:xfrm>
                      <a:off x="0" y="0"/>
                      <a:ext cx="7199630" cy="33020"/>
                    </a:xfrm>
                    <a:prstGeom prst="rect">
                      <a:avLst/>
                    </a:prstGeom>
                    <a:noFill/>
                  </pic:spPr>
                </pic:pic>
              </a:graphicData>
            </a:graphic>
          </wp:anchor>
        </w:drawing>
        <w:t>Table of Contents</w:t>
      </w:r>
    </w:p>
    <w:p>
      <w:pPr>
        <w:spacing w:after="0" w:line="253" w:lineRule="exact"/>
        <w:rPr>
          <w:sz w:val="20"/>
          <w:szCs w:val="20"/>
          <w:color w:val="auto"/>
        </w:rPr>
      </w:pPr>
    </w:p>
    <w:tbl>
      <w:tblPr>
        <w:tblLayout w:type="fixed"/>
        <w:tblInd w:w="1280" w:type="dxa"/>
        <w:tblCellMar>
          <w:top w:w="0" w:type="dxa"/>
          <w:left w:w="0" w:type="dxa"/>
          <w:bottom w:w="0" w:type="dxa"/>
          <w:right w:w="0" w:type="dxa"/>
        </w:tblCellMar>
      </w:tblPr>
      <w:tr>
        <w:trPr>
          <w:trHeight w:val="148"/>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SIGNATURE</w:t>
            </w:r>
          </w:p>
        </w:tc>
        <w:tc>
          <w:tcPr>
            <w:tcW w:w="80" w:type="dxa"/>
            <w:vAlign w:val="bottom"/>
          </w:tcPr>
          <w:p>
            <w:pPr>
              <w:spacing w:after="0"/>
              <w:rPr>
                <w:sz w:val="12"/>
                <w:szCs w:val="12"/>
                <w:color w:val="auto"/>
              </w:rPr>
            </w:pPr>
          </w:p>
        </w:tc>
        <w:tc>
          <w:tcPr>
            <w:tcW w:w="39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1"/>
                <w:szCs w:val="11"/>
                <w:b w:val="1"/>
                <w:bCs w:val="1"/>
                <w:color w:val="auto"/>
              </w:rPr>
              <w:t>TITLE</w:t>
            </w:r>
          </w:p>
        </w:tc>
        <w:tc>
          <w:tcPr>
            <w:tcW w:w="180" w:type="dxa"/>
            <w:vAlign w:val="bottom"/>
          </w:tcPr>
          <w:p>
            <w:pPr>
              <w:spacing w:after="0"/>
              <w:rPr>
                <w:sz w:val="12"/>
                <w:szCs w:val="12"/>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w:t>
            </w:r>
          </w:p>
        </w:tc>
      </w:tr>
      <w:tr>
        <w:trPr>
          <w:trHeight w:val="322"/>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Jean Franchi</w:t>
            </w:r>
          </w:p>
        </w:tc>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21, 2026</w:t>
            </w:r>
          </w:p>
        </w:tc>
      </w:tr>
      <w:tr>
        <w:trPr>
          <w:trHeight w:val="17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Jean Franchi</w:t>
            </w:r>
          </w:p>
        </w:tc>
        <w:tc>
          <w:tcPr>
            <w:tcW w:w="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8"/>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Lawrence T. Kennedy, Jr.</w:t>
            </w:r>
          </w:p>
        </w:tc>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21, 2026</w:t>
            </w:r>
          </w:p>
        </w:tc>
      </w:tr>
      <w:tr>
        <w:trPr>
          <w:trHeight w:val="17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Lawrence T. Kennedy, Jr.</w:t>
            </w:r>
          </w:p>
        </w:tc>
        <w:tc>
          <w:tcPr>
            <w:tcW w:w="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8"/>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Jon Faiz Kayyem, Ph.D.</w:t>
            </w:r>
          </w:p>
        </w:tc>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21, 2026</w:t>
            </w:r>
          </w:p>
        </w:tc>
      </w:tr>
      <w:tr>
        <w:trPr>
          <w:trHeight w:val="17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Jon Faiz Kayyem, Ph.D.</w:t>
            </w:r>
          </w:p>
        </w:tc>
        <w:tc>
          <w:tcPr>
            <w:tcW w:w="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8"/>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Hany Massarany</w:t>
            </w:r>
          </w:p>
        </w:tc>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21, 2026</w:t>
            </w:r>
          </w:p>
        </w:tc>
      </w:tr>
      <w:tr>
        <w:trPr>
          <w:trHeight w:val="17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Hany Massarany</w:t>
            </w:r>
          </w:p>
        </w:tc>
        <w:tc>
          <w:tcPr>
            <w:tcW w:w="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338"/>
        </w:trPr>
        <w:tc>
          <w:tcPr>
            <w:tcW w:w="2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Matthew Strobeck, Ph.D.</w:t>
            </w:r>
          </w:p>
        </w:tc>
        <w:tc>
          <w:tcPr>
            <w:tcW w:w="422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May 21, 2026</w:t>
            </w:r>
          </w:p>
        </w:tc>
      </w:tr>
      <w:tr>
        <w:trPr>
          <w:trHeight w:val="176"/>
        </w:trPr>
        <w:tc>
          <w:tcPr>
            <w:tcW w:w="2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Matthew Strobeck, Ph.D.</w:t>
            </w:r>
          </w:p>
        </w:tc>
        <w:tc>
          <w:tcPr>
            <w:tcW w:w="8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r>
    </w:tbl>
    <w:p>
      <w:pPr>
        <w:spacing w:after="0" w:line="10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4"/>
          <w:szCs w:val="14"/>
          <w:color w:val="auto"/>
        </w:rPr>
        <w:t>II-7</w:t>
      </w:r>
    </w:p>
    <w:p>
      <w:pPr>
        <w:sectPr>
          <w:pgSz w:w="11900" w:h="16838" w:orient="portrait"/>
          <w:cols w:equalWidth="0" w:num="1">
            <w:col w:w="10159"/>
          </w:cols>
          <w:pgMar w:left="300" w:top="390" w:right="1440" w:bottom="1440" w:gutter="0" w:footer="0" w:header="0"/>
        </w:sectPr>
      </w:pPr>
    </w:p>
    <w:bookmarkStart w:id="32" w:name="page33"/>
    <w:bookmarkEnd w:id="32"/>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Exhibit 5.1</w:t>
      </w:r>
    </w:p>
    <w:p>
      <w:pPr>
        <w:spacing w:after="0" w:line="20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SIDLEY AUSTIN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-92075</wp:posOffset>
            </wp:positionV>
            <wp:extent cx="841375" cy="2171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1">
                      <a:extLst>
                        <a:ext uri="{28A0092B-C50C-407E-A947-70E740481C1C}"/>
                      </a:extLst>
                    </a:blip>
                    <a:srcRect/>
                    <a:stretch>
                      <a:fillRect/>
                    </a:stretch>
                  </pic:blipFill>
                  <pic:spPr bwMode="auto">
                    <a:xfrm>
                      <a:off x="0" y="0"/>
                      <a:ext cx="841375" cy="217170"/>
                    </a:xfrm>
                    <a:prstGeom prst="rect">
                      <a:avLst/>
                    </a:prstGeom>
                    <a:noFill/>
                  </pic:spPr>
                </pic:pic>
              </a:graphicData>
            </a:graphic>
          </wp:anchor>
        </w:drawing>
      </w:r>
    </w:p>
    <w:p>
      <w:pPr>
        <w:spacing w:after="0" w:line="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555 CALIFORNIA STREET</w:t>
      </w:r>
    </w:p>
    <w:p>
      <w:pPr>
        <w:spacing w:after="0" w:line="1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SUITE 2000</w:t>
      </w:r>
    </w:p>
    <w:p>
      <w:pPr>
        <w:spacing w:after="0" w:line="1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SAN FRANCISCO, CA 94104</w:t>
      </w:r>
    </w:p>
    <w:p>
      <w:pPr>
        <w:spacing w:after="0" w:line="1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+1 415 772 1200</w:t>
      </w:r>
    </w:p>
    <w:p>
      <w:pPr>
        <w:spacing w:after="0" w:line="1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+1 415 772 7400 FAX</w:t>
      </w:r>
    </w:p>
    <w:p>
      <w:pPr>
        <w:spacing w:after="0" w:line="18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4"/>
          <w:szCs w:val="14"/>
          <w:color w:val="auto"/>
        </w:rPr>
        <w:t>AMERICA • ASIA PACIFIC • EUROPE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May 21, 2026</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Biodesix, Inc.</w:t>
      </w:r>
    </w:p>
    <w:p>
      <w:pPr>
        <w:spacing w:after="0" w:line="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919 West Dillon Rd.</w:t>
      </w:r>
    </w:p>
    <w:p>
      <w:pPr>
        <w:spacing w:after="0" w:line="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Louisville, Colorado 80027</w:t>
      </w:r>
    </w:p>
    <w:p>
      <w:pPr>
        <w:spacing w:after="0" w:line="189" w:lineRule="exact"/>
        <w:rPr>
          <w:sz w:val="20"/>
          <w:szCs w:val="20"/>
          <w:color w:val="auto"/>
        </w:rPr>
      </w:pPr>
    </w:p>
    <w:p>
      <w:pPr>
        <w:ind w:left="480"/>
        <w:spacing w:after="0"/>
        <w:tabs>
          <w:tab w:leader="none" w:pos="900" w:val="left"/>
        </w:tabs>
        <w:rPr>
          <w:sz w:val="20"/>
          <w:szCs w:val="20"/>
          <w:color w:val="auto"/>
        </w:rPr>
      </w:pPr>
      <w:r>
        <w:rPr>
          <w:rFonts w:ascii="Times New Roman" w:cs="Times New Roman" w:eastAsia="Times New Roman" w:hAnsi="Times New Roman"/>
          <w:sz w:val="14"/>
          <w:szCs w:val="14"/>
          <w:color w:val="auto"/>
        </w:rPr>
        <w:t>Re:</w:t>
      </w:r>
      <w:r>
        <w:rPr>
          <w:sz w:val="20"/>
          <w:szCs w:val="20"/>
          <w:color w:val="auto"/>
        </w:rPr>
        <w:tab/>
      </w:r>
      <w:r>
        <w:rPr>
          <w:rFonts w:ascii="Times New Roman" w:cs="Times New Roman" w:eastAsia="Times New Roman" w:hAnsi="Times New Roman"/>
          <w:sz w:val="14"/>
          <w:szCs w:val="14"/>
          <w:u w:val="single" w:color="auto"/>
          <w:color w:val="auto"/>
        </w:rPr>
        <w:t>Re</w:t>
      </w:r>
      <w:r>
        <w:rPr>
          <w:rFonts w:ascii="Times New Roman" w:cs="Times New Roman" w:eastAsia="Times New Roman" w:hAnsi="Times New Roman"/>
          <w:sz w:val="14"/>
          <w:szCs w:val="14"/>
          <w:color w:val="auto"/>
        </w:rPr>
        <w:t>g</w:t>
      </w:r>
      <w:r>
        <w:rPr>
          <w:rFonts w:ascii="Times New Roman" w:cs="Times New Roman" w:eastAsia="Times New Roman" w:hAnsi="Times New Roman"/>
          <w:sz w:val="14"/>
          <w:szCs w:val="14"/>
          <w:u w:val="single" w:color="auto"/>
          <w:color w:val="auto"/>
        </w:rPr>
        <w:t>istration Statement on Form S-3</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Ladies and Gentlemen:</w:t>
      </w:r>
    </w:p>
    <w:p>
      <w:pPr>
        <w:spacing w:after="0" w:line="96" w:lineRule="exact"/>
        <w:rPr>
          <w:sz w:val="20"/>
          <w:szCs w:val="20"/>
          <w:color w:val="auto"/>
        </w:rPr>
      </w:pPr>
    </w:p>
    <w:p>
      <w:pPr>
        <w:ind w:left="140" w:right="399" w:firstLine="349"/>
        <w:spacing w:after="0" w:line="263" w:lineRule="auto"/>
        <w:rPr>
          <w:sz w:val="20"/>
          <w:szCs w:val="20"/>
          <w:color w:val="auto"/>
        </w:rPr>
      </w:pPr>
      <w:r>
        <w:rPr>
          <w:rFonts w:ascii="Times New Roman" w:cs="Times New Roman" w:eastAsia="Times New Roman" w:hAnsi="Times New Roman"/>
          <w:sz w:val="14"/>
          <w:szCs w:val="14"/>
          <w:color w:val="auto"/>
        </w:rPr>
        <w:t>We refer to the Registration Statement on Form S-3 (the “Registration Statement”), being filed by Biodesix, Inc., a Delaware corporation (the “Company”), with the Securities and Exchange Commission under the Securities Act of 1933, as amended (the “Securities Act”). The Registration Statement relates to the registration under the Securities Act of 375,000 shares (the “</w:t>
      </w:r>
      <w:r>
        <w:rPr>
          <w:rFonts w:ascii="Times New Roman" w:cs="Times New Roman" w:eastAsia="Times New Roman" w:hAnsi="Times New Roman"/>
          <w:sz w:val="14"/>
          <w:szCs w:val="14"/>
          <w:u w:val="single" w:color="auto"/>
          <w:color w:val="auto"/>
        </w:rPr>
        <w:t>Shares</w:t>
      </w:r>
      <w:r>
        <w:rPr>
          <w:rFonts w:ascii="Times New Roman" w:cs="Times New Roman" w:eastAsia="Times New Roman" w:hAnsi="Times New Roman"/>
          <w:sz w:val="14"/>
          <w:szCs w:val="14"/>
          <w:color w:val="auto"/>
        </w:rPr>
        <w:t>”) of the Company’s common stock, par value $0.001 per share. The Shares may be offered and sold by the selling stockholder referenced in the prospectus, as amended or supplemented from time to time, which forms a part of the Registration Statement.</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This opinion letter is being delivered in accordance with the requirements of Item 601(b)(5) of Regulation S-K under the Securities Act.</w:t>
      </w:r>
    </w:p>
    <w:p>
      <w:pPr>
        <w:spacing w:after="0" w:line="181" w:lineRule="exact"/>
        <w:rPr>
          <w:sz w:val="20"/>
          <w:szCs w:val="20"/>
          <w:color w:val="auto"/>
        </w:rPr>
      </w:pPr>
    </w:p>
    <w:p>
      <w:pPr>
        <w:ind w:left="140" w:right="199" w:firstLine="349"/>
        <w:spacing w:after="0" w:line="259" w:lineRule="auto"/>
        <w:rPr>
          <w:sz w:val="20"/>
          <w:szCs w:val="20"/>
          <w:color w:val="auto"/>
        </w:rPr>
      </w:pPr>
      <w:r>
        <w:rPr>
          <w:rFonts w:ascii="Times New Roman" w:cs="Times New Roman" w:eastAsia="Times New Roman" w:hAnsi="Times New Roman"/>
          <w:sz w:val="14"/>
          <w:szCs w:val="14"/>
          <w:color w:val="auto"/>
        </w:rPr>
        <w:t>We have examined the Registration Statement, the Company’s amended and restated certificate of incorporation, the Company’s amended and restated bylaws and the resolutions adopted by the board of directors of the Company relating to the Registration Statement and the issuance by the Company of the Shares. We have also examined originals, or copies of originals certified to our satisfaction, of such agreements, documents, certificates and statements of the Company and other corporate documents and instruments, and have examined such questions of law, as we have considered relevant and necessary as a basis for this opinion letter. We have assumed the authenticity of all documents submitted to us as originals, the genuineness of all signatures, the legal capacity of all persons and the conformity with the original documents of any copies thereof submitted to us for examination. As to facts relevant to the opinions expressed herein, we have relied without independent investigation or verification upon, and assumed the accuracy and completeness of, certificates, letters and oral and written statements and representations of public officials and officers and other representatives of the Company.</w:t>
      </w:r>
    </w:p>
    <w:p>
      <w:pPr>
        <w:spacing w:after="0" w:line="147" w:lineRule="exact"/>
        <w:rPr>
          <w:sz w:val="20"/>
          <w:szCs w:val="20"/>
          <w:color w:val="auto"/>
        </w:rPr>
      </w:pPr>
    </w:p>
    <w:p>
      <w:pPr>
        <w:ind w:left="140" w:right="479" w:firstLine="349"/>
        <w:spacing w:after="0" w:line="290" w:lineRule="auto"/>
        <w:rPr>
          <w:sz w:val="20"/>
          <w:szCs w:val="20"/>
          <w:color w:val="auto"/>
        </w:rPr>
      </w:pPr>
      <w:r>
        <w:rPr>
          <w:rFonts w:ascii="Times New Roman" w:cs="Times New Roman" w:eastAsia="Times New Roman" w:hAnsi="Times New Roman"/>
          <w:sz w:val="14"/>
          <w:szCs w:val="14"/>
          <w:color w:val="auto"/>
        </w:rPr>
        <w:t>Based on and subject to the foregoing and the other limitations, qualifications and assumptions set forth herein, we are of the opinion that the Shares are validly issued, fully paid and non-assessable.</w:t>
      </w:r>
    </w:p>
    <w:p>
      <w:pPr>
        <w:spacing w:after="0" w:line="124" w:lineRule="exact"/>
        <w:rPr>
          <w:sz w:val="20"/>
          <w:szCs w:val="20"/>
          <w:color w:val="auto"/>
        </w:rPr>
      </w:pPr>
    </w:p>
    <w:p>
      <w:pPr>
        <w:ind w:left="140" w:right="279" w:firstLine="349"/>
        <w:spacing w:after="0" w:line="290" w:lineRule="auto"/>
        <w:rPr>
          <w:sz w:val="20"/>
          <w:szCs w:val="20"/>
          <w:color w:val="auto"/>
        </w:rPr>
      </w:pPr>
      <w:r>
        <w:rPr>
          <w:rFonts w:ascii="Times New Roman" w:cs="Times New Roman" w:eastAsia="Times New Roman" w:hAnsi="Times New Roman"/>
          <w:sz w:val="14"/>
          <w:szCs w:val="14"/>
          <w:color w:val="auto"/>
        </w:rPr>
        <w:t>This opinion letter is limited to the General Corporation Law of the State of Delaware. We express no opinion as to the laws, rules or regulations of any other jurisdiction, including, without limitation, the federal laws of the United States of America or any state securities or blue sky laws.</w:t>
      </w:r>
    </w:p>
    <w:p>
      <w:pPr>
        <w:spacing w:after="0" w:line="124" w:lineRule="exact"/>
        <w:rPr>
          <w:sz w:val="20"/>
          <w:szCs w:val="20"/>
          <w:color w:val="auto"/>
        </w:rPr>
      </w:pPr>
    </w:p>
    <w:p>
      <w:pPr>
        <w:ind w:left="140" w:right="379" w:firstLine="349"/>
        <w:spacing w:after="0" w:line="272" w:lineRule="auto"/>
        <w:rPr>
          <w:sz w:val="20"/>
          <w:szCs w:val="20"/>
          <w:color w:val="auto"/>
        </w:rPr>
      </w:pPr>
      <w:r>
        <w:rPr>
          <w:rFonts w:ascii="Times New Roman" w:cs="Times New Roman" w:eastAsia="Times New Roman" w:hAnsi="Times New Roman"/>
          <w:sz w:val="14"/>
          <w:szCs w:val="14"/>
          <w:color w:val="auto"/>
        </w:rPr>
        <w:t>We hereby consent to the filing of this opinion letter as an Exhibit to the Registration Statement and to all references to our Firm included in or made a part of the Registration Statement. In giving such consent, we do not thereby admit that we are in the category of persons whose consent is required under Section 7 of the Securities Act.</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Very truly yours,</w:t>
      </w:r>
    </w:p>
    <w:p>
      <w:pPr>
        <w:spacing w:after="0" w:line="18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color w:val="auto"/>
        </w:rPr>
        <w:t>/s/ Sidley Austin LLP</w:t>
      </w:r>
    </w:p>
    <w:p>
      <w:pPr>
        <w:sectPr>
          <w:pgSz w:w="11900" w:h="16838" w:orient="portrait"/>
          <w:cols w:equalWidth="0" w:num="1">
            <w:col w:w="9019"/>
          </w:cols>
          <w:pgMar w:left="1440" w:top="123" w:right="1440" w:bottom="1440" w:gutter="0" w:footer="0" w:header="0"/>
        </w:sectPr>
      </w:pPr>
    </w:p>
    <w:bookmarkStart w:id="33" w:name="page34"/>
    <w:bookmarkEnd w:id="33"/>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139065</wp:posOffset>
            </wp:positionV>
            <wp:extent cx="671830" cy="2781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2">
                      <a:extLst>
                        <a:ext uri="{28A0092B-C50C-407E-A947-70E740481C1C}"/>
                      </a:extLst>
                    </a:blip>
                    <a:srcRect/>
                    <a:stretch>
                      <a:fillRect/>
                    </a:stretch>
                  </pic:blipFill>
                  <pic:spPr bwMode="auto">
                    <a:xfrm>
                      <a:off x="0" y="0"/>
                      <a:ext cx="671830" cy="27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KPMG LLP</w:t>
      </w:r>
    </w:p>
    <w:p>
      <w:pPr>
        <w:spacing w:after="0" w:line="2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Suite 800</w:t>
      </w:r>
    </w:p>
    <w:p>
      <w:pPr>
        <w:spacing w:after="0" w:line="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1225 17th Street</w:t>
      </w:r>
    </w:p>
    <w:p>
      <w:pPr>
        <w:spacing w:after="0" w:line="10"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Denver, CO 80202-5598</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Consent of Independent Registered Public Accounting Firm</w:t>
      </w:r>
    </w:p>
    <w:p>
      <w:pPr>
        <w:spacing w:after="0" w:line="183" w:lineRule="exact"/>
        <w:rPr>
          <w:sz w:val="20"/>
          <w:szCs w:val="20"/>
          <w:color w:val="auto"/>
        </w:rPr>
      </w:pPr>
    </w:p>
    <w:p>
      <w:pPr>
        <w:ind w:left="140" w:right="219"/>
        <w:spacing w:after="0" w:line="290" w:lineRule="auto"/>
        <w:rPr>
          <w:sz w:val="20"/>
          <w:szCs w:val="20"/>
          <w:color w:val="auto"/>
        </w:rPr>
      </w:pPr>
      <w:r>
        <w:rPr>
          <w:rFonts w:ascii="Times New Roman" w:cs="Times New Roman" w:eastAsia="Times New Roman" w:hAnsi="Times New Roman"/>
          <w:sz w:val="14"/>
          <w:szCs w:val="14"/>
          <w:color w:val="auto"/>
        </w:rPr>
        <w:t>We consent to the use of our report dated February 26, 2026, with respect to the financial statements of Biodesix, Inc., incorporated herein by reference, and to the reference to our firm under the heading “Experts” in the prospectus.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 KPMG LLP</w:t>
      </w:r>
    </w:p>
    <w:p>
      <w:pPr>
        <w:spacing w:after="0" w:line="18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Denver, Colorado</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auto"/>
        </w:rPr>
        <w:t>May 21, 2026</w:t>
      </w:r>
    </w:p>
    <w:p>
      <w:pPr>
        <w:sectPr>
          <w:pgSz w:w="11900" w:h="16838" w:orient="portrait"/>
          <w:cols w:equalWidth="0" w:num="1">
            <w:col w:w="9019"/>
          </w:cols>
          <w:pgMar w:left="1440" w:top="123" w:right="1440" w:bottom="1440" w:gutter="0" w:footer="0" w:header="0"/>
        </w:sectPr>
      </w:pPr>
    </w:p>
    <w:bookmarkStart w:id="34" w:name="page35"/>
    <w:bookmarkEnd w:id="34"/>
    <w:p>
      <w:pPr>
        <w:ind w:left="3460"/>
        <w:spacing w:after="0"/>
        <w:rPr>
          <w:sz w:val="20"/>
          <w:szCs w:val="20"/>
          <w:color w:val="auto"/>
        </w:rPr>
      </w:pPr>
      <w:r>
        <w:rPr>
          <w:rFonts w:ascii="Arial" w:cs="Arial" w:eastAsia="Arial" w:hAnsi="Arial"/>
          <w:sz w:val="28"/>
          <w:szCs w:val="28"/>
          <w:b w:val="1"/>
          <w:bCs w:val="1"/>
          <w:color w:val="auto"/>
        </w:rPr>
        <w:t>Calculation of Filing Fee Tables</w:t>
      </w:r>
    </w:p>
    <w:p>
      <w:pPr>
        <w:spacing w:after="0" w:line="180"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6" w:lineRule="exact"/>
        <w:rPr>
          <w:sz w:val="20"/>
          <w:szCs w:val="20"/>
          <w:color w:val="auto"/>
        </w:rPr>
      </w:pPr>
    </w:p>
    <w:p>
      <w:pPr>
        <w:jc w:val="center"/>
        <w:ind w:right="220"/>
        <w:spacing w:after="0"/>
        <w:rPr>
          <w:sz w:val="20"/>
          <w:szCs w:val="20"/>
          <w:color w:val="auto"/>
        </w:rPr>
      </w:pPr>
      <w:r>
        <w:rPr>
          <w:rFonts w:ascii="Arial" w:cs="Arial" w:eastAsia="Arial" w:hAnsi="Arial"/>
          <w:sz w:val="28"/>
          <w:szCs w:val="28"/>
          <w:b w:val="1"/>
          <w:bCs w:val="1"/>
          <w:color w:val="auto"/>
        </w:rPr>
        <w:t>BIODESIX INC</w:t>
      </w:r>
    </w:p>
    <w:p>
      <w:pPr>
        <w:spacing w:after="0" w:line="108"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Previously</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8"/>
                <w:szCs w:val="8"/>
                <w:color w:val="auto"/>
              </w:rPr>
            </w:pPr>
          </w:p>
        </w:tc>
        <w:tc>
          <w:tcPr>
            <w:tcW w:w="8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4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7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20" w:type="dxa"/>
            <w:vAlign w:val="bottom"/>
            <w:vMerge w:val="restart"/>
            <w:shd w:val="clear" w:color="auto" w:fill="9ADAF6"/>
          </w:tcPr>
          <w:p>
            <w:pPr>
              <w:jc w:val="right"/>
              <w:ind w:right="54"/>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Maximum</w:t>
            </w:r>
          </w:p>
        </w:tc>
        <w:tc>
          <w:tcPr>
            <w:tcW w:w="4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20"/>
              <w:spacing w:after="0"/>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or Carry</w:t>
            </w:r>
          </w:p>
        </w:tc>
        <w:tc>
          <w:tcPr>
            <w:tcW w:w="20" w:type="dxa"/>
            <w:vAlign w:val="bottom"/>
          </w:tcPr>
          <w:p>
            <w:pPr>
              <w:spacing w:after="0"/>
              <w:rPr>
                <w:sz w:val="10"/>
                <w:szCs w:val="10"/>
                <w:color w:val="auto"/>
              </w:rPr>
            </w:pPr>
          </w:p>
        </w:tc>
        <w:tc>
          <w:tcPr>
            <w:tcW w:w="9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40" w:type="dxa"/>
            <w:vAlign w:val="bottom"/>
          </w:tcPr>
          <w:p>
            <w:pPr>
              <w:spacing w:after="0"/>
              <w:rPr>
                <w:sz w:val="10"/>
                <w:szCs w:val="10"/>
                <w:color w:val="auto"/>
              </w:rPr>
            </w:pPr>
          </w:p>
        </w:tc>
        <w:tc>
          <w:tcPr>
            <w:tcW w:w="10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Aggregate</w:t>
            </w:r>
          </w:p>
        </w:tc>
        <w:tc>
          <w:tcPr>
            <w:tcW w:w="2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 Rate</w:t>
            </w: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Registration</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Forward</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w:t>
            </w: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shd w:val="clear" w:color="auto" w:fill="9ADAF6"/>
          </w:tcPr>
          <w:p>
            <w:pPr>
              <w:ind w:left="140"/>
              <w:spacing w:after="0" w:line="17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shd w:val="clear" w:color="auto" w:fill="9ADAF6"/>
          </w:tcPr>
          <w:p>
            <w:pPr>
              <w:jc w:val="right"/>
              <w:spacing w:after="0" w:line="171"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4"/>
                <w:szCs w:val="14"/>
                <w:color w:val="auto"/>
              </w:rPr>
            </w:pPr>
          </w:p>
        </w:tc>
        <w:tc>
          <w:tcPr>
            <w:tcW w:w="8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93"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Price Per</w:t>
            </w:r>
          </w:p>
        </w:tc>
        <w:tc>
          <w:tcPr>
            <w:tcW w:w="4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Price</w:t>
            </w: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6"/>
              </w:rPr>
              <w:t>Unit</w:t>
            </w: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14"/>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40" w:type="dxa"/>
            <w:vAlign w:val="bottom"/>
          </w:tcPr>
          <w:p>
            <w:pPr>
              <w:spacing w:after="0"/>
              <w:rPr>
                <w:sz w:val="8"/>
                <w:szCs w:val="8"/>
                <w:color w:val="auto"/>
              </w:rPr>
            </w:pPr>
          </w:p>
        </w:tc>
        <w:tc>
          <w:tcPr>
            <w:tcW w:w="7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375,000</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$ 14.47</w:t>
            </w:r>
          </w:p>
        </w:tc>
        <w:tc>
          <w:tcPr>
            <w:tcW w:w="40" w:type="dxa"/>
            <w:vAlign w:val="bottom"/>
          </w:tcPr>
          <w:p>
            <w:pPr>
              <w:spacing w:after="0"/>
              <w:rPr>
                <w:sz w:val="8"/>
                <w:szCs w:val="8"/>
                <w:color w:val="auto"/>
              </w:rPr>
            </w:pPr>
          </w:p>
        </w:tc>
        <w:tc>
          <w:tcPr>
            <w:tcW w:w="10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$ 749.37</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1" w:lineRule="exact"/>
              <w:rPr>
                <w:sz w:val="20"/>
                <w:szCs w:val="20"/>
                <w:color w:val="auto"/>
              </w:rPr>
            </w:pPr>
            <w:r>
              <w:rPr>
                <w:rFonts w:ascii="Arial" w:cs="Arial" w:eastAsia="Arial" w:hAnsi="Arial"/>
                <w:sz w:val="17"/>
                <w:szCs w:val="17"/>
                <w:color w:val="auto"/>
              </w:rPr>
              <w:t>be Paid</w:t>
            </w:r>
          </w:p>
        </w:tc>
        <w:tc>
          <w:tcPr>
            <w:tcW w:w="40" w:type="dxa"/>
            <w:vAlign w:val="bottom"/>
          </w:tcPr>
          <w:p>
            <w:pPr>
              <w:spacing w:after="0"/>
              <w:rPr>
                <w:sz w:val="14"/>
                <w:szCs w:val="14"/>
                <w:color w:val="auto"/>
              </w:rPr>
            </w:pPr>
          </w:p>
        </w:tc>
        <w:tc>
          <w:tcPr>
            <w:tcW w:w="1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shd w:val="clear" w:color="auto" w:fill="E7E7E2"/>
          </w:tcPr>
          <w:p>
            <w:pPr>
              <w:jc w:val="right"/>
              <w:spacing w:after="0" w:line="171" w:lineRule="exact"/>
              <w:rPr>
                <w:sz w:val="20"/>
                <w:szCs w:val="20"/>
                <w:color w:val="auto"/>
              </w:rPr>
            </w:pPr>
            <w:r>
              <w:rPr>
                <w:rFonts w:ascii="Arial" w:cs="Arial" w:eastAsia="Arial" w:hAnsi="Arial"/>
                <w:sz w:val="17"/>
                <w:szCs w:val="17"/>
                <w:color w:val="auto"/>
                <w:w w:val="98"/>
              </w:rPr>
              <w:t>5,426,250.00</w:t>
            </w:r>
          </w:p>
        </w:tc>
        <w:tc>
          <w:tcPr>
            <w:tcW w:w="20" w:type="dxa"/>
            <w:vAlign w:val="bottom"/>
          </w:tcPr>
          <w:p>
            <w:pPr>
              <w:spacing w:after="0"/>
              <w:rPr>
                <w:sz w:val="14"/>
                <w:szCs w:val="14"/>
                <w:color w:val="auto"/>
              </w:rPr>
            </w:pPr>
          </w:p>
        </w:tc>
        <w:tc>
          <w:tcPr>
            <w:tcW w:w="8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line="118" w:lineRule="exact"/>
              <w:rPr>
                <w:sz w:val="20"/>
                <w:szCs w:val="20"/>
                <w:color w:val="auto"/>
              </w:rPr>
            </w:pPr>
            <w:r>
              <w:rPr>
                <w:rFonts w:ascii="Arial" w:cs="Arial" w:eastAsia="Arial" w:hAnsi="Arial"/>
                <w:sz w:val="13"/>
                <w:szCs w:val="13"/>
                <w:color w:val="auto"/>
              </w:rPr>
              <w:t>$0.001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2" w:lineRule="exact"/>
              <w:rPr>
                <w:sz w:val="20"/>
                <w:szCs w:val="20"/>
                <w:color w:val="auto"/>
              </w:rPr>
            </w:pPr>
            <w:r>
              <w:rPr>
                <w:rFonts w:ascii="Arial" w:cs="Arial" w:eastAsia="Arial" w:hAnsi="Arial"/>
                <w:sz w:val="17"/>
                <w:szCs w:val="17"/>
                <w:color w:val="auto"/>
              </w:rPr>
              <w:t>Fees</w:t>
            </w:r>
          </w:p>
        </w:tc>
        <w:tc>
          <w:tcPr>
            <w:tcW w:w="4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w w:val="99"/>
              </w:rPr>
              <w:t>Previously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20" w:type="dxa"/>
            <w:vAlign w:val="bottom"/>
            <w:gridSpan w:val="5"/>
          </w:tcPr>
          <w:p>
            <w:pPr>
              <w:jc w:val="center"/>
              <w:ind w:right="34"/>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8" w:lineRule="exact"/>
              <w:rPr>
                <w:sz w:val="20"/>
                <w:szCs w:val="20"/>
                <w:color w:val="auto"/>
              </w:rPr>
            </w:pPr>
            <w:r>
              <w:rPr>
                <w:rFonts w:ascii="Arial" w:cs="Arial" w:eastAsia="Arial" w:hAnsi="Arial"/>
                <w:sz w:val="17"/>
                <w:szCs w:val="17"/>
                <w:color w:val="auto"/>
              </w:rPr>
              <w:t>Carry</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3" w:lineRule="exact"/>
              <w:rPr>
                <w:sz w:val="20"/>
                <w:szCs w:val="20"/>
                <w:color w:val="auto"/>
              </w:rPr>
            </w:pPr>
            <w:r>
              <w:rPr>
                <w:rFonts w:ascii="Arial" w:cs="Arial" w:eastAsia="Arial" w:hAnsi="Arial"/>
                <w:sz w:val="17"/>
                <w:szCs w:val="17"/>
                <w:color w:val="auto"/>
              </w:rPr>
              <w:t>Forward</w:t>
            </w:r>
          </w:p>
        </w:tc>
        <w:tc>
          <w:tcPr>
            <w:tcW w:w="40" w:type="dxa"/>
            <w:vAlign w:val="bottom"/>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40" w:type="dxa"/>
            <w:vAlign w:val="bottom"/>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$ 749.37</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5,426,250.00</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2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8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$ 749.37</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5" w:lineRule="exact"/>
        <w:rPr>
          <w:sz w:val="20"/>
          <w:szCs w:val="20"/>
          <w:color w:val="auto"/>
        </w:rPr>
      </w:pPr>
    </w:p>
    <w:p>
      <w:pPr>
        <w:ind w:left="220" w:right="120" w:hanging="182"/>
        <w:spacing w:after="0" w:line="234" w:lineRule="auto"/>
        <w:tabs>
          <w:tab w:leader="none" w:pos="220" w:val="left"/>
        </w:tabs>
        <w:numPr>
          <w:ilvl w:val="0"/>
          <w:numId w:val="18"/>
        </w:numPr>
        <w:rPr>
          <w:rFonts w:ascii="Arial" w:cs="Arial" w:eastAsia="Arial" w:hAnsi="Arial"/>
          <w:sz w:val="21"/>
          <w:szCs w:val="21"/>
          <w:color w:val="auto"/>
          <w:vertAlign w:val="superscript"/>
        </w:rPr>
      </w:pPr>
      <w:r>
        <w:rPr>
          <w:rFonts w:ascii="Arial" w:cs="Arial" w:eastAsia="Arial" w:hAnsi="Arial"/>
          <w:sz w:val="17"/>
          <w:szCs w:val="17"/>
          <w:color w:val="auto"/>
        </w:rPr>
        <w:t>(1) The selling stockholder of Biodesix, Inc. (the "Registrant") is registering 375,000 shares of common stock, par value $0.001 per share (the "Common Stock"), that may be issued pursuant to the prospectus to which this exhibit is attached. Pursuant to Rule 416 under the Securities Act of 1933, as amended, this registration statement also covers such an indeterminate amount of shares of common stock as may become issuable to prevent dilution resulting from stock splits, stock dividends and similar events. (2) Estimated solely for the purpose of calculating the registration fee, based on the average of the high and low prices of the shares of Common Stock on The NASDAQ Global Market on May 14, 2026 (such date being within five business days of the date that this registration statement was first filed with the Securities and Exchange Commission, in accordance with Rule 457(c)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61595</wp:posOffset>
            </wp:positionV>
            <wp:extent cx="714565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3">
                      <a:extLst>
                        <a:ext uri="{28A0092B-C50C-407E-A947-70E740481C1C}"/>
                      </a:extLst>
                    </a:blip>
                    <a:srcRect/>
                    <a:stretch>
                      <a:fillRect/>
                    </a:stretch>
                  </pic:blipFill>
                  <pic:spPr bwMode="auto">
                    <a:xfrm>
                      <a:off x="0" y="0"/>
                      <a:ext cx="7145655" cy="3873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79"/>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180" w:type="dxa"/>
            <w:vAlign w:val="bottom"/>
            <w:tcBorders>
              <w:right w:val="single" w:sz="8" w:color="9ADAF6"/>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8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tcBorders>
              <w:right w:val="single" w:sz="8" w:color="9ADAF6"/>
            </w:tcBorders>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2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40" w:type="dxa"/>
            <w:vAlign w:val="bottom"/>
          </w:tcPr>
          <w:p>
            <w:pPr>
              <w:spacing w:after="0"/>
              <w:rPr>
                <w:sz w:val="8"/>
                <w:szCs w:val="8"/>
                <w:color w:val="auto"/>
              </w:rPr>
            </w:pPr>
          </w:p>
        </w:tc>
        <w:tc>
          <w:tcPr>
            <w:tcW w:w="680" w:type="dxa"/>
            <w:vAlign w:val="bottom"/>
            <w:tcBorders>
              <w:right w:val="single" w:sz="8" w:color="9ADAF6"/>
            </w:tcBorders>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tcBorders>
              <w:right w:val="single" w:sz="8" w:color="9ADAF6"/>
            </w:tcBorders>
            <w:gridSpan w:val="2"/>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Borders>
              <w:right w:val="single" w:sz="8" w:color="9ADAF6"/>
            </w:tcBorders>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tcBorders>
              <w:right w:val="single" w:sz="8" w:color="9ADAF6"/>
            </w:tcBorders>
            <w:gridSpan w:val="3"/>
            <w:shd w:val="clear" w:color="auto" w:fill="9ADAF6"/>
          </w:tcPr>
          <w:p>
            <w:pPr>
              <w:jc w:val="center"/>
              <w:spacing w:after="0" w:line="171"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right w:val="single" w:sz="8" w:color="9ADAF6"/>
            </w:tcBorders>
            <w:gridSpan w:val="2"/>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vMerge w:val="continue"/>
            <w:shd w:val="clear" w:color="auto" w:fill="9ADAF6"/>
          </w:tcPr>
          <w:p>
            <w:pPr>
              <w:spacing w:after="0"/>
              <w:rPr>
                <w:sz w:val="14"/>
                <w:szCs w:val="14"/>
                <w:color w:val="auto"/>
              </w:rPr>
            </w:pPr>
          </w:p>
        </w:tc>
        <w:tc>
          <w:tcPr>
            <w:tcW w:w="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jc w:val="center"/>
              <w:ind w:right="274"/>
              <w:spacing w:after="0" w:line="193"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6"/>
                <w:szCs w:val="16"/>
                <w:color w:val="auto"/>
              </w:rPr>
            </w:pPr>
          </w:p>
        </w:tc>
        <w:tc>
          <w:tcPr>
            <w:tcW w:w="62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680" w:type="dxa"/>
            <w:vAlign w:val="bottom"/>
            <w:tcBorders>
              <w:right w:val="single" w:sz="8" w:color="9ADAF6"/>
            </w:tcBorders>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1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0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80" w:type="dxa"/>
            <w:vAlign w:val="bottom"/>
            <w:tcBorders>
              <w:right w:val="single" w:sz="8" w:color="9ADAF6"/>
            </w:tcBorders>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tcBorders>
              <w:right w:val="single" w:sz="8" w:color="9ADAF6"/>
            </w:tcBorders>
            <w:gridSpan w:val="2"/>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40" w:type="dxa"/>
            <w:vAlign w:val="bottom"/>
          </w:tcPr>
          <w:p>
            <w:pPr>
              <w:spacing w:after="0"/>
              <w:rPr>
                <w:sz w:val="10"/>
                <w:szCs w:val="10"/>
                <w:color w:val="auto"/>
              </w:rPr>
            </w:pPr>
          </w:p>
        </w:tc>
        <w:tc>
          <w:tcPr>
            <w:tcW w:w="94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40" w:type="dxa"/>
            <w:vAlign w:val="bottom"/>
            <w:shd w:val="clear" w:color="auto" w:fill="9ADAF6"/>
          </w:tcPr>
          <w:p>
            <w:pPr>
              <w:jc w:val="center"/>
              <w:spacing w:after="0" w:line="118"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1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0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80" w:type="dxa"/>
            <w:vAlign w:val="bottom"/>
            <w:tcBorders>
              <w:right w:val="single" w:sz="8" w:color="9ADAF6"/>
            </w:tcBorders>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tcBorders>
              <w:right w:val="single" w:sz="8" w:color="9ADAF6"/>
            </w:tcBorders>
            <w:gridSpan w:val="2"/>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16"/>
                <w:szCs w:val="16"/>
                <w:color w:val="auto"/>
              </w:rPr>
            </w:pPr>
          </w:p>
        </w:tc>
        <w:tc>
          <w:tcPr>
            <w:tcW w:w="94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40" w:type="dxa"/>
            <w:vAlign w:val="bottom"/>
            <w:shd w:val="clear" w:color="auto" w:fill="9ADAF6"/>
          </w:tcPr>
          <w:p>
            <w:pPr>
              <w:jc w:val="center"/>
              <w:spacing w:after="0" w:line="193" w:lineRule="exact"/>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0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80" w:type="dxa"/>
            <w:vAlign w:val="bottom"/>
            <w:tcBorders>
              <w:right w:val="single" w:sz="8" w:color="9ADAF6"/>
            </w:tcBorders>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80" w:type="dxa"/>
            <w:vAlign w:val="bottom"/>
            <w:tcBorders>
              <w:right w:val="single" w:sz="8" w:color="9ADAF6"/>
            </w:tcBorders>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00" w:type="dxa"/>
            <w:vAlign w:val="bottom"/>
            <w:gridSpan w:val="13"/>
          </w:tcPr>
          <w:p>
            <w:pPr>
              <w:jc w:val="center"/>
              <w:ind w:right="177"/>
              <w:spacing w:after="0"/>
              <w:rPr>
                <w:sz w:val="20"/>
                <w:szCs w:val="20"/>
                <w:color w:val="auto"/>
              </w:rPr>
            </w:pPr>
            <w:r>
              <w:rPr>
                <w:rFonts w:ascii="Arial" w:cs="Arial" w:eastAsia="Arial" w:hAnsi="Arial"/>
                <w:sz w:val="17"/>
                <w:szCs w:val="17"/>
                <w:b w:val="1"/>
                <w:bCs w:val="1"/>
                <w:color w:val="auto"/>
                <w:w w:val="99"/>
              </w:rPr>
              <w:t>Rules 457(b) and 0-11(a)(2)</w:t>
            </w: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60" w:type="dxa"/>
            <w:vAlign w:val="bottom"/>
            <w:gridSpan w:val="7"/>
          </w:tcPr>
          <w:p>
            <w:pPr>
              <w:jc w:val="center"/>
              <w:ind w:right="280"/>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0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80" w:type="dxa"/>
            <w:vAlign w:val="bottom"/>
            <w:tcBorders>
              <w:right w:val="single" w:sz="8" w:color="E7E7E2"/>
            </w:tcBorders>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80" w:type="dxa"/>
            <w:vAlign w:val="bottom"/>
            <w:tcBorders>
              <w:right w:val="single" w:sz="8" w:color="E7E7E2"/>
            </w:tcBorders>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5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shd w:val="clear" w:color="auto" w:fill="E7E7E2"/>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82"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1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0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80" w:type="dxa"/>
            <w:vAlign w:val="bottom"/>
            <w:tcBorders>
              <w:right w:val="single" w:sz="8" w:color="E7E7E2"/>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80" w:type="dxa"/>
            <w:vAlign w:val="bottom"/>
            <w:tcBorders>
              <w:right w:val="single" w:sz="8" w:color="E7E7E2"/>
            </w:tcBorders>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0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80" w:type="dxa"/>
            <w:vAlign w:val="bottom"/>
            <w:tcBorders>
              <w:right w:val="single" w:sz="8" w:color="E7E7E2"/>
            </w:tcBorders>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80" w:type="dxa"/>
            <w:vAlign w:val="bottom"/>
            <w:tcBorders>
              <w:right w:val="single" w:sz="8" w:color="E7E7E2"/>
            </w:tcBorders>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shd w:val="clear" w:color="auto" w:fill="E7E7E2"/>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20"/>
              <w:spacing w:after="0" w:line="196" w:lineRule="exact"/>
              <w:rPr>
                <w:sz w:val="20"/>
                <w:szCs w:val="20"/>
                <w:color w:val="auto"/>
              </w:rPr>
            </w:pPr>
            <w:r>
              <w:rPr>
                <w:rFonts w:ascii="MS PGothic" w:cs="MS PGothic" w:eastAsia="MS PGothic" w:hAnsi="MS PGothic"/>
                <w:sz w:val="17"/>
                <w:szCs w:val="17"/>
                <w:color w:val="auto"/>
                <w:highlight w:val="black"/>
                <w:w w:val="98"/>
              </w:rPr>
              <w:t>☑</w:t>
            </w:r>
            <w:r>
              <w:rPr>
                <w:rFonts w:ascii="Arial" w:cs="Arial" w:eastAsia="Arial" w:hAnsi="Arial"/>
                <w:sz w:val="17"/>
                <w:szCs w:val="17"/>
                <w:b w:val="1"/>
                <w:bCs w:val="1"/>
                <w:color w:val="auto"/>
                <w:w w:val="98"/>
              </w:rPr>
              <w:t>Not Applicable</w:t>
            </w: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8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Borders>
              <w:right w:val="single" w:sz="8" w:color="9ADAF6"/>
            </w:tcBorders>
            <w:shd w:val="clear" w:color="auto" w:fill="9ADAF6"/>
          </w:tcPr>
          <w:p>
            <w:pPr>
              <w:spacing w:after="0"/>
              <w:rPr>
                <w:sz w:val="17"/>
                <w:szCs w:val="17"/>
                <w:color w:val="auto"/>
              </w:rPr>
            </w:pPr>
          </w:p>
        </w:tc>
        <w:tc>
          <w:tcPr>
            <w:tcW w:w="1160" w:type="dxa"/>
            <w:vAlign w:val="bottom"/>
            <w:gridSpan w:val="4"/>
            <w:shd w:val="clear" w:color="auto" w:fill="9ADAF6"/>
          </w:tcPr>
          <w:p>
            <w:pPr>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180" w:type="dxa"/>
            <w:vAlign w:val="bottom"/>
            <w:tcBorders>
              <w:right w:val="single" w:sz="8" w:color="9ADAF6"/>
            </w:tcBorders>
            <w:shd w:val="clear" w:color="auto" w:fill="9ADAF6"/>
          </w:tcPr>
          <w:p>
            <w:pPr>
              <w:spacing w:after="0"/>
              <w:rPr>
                <w:sz w:val="17"/>
                <w:szCs w:val="17"/>
                <w:color w:val="auto"/>
              </w:rPr>
            </w:pPr>
          </w:p>
        </w:tc>
        <w:tc>
          <w:tcPr>
            <w:tcW w:w="1840" w:type="dxa"/>
            <w:vAlign w:val="bottom"/>
            <w:gridSpan w:val="4"/>
            <w:shd w:val="clear" w:color="auto" w:fill="9ADAF6"/>
          </w:tcPr>
          <w:p>
            <w:pPr>
              <w:jc w:val="center"/>
              <w:ind w:right="78"/>
              <w:spacing w:after="0"/>
              <w:rPr>
                <w:sz w:val="20"/>
                <w:szCs w:val="20"/>
                <w:color w:val="auto"/>
              </w:rPr>
            </w:pPr>
            <w:r>
              <w:rPr>
                <w:rFonts w:ascii="Arial" w:cs="Arial" w:eastAsia="Arial" w:hAnsi="Arial"/>
                <w:sz w:val="17"/>
                <w:szCs w:val="17"/>
                <w:b w:val="1"/>
                <w:bCs w:val="1"/>
                <w:color w:val="auto"/>
              </w:rPr>
              <w:t>Maximum Aggregate</w:t>
            </w:r>
          </w:p>
        </w:tc>
        <w:tc>
          <w:tcPr>
            <w:tcW w:w="80" w:type="dxa"/>
            <w:vAlign w:val="bottom"/>
            <w:tcBorders>
              <w:right w:val="single" w:sz="8" w:color="9ADAF6"/>
            </w:tcBorders>
          </w:tcPr>
          <w:p>
            <w:pPr>
              <w:spacing w:after="0"/>
              <w:rPr>
                <w:sz w:val="17"/>
                <w:szCs w:val="17"/>
                <w:color w:val="auto"/>
              </w:rPr>
            </w:pPr>
          </w:p>
        </w:tc>
        <w:tc>
          <w:tcPr>
            <w:tcW w:w="40" w:type="dxa"/>
            <w:vAlign w:val="bottom"/>
            <w:shd w:val="clear" w:color="auto" w:fill="9ADAF6"/>
          </w:tcPr>
          <w:p>
            <w:pPr>
              <w:spacing w:after="0"/>
              <w:rPr>
                <w:sz w:val="17"/>
                <w:szCs w:val="17"/>
                <w:color w:val="auto"/>
              </w:rPr>
            </w:pPr>
          </w:p>
        </w:tc>
        <w:tc>
          <w:tcPr>
            <w:tcW w:w="5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9ADAF6"/>
          </w:tcPr>
          <w:p>
            <w:pPr>
              <w:spacing w:after="0"/>
              <w:rPr>
                <w:sz w:val="17"/>
                <w:szCs w:val="17"/>
                <w:color w:val="auto"/>
              </w:rPr>
            </w:pPr>
          </w:p>
        </w:tc>
        <w:tc>
          <w:tcPr>
            <w:tcW w:w="20" w:type="dxa"/>
            <w:vAlign w:val="bottom"/>
            <w:shd w:val="clear" w:color="auto" w:fill="9ADAF6"/>
          </w:tcPr>
          <w:p>
            <w:pPr>
              <w:spacing w:after="0"/>
              <w:rPr>
                <w:sz w:val="17"/>
                <w:szCs w:val="17"/>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restart"/>
            <w:shd w:val="clear" w:color="auto" w:fill="9ADAF6"/>
          </w:tcPr>
          <w:p>
            <w:pPr>
              <w:jc w:val="center"/>
              <w:ind w:right="118"/>
              <w:spacing w:after="0" w:line="193" w:lineRule="exact"/>
              <w:rPr>
                <w:sz w:val="20"/>
                <w:szCs w:val="20"/>
                <w:color w:val="auto"/>
              </w:rPr>
            </w:pPr>
            <w:r>
              <w:rPr>
                <w:rFonts w:ascii="Arial" w:cs="Arial" w:eastAsia="Arial" w:hAnsi="Arial"/>
                <w:sz w:val="17"/>
                <w:szCs w:val="17"/>
                <w:b w:val="1"/>
                <w:bCs w:val="1"/>
                <w:color w:val="auto"/>
              </w:rPr>
              <w:t>Offering Price of</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20"/>
              <w:spacing w:after="0" w:line="193"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20"/>
              <w:spacing w:after="0" w:line="193"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580" w:type="dxa"/>
            <w:vAlign w:val="bottom"/>
            <w:gridSpan w:val="5"/>
            <w:vMerge w:val="restart"/>
            <w:shd w:val="clear" w:color="auto" w:fill="9ADAF6"/>
          </w:tcPr>
          <w:p>
            <w:pPr>
              <w:ind w:left="620"/>
              <w:spacing w:after="0" w:line="193"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820" w:type="dxa"/>
            <w:vAlign w:val="bottom"/>
            <w:gridSpan w:val="3"/>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20" w:type="dxa"/>
            <w:vAlign w:val="bottom"/>
            <w:gridSpan w:val="3"/>
            <w:vMerge w:val="restart"/>
            <w:shd w:val="clear" w:color="auto" w:fill="9ADAF6"/>
          </w:tcPr>
          <w:p>
            <w:pPr>
              <w:ind w:left="60"/>
              <w:spacing w:after="0" w:line="193"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restart"/>
            <w:shd w:val="clear" w:color="auto" w:fill="9ADAF6"/>
          </w:tcPr>
          <w:p>
            <w:pPr>
              <w:jc w:val="center"/>
              <w:ind w:right="40"/>
              <w:spacing w:after="0" w:line="193"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58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restart"/>
            <w:shd w:val="clear" w:color="auto" w:fill="9ADAF6"/>
          </w:tcPr>
          <w:p>
            <w:pPr>
              <w:spacing w:after="0" w:line="193"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1840" w:type="dxa"/>
            <w:vAlign w:val="bottom"/>
            <w:gridSpan w:val="4"/>
            <w:vMerge w:val="restart"/>
            <w:shd w:val="clear" w:color="auto" w:fill="9ADAF6"/>
          </w:tcPr>
          <w:p>
            <w:pPr>
              <w:jc w:val="center"/>
              <w:ind w:right="58"/>
              <w:spacing w:after="0" w:line="193" w:lineRule="exact"/>
              <w:rPr>
                <w:sz w:val="20"/>
                <w:szCs w:val="20"/>
                <w:color w:val="auto"/>
              </w:rPr>
            </w:pPr>
            <w:r>
              <w:rPr>
                <w:rFonts w:ascii="Arial" w:cs="Arial" w:eastAsia="Arial" w:hAnsi="Arial"/>
                <w:sz w:val="17"/>
                <w:szCs w:val="17"/>
                <w:b w:val="1"/>
                <w:bCs w:val="1"/>
                <w:color w:val="auto"/>
                <w:w w:val="98"/>
              </w:rPr>
              <w:t>Securities Previously</w:t>
            </w: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restart"/>
            <w:shd w:val="clear" w:color="auto" w:fill="9ADAF6"/>
          </w:tcPr>
          <w:p>
            <w:pPr>
              <w:ind w:left="40"/>
              <w:spacing w:after="0" w:line="193"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Borders>
              <w:right w:val="single" w:sz="8" w:color="9ADAF6"/>
            </w:tcBorders>
            <w:shd w:val="clear" w:color="auto" w:fill="9ADAF6"/>
          </w:tcPr>
          <w:p>
            <w:pPr>
              <w:spacing w:after="0"/>
              <w:rPr>
                <w:sz w:val="8"/>
                <w:szCs w:val="8"/>
                <w:color w:val="auto"/>
              </w:rPr>
            </w:pPr>
          </w:p>
        </w:tc>
        <w:tc>
          <w:tcPr>
            <w:tcW w:w="1160" w:type="dxa"/>
            <w:vAlign w:val="bottom"/>
            <w:gridSpan w:val="4"/>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right w:val="single" w:sz="8" w:color="9ADAF6"/>
            </w:tcBorders>
            <w:shd w:val="clear" w:color="auto" w:fill="9ADAF6"/>
          </w:tcPr>
          <w:p>
            <w:pPr>
              <w:spacing w:after="0"/>
              <w:rPr>
                <w:sz w:val="8"/>
                <w:szCs w:val="8"/>
                <w:color w:val="auto"/>
              </w:rPr>
            </w:pPr>
          </w:p>
        </w:tc>
        <w:tc>
          <w:tcPr>
            <w:tcW w:w="1840" w:type="dxa"/>
            <w:vAlign w:val="bottom"/>
            <w:gridSpan w:val="4"/>
            <w:vMerge w:val="continue"/>
            <w:shd w:val="clear" w:color="auto" w:fill="9ADAF6"/>
          </w:tcPr>
          <w:p>
            <w:pPr>
              <w:spacing w:after="0"/>
              <w:rPr>
                <w:sz w:val="8"/>
                <w:szCs w:val="8"/>
                <w:color w:val="auto"/>
              </w:rPr>
            </w:pPr>
          </w:p>
        </w:tc>
        <w:tc>
          <w:tcPr>
            <w:tcW w:w="80" w:type="dxa"/>
            <w:vAlign w:val="bottom"/>
            <w:tcBorders>
              <w:right w:val="single" w:sz="8" w:color="9ADAF6"/>
            </w:tcBorders>
          </w:tcPr>
          <w:p>
            <w:pPr>
              <w:spacing w:after="0"/>
              <w:rPr>
                <w:sz w:val="8"/>
                <w:szCs w:val="8"/>
                <w:color w:val="auto"/>
              </w:rPr>
            </w:pPr>
          </w:p>
        </w:tc>
        <w:tc>
          <w:tcPr>
            <w:tcW w:w="40" w:type="dxa"/>
            <w:vAlign w:val="bottom"/>
            <w:shd w:val="clear" w:color="auto" w:fill="9ADAF6"/>
          </w:tcPr>
          <w:p>
            <w:pPr>
              <w:spacing w:after="0"/>
              <w:rPr>
                <w:sz w:val="8"/>
                <w:szCs w:val="8"/>
                <w:color w:val="auto"/>
              </w:rPr>
            </w:pPr>
          </w:p>
        </w:tc>
        <w:tc>
          <w:tcPr>
            <w:tcW w:w="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9"/>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6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62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right w:val="single" w:sz="8" w:color="9ADAF6"/>
            </w:tcBorders>
            <w:shd w:val="clear" w:color="auto" w:fill="9ADAF6"/>
          </w:tcPr>
          <w:p>
            <w:pPr>
              <w:spacing w:after="0"/>
              <w:rPr>
                <w:sz w:val="12"/>
                <w:szCs w:val="12"/>
                <w:color w:val="auto"/>
              </w:rPr>
            </w:pPr>
          </w:p>
        </w:tc>
        <w:tc>
          <w:tcPr>
            <w:tcW w:w="1160" w:type="dxa"/>
            <w:vAlign w:val="bottom"/>
            <w:gridSpan w:val="4"/>
            <w:vMerge w:val="restart"/>
            <w:shd w:val="clear" w:color="auto" w:fill="9ADAF6"/>
          </w:tcPr>
          <w:p>
            <w:pP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180" w:type="dxa"/>
            <w:vAlign w:val="bottom"/>
            <w:tcBorders>
              <w:right w:val="single" w:sz="8" w:color="9ADAF6"/>
            </w:tcBorders>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1820" w:type="dxa"/>
            <w:vAlign w:val="bottom"/>
            <w:gridSpan w:val="3"/>
            <w:vMerge w:val="restart"/>
            <w:shd w:val="clear" w:color="auto" w:fill="9ADAF6"/>
          </w:tcPr>
          <w:p>
            <w:pPr>
              <w:jc w:val="center"/>
              <w:ind w:right="98"/>
              <w:spacing w:after="0"/>
              <w:rPr>
                <w:sz w:val="20"/>
                <w:szCs w:val="20"/>
                <w:color w:val="auto"/>
              </w:rPr>
            </w:pPr>
            <w:r>
              <w:rPr>
                <w:rFonts w:ascii="Arial" w:cs="Arial" w:eastAsia="Arial" w:hAnsi="Arial"/>
                <w:sz w:val="17"/>
                <w:szCs w:val="17"/>
                <w:b w:val="1"/>
                <w:bCs w:val="1"/>
                <w:color w:val="auto"/>
              </w:rPr>
              <w:t>Registered</w:t>
            </w:r>
          </w:p>
        </w:tc>
        <w:tc>
          <w:tcPr>
            <w:tcW w:w="80" w:type="dxa"/>
            <w:vAlign w:val="bottom"/>
            <w:tcBorders>
              <w:right w:val="single" w:sz="8" w:color="9ADAF6"/>
            </w:tcBorders>
          </w:tcPr>
          <w:p>
            <w:pPr>
              <w:spacing w:after="0"/>
              <w:rPr>
                <w:sz w:val="12"/>
                <w:szCs w:val="12"/>
                <w:color w:val="auto"/>
              </w:rPr>
            </w:pPr>
          </w:p>
        </w:tc>
        <w:tc>
          <w:tcPr>
            <w:tcW w:w="40" w:type="dxa"/>
            <w:vAlign w:val="bottom"/>
            <w:shd w:val="clear" w:color="auto" w:fill="9ADAF6"/>
          </w:tcPr>
          <w:p>
            <w:pPr>
              <w:spacing w:after="0"/>
              <w:rPr>
                <w:sz w:val="12"/>
                <w:szCs w:val="12"/>
                <w:color w:val="auto"/>
              </w:rPr>
            </w:pPr>
          </w:p>
        </w:tc>
        <w:tc>
          <w:tcPr>
            <w:tcW w:w="5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shd w:val="clear" w:color="auto" w:fill="9ADAF6"/>
          </w:tcPr>
          <w:p>
            <w:pPr>
              <w:spacing w:after="0"/>
              <w:rPr>
                <w:sz w:val="12"/>
                <w:szCs w:val="12"/>
                <w:color w:val="auto"/>
              </w:rPr>
            </w:pPr>
          </w:p>
        </w:tc>
        <w:tc>
          <w:tcPr>
            <w:tcW w:w="20" w:type="dxa"/>
            <w:vAlign w:val="bottom"/>
            <w:shd w:val="clear" w:color="auto" w:fill="9ADAF6"/>
          </w:tcPr>
          <w:p>
            <w:pPr>
              <w:spacing w:after="0"/>
              <w:rPr>
                <w:sz w:val="12"/>
                <w:szCs w:val="12"/>
                <w:color w:val="auto"/>
              </w:rPr>
            </w:pPr>
          </w:p>
        </w:tc>
        <w:tc>
          <w:tcPr>
            <w:tcW w:w="700" w:type="dxa"/>
            <w:vAlign w:val="bottom"/>
            <w:tcBorders>
              <w:right w:val="single" w:sz="8" w:color="auto"/>
            </w:tcBorders>
            <w:gridSpan w:val="2"/>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Borders>
              <w:right w:val="single" w:sz="8" w:color="9ADAF6"/>
            </w:tcBorders>
            <w:shd w:val="clear" w:color="auto" w:fill="9ADAF6"/>
          </w:tcPr>
          <w:p>
            <w:pPr>
              <w:spacing w:after="0"/>
              <w:rPr>
                <w:sz w:val="7"/>
                <w:szCs w:val="7"/>
                <w:color w:val="auto"/>
              </w:rPr>
            </w:pPr>
          </w:p>
        </w:tc>
        <w:tc>
          <w:tcPr>
            <w:tcW w:w="1160" w:type="dxa"/>
            <w:vAlign w:val="bottom"/>
            <w:gridSpan w:val="4"/>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Borders>
              <w:right w:val="single" w:sz="8" w:color="9ADAF6"/>
            </w:tcBorders>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820" w:type="dxa"/>
            <w:vAlign w:val="bottom"/>
            <w:gridSpan w:val="3"/>
            <w:vMerge w:val="continue"/>
            <w:shd w:val="clear" w:color="auto" w:fill="9ADAF6"/>
          </w:tcPr>
          <w:p>
            <w:pPr>
              <w:spacing w:after="0"/>
              <w:rPr>
                <w:sz w:val="7"/>
                <w:szCs w:val="7"/>
                <w:color w:val="auto"/>
              </w:rPr>
            </w:pPr>
          </w:p>
        </w:tc>
        <w:tc>
          <w:tcPr>
            <w:tcW w:w="80" w:type="dxa"/>
            <w:vAlign w:val="bottom"/>
            <w:tcBorders>
              <w:right w:val="single" w:sz="8" w:color="9ADAF6"/>
            </w:tcBorders>
          </w:tcPr>
          <w:p>
            <w:pPr>
              <w:spacing w:after="0"/>
              <w:rPr>
                <w:sz w:val="7"/>
                <w:szCs w:val="7"/>
                <w:color w:val="auto"/>
              </w:rPr>
            </w:pPr>
          </w:p>
        </w:tc>
        <w:tc>
          <w:tcPr>
            <w:tcW w:w="40" w:type="dxa"/>
            <w:vAlign w:val="bottom"/>
            <w:shd w:val="clear" w:color="auto" w:fill="9ADAF6"/>
          </w:tcPr>
          <w:p>
            <w:pPr>
              <w:spacing w:after="0"/>
              <w:rPr>
                <w:sz w:val="7"/>
                <w:szCs w:val="7"/>
                <w:color w:val="auto"/>
              </w:rPr>
            </w:pPr>
          </w:p>
        </w:tc>
        <w:tc>
          <w:tcPr>
            <w:tcW w:w="5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60" w:type="dxa"/>
            <w:vAlign w:val="bottom"/>
            <w:tcBorders>
              <w:bottom w:val="single" w:sz="8" w:color="E7E7E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E7E7E2"/>
            </w:tcBorders>
          </w:tcPr>
          <w:p>
            <w:pPr>
              <w:spacing w:after="0" w:line="20" w:lineRule="exact"/>
              <w:rPr>
                <w:sz w:val="1"/>
                <w:szCs w:val="1"/>
                <w:color w:val="auto"/>
              </w:rPr>
            </w:pPr>
          </w:p>
        </w:tc>
        <w:tc>
          <w:tcPr>
            <w:tcW w:w="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40" w:type="dxa"/>
            <w:vAlign w:val="bottom"/>
            <w:tcBorders>
              <w:bottom w:val="single" w:sz="8" w:color="E7E7E2"/>
            </w:tcBorders>
          </w:tcPr>
          <w:p>
            <w:pPr>
              <w:spacing w:after="0" w:line="20" w:lineRule="exact"/>
              <w:rPr>
                <w:sz w:val="1"/>
                <w:szCs w:val="1"/>
                <w:color w:val="auto"/>
              </w:rPr>
            </w:pPr>
          </w:p>
        </w:tc>
        <w:tc>
          <w:tcPr>
            <w:tcW w:w="6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40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2"/>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2">
    <w:nsid w:val="41A7C4C9"/>
    <w:multiLevelType w:val="hybridMultilevel"/>
    <w:lvl w:ilvl="0">
      <w:lvlJc w:val="left"/>
      <w:lvlText w:val="(%1)"/>
      <w:numFmt w:val="decimal"/>
      <w:start w:val="2"/>
    </w:lvl>
  </w:abstractNum>
  <w:abstractNum w:abstractNumId="13">
    <w:nsid w:val="6B68079A"/>
    <w:multiLevelType w:val="hybridMultilevel"/>
    <w:lvl w:ilvl="0">
      <w:lvlJc w:val="left"/>
      <w:lvlText w:val="(%1)"/>
      <w:numFmt w:val="decimal"/>
      <w:start w:val="3"/>
    </w:lvl>
    <w:lvl w:ilvl="1">
      <w:lvlJc w:val="left"/>
      <w:lvlText w:val="(%2)"/>
      <w:numFmt w:val="lowerRoman"/>
      <w:start w:val="1"/>
    </w:lvl>
  </w:abstractNum>
  <w:abstractNum w:abstractNumId="14">
    <w:nsid w:val="4E6AFB66"/>
    <w:multiLevelType w:val="hybridMultilevel"/>
    <w:lvl w:ilvl="0">
      <w:lvlJc w:val="left"/>
      <w:lvlText w:val="%1"/>
      <w:numFmt w:val="lowerLetter"/>
      <w:start w:val="1"/>
    </w:lvl>
    <w:lvl w:ilvl="1">
      <w:lvlJc w:val="left"/>
      <w:lvlText w:val="(%2)"/>
      <w:numFmt w:val="lowerRoman"/>
      <w:start w:val="1"/>
    </w:lvl>
  </w:abstractNum>
  <w:abstractNum w:abstractNumId="15">
    <w:nsid w:val="25E45D32"/>
    <w:multiLevelType w:val="hybridMultilevel"/>
    <w:lvl w:ilvl="0">
      <w:lvlJc w:val="left"/>
      <w:lvlText w:val="(%1)"/>
      <w:numFmt w:val="lowerLetter"/>
      <w:start w:val="2"/>
    </w:lvl>
    <w:lvl w:ilvl="1">
      <w:lvlJc w:val="left"/>
      <w:lvlText w:val="%2"/>
      <w:numFmt w:val="lowerRoman"/>
      <w:start w:val="1"/>
    </w:lvl>
  </w:abstractNum>
  <w:abstractNum w:abstractNumId="16">
    <w:nsid w:val="519B500D"/>
    <w:multiLevelType w:val="hybridMultilevel"/>
    <w:lvl w:ilvl="0">
      <w:lvlJc w:val="left"/>
      <w:lvlText w:val="(%1)"/>
      <w:numFmt w:val="lowerLetter"/>
      <w:start w:val="4"/>
    </w:lvl>
    <w:lvl w:ilvl="1">
      <w:lvlJc w:val="left"/>
      <w:lvlText w:val="(%2)"/>
      <w:numFmt w:val="decimal"/>
      <w:start w:val="1"/>
    </w:lvl>
  </w:abstractNum>
  <w:abstractNum w:abstractNumId="17">
    <w:nsid w:val="431BD7B7"/>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jpe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80" Type="http://schemas.openxmlformats.org/officeDocument/2006/relationships/image" Target="media/image53.png"/><Relationship Id="rId84" Type="http://schemas.openxmlformats.org/officeDocument/2006/relationships/image" Target="media/image54.png"/><Relationship Id="rId85" Type="http://schemas.openxmlformats.org/officeDocument/2006/relationships/image" Target="media/image55.png"/><Relationship Id="rId86" Type="http://schemas.openxmlformats.org/officeDocument/2006/relationships/image" Target="media/image56.png"/><Relationship Id="rId87" Type="http://schemas.openxmlformats.org/officeDocument/2006/relationships/image" Target="media/image57.png"/><Relationship Id="rId88" Type="http://schemas.openxmlformats.org/officeDocument/2006/relationships/image" Target="media/image58.png"/><Relationship Id="rId89" Type="http://schemas.openxmlformats.org/officeDocument/2006/relationships/image" Target="media/image59.png"/><Relationship Id="rId90" Type="http://schemas.openxmlformats.org/officeDocument/2006/relationships/image" Target="media/image60.png"/><Relationship Id="rId91" Type="http://schemas.openxmlformats.org/officeDocument/2006/relationships/image" Target="media/image61.jpeg"/><Relationship Id="rId92" Type="http://schemas.openxmlformats.org/officeDocument/2006/relationships/image" Target="media/image62.jpeg"/><Relationship Id="rId93" Type="http://schemas.openxmlformats.org/officeDocument/2006/relationships/image" Target="media/image63.png"/><Relationship Id="rId49" Type="http://schemas.openxmlformats.org/officeDocument/2006/relationships/hyperlink" Target="http://www.sec.gov/ix?doc=/Archives/edgar/data/0001439725/000119312526076547/bdsx-20251231.htm" TargetMode="External"/><Relationship Id="rId50" Type="http://schemas.openxmlformats.org/officeDocument/2006/relationships/hyperlink" Target="http://www.sec.gov/ix?doc=/Archives/edgar/data/0001439725/000119312526203960/bdsx-20260331.htm" TargetMode="External"/><Relationship Id="rId51" Type="http://schemas.openxmlformats.org/officeDocument/2006/relationships/hyperlink" Target="http://www.sec.gov/ix?doc=/Archives/edgar/data/0001439725/000119312526010114/bdsx-20260112.htm" TargetMode="External"/><Relationship Id="rId52" Type="http://schemas.openxmlformats.org/officeDocument/2006/relationships/hyperlink" Target="http://www.sec.gov/ix?doc=/Archives/edgar/data/1439725/000119312526232631/d103157d8k.htm" TargetMode="External"/><Relationship Id="rId53" Type="http://schemas.openxmlformats.org/officeDocument/2006/relationships/hyperlink" Target="http://www.sec.gov/ix?doc=/Archives/edgar/data/0001439725/000119312526149633/d72903ddef14a.htm" TargetMode="External"/><Relationship Id="rId54" Type="http://schemas.openxmlformats.org/officeDocument/2006/relationships/hyperlink" Target="http://www.sec.gov/Archives/edgar/data/1439725/000119312520275716/d94177d8a12b.htm" TargetMode="External"/><Relationship Id="rId66" Type="http://schemas.openxmlformats.org/officeDocument/2006/relationships/hyperlink" Target="http://www.sec.gov/Archives/edgar/data/1439725/000156459020056735/bdsx-ex31_716.htm" TargetMode="External"/><Relationship Id="rId67" Type="http://schemas.openxmlformats.org/officeDocument/2006/relationships/hyperlink" Target="http://www.sec.gov/Archives/edgar/data/1439725/000156459020056735/bdsx-ex32_717.htm" TargetMode="External"/><Relationship Id="rId68" Type="http://schemas.openxmlformats.org/officeDocument/2006/relationships/hyperlink" Target="http://www.sec.gov/Archives/edgar/data/1439725/000119312525203746/d14130dex31.htm" TargetMode="External"/><Relationship Id="rId69" Type="http://schemas.openxmlformats.org/officeDocument/2006/relationships/hyperlink" Target="http://www.sec.gov/Archives/edgar/data/1439725/000119312525203746/d14130dex32.htm" TargetMode="External"/><Relationship Id="rId70" Type="http://schemas.openxmlformats.org/officeDocument/2006/relationships/hyperlink" Target="http://www.sec.gov/Archives/edgar/data/1439725/000095017022025530/bdsx-ex4_2.htm" TargetMode="External"/><Relationship Id="rId71" Type="http://schemas.openxmlformats.org/officeDocument/2006/relationships/hyperlink" Target="http://www.sec.gov/Archives/edgar/data/1439725/000095017023021238/bdsx-ex4_1.htm" TargetMode="External"/><Relationship Id="rId72" Type="http://schemas.openxmlformats.org/officeDocument/2006/relationships/hyperlink" Target="http://www.sec.gov/Archives/edgar/data/1439725/000095017025030835/bdsx-ex4_8.htm" TargetMode="External"/><Relationship Id="rId73" Type="http://schemas.openxmlformats.org/officeDocument/2006/relationships/hyperlink" Target="http://www.sec.gov/Archives/edgar/data/1439725/000095017025070339/bdsx-ex4_1.htm" TargetMode="External"/><Relationship Id="rId74" Type="http://schemas.openxmlformats.org/officeDocument/2006/relationships/hyperlink" Target="http://www.sec.gov/Archives/edgar/data/1439725/000095017025070339/bdsx-ex4_2.htm" TargetMode="External"/><Relationship Id="rId75" Type="http://schemas.openxmlformats.org/officeDocument/2006/relationships/hyperlink" Target="http://www.sec.gov/Archives/edgar/data/1439725/000119312526076547/bdsx-ex4_11.htm" TargetMode="External"/><Relationship Id="rId76" Type="http://schemas.openxmlformats.org/officeDocument/2006/relationships/hyperlink" Target="http://www.sec.gov/Archives/edgar/data/1439725/000095017022025530/bdsx-ex10_1.htm" TargetMode="External"/><Relationship Id="rId77" Type="http://schemas.openxmlformats.org/officeDocument/2006/relationships/hyperlink" Target="http://www.sec.gov/Archives/edgar/data/1439725/000095017023021238/bdsx-ex10_3.htm" TargetMode="External"/><Relationship Id="rId78" Type="http://schemas.openxmlformats.org/officeDocument/2006/relationships/hyperlink" Target="http://www.sec.gov/Archives/edgar/data/1439725/000095017023039073/bdsx-ex10_2.htm" TargetMode="External"/><Relationship Id="rId79" Type="http://schemas.openxmlformats.org/officeDocument/2006/relationships/hyperlink" Target="http://www.sec.gov/Archives/edgar/data/1439725/000095017024023513/bdsx-ex10_35.htm" TargetMode="External"/><Relationship Id="rId81" Type="http://schemas.openxmlformats.org/officeDocument/2006/relationships/hyperlink" Target="http://www.sec.gov/Archives/edgar/data/1439725/000095017024119792/bdsx-ex10_1.htm" TargetMode="External"/><Relationship Id="rId82" Type="http://schemas.openxmlformats.org/officeDocument/2006/relationships/hyperlink" Target="http://www.sec.gov/Archives/edgar/data/1439725/000095017025030835/bdsx-ex10_36.htm" TargetMode="External"/><Relationship Id="rId83" Type="http://schemas.openxmlformats.org/officeDocument/2006/relationships/hyperlink" Target="http://www.sec.gov/Archives/edgar/data/1439725/000119312526076547/bdsx-ex10_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2026-05-21T16:09:56Z</dcterms:created>
  <dcterms:modified xsi:type="dcterms:W3CDTF">2026-05-21T16:09:56Z</dcterms:modified>
</cp:coreProperties>
</file>