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7"/>
          <w:szCs w:val="7"/>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t</w:t>
      </w:r>
    </w:p>
    <w:p>
      <w:pPr>
        <w:jc w:val="center"/>
        <w:ind w:right="-19"/>
        <w:spacing w:after="0" w:line="237" w:lineRule="auto"/>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620" w:hanging="3652"/>
        <w:spacing w:after="0" w:line="344"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-95885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6" w:lineRule="exact"/>
        <w:rPr>
          <w:sz w:val="24"/>
          <w:szCs w:val="24"/>
          <w:color w:val="auto"/>
        </w:rPr>
      </w:pPr>
    </w:p>
    <w:p>
      <w:pPr>
        <w:ind w:left="41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w:t>
      </w:r>
      <w:r>
        <w:rPr>
          <w:rFonts w:ascii="Times New Roman" w:cs="Times New Roman" w:eastAsia="Times New Roman" w:hAnsi="Times New Roman"/>
          <w:sz w:val="24"/>
          <w:szCs w:val="24"/>
          <w:b w:val="1"/>
          <w:bCs w:val="1"/>
          <w:color w:val="auto"/>
        </w:rPr>
        <w:t>IODESIX</w:t>
      </w:r>
      <w:r>
        <w:rPr>
          <w:rFonts w:ascii="Times New Roman" w:cs="Times New Roman" w:eastAsia="Times New Roman" w:hAnsi="Times New Roman"/>
          <w:sz w:val="32"/>
          <w:szCs w:val="32"/>
          <w:b w:val="1"/>
          <w:bCs w:val="1"/>
          <w:color w:val="auto"/>
        </w:rPr>
        <w:t>, I</w:t>
      </w:r>
      <w:r>
        <w:rPr>
          <w:rFonts w:ascii="Times New Roman" w:cs="Times New Roman" w:eastAsia="Times New Roman" w:hAnsi="Times New Roman"/>
          <w:sz w:val="24"/>
          <w:szCs w:val="24"/>
          <w:b w:val="1"/>
          <w:bCs w:val="1"/>
          <w:color w:val="auto"/>
        </w:rPr>
        <w:t>NC</w:t>
      </w:r>
      <w:r>
        <w:rPr>
          <w:rFonts w:ascii="Times New Roman" w:cs="Times New Roman" w:eastAsia="Times New Roman" w:hAnsi="Times New Roman"/>
          <w:sz w:val="32"/>
          <w:szCs w:val="32"/>
          <w:b w:val="1"/>
          <w:bCs w:val="1"/>
          <w:color w:val="auto"/>
        </w:rPr>
        <w:t>.</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120" w:type="dxa"/>
            <w:vAlign w:val="bottom"/>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20-3986492</w:t>
            </w:r>
          </w:p>
        </w:tc>
        <w:tc>
          <w:tcPr>
            <w:tcW w:w="0" w:type="dxa"/>
            <w:vAlign w:val="bottom"/>
          </w:tcPr>
          <w:p>
            <w:pPr>
              <w:spacing w:after="0"/>
              <w:rPr>
                <w:sz w:val="1"/>
                <w:szCs w:val="1"/>
                <w:color w:val="auto"/>
              </w:rPr>
            </w:pPr>
          </w:p>
        </w:tc>
      </w:tr>
      <w:tr>
        <w:trPr>
          <w:trHeight w:val="135"/>
        </w:trPr>
        <w:tc>
          <w:tcPr>
            <w:tcW w:w="4120" w:type="dxa"/>
            <w:vAlign w:val="bottom"/>
          </w:tcPr>
          <w:p>
            <w:pPr>
              <w:jc w:val="center"/>
              <w:ind w:right="1970"/>
              <w:spacing w:after="0" w:line="135"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020" w:type="dxa"/>
            <w:vAlign w:val="bottom"/>
          </w:tcPr>
          <w:p>
            <w:pPr>
              <w:jc w:val="center"/>
              <w:ind w:left="197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120" w:type="dxa"/>
            <w:vAlign w:val="bottom"/>
          </w:tcPr>
          <w:p>
            <w:pPr>
              <w:jc w:val="center"/>
              <w:ind w:right="197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7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61"/>
        </w:trPr>
        <w:tc>
          <w:tcPr>
            <w:tcW w:w="4120" w:type="dxa"/>
            <w:vAlign w:val="bottom"/>
          </w:tcPr>
          <w:p>
            <w:pPr>
              <w:jc w:val="center"/>
              <w:ind w:right="1970"/>
              <w:spacing w:after="0"/>
              <w:rPr>
                <w:sz w:val="20"/>
                <w:szCs w:val="20"/>
                <w:color w:val="auto"/>
              </w:rPr>
            </w:pPr>
            <w:r>
              <w:rPr>
                <w:rFonts w:ascii="Times New Roman" w:cs="Times New Roman" w:eastAsia="Times New Roman" w:hAnsi="Times New Roman"/>
                <w:sz w:val="14"/>
                <w:szCs w:val="14"/>
                <w:b w:val="1"/>
                <w:bCs w:val="1"/>
                <w:color w:val="auto"/>
              </w:rPr>
              <w:t>2970 Wilderness Place, Suite 100</w:t>
            </w:r>
          </w:p>
        </w:tc>
        <w:tc>
          <w:tcPr>
            <w:tcW w:w="3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80301</w:t>
            </w:r>
          </w:p>
        </w:tc>
        <w:tc>
          <w:tcPr>
            <w:tcW w:w="0" w:type="dxa"/>
            <w:vAlign w:val="bottom"/>
          </w:tcPr>
          <w:p>
            <w:pPr>
              <w:spacing w:after="0"/>
              <w:rPr>
                <w:sz w:val="1"/>
                <w:szCs w:val="1"/>
                <w:color w:val="auto"/>
              </w:rPr>
            </w:pPr>
          </w:p>
        </w:tc>
      </w:tr>
      <w:tr>
        <w:trPr>
          <w:trHeight w:val="153"/>
        </w:trPr>
        <w:tc>
          <w:tcPr>
            <w:tcW w:w="4120" w:type="dxa"/>
            <w:vAlign w:val="bottom"/>
          </w:tcPr>
          <w:p>
            <w:pPr>
              <w:jc w:val="center"/>
              <w:ind w:right="1970"/>
              <w:spacing w:after="0" w:line="153" w:lineRule="exact"/>
              <w:rPr>
                <w:sz w:val="20"/>
                <w:szCs w:val="20"/>
                <w:color w:val="auto"/>
              </w:rPr>
            </w:pPr>
            <w:r>
              <w:rPr>
                <w:rFonts w:ascii="Times New Roman" w:cs="Times New Roman" w:eastAsia="Times New Roman" w:hAnsi="Times New Roman"/>
                <w:sz w:val="14"/>
                <w:szCs w:val="14"/>
                <w:b w:val="1"/>
                <w:bCs w:val="1"/>
                <w:color w:val="auto"/>
              </w:rPr>
              <w:t>Boulder, Colorado 80301</w:t>
            </w:r>
          </w:p>
        </w:tc>
        <w:tc>
          <w:tcPr>
            <w:tcW w:w="3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120" w:type="dxa"/>
            <w:vAlign w:val="bottom"/>
          </w:tcPr>
          <w:p>
            <w:pPr>
              <w:jc w:val="center"/>
              <w:ind w:right="197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70"/>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3900" w:type="dxa"/>
            <w:vAlign w:val="bottom"/>
            <w:vMerge w:val="restart"/>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vMerge w:val="restart"/>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55"/>
        </w:trPr>
        <w:tc>
          <w:tcPr>
            <w:tcW w:w="3900" w:type="dxa"/>
            <w:vAlign w:val="bottom"/>
            <w:vMerge w:val="continue"/>
          </w:tcPr>
          <w:p>
            <w:pPr>
              <w:spacing w:after="0"/>
              <w:rPr>
                <w:sz w:val="13"/>
                <w:szCs w:val="13"/>
                <w:color w:val="auto"/>
              </w:rPr>
            </w:pPr>
          </w:p>
        </w:tc>
        <w:tc>
          <w:tcPr>
            <w:tcW w:w="2300" w:type="dxa"/>
            <w:vAlign w:val="bottom"/>
          </w:tcPr>
          <w:p>
            <w:pPr>
              <w:jc w:val="center"/>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900" w:type="dxa"/>
            <w:vAlign w:val="bottom"/>
          </w:tcPr>
          <w:p>
            <w:pPr>
              <w:jc w:val="center"/>
              <w:ind w:right="699"/>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00" w:type="dxa"/>
            <w:vAlign w:val="bottom"/>
            <w:vMerge w:val="restart"/>
          </w:tcPr>
          <w:p>
            <w:pPr>
              <w:jc w:val="center"/>
              <w:ind w:right="22"/>
              <w:spacing w:after="0"/>
              <w:rPr>
                <w:sz w:val="20"/>
                <w:szCs w:val="20"/>
                <w:color w:val="auto"/>
              </w:rPr>
            </w:pPr>
            <w:r>
              <w:rPr>
                <w:rFonts w:ascii="Times New Roman" w:cs="Times New Roman" w:eastAsia="Times New Roman" w:hAnsi="Times New Roman"/>
                <w:sz w:val="18"/>
                <w:szCs w:val="18"/>
                <w:color w:val="auto"/>
                <w:w w:val="99"/>
              </w:rPr>
              <w:t>BDSX</w:t>
            </w:r>
          </w:p>
        </w:tc>
        <w:tc>
          <w:tcPr>
            <w:tcW w:w="3540" w:type="dxa"/>
            <w:vAlign w:val="bottom"/>
            <w:vMerge w:val="restart"/>
          </w:tcPr>
          <w:p>
            <w:pPr>
              <w:jc w:val="center"/>
              <w:ind w:left="819"/>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firstLine="5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1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jc w:val="both"/>
        <w:ind w:right="30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55" w:lineRule="exact"/>
        <w:rPr>
          <w:sz w:val="24"/>
          <w:szCs w:val="24"/>
          <w:color w:val="auto"/>
        </w:rPr>
      </w:pPr>
    </w:p>
    <w:p>
      <w:pPr>
        <w:jc w:val="both"/>
        <w:ind w:right="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520"/>
        <w:spacing w:after="0" w:line="184" w:lineRule="exact"/>
        <w:tabs>
          <w:tab w:leader="none" w:pos="8060" w:val="left"/>
          <w:tab w:leader="none" w:pos="86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No X</w:t>
      </w:r>
    </w:p>
    <w:p>
      <w:pPr>
        <w:spacing w:after="0" w:line="112" w:lineRule="exact"/>
        <w:rPr>
          <w:sz w:val="24"/>
          <w:szCs w:val="24"/>
          <w:color w:val="auto"/>
        </w:rPr>
      </w:pPr>
    </w:p>
    <w:p>
      <w:pPr>
        <w:ind w:right="14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December 8, 2020, the registrant had 26,541,317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958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80" w:type="dxa"/>
            <w:vAlign w:val="bottom"/>
            <w:vMerge w:val="restart"/>
          </w:tcPr>
          <w:p>
            <w:pPr>
              <w:ind w:left="1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8"/>
        </w:trPr>
        <w:tc>
          <w:tcPr>
            <w:tcW w:w="880" w:type="dxa"/>
            <w:vAlign w:val="bottom"/>
            <w:vMerge w:val="continue"/>
          </w:tcPr>
          <w:p>
            <w:pPr>
              <w:spacing w:after="0"/>
              <w:rPr>
                <w:sz w:val="18"/>
                <w:szCs w:val="18"/>
                <w:color w:val="auto"/>
              </w:rPr>
            </w:pPr>
          </w:p>
        </w:tc>
        <w:tc>
          <w:tcPr>
            <w:tcW w:w="95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 (Unaudited)</w:t>
              </w:r>
            </w:hyperlink>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Statements of Operations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Balance Sheets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Statements of Changes in Convertible Preferred Stock and Stockholders' Deficit</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Condensed Statements of Cash Flows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Notes to Condensed Financial Statements (unaudited)</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OTHER INFORMATION</w:t>
              </w:r>
            </w:hyperlink>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Defaults Upon Senior Securities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580" w:type="dxa"/>
            <w:vAlign w:val="bottom"/>
          </w:tcPr>
          <w:p>
            <w:pPr>
              <w:ind w:left="120"/>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Exhibits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4"/>
        </w:trPr>
        <w:tc>
          <w:tcPr>
            <w:tcW w:w="880" w:type="dxa"/>
            <w:vAlign w:val="bottom"/>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Signatures</w:t>
              </w:r>
            </w:hyperlink>
          </w:p>
        </w:tc>
        <w:tc>
          <w:tcPr>
            <w:tcW w:w="9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9"/>
                <w:szCs w:val="19"/>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40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 and expenses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(6,240)</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(9,028)</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(23,197)</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(2,658)</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520" w:type="dxa"/>
            <w:vAlign w:val="bottom"/>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520" w:type="dxa"/>
            <w:vAlign w:val="bottom"/>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Condensed Balance Sheets (unaudited)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520" w:type="dxa"/>
            <w:vAlign w:val="bottom"/>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September 30,</w:t>
            </w:r>
          </w:p>
        </w:tc>
        <w:tc>
          <w:tcPr>
            <w:tcW w:w="20" w:type="dxa"/>
            <w:vAlign w:val="bottom"/>
          </w:tcPr>
          <w:p>
            <w:pPr>
              <w:spacing w:after="0"/>
              <w:rPr>
                <w:sz w:val="24"/>
                <w:szCs w:val="24"/>
                <w:color w:val="auto"/>
              </w:rPr>
            </w:pPr>
          </w:p>
        </w:tc>
        <w:tc>
          <w:tcPr>
            <w:tcW w:w="17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December 31, 2019</w:t>
            </w:r>
          </w:p>
        </w:tc>
        <w:tc>
          <w:tcPr>
            <w:tcW w:w="0" w:type="dxa"/>
            <w:vAlign w:val="bottom"/>
          </w:tcPr>
          <w:p>
            <w:pPr>
              <w:spacing w:after="0"/>
              <w:rPr>
                <w:sz w:val="1"/>
                <w:szCs w:val="1"/>
                <w:color w:val="auto"/>
              </w:rPr>
            </w:pPr>
          </w:p>
        </w:tc>
      </w:tr>
      <w:tr>
        <w:trPr>
          <w:trHeight w:val="126"/>
        </w:trPr>
        <w:tc>
          <w:tcPr>
            <w:tcW w:w="7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520" w:type="dxa"/>
            <w:vAlign w:val="bottom"/>
            <w:tcBorders>
              <w:bottom w:val="single" w:sz="8" w:color="CFF0FC"/>
            </w:tcBorders>
          </w:tcPr>
          <w:p>
            <w:pPr>
              <w:spacing w:after="0"/>
              <w:rPr>
                <w:sz w:val="9"/>
                <w:szCs w:val="9"/>
                <w:color w:val="auto"/>
              </w:rPr>
            </w:pPr>
          </w:p>
        </w:tc>
        <w:tc>
          <w:tcPr>
            <w:tcW w:w="38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28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ind w:left="5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2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tcPr>
          <w:p>
            <w:pPr>
              <w:ind w:left="50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46,547</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2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Convertible notes payable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Put option liability</w:t>
            </w: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Warrant liability</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notes payable</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Paycheck protection program note payable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tcPr>
          <w:p>
            <w:pPr>
              <w:ind w:left="26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Convertible preferred stock, $0.001 par value, 185,432,719 (2020) and 174,237,067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(2019) authorized; 118,766,273 (2020 and 2019) issued and outstanding;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liquidation preference of $202,582 (2020 and 2019)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220,000,000 (2020) and 190,000,000 (2019)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authorized; 289,508 (2020) and 254,918 (2019) issued and outstanding</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(257,681)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(230,864)</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(255,176)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(228,539)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Convertible Preferred Stock and Stockholders' Deficit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40" w:type="dxa"/>
            <w:vAlign w:val="bottom"/>
          </w:tcPr>
          <w:p>
            <w:pPr>
              <w:spacing w:after="0"/>
              <w:rPr>
                <w:sz w:val="18"/>
                <w:szCs w:val="18"/>
                <w:color w:val="auto"/>
              </w:rPr>
            </w:pPr>
          </w:p>
        </w:tc>
        <w:tc>
          <w:tcPr>
            <w:tcW w:w="1840" w:type="dxa"/>
            <w:vAlign w:val="bottom"/>
            <w:gridSpan w:val="5"/>
          </w:tcPr>
          <w:p>
            <w:pPr>
              <w:ind w:left="520"/>
              <w:spacing w:after="0" w:line="161" w:lineRule="exact"/>
              <w:rPr>
                <w:sz w:val="20"/>
                <w:szCs w:val="20"/>
                <w:color w:val="auto"/>
              </w:rPr>
            </w:pPr>
            <w:r>
              <w:rPr>
                <w:rFonts w:ascii="Times New Roman" w:cs="Times New Roman" w:eastAsia="Times New Roman" w:hAnsi="Times New Roman"/>
                <w:sz w:val="14"/>
                <w:szCs w:val="14"/>
                <w:color w:val="auto"/>
              </w:rPr>
              <w:t>Series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w:t>
            </w:r>
          </w:p>
        </w:tc>
        <w:tc>
          <w:tcPr>
            <w:tcW w:w="1840" w:type="dxa"/>
            <w:vAlign w:val="bottom"/>
            <w:gridSpan w:val="5"/>
          </w:tcPr>
          <w:p>
            <w:pPr>
              <w:ind w:left="520"/>
              <w:spacing w:after="0" w:line="161" w:lineRule="exact"/>
              <w:rPr>
                <w:sz w:val="20"/>
                <w:szCs w:val="20"/>
                <w:color w:val="auto"/>
              </w:rPr>
            </w:pPr>
            <w:r>
              <w:rPr>
                <w:rFonts w:ascii="Times New Roman" w:cs="Times New Roman" w:eastAsia="Times New Roman" w:hAnsi="Times New Roman"/>
                <w:sz w:val="14"/>
                <w:szCs w:val="14"/>
                <w:color w:val="auto"/>
              </w:rPr>
              <w:t>Series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w:t>
            </w:r>
          </w:p>
        </w:tc>
        <w:tc>
          <w:tcPr>
            <w:tcW w:w="1840" w:type="dxa"/>
            <w:vAlign w:val="bottom"/>
            <w:gridSpan w:val="5"/>
          </w:tcPr>
          <w:p>
            <w:pPr>
              <w:ind w:left="500"/>
              <w:spacing w:after="0" w:line="161" w:lineRule="exact"/>
              <w:rPr>
                <w:sz w:val="20"/>
                <w:szCs w:val="20"/>
                <w:color w:val="auto"/>
              </w:rPr>
            </w:pPr>
            <w:r>
              <w:rPr>
                <w:rFonts w:ascii="Times New Roman" w:cs="Times New Roman" w:eastAsia="Times New Roman" w:hAnsi="Times New Roman"/>
                <w:sz w:val="14"/>
                <w:szCs w:val="14"/>
                <w:color w:val="auto"/>
              </w:rPr>
              <w:t>Series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3</w:t>
            </w:r>
          </w:p>
        </w:tc>
        <w:tc>
          <w:tcPr>
            <w:tcW w:w="186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Series B</w:t>
            </w:r>
          </w:p>
        </w:tc>
        <w:tc>
          <w:tcPr>
            <w:tcW w:w="1820" w:type="dxa"/>
            <w:vAlign w:val="bottom"/>
            <w:gridSpan w:val="5"/>
          </w:tcPr>
          <w:p>
            <w:pPr>
              <w:ind w:left="540"/>
              <w:spacing w:after="0" w:line="161" w:lineRule="exact"/>
              <w:rPr>
                <w:sz w:val="20"/>
                <w:szCs w:val="20"/>
                <w:color w:val="auto"/>
              </w:rPr>
            </w:pPr>
            <w:r>
              <w:rPr>
                <w:rFonts w:ascii="Times New Roman" w:cs="Times New Roman" w:eastAsia="Times New Roman" w:hAnsi="Times New Roman"/>
                <w:sz w:val="14"/>
                <w:szCs w:val="14"/>
                <w:color w:val="auto"/>
              </w:rPr>
              <w:t>Series 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6"/>
        </w:trPr>
        <w:tc>
          <w:tcPr>
            <w:tcW w:w="204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8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0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0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0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December 31, 2019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March 31, 2020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June 30, 2020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September 30, 2020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2040" w:type="dxa"/>
            <w:vAlign w:val="bottom"/>
          </w:tcPr>
          <w:p>
            <w:pPr>
              <w:spacing w:after="0"/>
              <w:rPr>
                <w:sz w:val="24"/>
                <w:szCs w:val="24"/>
                <w:color w:val="auto"/>
              </w:rPr>
            </w:pPr>
          </w:p>
        </w:tc>
        <w:tc>
          <w:tcPr>
            <w:tcW w:w="1840" w:type="dxa"/>
            <w:vAlign w:val="bottom"/>
            <w:gridSpan w:val="5"/>
          </w:tcPr>
          <w:p>
            <w:pPr>
              <w:ind w:left="520"/>
              <w:spacing w:after="0" w:line="161" w:lineRule="exact"/>
              <w:rPr>
                <w:sz w:val="20"/>
                <w:szCs w:val="20"/>
                <w:color w:val="auto"/>
              </w:rPr>
            </w:pPr>
            <w:r>
              <w:rPr>
                <w:rFonts w:ascii="Times New Roman" w:cs="Times New Roman" w:eastAsia="Times New Roman" w:hAnsi="Times New Roman"/>
                <w:sz w:val="14"/>
                <w:szCs w:val="14"/>
                <w:color w:val="auto"/>
              </w:rPr>
              <w:t>Series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w:t>
            </w:r>
          </w:p>
        </w:tc>
        <w:tc>
          <w:tcPr>
            <w:tcW w:w="1840" w:type="dxa"/>
            <w:vAlign w:val="bottom"/>
            <w:gridSpan w:val="5"/>
          </w:tcPr>
          <w:p>
            <w:pPr>
              <w:ind w:left="520"/>
              <w:spacing w:after="0" w:line="161" w:lineRule="exact"/>
              <w:rPr>
                <w:sz w:val="20"/>
                <w:szCs w:val="20"/>
                <w:color w:val="auto"/>
              </w:rPr>
            </w:pPr>
            <w:r>
              <w:rPr>
                <w:rFonts w:ascii="Times New Roman" w:cs="Times New Roman" w:eastAsia="Times New Roman" w:hAnsi="Times New Roman"/>
                <w:sz w:val="14"/>
                <w:szCs w:val="14"/>
                <w:color w:val="auto"/>
              </w:rPr>
              <w:t>Series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w:t>
            </w:r>
          </w:p>
        </w:tc>
        <w:tc>
          <w:tcPr>
            <w:tcW w:w="1840" w:type="dxa"/>
            <w:vAlign w:val="bottom"/>
            <w:gridSpan w:val="5"/>
          </w:tcPr>
          <w:p>
            <w:pPr>
              <w:ind w:left="500"/>
              <w:spacing w:after="0" w:line="161" w:lineRule="exact"/>
              <w:rPr>
                <w:sz w:val="20"/>
                <w:szCs w:val="20"/>
                <w:color w:val="auto"/>
              </w:rPr>
            </w:pPr>
            <w:r>
              <w:rPr>
                <w:rFonts w:ascii="Times New Roman" w:cs="Times New Roman" w:eastAsia="Times New Roman" w:hAnsi="Times New Roman"/>
                <w:sz w:val="14"/>
                <w:szCs w:val="14"/>
                <w:color w:val="auto"/>
              </w:rPr>
              <w:t>Series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3</w:t>
            </w:r>
          </w:p>
        </w:tc>
        <w:tc>
          <w:tcPr>
            <w:tcW w:w="186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Series B</w:t>
            </w:r>
          </w:p>
        </w:tc>
        <w:tc>
          <w:tcPr>
            <w:tcW w:w="1820" w:type="dxa"/>
            <w:vAlign w:val="bottom"/>
            <w:gridSpan w:val="5"/>
          </w:tcPr>
          <w:p>
            <w:pPr>
              <w:ind w:left="540"/>
              <w:spacing w:after="0" w:line="161" w:lineRule="exact"/>
              <w:rPr>
                <w:sz w:val="20"/>
                <w:szCs w:val="20"/>
                <w:color w:val="auto"/>
              </w:rPr>
            </w:pPr>
            <w:r>
              <w:rPr>
                <w:rFonts w:ascii="Times New Roman" w:cs="Times New Roman" w:eastAsia="Times New Roman" w:hAnsi="Times New Roman"/>
                <w:sz w:val="14"/>
                <w:szCs w:val="14"/>
                <w:color w:val="auto"/>
              </w:rPr>
              <w:t>Series 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5"/>
        </w:trPr>
        <w:tc>
          <w:tcPr>
            <w:tcW w:w="204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8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0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0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0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December 31, 2018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0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Series H Preferred</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issuance costs of $3</w:t>
            </w: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March 31, 2019</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June 30, 2019</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September 30, 2019</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Convertible Preferred Stock and Stockholders' Deficit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Series C</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Series D</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Series E</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Series 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December 31, 2019</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10,875</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32,736</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19,468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460" w:type="dxa"/>
            <w:vAlign w:val="bottom"/>
            <w:tcBorders>
              <w:top w:val="single" w:sz="8" w:color="CFF0FC"/>
            </w:tcBorders>
            <w:shd w:val="clear" w:color="auto" w:fill="CFF0FC"/>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March 31, 2020</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22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10,875</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22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32,736</w:t>
            </w:r>
          </w:p>
        </w:tc>
        <w:tc>
          <w:tcPr>
            <w:tcW w:w="22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19,468</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28,585</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June 30, 2020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10,875</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32,736</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19,468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September 30, 2020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10,875</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32,736</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19,468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60" w:type="dxa"/>
            <w:vAlign w:val="bottom"/>
          </w:tcPr>
          <w:p>
            <w:pPr>
              <w:spacing w:after="0"/>
              <w:rPr>
                <w:sz w:val="24"/>
                <w:szCs w:val="2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Series C</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Series D</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Series E</w:t>
            </w: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Series F</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December 31, 2018</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10,875</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32,736</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19,468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4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Series H Preferred Stock,</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of issuance costs of $3</w:t>
            </w: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March 31, 2019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32,736</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19,468</w:t>
            </w:r>
          </w:p>
        </w:tc>
        <w:tc>
          <w:tcPr>
            <w:tcW w:w="220" w:type="dxa"/>
            <w:vAlign w:val="bottom"/>
          </w:tcPr>
          <w:p>
            <w:pPr>
              <w:spacing w:after="0"/>
              <w:rPr>
                <w:sz w:val="15"/>
                <w:szCs w:val="15"/>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June 30, 2019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32,736</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19,468</w:t>
            </w:r>
          </w:p>
        </w:tc>
        <w:tc>
          <w:tcPr>
            <w:tcW w:w="220" w:type="dxa"/>
            <w:vAlign w:val="bottom"/>
          </w:tcPr>
          <w:p>
            <w:pPr>
              <w:spacing w:after="0"/>
              <w:rPr>
                <w:sz w:val="15"/>
                <w:szCs w:val="15"/>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September 30, 2019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32,736</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19,468</w:t>
            </w:r>
          </w:p>
        </w:tc>
        <w:tc>
          <w:tcPr>
            <w:tcW w:w="220" w:type="dxa"/>
            <w:vAlign w:val="bottom"/>
          </w:tcPr>
          <w:p>
            <w:pPr>
              <w:spacing w:after="0"/>
              <w:rPr>
                <w:sz w:val="15"/>
                <w:szCs w:val="15"/>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Convertible Preferred Stock and Stockholders' Deficit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4"/>
              </w:rPr>
              <w:t>Total</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200"/>
              <w:spacing w:after="0" w:line="141" w:lineRule="exact"/>
              <w:rPr>
                <w:sz w:val="20"/>
                <w:szCs w:val="20"/>
                <w:color w:val="auto"/>
              </w:rPr>
            </w:pPr>
            <w:r>
              <w:rPr>
                <w:rFonts w:ascii="Times New Roman" w:cs="Times New Roman" w:eastAsia="Times New Roman" w:hAnsi="Times New Roman"/>
                <w:sz w:val="13"/>
                <w:szCs w:val="13"/>
                <w:color w:val="auto"/>
                <w:w w:val="97"/>
              </w:rPr>
              <w:t>Convertible</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3"/>
                <w:szCs w:val="13"/>
                <w:color w:val="auto"/>
                <w:w w:val="97"/>
              </w:rPr>
              <w:t>Additional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color w:val="auto"/>
                <w:w w:val="87"/>
              </w:rPr>
              <w:t>Total</w:t>
            </w: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Series G</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Series H</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9"/>
              </w:rPr>
              <w:t>Preferred</w:t>
            </w:r>
          </w:p>
        </w:tc>
        <w:tc>
          <w:tcPr>
            <w:tcW w:w="1500" w:type="dxa"/>
            <w:vAlign w:val="bottom"/>
            <w:tcBorders>
              <w:bottom w:val="single" w:sz="8" w:color="auto"/>
            </w:tcBorders>
            <w:gridSpan w:val="3"/>
          </w:tcPr>
          <w:p>
            <w:pPr>
              <w:jc w:val="right"/>
              <w:ind w:right="225"/>
              <w:spacing w:after="0"/>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80"/>
              <w:spacing w:after="0" w:line="150" w:lineRule="exact"/>
              <w:rPr>
                <w:sz w:val="20"/>
                <w:szCs w:val="20"/>
                <w:color w:val="auto"/>
              </w:rPr>
            </w:pPr>
            <w:r>
              <w:rPr>
                <w:rFonts w:ascii="Times New Roman" w:cs="Times New Roman" w:eastAsia="Times New Roman" w:hAnsi="Times New Roman"/>
                <w:sz w:val="13"/>
                <w:szCs w:val="13"/>
                <w:color w:val="auto"/>
                <w:w w:val="94"/>
              </w:rPr>
              <w:t>Paid</w:t>
            </w:r>
            <w:r>
              <w:rPr>
                <w:rFonts w:ascii="MS PGothic" w:cs="MS PGothic" w:eastAsia="MS PGothic" w:hAnsi="MS PGothic"/>
                <w:sz w:val="13"/>
                <w:szCs w:val="13"/>
                <w:color w:val="auto"/>
                <w:w w:val="94"/>
              </w:rPr>
              <w:t>‑</w:t>
            </w:r>
            <w:r>
              <w:rPr>
                <w:rFonts w:ascii="Times New Roman" w:cs="Times New Roman" w:eastAsia="Times New Roman" w:hAnsi="Times New Roman"/>
                <w:sz w:val="13"/>
                <w:szCs w:val="13"/>
                <w:color w:val="auto"/>
                <w:w w:val="94"/>
              </w:rPr>
              <w:t>In</w:t>
            </w: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5"/>
              </w:rPr>
              <w:t>Accumulated</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142"/>
        </w:trPr>
        <w:tc>
          <w:tcPr>
            <w:tcW w:w="204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Shares</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w w:val="98"/>
              </w:rPr>
              <w:t>Amount</w:t>
            </w:r>
          </w:p>
        </w:tc>
        <w:tc>
          <w:tcPr>
            <w:tcW w:w="1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Shares</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w w:val="98"/>
              </w:rPr>
              <w:t>Amount</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57"/>
              <w:spacing w:after="0" w:line="142" w:lineRule="exact"/>
              <w:rPr>
                <w:sz w:val="20"/>
                <w:szCs w:val="20"/>
                <w:color w:val="auto"/>
              </w:rPr>
            </w:pPr>
            <w:r>
              <w:rPr>
                <w:rFonts w:ascii="Times New Roman" w:cs="Times New Roman" w:eastAsia="Times New Roman" w:hAnsi="Times New Roman"/>
                <w:sz w:val="13"/>
                <w:szCs w:val="13"/>
                <w:color w:val="auto"/>
                <w:w w:val="94"/>
              </w:rPr>
              <w:t>Stock</w:t>
            </w:r>
          </w:p>
        </w:tc>
        <w:tc>
          <w:tcPr>
            <w:tcW w:w="1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3"/>
                <w:szCs w:val="13"/>
                <w:color w:val="auto"/>
              </w:rPr>
              <w:t>Shares</w:t>
            </w:r>
          </w:p>
        </w:tc>
        <w:tc>
          <w:tcPr>
            <w:tcW w:w="18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Amount</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7"/>
              <w:spacing w:after="0" w:line="142" w:lineRule="exact"/>
              <w:rPr>
                <w:sz w:val="20"/>
                <w:szCs w:val="20"/>
                <w:color w:val="auto"/>
              </w:rPr>
            </w:pPr>
            <w:r>
              <w:rPr>
                <w:rFonts w:ascii="Times New Roman" w:cs="Times New Roman" w:eastAsia="Times New Roman" w:hAnsi="Times New Roman"/>
                <w:sz w:val="13"/>
                <w:szCs w:val="13"/>
                <w:color w:val="auto"/>
                <w:w w:val="95"/>
              </w:rPr>
              <w:t>Capital</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77"/>
              <w:spacing w:after="0" w:line="142" w:lineRule="exact"/>
              <w:rPr>
                <w:sz w:val="20"/>
                <w:szCs w:val="20"/>
                <w:color w:val="auto"/>
              </w:rPr>
            </w:pPr>
            <w:r>
              <w:rPr>
                <w:rFonts w:ascii="Times New Roman" w:cs="Times New Roman" w:eastAsia="Times New Roman" w:hAnsi="Times New Roman"/>
                <w:sz w:val="13"/>
                <w:szCs w:val="13"/>
                <w:color w:val="auto"/>
                <w:w w:val="94"/>
              </w:rPr>
              <w:t>Deficit</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97"/>
              <w:spacing w:after="0" w:line="142" w:lineRule="exact"/>
              <w:rPr>
                <w:sz w:val="20"/>
                <w:szCs w:val="20"/>
                <w:color w:val="auto"/>
              </w:rPr>
            </w:pPr>
            <w:r>
              <w:rPr>
                <w:rFonts w:ascii="Times New Roman" w:cs="Times New Roman" w:eastAsia="Times New Roman" w:hAnsi="Times New Roman"/>
                <w:sz w:val="13"/>
                <w:szCs w:val="13"/>
                <w:color w:val="auto"/>
                <w:w w:val="99"/>
              </w:rPr>
              <w:t>Deficit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4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Balance </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 xml:space="preserve"> December 31, 2019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46,147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34,537</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23,923</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27,465</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193,959</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465"/>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2,324</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(230,864)</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(228,539)</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3"/>
                <w:szCs w:val="13"/>
                <w:color w:val="auto"/>
              </w:rPr>
              <w:t>Stock</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based compensation</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(9,706)</w:t>
            </w:r>
          </w:p>
        </w:tc>
        <w:tc>
          <w:tcPr>
            <w:tcW w:w="1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(9,706)</w:t>
            </w:r>
          </w:p>
        </w:tc>
        <w:tc>
          <w:tcPr>
            <w:tcW w:w="0" w:type="dxa"/>
            <w:vAlign w:val="bottom"/>
          </w:tcPr>
          <w:p>
            <w:pPr>
              <w:spacing w:after="0"/>
              <w:rPr>
                <w:sz w:val="1"/>
                <w:szCs w:val="1"/>
                <w:color w:val="auto"/>
              </w:rPr>
            </w:pPr>
          </w:p>
        </w:tc>
      </w:tr>
      <w:tr>
        <w:trPr>
          <w:trHeight w:val="20"/>
        </w:trPr>
        <w:tc>
          <w:tcPr>
            <w:tcW w:w="2040" w:type="dxa"/>
            <w:vAlign w:val="bottom"/>
            <w:vMerge w:val="restart"/>
            <w:shd w:val="clear" w:color="auto" w:fill="CFF0FC"/>
          </w:tcPr>
          <w:p>
            <w:pPr>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Balance </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 xml:space="preserve"> March 31, 2020</w:t>
            </w: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40" w:type="dxa"/>
            <w:vAlign w:val="bottom"/>
            <w:vMerge w:val="continue"/>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46,147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34,537</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23,923</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27,465</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193,959</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2,334</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(240,570)</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(238,234)</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3"/>
                <w:szCs w:val="13"/>
                <w:color w:val="auto"/>
              </w:rPr>
              <w:t>Stock</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based compensation</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(8,266)</w:t>
            </w:r>
          </w:p>
        </w:tc>
        <w:tc>
          <w:tcPr>
            <w:tcW w:w="1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(8,266)</w:t>
            </w:r>
          </w:p>
        </w:tc>
        <w:tc>
          <w:tcPr>
            <w:tcW w:w="0" w:type="dxa"/>
            <w:vAlign w:val="bottom"/>
          </w:tcPr>
          <w:p>
            <w:pPr>
              <w:spacing w:after="0"/>
              <w:rPr>
                <w:sz w:val="1"/>
                <w:szCs w:val="1"/>
                <w:color w:val="auto"/>
              </w:rPr>
            </w:pPr>
          </w:p>
        </w:tc>
      </w:tr>
      <w:tr>
        <w:trPr>
          <w:trHeight w:val="20"/>
        </w:trPr>
        <w:tc>
          <w:tcPr>
            <w:tcW w:w="2040" w:type="dxa"/>
            <w:vAlign w:val="bottom"/>
            <w:vMerge w:val="restart"/>
            <w:shd w:val="clear" w:color="auto" w:fill="CFF0FC"/>
          </w:tcPr>
          <w:p>
            <w:pPr>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Balance </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 xml:space="preserve"> June 30, 2020</w:t>
            </w: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vMerge w:val="continue"/>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46,147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34,537</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23,923</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27,465</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193,959</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2,389</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(248,836)</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(246,445)</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3"/>
                <w:szCs w:val="13"/>
                <w:color w:val="auto"/>
              </w:rPr>
              <w:t>Stock</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based compensation</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(8,845)</w:t>
            </w:r>
          </w:p>
        </w:tc>
        <w:tc>
          <w:tcPr>
            <w:tcW w:w="1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(8,845)</w:t>
            </w:r>
          </w:p>
        </w:tc>
        <w:tc>
          <w:tcPr>
            <w:tcW w:w="0" w:type="dxa"/>
            <w:vAlign w:val="bottom"/>
          </w:tcPr>
          <w:p>
            <w:pPr>
              <w:spacing w:after="0"/>
              <w:rPr>
                <w:sz w:val="1"/>
                <w:szCs w:val="1"/>
                <w:color w:val="auto"/>
              </w:rPr>
            </w:pPr>
          </w:p>
        </w:tc>
      </w:tr>
      <w:tr>
        <w:trPr>
          <w:trHeight w:val="20"/>
        </w:trPr>
        <w:tc>
          <w:tcPr>
            <w:tcW w:w="2040" w:type="dxa"/>
            <w:vAlign w:val="bottom"/>
            <w:vMerge w:val="restart"/>
            <w:shd w:val="clear" w:color="auto" w:fill="CFF0FC"/>
          </w:tcPr>
          <w:p>
            <w:pPr>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Balance </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 xml:space="preserve"> September 30, 2020</w:t>
            </w: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vMerge w:val="continue"/>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46,147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34,537</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23,923</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27,465</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193,959</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2,503</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(257,681)</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(255,176)</w:t>
            </w: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4"/>
              </w:rPr>
              <w:t>Total</w:t>
            </w: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2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200"/>
              <w:spacing w:after="0" w:line="141" w:lineRule="exact"/>
              <w:rPr>
                <w:sz w:val="20"/>
                <w:szCs w:val="20"/>
                <w:color w:val="auto"/>
              </w:rPr>
            </w:pPr>
            <w:r>
              <w:rPr>
                <w:rFonts w:ascii="Times New Roman" w:cs="Times New Roman" w:eastAsia="Times New Roman" w:hAnsi="Times New Roman"/>
                <w:sz w:val="13"/>
                <w:szCs w:val="13"/>
                <w:color w:val="auto"/>
                <w:w w:val="97"/>
              </w:rPr>
              <w:t>Convertible</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3"/>
                <w:szCs w:val="13"/>
                <w:color w:val="auto"/>
                <w:w w:val="97"/>
              </w:rPr>
              <w:t>Additional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color w:val="auto"/>
                <w:w w:val="87"/>
              </w:rPr>
              <w:t>Total</w:t>
            </w: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Series G</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Series H</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9"/>
              </w:rPr>
              <w:t>Preferred</w:t>
            </w:r>
          </w:p>
        </w:tc>
        <w:tc>
          <w:tcPr>
            <w:tcW w:w="1500" w:type="dxa"/>
            <w:vAlign w:val="bottom"/>
            <w:tcBorders>
              <w:bottom w:val="single" w:sz="8" w:color="auto"/>
            </w:tcBorders>
            <w:gridSpan w:val="3"/>
          </w:tcPr>
          <w:p>
            <w:pPr>
              <w:jc w:val="right"/>
              <w:ind w:right="225"/>
              <w:spacing w:after="0"/>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80"/>
              <w:spacing w:after="0" w:line="150" w:lineRule="exact"/>
              <w:rPr>
                <w:sz w:val="20"/>
                <w:szCs w:val="20"/>
                <w:color w:val="auto"/>
              </w:rPr>
            </w:pPr>
            <w:r>
              <w:rPr>
                <w:rFonts w:ascii="Times New Roman" w:cs="Times New Roman" w:eastAsia="Times New Roman" w:hAnsi="Times New Roman"/>
                <w:sz w:val="13"/>
                <w:szCs w:val="13"/>
                <w:color w:val="auto"/>
                <w:w w:val="94"/>
              </w:rPr>
              <w:t>Paid</w:t>
            </w:r>
            <w:r>
              <w:rPr>
                <w:rFonts w:ascii="MS PGothic" w:cs="MS PGothic" w:eastAsia="MS PGothic" w:hAnsi="MS PGothic"/>
                <w:sz w:val="13"/>
                <w:szCs w:val="13"/>
                <w:color w:val="auto"/>
                <w:w w:val="94"/>
              </w:rPr>
              <w:t>‑</w:t>
            </w:r>
            <w:r>
              <w:rPr>
                <w:rFonts w:ascii="Times New Roman" w:cs="Times New Roman" w:eastAsia="Times New Roman" w:hAnsi="Times New Roman"/>
                <w:sz w:val="13"/>
                <w:szCs w:val="13"/>
                <w:color w:val="auto"/>
                <w:w w:val="94"/>
              </w:rPr>
              <w:t>In</w:t>
            </w: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5"/>
              </w:rPr>
              <w:t>Accumulated</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142"/>
        </w:trPr>
        <w:tc>
          <w:tcPr>
            <w:tcW w:w="204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Shares</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w w:val="98"/>
              </w:rPr>
              <w:t>Amount</w:t>
            </w:r>
          </w:p>
        </w:tc>
        <w:tc>
          <w:tcPr>
            <w:tcW w:w="1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Shares</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w w:val="98"/>
              </w:rPr>
              <w:t>Amount</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57"/>
              <w:spacing w:after="0" w:line="142" w:lineRule="exact"/>
              <w:rPr>
                <w:sz w:val="20"/>
                <w:szCs w:val="20"/>
                <w:color w:val="auto"/>
              </w:rPr>
            </w:pPr>
            <w:r>
              <w:rPr>
                <w:rFonts w:ascii="Times New Roman" w:cs="Times New Roman" w:eastAsia="Times New Roman" w:hAnsi="Times New Roman"/>
                <w:sz w:val="13"/>
                <w:szCs w:val="13"/>
                <w:color w:val="auto"/>
                <w:w w:val="94"/>
              </w:rPr>
              <w:t>Stock</w:t>
            </w:r>
          </w:p>
        </w:tc>
        <w:tc>
          <w:tcPr>
            <w:tcW w:w="1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3"/>
                <w:szCs w:val="13"/>
                <w:color w:val="auto"/>
              </w:rPr>
              <w:t>Shares</w:t>
            </w:r>
          </w:p>
        </w:tc>
        <w:tc>
          <w:tcPr>
            <w:tcW w:w="18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Amount</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7"/>
              <w:spacing w:after="0" w:line="142" w:lineRule="exact"/>
              <w:rPr>
                <w:sz w:val="20"/>
                <w:szCs w:val="20"/>
                <w:color w:val="auto"/>
              </w:rPr>
            </w:pPr>
            <w:r>
              <w:rPr>
                <w:rFonts w:ascii="Times New Roman" w:cs="Times New Roman" w:eastAsia="Times New Roman" w:hAnsi="Times New Roman"/>
                <w:sz w:val="13"/>
                <w:szCs w:val="13"/>
                <w:color w:val="auto"/>
                <w:w w:val="95"/>
              </w:rPr>
              <w:t>Capital</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77"/>
              <w:spacing w:after="0" w:line="142" w:lineRule="exact"/>
              <w:rPr>
                <w:sz w:val="20"/>
                <w:szCs w:val="20"/>
                <w:color w:val="auto"/>
              </w:rPr>
            </w:pPr>
            <w:r>
              <w:rPr>
                <w:rFonts w:ascii="Times New Roman" w:cs="Times New Roman" w:eastAsia="Times New Roman" w:hAnsi="Times New Roman"/>
                <w:sz w:val="13"/>
                <w:szCs w:val="13"/>
                <w:color w:val="auto"/>
                <w:w w:val="94"/>
              </w:rPr>
              <w:t>Deficit</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97"/>
              <w:spacing w:after="0" w:line="142" w:lineRule="exact"/>
              <w:rPr>
                <w:sz w:val="20"/>
                <w:szCs w:val="20"/>
                <w:color w:val="auto"/>
              </w:rPr>
            </w:pPr>
            <w:r>
              <w:rPr>
                <w:rFonts w:ascii="Times New Roman" w:cs="Times New Roman" w:eastAsia="Times New Roman" w:hAnsi="Times New Roman"/>
                <w:sz w:val="13"/>
                <w:szCs w:val="13"/>
                <w:color w:val="auto"/>
                <w:w w:val="99"/>
              </w:rPr>
              <w:t>Deficit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4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Balance </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 xml:space="preserve"> December 31, 2018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46,147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34,537</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15,228</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17,468</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183,962</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465"/>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2,107</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(200,138)</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(198,030)</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3"/>
                <w:szCs w:val="13"/>
                <w:color w:val="auto"/>
              </w:rPr>
              <w:t>Stock</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based compensation</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Issuance of Series H Preferred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net of issuance costs of $3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9,997</w:t>
            </w:r>
          </w:p>
        </w:tc>
        <w:tc>
          <w:tcPr>
            <w:tcW w:w="1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(7,744)</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(7,744)</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Balance </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 xml:space="preserve"> March 31, 2019</w:t>
            </w: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vMerge w:val="continue"/>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46,147</w:t>
            </w:r>
          </w:p>
        </w:tc>
        <w:tc>
          <w:tcPr>
            <w:tcW w:w="2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34,537</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23,923</w:t>
            </w:r>
          </w:p>
        </w:tc>
        <w:tc>
          <w:tcPr>
            <w:tcW w:w="1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27,465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193,959</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80" w:type="dxa"/>
            <w:vAlign w:val="bottom"/>
          </w:tcPr>
          <w:p>
            <w:pPr>
              <w:spacing w:after="0"/>
              <w:rPr>
                <w:sz w:val="13"/>
                <w:szCs w:val="13"/>
                <w:color w:val="auto"/>
              </w:rPr>
            </w:pPr>
          </w:p>
        </w:tc>
        <w:tc>
          <w:tcPr>
            <w:tcW w:w="580" w:type="dxa"/>
            <w:vAlign w:val="bottom"/>
          </w:tcPr>
          <w:p>
            <w:pPr>
              <w:jc w:val="right"/>
              <w:ind w:right="465"/>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w:t>
            </w:r>
          </w:p>
        </w:tc>
        <w:tc>
          <w:tcPr>
            <w:tcW w:w="180" w:type="dxa"/>
            <w:vAlign w:val="bottom"/>
          </w:tcPr>
          <w:p>
            <w:pPr>
              <w:spacing w:after="0"/>
              <w:rPr>
                <w:sz w:val="13"/>
                <w:szCs w:val="13"/>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(207,882)</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(205,713)</w:t>
            </w: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Stock</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(6,856)</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(6,856)</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Balance </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 xml:space="preserve"> June 30, 2019</w:t>
            </w: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vMerge w:val="continue"/>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46,147</w:t>
            </w:r>
          </w:p>
        </w:tc>
        <w:tc>
          <w:tcPr>
            <w:tcW w:w="2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34,537</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23,923</w:t>
            </w:r>
          </w:p>
        </w:tc>
        <w:tc>
          <w:tcPr>
            <w:tcW w:w="1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27,465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193,959</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80" w:type="dxa"/>
            <w:vAlign w:val="bottom"/>
          </w:tcPr>
          <w:p>
            <w:pPr>
              <w:spacing w:after="0"/>
              <w:rPr>
                <w:sz w:val="13"/>
                <w:szCs w:val="13"/>
                <w:color w:val="auto"/>
              </w:rPr>
            </w:pPr>
          </w:p>
        </w:tc>
        <w:tc>
          <w:tcPr>
            <w:tcW w:w="580" w:type="dxa"/>
            <w:vAlign w:val="bottom"/>
          </w:tcPr>
          <w:p>
            <w:pPr>
              <w:jc w:val="right"/>
              <w:ind w:right="465"/>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180" w:type="dxa"/>
            <w:vAlign w:val="bottom"/>
          </w:tcPr>
          <w:p>
            <w:pPr>
              <w:spacing w:after="0"/>
              <w:rPr>
                <w:sz w:val="13"/>
                <w:szCs w:val="13"/>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(214,738)</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(212,519)</w:t>
            </w: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Stock</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(9,601)</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(9,601)</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Balance </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 xml:space="preserve"> September 30, 2019</w:t>
            </w: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40" w:type="dxa"/>
            <w:vAlign w:val="bottom"/>
            <w:vMerge w:val="continue"/>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46,147</w:t>
            </w:r>
          </w:p>
        </w:tc>
        <w:tc>
          <w:tcPr>
            <w:tcW w:w="2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34,537</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23,923</w:t>
            </w:r>
          </w:p>
        </w:tc>
        <w:tc>
          <w:tcPr>
            <w:tcW w:w="1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27,465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193,959</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80" w:type="dxa"/>
            <w:vAlign w:val="bottom"/>
          </w:tcPr>
          <w:p>
            <w:pPr>
              <w:spacing w:after="0"/>
              <w:rPr>
                <w:sz w:val="13"/>
                <w:szCs w:val="13"/>
                <w:color w:val="auto"/>
              </w:rPr>
            </w:pPr>
          </w:p>
        </w:tc>
        <w:tc>
          <w:tcPr>
            <w:tcW w:w="580" w:type="dxa"/>
            <w:vAlign w:val="bottom"/>
          </w:tcPr>
          <w:p>
            <w:pPr>
              <w:jc w:val="right"/>
              <w:ind w:right="465"/>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180" w:type="dxa"/>
            <w:vAlign w:val="bottom"/>
          </w:tcPr>
          <w:p>
            <w:pPr>
              <w:spacing w:after="0"/>
              <w:rPr>
                <w:sz w:val="13"/>
                <w:szCs w:val="13"/>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(224,339)</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(222,059)</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620" w:type="dxa"/>
            <w:vAlign w:val="bottom"/>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7620" w:type="dxa"/>
            <w:vAlign w:val="bottom"/>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rPr>
              <w:t>Condensed Statements of Cash Flows (unaudited)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7620" w:type="dxa"/>
            <w:vAlign w:val="bottom"/>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76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4"/>
                <w:szCs w:val="24"/>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(26,817)</w:t>
            </w: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(24,201)</w:t>
            </w:r>
          </w:p>
        </w:tc>
      </w:tr>
      <w:tr>
        <w:trPr>
          <w:trHeight w:val="211"/>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cash equivalents, and restricted</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9"/>
                <w:szCs w:val="19"/>
                <w:color w:val="auto"/>
              </w:rPr>
            </w:pPr>
          </w:p>
        </w:tc>
      </w:tr>
      <w:tr>
        <w:trPr>
          <w:trHeight w:val="230"/>
        </w:trPr>
        <w:tc>
          <w:tcPr>
            <w:tcW w:w="7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convertible notes debt discount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tcPr>
          <w:p>
            <w:pPr>
              <w:spacing w:after="0"/>
              <w:rPr>
                <w:sz w:val="19"/>
                <w:szCs w:val="19"/>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interest on notes payable and convertible notes payable</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FF0FC"/>
          </w:tcPr>
          <w:p>
            <w:pPr>
              <w:spacing w:after="0"/>
              <w:rPr>
                <w:sz w:val="19"/>
                <w:szCs w:val="19"/>
                <w:color w:val="auto"/>
              </w:rPr>
            </w:pPr>
          </w:p>
        </w:tc>
      </w:tr>
      <w:tr>
        <w:trPr>
          <w:trHeight w:val="230"/>
        </w:trPr>
        <w:tc>
          <w:tcPr>
            <w:tcW w:w="7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Write off of assets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r>
      <w:tr>
        <w:trPr>
          <w:trHeight w:val="211"/>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 net of assets acquired and liabilities</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assumed in acquisitions:</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r>
      <w:tr>
        <w:trPr>
          <w:trHeight w:val="230"/>
        </w:trPr>
        <w:tc>
          <w:tcPr>
            <w:tcW w:w="7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(4,283)</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r>
      <w:tr>
        <w:trPr>
          <w:trHeight w:val="229"/>
        </w:trPr>
        <w:tc>
          <w:tcPr>
            <w:tcW w:w="7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shd w:val="clear" w:color="auto" w:fill="CFF0FC"/>
          </w:tcPr>
          <w:p>
            <w:pPr>
              <w:spacing w:after="0"/>
              <w:rPr>
                <w:sz w:val="19"/>
                <w:szCs w:val="19"/>
                <w:color w:val="auto"/>
              </w:rPr>
            </w:pPr>
          </w:p>
        </w:tc>
      </w:tr>
      <w:tr>
        <w:trPr>
          <w:trHeight w:val="230"/>
        </w:trPr>
        <w:tc>
          <w:tcPr>
            <w:tcW w:w="76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operating activities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(12,610)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120" w:type="dxa"/>
            <w:vAlign w:val="bottom"/>
            <w:shd w:val="clear" w:color="auto" w:fill="CFF0FC"/>
          </w:tcPr>
          <w:p>
            <w:pPr>
              <w:spacing w:after="0"/>
              <w:rPr>
                <w:sz w:val="19"/>
                <w:szCs w:val="19"/>
                <w:color w:val="auto"/>
              </w:rPr>
            </w:pPr>
          </w:p>
        </w:tc>
      </w:tr>
      <w:tr>
        <w:trPr>
          <w:trHeight w:val="230"/>
        </w:trPr>
        <w:tc>
          <w:tcPr>
            <w:tcW w:w="7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(915)</w:t>
            </w: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Patent costs and intangible asset acquisition, net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to acquire Oncimmune</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investing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series H preferred stock</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convertible notes payable</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FF0FC"/>
          </w:tcPr>
          <w:p>
            <w:pPr>
              <w:spacing w:after="0"/>
              <w:rPr>
                <w:sz w:val="19"/>
                <w:szCs w:val="19"/>
                <w:color w:val="auto"/>
              </w:rPr>
            </w:pPr>
          </w:p>
        </w:tc>
      </w:tr>
      <w:tr>
        <w:trPr>
          <w:trHeight w:val="229"/>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Paycheck protection program note payable</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provided by financing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2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beginning of period</w:t>
            </w: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2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end of period</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12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Condensed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was no cash paid for income taxes during the nine months ended September 30, 2020 and 2019.</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Cash paid for interest for the nine-months ended September 30, 2020 and 2019 was $1.4 million and $1.3 million,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720" w:type="dxa"/>
            <w:vAlign w:val="bottom"/>
          </w:tcPr>
          <w:p>
            <w:pPr>
              <w:ind w:left="520"/>
              <w:spacing w:after="0" w:line="207" w:lineRule="exact"/>
              <w:rPr>
                <w:sz w:val="20"/>
                <w:szCs w:val="20"/>
                <w:color w:val="auto"/>
              </w:rPr>
            </w:pPr>
            <w:r>
              <w:rPr>
                <w:rFonts w:ascii="Times New Roman" w:cs="Times New Roman" w:eastAsia="Times New Roman" w:hAnsi="Times New Roman"/>
                <w:sz w:val="18"/>
                <w:szCs w:val="18"/>
                <w:color w:val="auto"/>
              </w:rPr>
              <w:t>Supplemental disclosure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activity (in thousands):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5"/>
        </w:trPr>
        <w:tc>
          <w:tcPr>
            <w:tcW w:w="7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of put option recorded at issuance of convertible notes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BIODESIX, INC.</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198" w:lineRule="exact"/>
        <w:rPr>
          <w:sz w:val="20"/>
          <w:szCs w:val="20"/>
          <w:color w:val="auto"/>
        </w:rPr>
      </w:pPr>
    </w:p>
    <w:p>
      <w:pPr>
        <w:ind w:right="5020"/>
        <w:spacing w:after="0" w:line="37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1 - Description of Business and Summary of Significant Accounting Policies </w:t>
      </w:r>
      <w:r>
        <w:rPr>
          <w:rFonts w:ascii="Times New Roman" w:cs="Times New Roman" w:eastAsia="Times New Roman" w:hAnsi="Times New Roman"/>
          <w:sz w:val="18"/>
          <w:szCs w:val="18"/>
          <w:u w:val="single" w:color="auto"/>
          <w:color w:val="auto"/>
        </w:rPr>
        <w:t>(a) Organization and Nature of Operations</w:t>
      </w: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3"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novel strain of coronavirus, a global pandemic. This outbreak is causing major disruptions to businesses and markets worldwide as the virus spreads. The COVID-19 pandemic has disrupted, and the Company expects will continue to disrupt, its operations. In addition, the COVID-19 pandemic also has started to negatively affect, and the Company expects will continue to negatively affect, its non-COVID-19 testing-related revenue and its clinical studies.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over a long period of time, it could have a material adverse effect on the Company’s business, results of operations, financial condition, and cash flows. The condensed financial statements do not reflect any adjustments as a result of the pandemic.</w:t>
      </w:r>
    </w:p>
    <w:p>
      <w:pPr>
        <w:spacing w:after="0" w:line="192"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As of September 30, 2020, the Company has cash and cash equivalents of $6.3 million, accumulated deficit of $257.7 million, and stockholders’ deficit as of $255.2 million. The Company may seek additional funding through private or public equity financings, collaborations, strategic alliances and marketing, distribution or licensing agreements. If the Company is unable to obtain additional funding, the Company will be forced to delay, reduce or eliminate some or all if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 The Company believes that it has sufficient cash and cash equivalents, after considering the proceeds from its initial public offering of $63.0 million in October 2020, to fund its operations at least through twelve months following the issuance of these financial statements.</w:t>
      </w:r>
    </w:p>
    <w:p>
      <w:pPr>
        <w:spacing w:after="0" w:line="192"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 Basis of Presentation</w:t>
      </w:r>
    </w:p>
    <w:p>
      <w:pPr>
        <w:spacing w:after="0" w:line="11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212529"/>
        </w:rPr>
        <w:t>The accompanying unaudited condensed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condensed financial statements include all known adjustments necessary for a fair presentation of the results of interim periods as required by GAAP. These adjustments consist primarily of normal recurring accruals and estimates that impact the carrying value of assets and liabilities. Operating results for the period ended September 30, 2020 are not necessarily indicative of the results that may be expected for the year ending December 31, 2020. Management performed an evaluation of the Company’s activities through the date of the filing of this Quarterly Report on Form 10-Q.</w:t>
      </w:r>
    </w:p>
    <w:p>
      <w:pPr>
        <w:spacing w:after="0" w:line="192"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212529"/>
        </w:rPr>
        <w:t xml:space="preserve">The accompanying unaudited condensed financial statements should be read in conjunction with the audited financial statements and the related notes for the year ended December 31, 2019, </w:t>
      </w:r>
      <w:r>
        <w:rPr>
          <w:rFonts w:ascii="Times New Roman" w:cs="Times New Roman" w:eastAsia="Times New Roman" w:hAnsi="Times New Roman"/>
          <w:sz w:val="18"/>
          <w:szCs w:val="18"/>
          <w:color w:val="000000"/>
        </w:rPr>
        <w:t>which are included in the Company’s final prospectus filed with the SEC pursuant to Rule 424(b)(4) 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October 29, 2020 under the Securities Act of 1933, as amended (the “Securities Act”)</w:t>
      </w:r>
      <w:r>
        <w:rPr>
          <w:rFonts w:ascii="Times New Roman" w:cs="Times New Roman" w:eastAsia="Times New Roman" w:hAnsi="Times New Roman"/>
          <w:sz w:val="18"/>
          <w:szCs w:val="18"/>
          <w:color w:val="212529"/>
        </w:rPr>
        <w: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 Reverse Stock Split and Initial Public Offering</w:t>
      </w:r>
    </w:p>
    <w:p>
      <w:pPr>
        <w:spacing w:after="0" w:line="117"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On October 19, 2020, the Company obtained approval of an amended and restated certificate of incorporation effecting a 0.1684664-for-1 reverse stock split of its issued and outstanding common stock as converted. All common shares, stock options, and per share information presented in these financial statements and notes thereto have been adjusted, where applicable, to reflect the reverse stock split on a retroactive basis for all periods presented. The per share par value and authorized number of shares of the Company’s common stock were not adjusted as a result of the reverse stock split.</w:t>
      </w:r>
    </w:p>
    <w:p>
      <w:pPr>
        <w:spacing w:after="0" w:line="7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Company’s registration statement on Form S-1 related to its initial public offering (“IPO”) was declared effective by the SEC on October 27, 2020, and the Company’s common stock began trading on the Nasdaq Global Market on October 28, 2020. On October 30, 2020, the Company closed its IPO, in which the Company issued and sold 4,000,000 shares of its common stock, at a price to the public of $18.00 per share. The Company received approximately $63.0 million in net proceeds, after deducting underwriting discounts and commissions and other offering expenses payable by the Company. In connection with the IPO, all outstanding shares of the Company’s convertible preferred stock and convertible notes payable converted into 21,939,025 shares of common stock. The unaudited condensed financial statements, including share and per share amounts, do not give effect to the IPO or the related conversion of securities into shares of common stock. In addition, the put option liability related to the convertible notes payable was transferred to additional paid-in capital upon the closing of the IPO.</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 Use of Estimates</w:t>
      </w:r>
    </w:p>
    <w:p>
      <w:pPr>
        <w:spacing w:after="0" w:line="117"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Areas of the financial statements where estimates have the most significant effect include the valuation of contingent consideration and purchased technology related to the Company’s business acquisition, valuation of impairment of goodwill and long-lived assets, stock-based compensation, valuation of put option liabilities, and the valuation allowance related to net deferred tax assets. Actual results could differ from those estimates.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 Segment Information</w:t>
      </w:r>
    </w:p>
    <w:p>
      <w:pPr>
        <w:spacing w:after="0" w:line="117"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 Comprehensive Loss</w:t>
      </w:r>
    </w:p>
    <w:p>
      <w:pPr>
        <w:spacing w:after="0" w:line="117"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Comprehensive loss is defined as the change in equity during a period from transactions and other events and/or circumstances from non-owner sources. If the Company had comprehensive gains (losses), they would be reflected in the statement of operations and comprehensive loss and as a separate component in the statement of stockholders’ deficit. There were no elements of comprehensive loss during the nine months ended September 30, 2020 and 2019.</w:t>
      </w:r>
    </w:p>
    <w:p>
      <w:pPr>
        <w:spacing w:after="0" w:line="28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Concentration of Risk</w:t>
      </w:r>
    </w:p>
    <w:p>
      <w:pPr>
        <w:spacing w:after="0" w:line="22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 is subject to credit risk from its accounts receivable related to services provided to its customers. Reimbursement on behalf of customers covered by Medicare accounted for 61% and 58% of the Company’s non-COVID-19 diagnostic test revenue for the nine months ended September 30, 2020 and 2019, respectively and represented 17% and 18% of the Company’s total accounts receivable as of September 30, 2020 and December 31, 2019, respectively. One services customer represented 10% and 44% of the Company’s total accounts receivable balance as of September 30, 2020 and December 31, 2019, respectively. Two diagnostic test customers represented 35% and 0% of the Company’s total accounts receivable balance as of September 30, 2020 and December 31, 2019,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 Cash, Cash Equivalents, and Restricted Cash</w:t>
      </w:r>
    </w:p>
    <w:p>
      <w:pPr>
        <w:spacing w:after="0" w:line="117"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insured limits. Included in cash and cash equivalents are money market funds recorded at $4.8 million at September 30, 2020 and December 31,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money market funds were measured using Level 1 inputs.</w:t>
      </w:r>
    </w:p>
    <w:p>
      <w:pPr>
        <w:spacing w:after="0" w:line="207"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Restricted cash consists of deposits related to the Company’s corporate credit card and a letter of credit related to an operating lease agreement. As of September 30, 2020 and December 31, 2019, the Company had $0.2 million in restricted cash, which was included in other current assets in the accompanying balance sheets.</w:t>
      </w:r>
    </w:p>
    <w:p>
      <w:pPr>
        <w:spacing w:after="0" w:line="176"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one major financial institution in the United States. Deposits with this institution may exceed the amount of insurance provided on such deposits. The Company has not experienced any losses on its deposits of cash and cash equivalents.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 Accounts Receivable</w:t>
      </w:r>
    </w:p>
    <w:p>
      <w:pPr>
        <w:spacing w:after="0" w:line="117"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76"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September 30, 2020 and December 31, 2019,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 Inventory</w:t>
      </w:r>
    </w:p>
    <w:p>
      <w:pPr>
        <w:spacing w:after="0" w:line="117"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$3.2 million and $0.8 million as of September 30, 2020 and December 31, 2019, respectively, and are included in other current assets in the accompanying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 Property and Equipment</w:t>
      </w:r>
    </w:p>
    <w:p>
      <w:pPr>
        <w:spacing w:after="0" w:line="88" w:lineRule="exact"/>
        <w:rPr>
          <w:sz w:val="20"/>
          <w:szCs w:val="20"/>
          <w:color w:val="auto"/>
        </w:rPr>
      </w:pPr>
    </w:p>
    <w:p>
      <w:pPr>
        <w:ind w:right="180" w:firstLine="510"/>
        <w:spacing w:after="0" w:line="239" w:lineRule="exact"/>
        <w:rPr>
          <w:sz w:val="20"/>
          <w:szCs w:val="20"/>
          <w:color w:val="auto"/>
        </w:rPr>
      </w:pPr>
      <w:r>
        <w:rPr>
          <w:rFonts w:ascii="Times New Roman" w:cs="Times New Roman" w:eastAsia="Times New Roman" w:hAnsi="Times New Roman"/>
          <w:sz w:val="18"/>
          <w:szCs w:val="18"/>
          <w:color w:val="auto"/>
        </w:rPr>
        <w:t>Property and equipment are stated at cost. Depreciation is provided utilizing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ranging from three to five years.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 Intangible Assets</w:t>
      </w:r>
    </w:p>
    <w:p>
      <w:pPr>
        <w:spacing w:after="0" w:line="11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Intangible assets are stated at cost, net of accumulated amortization and include patents, trademarks, and acquired developed technology. Trademarks have an indefinite life and are not being amortized but are reviewed for impairment on an annual basis and more frequently if events or changes in circumstances indicate that it is more likely than not that the assets are impaired.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may affect the recoverability of the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reviews include an analysis of current results and take into consideration the undiscounted value of projected operating cash flows. See Note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Combinations, for further information.</w:t>
      </w:r>
    </w:p>
    <w:p>
      <w:pPr>
        <w:spacing w:after="0" w:line="28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u w:val="single" w:color="auto"/>
          <w:color w:val="auto"/>
        </w:rPr>
        <w:t>(m) Long</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Lived Assets</w:t>
      </w:r>
    </w:p>
    <w:p>
      <w:pPr>
        <w:spacing w:after="0" w:line="117" w:lineRule="exact"/>
        <w:rPr>
          <w:sz w:val="20"/>
          <w:szCs w:val="20"/>
          <w:color w:val="auto"/>
        </w:rPr>
      </w:pPr>
    </w:p>
    <w:p>
      <w:pPr>
        <w:ind w:right="60" w:firstLine="510"/>
        <w:spacing w:after="0" w:line="232" w:lineRule="exact"/>
        <w:rPr>
          <w:sz w:val="20"/>
          <w:szCs w:val="20"/>
          <w:color w:val="auto"/>
        </w:rPr>
      </w:pPr>
      <w:r>
        <w:rPr>
          <w:rFonts w:ascii="Times New Roman" w:cs="Times New Roman" w:eastAsia="Times New Roman" w:hAnsi="Times New Roman"/>
          <w:sz w:val="18"/>
          <w:szCs w:val="18"/>
          <w:color w:val="auto"/>
        </w:rPr>
        <w:t>The Company reviews its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 Deferred Rent</w:t>
      </w:r>
    </w:p>
    <w:p>
      <w:pPr>
        <w:spacing w:after="0" w:line="88" w:lineRule="exact"/>
        <w:rPr>
          <w:sz w:val="20"/>
          <w:szCs w:val="20"/>
          <w:color w:val="auto"/>
        </w:rPr>
      </w:pPr>
    </w:p>
    <w:p>
      <w:pPr>
        <w:ind w:right="120" w:firstLine="510"/>
        <w:spacing w:after="0" w:line="229" w:lineRule="exact"/>
        <w:rPr>
          <w:sz w:val="20"/>
          <w:szCs w:val="20"/>
          <w:color w:val="auto"/>
        </w:rPr>
      </w:pPr>
      <w:r>
        <w:rPr>
          <w:rFonts w:ascii="Times New Roman" w:cs="Times New Roman" w:eastAsia="Times New Roman" w:hAnsi="Times New Roman"/>
          <w:sz w:val="18"/>
          <w:szCs w:val="18"/>
          <w:color w:val="auto"/>
        </w:rPr>
        <w:t>The Company leases office space under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operating leases that include scheduled increases in minimum rents and renewal provisions at the option of the Company. The expense associated with leases that have escalating payment terms is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in the accompanying condensed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 Goodwill</w:t>
      </w:r>
    </w:p>
    <w:p>
      <w:pPr>
        <w:spacing w:after="0" w:line="11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the nine months ended September 30, 2020 and 2019 to indicate that the fair value of goodwill exceeded its carrying value, and thus a quantitative analysis was not performed.</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have any goodwill impairments for the three and nine months ended September 30, 2020 and 2019.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 Revenue Recognition</w:t>
      </w:r>
    </w:p>
    <w:p>
      <w:pPr>
        <w:spacing w:after="0" w:line="117"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services is transferred to customers, in an amount that reflects the consideration the Company expects to be entitled to in exchange for those services.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revenue is generated from the following:</w:t>
      </w:r>
    </w:p>
    <w:p>
      <w:pPr>
        <w:spacing w:after="0" w:line="223" w:lineRule="exact"/>
        <w:rPr>
          <w:sz w:val="20"/>
          <w:szCs w:val="20"/>
          <w:color w:val="auto"/>
        </w:rPr>
      </w:pPr>
    </w:p>
    <w:p>
      <w:pPr>
        <w:ind w:left="1000" w:right="20" w:hanging="493"/>
        <w:spacing w:after="0" w:line="26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Diagnostic tests. </w:t>
      </w:r>
      <w:r>
        <w:rPr>
          <w:rFonts w:ascii="Times New Roman" w:cs="Times New Roman" w:eastAsia="Times New Roman" w:hAnsi="Times New Roman"/>
          <w:sz w:val="18"/>
          <w:szCs w:val="18"/>
          <w:color w:val="auto"/>
        </w:rPr>
        <w:t>These services are completed upon the delivery of test results to the prescribing physician, which is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 The fees for such services are billed either to a third party such as Medicare, medical facilities, commercial insurance payers, or to the patient.</w:t>
      </w:r>
    </w:p>
    <w:p>
      <w:pPr>
        <w:spacing w:after="0" w:line="173" w:lineRule="exact"/>
        <w:rPr>
          <w:rFonts w:ascii="Times New Roman" w:cs="Times New Roman" w:eastAsia="Times New Roman" w:hAnsi="Times New Roman"/>
          <w:sz w:val="18"/>
          <w:szCs w:val="18"/>
          <w:color w:val="auto"/>
        </w:rPr>
      </w:pPr>
    </w:p>
    <w:p>
      <w:pPr>
        <w:ind w:left="1000" w:right="560" w:hanging="493"/>
        <w:spacing w:after="0" w:line="2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These services are generally completed upon the delivery of test results for assay development and testing services,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performance obligation. Customers for these services are typically large pharmaceutical companies.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and nine months ended September 30, 2020 and 2019, revenue from these services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30,</w:t>
            </w:r>
          </w:p>
        </w:tc>
        <w:tc>
          <w:tcPr>
            <w:tcW w:w="1680" w:type="dxa"/>
            <w:vAlign w:val="bottom"/>
          </w:tcPr>
          <w:p>
            <w:pPr>
              <w:spacing w:after="0"/>
              <w:rPr>
                <w:sz w:val="20"/>
                <w:szCs w:val="20"/>
                <w:color w:val="auto"/>
              </w:rPr>
            </w:pPr>
          </w:p>
        </w:tc>
      </w:tr>
      <w:tr>
        <w:trPr>
          <w:trHeight w:val="223"/>
        </w:trPr>
        <w:tc>
          <w:tcPr>
            <w:tcW w:w="1700" w:type="dxa"/>
            <w:vAlign w:val="bottom"/>
          </w:tcPr>
          <w:p>
            <w:pPr>
              <w:spacing w:after="0"/>
              <w:rPr>
                <w:sz w:val="19"/>
                <w:szCs w:val="19"/>
                <w:color w:val="auto"/>
              </w:rPr>
            </w:pPr>
          </w:p>
        </w:tc>
        <w:tc>
          <w:tcPr>
            <w:tcW w:w="33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Diagnostic tests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1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7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Diagnostic test revenue that were reimbursed by Medicare comprised 63% and 57% of non-COVID-19 diagnostic test revenue for the three months ended September 30, 2020 and 2019, respectively. Diagnostic test revenue that were reimbursed by Medicare comprised 61% and 58% of non-COVID-19 diagnostic test revenue for the nine months ended September 30, 2020 and 2019, respectively. Two services customers comprised 53% and 85% of services revenue for the nine months ended September 30, 2020 and 2019, respectively. For the three and nine months ended September 30, 2020, three health care providers comprised 62% and 42% of diagnostic test revenue, respectively.</w:t>
      </w:r>
    </w:p>
    <w:p>
      <w:pPr>
        <w:spacing w:after="0" w:line="183"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 xml:space="preserve">Revenue from diagnostic tests are recognized when the performance obligation is satisfied, which is when a customer receives results of the Company’s tests, occurring generally upon delivery to the requesting physician. Revenue from services are recognized when the performance obligation is satisfied, which is when a customer receives results of the Company’s tests, occurring generally upon the delivery of test results for assay development and testing services. The Company also provides services to patients with whom the Company does not have contracts as defined in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recognizes revenue for these patients when contracts as defined in ASC 606 are established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consideration to which it expects to be entitled or when the Company receives substantially all of the consideration subsequent to the performance obligations being satisfied.</w:t>
      </w:r>
    </w:p>
    <w:p>
      <w:pPr>
        <w:spacing w:after="0" w:line="18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 Deferred Revenue</w:t>
      </w:r>
    </w:p>
    <w:p>
      <w:pPr>
        <w:spacing w:after="0" w:line="117" w:lineRule="exact"/>
        <w:rPr>
          <w:sz w:val="20"/>
          <w:szCs w:val="20"/>
          <w:color w:val="auto"/>
        </w:rPr>
      </w:pPr>
    </w:p>
    <w:p>
      <w:pPr>
        <w:ind w:right="480" w:firstLine="510"/>
        <w:spacing w:after="0" w:line="266" w:lineRule="auto"/>
        <w:rPr>
          <w:sz w:val="20"/>
          <w:szCs w:val="20"/>
          <w:color w:val="auto"/>
        </w:rPr>
      </w:pPr>
      <w:r>
        <w:rPr>
          <w:rFonts w:ascii="Times New Roman" w:cs="Times New Roman" w:eastAsia="Times New Roman" w:hAnsi="Times New Roman"/>
          <w:sz w:val="18"/>
          <w:szCs w:val="18"/>
          <w:color w:val="auto"/>
        </w:rPr>
        <w:t>Deferred revenue has historically primarily consisted of research, development, and testing services fee payments received in advance. As of September 30, 2020, deferred revenue also includes $3.5 million in a Medicare advance payment on testing services which can either be paid back or earned back starting 1 year from receipt.</w:t>
      </w:r>
    </w:p>
    <w:p>
      <w:pPr>
        <w:spacing w:after="0" w:line="284" w:lineRule="exact"/>
        <w:rPr>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Research and Development </w:t>
      </w:r>
      <w:r>
        <w:rPr>
          <w:rFonts w:ascii="Times New Roman" w:cs="Times New Roman" w:eastAsia="Times New Roman" w:hAnsi="Times New Roman"/>
          <w:sz w:val="18"/>
          <w:szCs w:val="18"/>
          <w:u w:val="single" w:color="auto"/>
          <w:color w:val="212529"/>
        </w:rPr>
        <w:t>Expenses and Accrued Research and Development Expenses</w:t>
      </w:r>
    </w:p>
    <w:p>
      <w:pPr>
        <w:spacing w:after="0" w:line="11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0"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212529"/>
        </w:rPr>
        <w:t xml:space="preserve">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w:t>
      </w:r>
      <w:r>
        <w:rPr>
          <w:rFonts w:ascii="Times New Roman" w:cs="Times New Roman" w:eastAsia="Times New Roman" w:hAnsi="Times New Roman"/>
          <w:sz w:val="18"/>
          <w:szCs w:val="18"/>
          <w:color w:val="000000"/>
        </w:rPr>
        <w:t>The Company’s estimates depend on the timeliness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accuracy of the data provided by consultants and vendors regarding the status of each activity. The Company periodically evaluates the estimates to determine if adjustments are necessary or appropriate based on information received.</w:t>
      </w:r>
    </w:p>
    <w:p>
      <w:pPr>
        <w:spacing w:after="0" w:line="2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u w:val="single" w:color="auto"/>
          <w:color w:val="auto"/>
        </w:rPr>
        <w:t>(s) Stock</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Based Compensation</w:t>
      </w:r>
    </w:p>
    <w:p>
      <w:pPr>
        <w:spacing w:after="0" w:line="117" w:lineRule="exact"/>
        <w:rPr>
          <w:sz w:val="20"/>
          <w:szCs w:val="20"/>
          <w:color w:val="auto"/>
        </w:rPr>
      </w:pPr>
    </w:p>
    <w:p>
      <w:pPr>
        <w:jc w:val="both"/>
        <w:ind w:right="40" w:firstLine="510"/>
        <w:spacing w:after="0" w:line="232" w:lineRule="exact"/>
        <w:rPr>
          <w:sz w:val="20"/>
          <w:szCs w:val="20"/>
          <w:color w:val="auto"/>
        </w:rPr>
      </w:pPr>
      <w:r>
        <w:rPr>
          <w:rFonts w:ascii="Times New Roman" w:cs="Times New Roman" w:eastAsia="Times New Roman" w:hAnsi="Times New Roman"/>
          <w:sz w:val="18"/>
          <w:szCs w:val="18"/>
          <w:color w:val="auto"/>
        </w:rPr>
        <w:t>The Company accounts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arrangements with employees and recognizes compensation expense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based on the estimated fair value of the awards. Compensation expense for all employee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is based on the estimated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and recognized as an expense on a straight-line basis over the requisite service period (generally the vesting period).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 Income Taxes</w:t>
      </w:r>
    </w:p>
    <w:p>
      <w:pPr>
        <w:spacing w:after="0" w:line="117"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differences between the tax basis of assets and liabilities and their reported amounts in the financial statements and net operating loss carryforwards that will result in taxable or deductible amounts in future years. The Company establishes a valuation allowance for all deferred tax assets to the extent it is more likely than not that a deferred tax asset will not be realized.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 Warrant Liability</w:t>
      </w:r>
    </w:p>
    <w:p>
      <w:pPr>
        <w:spacing w:after="0" w:line="117"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 Changes in Fair Value of Contingent Consideration</w:t>
      </w:r>
    </w:p>
    <w:p>
      <w:pPr>
        <w:spacing w:after="0" w:line="117"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purchase transaction with Integrated Diagnostics, Inc. (“Indi”), the Company recorded contingent consideration pertaining to the amounts potentially payable to Indi’s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76"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 Fair Value of Financial Instruments</w:t>
      </w:r>
    </w:p>
    <w:p>
      <w:pPr>
        <w:spacing w:after="0" w:line="117"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receivables, other current assets, accounts payable, and accrued liabilities, approximated fair value as of September 30, 2020 and December 31, 2019 because of the relatively short maturity of these instruments.</w:t>
      </w:r>
    </w:p>
    <w:p>
      <w:pPr>
        <w:spacing w:after="0" w:line="133" w:lineRule="exact"/>
        <w:rPr>
          <w:sz w:val="20"/>
          <w:szCs w:val="20"/>
          <w:color w:val="auto"/>
        </w:rPr>
      </w:pPr>
    </w:p>
    <w:p>
      <w:pPr>
        <w:ind w:right="520" w:firstLine="510"/>
        <w:spacing w:after="0" w:line="239" w:lineRule="exact"/>
        <w:rPr>
          <w:sz w:val="20"/>
          <w:szCs w:val="20"/>
          <w:color w:val="auto"/>
        </w:rPr>
      </w:pPr>
      <w:r>
        <w:rPr>
          <w:rFonts w:ascii="Times New Roman" w:cs="Times New Roman" w:eastAsia="Times New Roman" w:hAnsi="Times New Roman"/>
          <w:sz w:val="18"/>
          <w:szCs w:val="18"/>
          <w:color w:val="auto"/>
        </w:rPr>
        <w:t>The carrying amounts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notes payable and convertible notes payable issued approximated fair value as of September 30, 2020 and December 31, 2019 because interest rates on these instruments approximate market interest rates.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(x) Business Combinations</w:t>
      </w:r>
    </w:p>
    <w:p>
      <w:pPr>
        <w:spacing w:after="0" w:line="11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Financial Accounts Standards Board (“FASB”) issued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 Deferred Offering Costs</w:t>
      </w:r>
    </w:p>
    <w:p>
      <w:pPr>
        <w:spacing w:after="0" w:line="117"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issuances as deferred offering costs until such equity issuances are consummated. After consummation of the equity issuance, these costs are recorded as a reduction in the capitalized amount associated with the equity issuance. Should the equity issuance be abandoned, the deferred offering costs will be expensed immediately as a charge to operating expenses in the unaudited condensed consolidated statement of operations. Upon the IPO closing in October 2020, deferred offering costs were reclassified to additional paid-in capital, representing a reduction in IPO proceeds. As of September 30, 2020 and December 31, 2019, the Company had deferred offering costs of $1.4 million and $0, respectively, which are included in other current assets in the accompanying balance sheets.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(z) Recently Issued Accounting Standards Not Yet Adopted</w:t>
      </w:r>
    </w:p>
    <w:p>
      <w:pPr>
        <w:spacing w:after="0" w:line="115"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2022. The Company is currently evaluating the impact of the lease guidance on the Company’s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(aa) Net loss per share</w:t>
      </w:r>
    </w:p>
    <w:p>
      <w:pPr>
        <w:spacing w:after="0" w:line="117"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88"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(in thousands, except per share amounts):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Three months ended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September 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Numerator</w:t>
            </w: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(8,845)</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(9,601)</w:t>
            </w:r>
          </w:p>
        </w:tc>
        <w:tc>
          <w:tcPr>
            <w:tcW w:w="24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(26,817)</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(24,201)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4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40" w:type="dxa"/>
            <w:vAlign w:val="bottom"/>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Weighted-average shares outstanding used</w:t>
            </w: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in computing net loss per share, basic and diluted</w:t>
            </w: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1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(31.93)</w:t>
            </w:r>
          </w:p>
        </w:tc>
        <w:tc>
          <w:tcPr>
            <w:tcW w:w="160" w:type="dxa"/>
            <w:vAlign w:val="bottom"/>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(39.35)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(99.69)</w:t>
            </w:r>
          </w:p>
        </w:tc>
        <w:tc>
          <w:tcPr>
            <w:tcW w:w="160" w:type="dxa"/>
            <w:vAlign w:val="bottom"/>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(103.87)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for the three and nine month periods ended September 30, 2020 and 2019 (in thousands):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5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Nine months ended September</w:t>
            </w:r>
          </w:p>
        </w:tc>
      </w:tr>
      <w:tr>
        <w:trPr>
          <w:trHeight w:val="234"/>
        </w:trPr>
        <w:tc>
          <w:tcPr>
            <w:tcW w:w="5360" w:type="dxa"/>
            <w:vAlign w:val="bottom"/>
          </w:tcPr>
          <w:p>
            <w:pPr>
              <w:spacing w:after="0"/>
              <w:rPr>
                <w:sz w:val="20"/>
                <w:szCs w:val="20"/>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3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tcPr>
          <w:p>
            <w:pPr>
              <w:spacing w:after="0"/>
              <w:rPr>
                <w:sz w:val="19"/>
                <w:szCs w:val="19"/>
                <w:color w:val="auto"/>
              </w:rPr>
            </w:pPr>
          </w:p>
        </w:tc>
      </w:tr>
      <w:tr>
        <w:trPr>
          <w:trHeight w:val="22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shd w:val="clear" w:color="auto" w:fill="CCEEFF"/>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119,257</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119,257</w:t>
            </w:r>
          </w:p>
        </w:tc>
        <w:tc>
          <w:tcPr>
            <w:tcW w:w="80" w:type="dxa"/>
            <w:vAlign w:val="bottom"/>
          </w:tcPr>
          <w:p>
            <w:pPr>
              <w:spacing w:after="0"/>
              <w:rPr>
                <w:sz w:val="19"/>
                <w:szCs w:val="19"/>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shd w:val="clear" w:color="auto" w:fill="CCEEFF"/>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20,746</w:t>
            </w:r>
          </w:p>
        </w:tc>
        <w:tc>
          <w:tcPr>
            <w:tcW w:w="2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80" w:type="dxa"/>
            <w:vAlign w:val="bottom"/>
            <w:shd w:val="clear" w:color="auto" w:fill="CCEEFF"/>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143,538</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139,973</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24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September 30, 2020, as determined by the Company’s board of directors (“Board of Directors”) with assistance from a valuation firm.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Oncimmune Limited</w:t>
      </w:r>
    </w:p>
    <w:p>
      <w:pPr>
        <w:spacing w:after="0" w:line="11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On October 31, 2019, the Company purchased select assets and liabilities from Oncimmune Limited (“Oncimmune”) for total consideration of $1.2 million payable in quarterly installments commencing 30 days following the closing of the transaction. Concurrent with the Oncimmune purchase, the Company acquired an option to license rights within the United States to an additional indication for their product for $9.0 million. This option, which is exclusive to the Company, expires on the earlier of 30 days following Food and Drug Administration approval or December 31, 2020. As of September 30, 2020, (a) the full $1.2 million has been paid-out and (b) the Company notified Oncimmune that it will not exercise this option for expansion of the field of use.</w:t>
      </w:r>
    </w:p>
    <w:p>
      <w:pPr>
        <w:spacing w:after="0" w:line="187"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 as a result of,the expansion of the technology into additional markets, and lower future operating expenses.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FF0FC"/>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Deposit</w:t>
            </w:r>
          </w:p>
        </w:tc>
        <w:tc>
          <w:tcPr>
            <w:tcW w:w="400" w:type="dxa"/>
            <w:vAlign w:val="bottom"/>
            <w:gridSpan w:val="2"/>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2019, the Company has finalized its accounting for this business combination.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Integrated Diagnostics, Inc.</w:t>
      </w:r>
    </w:p>
    <w:p>
      <w:pPr>
        <w:spacing w:after="0" w:line="11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On June 30, 2018, the Company purchased select assets and liabilities from Indi for total consideration of $27.6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80"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issued - 10,694,904 shares</w:t>
            </w:r>
          </w:p>
        </w:tc>
        <w:tc>
          <w:tcPr>
            <w:tcW w:w="142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10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2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to require the issuance of additional shares of Series G preferred stock. The total amount of undiscounted contingent consideration which the Company may be required to pay under the arrangement is $37.0 million. If Indi elects not to exercise these options, the Company has 12 months to settle the contingent consideration in either two equal quarterly cash installments or in 14,959,114 shares of Series G Preferred Stock.</w:t>
      </w:r>
    </w:p>
    <w:p>
      <w:pPr>
        <w:spacing w:after="0" w:line="189" w:lineRule="exact"/>
        <w:rPr>
          <w:sz w:val="20"/>
          <w:szCs w:val="20"/>
          <w:color w:val="auto"/>
        </w:rPr>
      </w:pPr>
    </w:p>
    <w:p>
      <w:pPr>
        <w:jc w:val="both"/>
        <w:ind w:right="40" w:firstLine="510"/>
        <w:spacing w:after="0" w:line="261" w:lineRule="auto"/>
        <w:rPr>
          <w:sz w:val="20"/>
          <w:szCs w:val="20"/>
          <w:color w:val="auto"/>
        </w:rPr>
      </w:pPr>
      <w:r>
        <w:rPr>
          <w:rFonts w:ascii="Times New Roman" w:cs="Times New Roman" w:eastAsia="Times New Roman" w:hAnsi="Times New Roman"/>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3, Fair Value Accounting, for a discussion of the fair value of the contingent consideration and changes in fair value subsequent to the acquisition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acquired, amortization method and estimated useful lives as of June 30, 2018 was as follows (dollars in thousands):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76"/>
              <w:spacing w:after="0"/>
              <w:rPr>
                <w:sz w:val="20"/>
                <w:szCs w:val="20"/>
                <w:color w:val="auto"/>
              </w:rPr>
            </w:pPr>
            <w:r>
              <w:rPr>
                <w:rFonts w:ascii="Times New Roman" w:cs="Times New Roman" w:eastAsia="Times New Roman" w:hAnsi="Times New Roman"/>
                <w:sz w:val="18"/>
                <w:szCs w:val="18"/>
                <w:color w:val="auto"/>
                <w:w w:val="99"/>
              </w:rPr>
              <w:t>Amortization</w:t>
            </w:r>
          </w:p>
        </w:tc>
        <w:tc>
          <w:tcPr>
            <w:tcW w:w="96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Useful Life</w:t>
            </w:r>
          </w:p>
        </w:tc>
        <w:tc>
          <w:tcPr>
            <w:tcW w:w="1380" w:type="dxa"/>
            <w:vAlign w:val="bottom"/>
            <w:gridSpan w:val="3"/>
          </w:tcPr>
          <w:p>
            <w:pPr>
              <w:jc w:val="center"/>
              <w:ind w:right="176"/>
              <w:spacing w:after="0"/>
              <w:rPr>
                <w:sz w:val="20"/>
                <w:szCs w:val="20"/>
                <w:color w:val="auto"/>
              </w:rPr>
            </w:pPr>
            <w:r>
              <w:rPr>
                <w:rFonts w:ascii="Times New Roman" w:cs="Times New Roman" w:eastAsia="Times New Roman" w:hAnsi="Times New Roman"/>
                <w:sz w:val="18"/>
                <w:szCs w:val="18"/>
                <w:color w:val="auto"/>
                <w:w w:val="99"/>
              </w:rPr>
              <w:t>Method</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2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16,900</w:t>
            </w:r>
          </w:p>
        </w:tc>
      </w:tr>
    </w:tbl>
    <w:p>
      <w:pPr>
        <w:spacing w:after="0" w:line="220"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The technology acquired from Indi consisted of the technology and related know-how of the XL2 test which Indi had developed. The fair value of the technology was estimated by applying a multi-period excess earnings method. The results of this method are based on significant inputs that are not observable in the market, or Level 3 inputs (see discussion of the fair value hierarchy in Note 3). Key assumptions included (a) projected revenue and related profitable attributable to the acquired technology over the estimated life of the acquired technology and (b) a discount rate of 37.5%.</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2018, the Company had finalized its accounting for this business combination.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Fair Value Accounting</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2:Quoted prices in active markets for similar assets and liabilities and inputs that are observable for the asset or liability; or</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3:Unobservable inputs in which there is little or no market data, which requires the reporting entity to develop its own assumptions.</w:t>
      </w:r>
    </w:p>
    <w:p>
      <w:pPr>
        <w:spacing w:after="0" w:line="225"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determination of where assets and liabilities fall within this hierarchy is based upon the lowest level of input that is significant to the fair value measurement.</w:t>
      </w:r>
    </w:p>
    <w:p>
      <w:pPr>
        <w:spacing w:after="0" w:line="162"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Company's liabilities measured at fair value on a recurring basis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Description</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60" w:type="dxa"/>
            <w:vAlign w:val="bottom"/>
            <w:tcBorders>
              <w:top w:val="single" w:sz="8" w:color="auto"/>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16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4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FF0FC"/>
            </w:tcBorders>
            <w:vMerge w:val="continue"/>
          </w:tcPr>
          <w:p>
            <w:pPr>
              <w:spacing w:after="0"/>
              <w:rPr>
                <w:sz w:val="21"/>
                <w:szCs w:val="21"/>
                <w:color w:val="auto"/>
              </w:rPr>
            </w:pPr>
          </w:p>
        </w:tc>
        <w:tc>
          <w:tcPr>
            <w:tcW w:w="1280" w:type="dxa"/>
            <w:vAlign w:val="bottom"/>
            <w:tcBorders>
              <w:bottom w:val="single" w:sz="8" w:color="CFF0FC"/>
            </w:tcBorders>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8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30,071</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30,071</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Put option liability</w:t>
            </w:r>
          </w:p>
        </w:tc>
        <w:tc>
          <w:tcPr>
            <w:tcW w:w="14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128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Description</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60" w:type="dxa"/>
            <w:vAlign w:val="bottom"/>
            <w:tcBorders>
              <w:top w:val="single" w:sz="8" w:color="auto"/>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16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FF0FC"/>
            </w:tcBorders>
            <w:vMerge w:val="continue"/>
          </w:tcPr>
          <w:p>
            <w:pPr>
              <w:spacing w:after="0"/>
              <w:rPr>
                <w:sz w:val="21"/>
                <w:szCs w:val="21"/>
                <w:color w:val="auto"/>
              </w:rPr>
            </w:pPr>
          </w:p>
        </w:tc>
        <w:tc>
          <w:tcPr>
            <w:tcW w:w="1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Put option liability</w:t>
            </w:r>
          </w:p>
        </w:tc>
        <w:tc>
          <w:tcPr>
            <w:tcW w:w="1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70"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Due to the unobservable inputs needed to calculate the fair value of these balances, these liabilities are classified as Level 3 liabilities. The following is a reconciliation of the beginning and ending balances for the nine-month period ended September 30, 2020 for assets measured at fair value on a recurring basis using significant unobservable inputs (in thousands):</w:t>
      </w:r>
    </w:p>
    <w:p>
      <w:pPr>
        <w:spacing w:after="0" w:line="194"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balance</w:t>
            </w:r>
          </w:p>
        </w:tc>
        <w:tc>
          <w:tcPr>
            <w:tcW w:w="22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Issuances</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Exercises</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Change in fair value</w:t>
            </w:r>
          </w:p>
        </w:tc>
        <w:tc>
          <w:tcPr>
            <w:tcW w:w="18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40" w:type="dxa"/>
            <w:vAlign w:val="bottom"/>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FF0FC"/>
            </w:tcBorders>
            <w:shd w:val="clear" w:color="auto" w:fill="CFF0FC"/>
          </w:tcPr>
          <w:p>
            <w:pPr>
              <w:spacing w:after="0"/>
              <w:rPr>
                <w:sz w:val="18"/>
                <w:szCs w:val="18"/>
                <w:color w:val="auto"/>
              </w:rPr>
            </w:pPr>
          </w:p>
        </w:tc>
        <w:tc>
          <w:tcPr>
            <w:tcW w:w="18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Beginning balance</w:t>
            </w:r>
          </w:p>
        </w:tc>
        <w:tc>
          <w:tcPr>
            <w:tcW w:w="220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Issuances</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Exercises</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Put option liability</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balance</w:t>
            </w:r>
          </w:p>
        </w:tc>
        <w:tc>
          <w:tcPr>
            <w:tcW w:w="22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18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40" w:type="dxa"/>
            <w:vAlign w:val="bottom"/>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balance</w:t>
            </w:r>
          </w:p>
        </w:tc>
        <w:tc>
          <w:tcPr>
            <w:tcW w:w="22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fair value</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Accretion</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months presented.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11 for further discussion of preferred stock warrants.</w:t>
      </w:r>
    </w:p>
    <w:p>
      <w:pPr>
        <w:spacing w:after="0" w:line="223"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In addition to the shares of Series F Preferred Stock that were issued in January 2016, investors who purchased more than their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rata amount in the financing described above received a calculated number of contingent value rights ("CVRs"), but only to the extent that the total amount raised in the financing exceeded $20,202,323. One CVR represents 0.00375% of the Company's interest in the drug ficlatuzumab (see Note 8).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In September 2020, the Company exercised its opt-out right with AVEO (as defined below) for the of payment of 50% of development and regulatory costs for ficlatuzumab which will be effective December 2, 2020. At September 30, 2020, the Company recorded a liability of $0.3 million for the remainder of these development and regulatory costs. The value of these CVRs was $0 as of September 30, 2020.</w:t>
      </w:r>
    </w:p>
    <w:p>
      <w:pPr>
        <w:spacing w:after="0" w:line="205"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put option liability was valued based on the calculated returns as a result of the various discounts included in the Company’s convertible notes payable and the related probability assessments of the various settlement scenarios that the discounts apply to. See Note 5 for further disclosure of the discounts and settlement scenarios.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Contingent Consideration</w:t>
      </w:r>
    </w:p>
    <w:p>
      <w:pPr>
        <w:spacing w:after="0" w:line="11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 with Indi, the Company recorded contingent consideration pertaining to the amounts potentially payable to Indi's selling shareholders pursuant to the Asset Purchase Agreement (See Note 2).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8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 techniques could result in materially different fair value estimates. The fair value of the Company's contingent consideration liability was estimated using significant unobservable inputs. The fair value of $19.6 million contingent consideration recognized on the acquisition date was estimated by management with the assistance of an independent third party.</w:t>
      </w:r>
    </w:p>
    <w:p>
      <w:pPr>
        <w:spacing w:after="0" w:line="18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Changes in the fair value measurement each period reflect the passage of time as well as the impact of adjustments, if any, to the likelihood of achieving the specified targets. Contingent consideration is recorded in the balance sheets in long-term liabilities. The change to contingent consideration during the three and nine months ended September 30, 2020 was primarily due to $1.0 million and $2.9 million, respectively, resulting from the accretion of the liability offset by $0 and $1.9 million due to the impact of the deceleration of expected revenue and decreases in expected costs, respectively. The $3.2 million change to the contingent consideration during the nine months ended September 30, 2019 was primarily due to $0.7 million resulting from the impact of the acceleration of expected revenue and decreases in expected costs as a result of events occurring after the acquisition date, as well as $2.5 million resulting from the from the accretion of the liability. For the three months ended September 30, 2019, there was a $0.9 million change to the contingent consideration resulting from the accretion of the liability.</w:t>
      </w:r>
    </w:p>
    <w:p>
      <w:pPr>
        <w:spacing w:after="0" w:line="192"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Balance Sheet Disclosures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1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1180" w:type="dxa"/>
            <w:vAlign w:val="bottom"/>
          </w:tcPr>
          <w:p>
            <w:pPr>
              <w:spacing w:after="0"/>
              <w:rPr>
                <w:sz w:val="20"/>
                <w:szCs w:val="20"/>
                <w:color w:val="auto"/>
              </w:rPr>
            </w:pPr>
          </w:p>
        </w:tc>
        <w:tc>
          <w:tcPr>
            <w:tcW w:w="508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118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Borders>
              <w:bottom w:val="single" w:sz="8" w:color="CFF0FC"/>
            </w:tcBorders>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5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80" w:type="dxa"/>
            <w:vAlign w:val="bottom"/>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(6,386)</w:t>
            </w:r>
          </w:p>
        </w:tc>
      </w:tr>
      <w:tr>
        <w:trPr>
          <w:trHeight w:val="223"/>
        </w:trPr>
        <w:tc>
          <w:tcPr>
            <w:tcW w:w="1180" w:type="dxa"/>
            <w:vAlign w:val="bottom"/>
          </w:tcPr>
          <w:p>
            <w:pPr>
              <w:spacing w:after="0"/>
              <w:rPr>
                <w:sz w:val="19"/>
                <w:szCs w:val="19"/>
                <w:color w:val="auto"/>
              </w:rPr>
            </w:pPr>
          </w:p>
        </w:tc>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each of the three and nine months ended September 30, 2020 and 2019 was $$0.2 million and 0.6 million,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98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w:t>
            </w: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98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80" w:type="dxa"/>
            <w:vAlign w:val="bottom"/>
            <w:vMerge w:val="continue"/>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technology</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98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vMerge w:val="continue"/>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98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80" w:type="dxa"/>
            <w:vAlign w:val="bottom"/>
            <w:vMerge w:val="continue"/>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(indefinite life)</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98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60" w:firstLine="510"/>
        <w:spacing w:after="0" w:line="266" w:lineRule="auto"/>
        <w:rPr>
          <w:sz w:val="20"/>
          <w:szCs w:val="20"/>
          <w:color w:val="auto"/>
        </w:rPr>
      </w:pPr>
      <w:r>
        <w:rPr>
          <w:rFonts w:ascii="Times New Roman" w:cs="Times New Roman" w:eastAsia="Times New Roman" w:hAnsi="Times New Roman"/>
          <w:sz w:val="18"/>
          <w:szCs w:val="18"/>
          <w:color w:val="auto"/>
        </w:rPr>
        <w:t>The Company recorded amortization expense of $0.5 million and $1.6 million for the three and nine months ended September 30, 2020, respectively, and $0.5 million and $1.5 million for the three and nine months ended September 30, 2019, respectively. Amortization related to the remaining net intangible assets is scheduled to amortize as follows (in thousands):</w:t>
      </w:r>
    </w:p>
    <w:p>
      <w:pPr>
        <w:spacing w:after="0" w:line="18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46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Year Ending December 31,</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1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40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1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 current</w:t>
            </w:r>
          </w:p>
        </w:tc>
        <w:tc>
          <w:tcPr>
            <w:tcW w:w="160" w:type="dxa"/>
            <w:vAlign w:val="bottom"/>
          </w:tcPr>
          <w:p>
            <w:pPr>
              <w:spacing w:after="0"/>
              <w:rPr>
                <w:sz w:val="19"/>
                <w:szCs w:val="19"/>
                <w:color w:val="auto"/>
              </w:rPr>
            </w:pP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462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Convertible Notes Payable</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March 2020, the Company issued $10 million of convertible notes (the “March 2020 Notes”) scheduled to mature in August 2020. In August 2020, the maturity date of this debt was extended to June 30, 2021. The March 2020 Notes were issued in two tranches of $5 million, with the first tranche funded in March 2020 and the second tranche funded in June 2020. Interest on the March 2020 Notes was 3% per annum and is payable in full upon maturity through the conversion to Series H Preferred Stock at 80% of the original issuance price of $1.15 per share. Under the terms of the March 2020 Notes, on or before the maturity date and if the March 2020 Notes are unpaid, the outstanding principal and unpaid accrued interest under the March 2020 Notes shall be automatically converted into, the earlier of, the preferred stock sold at the close of the Company’s next equity financing (“Qualified Financing”) or</w:t>
      </w:r>
    </w:p>
    <w:p>
      <w:pPr>
        <w:sectPr>
          <w:pgSz w:w="11900" w:h="16838" w:orient="portrait"/>
          <w:cols w:equalWidth="0" w:num="1">
            <w:col w:w="11140"/>
          </w:cols>
          <w:pgMar w:left="320" w:top="117" w:right="439" w:bottom="1440" w:gutter="0" w:footer="0" w:header="0"/>
        </w:sectPr>
      </w:pP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an IPO. The conversion price would be equal to 80% of the price per share paid for the preferred stock in the Qualified Financing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sold in an IPO. The discounts on the automatic conversions created a put option liability that was separated from the March 2020</w:t>
      </w:r>
    </w:p>
    <w:p>
      <w:pPr>
        <w:spacing w:after="0" w:line="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Notes. The estimated value of the put option liability as of the issuance of the March 2020 Notes was $2.5 million. The put option liability was reflected as a debt discount on the March 2020 Notes which is being amortized over the term of the March 2020 Notes. There was no unamortized debt discount as of September 30, 2020. Following the closing of the IPO in October 2020, the March 2020 Notes automatically converted into 703,503 shares of our common stock at a conversion price of $14.40, which is equal to 80% of the price per share paid for the common stock sold in the IPO.</w:t>
      </w:r>
    </w:p>
    <w:p>
      <w:pPr>
        <w:spacing w:after="0" w:line="18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December 2019, the Company issued $6 million of convertible notes (the “December 2019 Notes”) that were scheduled to mature in August 2020. In August 2020, the maturity date of this debt was extended to June 30, 2021. The December 2019 Notes were issued in two tranches of $3 million, with the first tranche funded in December 2019 and the second tranche funded in February 2020. Interest on the December 2019 Notes was 3% per annum and payable in full upon maturity through the conversion to Series H Preferred Stock at 80% of the original issuance price of $1.15 per share. Under the terms of the December 2019 Notes, on or before the maturity date and if the December 2019 Notes are unpaid, the outstanding principal and unpaid accrued interest under the December 2019 Notes shall be automatically converted into, the earlier of, the preferred stock sold at the close of the Company’s next Qualified Financing or common stock in an IPO. The conversion price would be equal to 80% of the price per share paid for the preferred stock in the Qualified Financing or common stock sold in an IPO. The discounts on the automatic conversions created a put option liability that was separated from the December 2019 Notes. The estimated value of the put option liability as of the issuance of the December 2019 Notes was $1.5 million for each tranche issued. The put option liability was reflected as a debt discount on the December 2019 Notes which is being amortized over the term of the December 2019 Notes. The unamortized debt discount was $0 and $0.7 million as of September 30, 2020 and December 31, 2019, respectively. Following the closing of the IPO in October 2020, the December 2019 Notes automatically converted into 426,386 shares of our common stock at a conversion price of $14.40, which is equal to 80% of the price per share paid for the common stock sold in the IPO.</w:t>
      </w:r>
    </w:p>
    <w:p>
      <w:pPr>
        <w:spacing w:after="0" w:line="18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August and September 2019 (the “August 2019 Notes”), the Company issued $10 million of convertible notes that were scheduled to mature in August 2020. In August 2020, the maturity date of this debt was extended to June 30, 2021. Interest on the August 2019 Notes was 3% per annum and payable in full upon maturity through the conversion to Series H Preferred Stock at the original issuance price of $1.15 per share. Under the terms of the August 2019 Notes, on or before the maturity date and if the August 2019 Notes are unpaid, the outstanding principal and unpaid accrued interest under the August 2019 Notes shall be automatically converted into, the earlier of, the preferred stock sold at the close of the Company’s next Qualified Financing or common stock sold in the event of an IPO. The conversion price would be equal to 95% of the price per share paid for the preferred stock in the Qualified Financing or common stock sold in an IPO. 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 and $0.3 million as of September 30, 2020 and December 31, 2019, respectively. Following the closing of the IPO in October 2020, the August 2019 Notes automatically converted into 718,391 shares of our common stock at a conversion price of $14.40, which is equal to 80% of the price per share paid for the common stock sold in the IPO.</w:t>
      </w:r>
    </w:p>
    <w:p>
      <w:pPr>
        <w:spacing w:after="0" w:line="190"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2019 statement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convertible notes payable is as follows (in thousands):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11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180" w:type="dxa"/>
            <w:vAlign w:val="bottom"/>
          </w:tcPr>
          <w:p>
            <w:pPr>
              <w:spacing w:after="0"/>
              <w:rPr>
                <w:sz w:val="20"/>
                <w:szCs w:val="20"/>
                <w:color w:val="auto"/>
              </w:rPr>
            </w:pPr>
          </w:p>
        </w:tc>
        <w:tc>
          <w:tcPr>
            <w:tcW w:w="420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11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2020 Notes</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December 2019 Notes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2019 Notes</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118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8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Paycheck Protection Program Note Payable</w:t>
      </w:r>
    </w:p>
    <w:p>
      <w:pPr>
        <w:spacing w:after="0" w:line="119"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In April 2020, the Company entered into a loan pursuant to the Paycheck Protection Program under the CARES Act, as administered by the U.S. Small Business Administration (the “SBA”). The loan, in the principal amount of $3.1 million (the “PPP Loan”), was disbursed by JPMorgan Chase Bank (“Lender”) pursuant to a Paycheck Protection Program Promissory Note and Agreement (the “Note and Agreement”).</w:t>
      </w:r>
    </w:p>
    <w:p>
      <w:pPr>
        <w:spacing w:after="0" w:line="176"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PPP Loan matures on the two-year anniversary of the funding date and bears interest at a fixed rate of 1.00% per annum. Monthly principal and interest payments, less the amount of any potential forgiveness (as discussed below), will commence after the ten-month anniversary of the funding date. The Company did not provide any collateral or guarantees in connection with the PPP Loan, nor did the Company pay any facility charge to obtain the PPP Loan. The Note and Agreement provides for customary events of default, including those relating to failure to make payment, bankruptcy, breaches of representations and material adverse effects. The Company may prepay the principal of the PPP Loan at any time without incurring any prepayment charges.</w:t>
      </w:r>
    </w:p>
    <w:p>
      <w:pPr>
        <w:spacing w:after="0" w:line="18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All or a portion of the PPP Loan may be forgiven by the SBA and the Lender upon application by the Company. 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earning more than $100,000, prorated annually. Not more than 40% of the forgiven amount may be for non-payroll costs. Forgiveness is reduced if full-time headcount declines, or if salaries and wages for employees with salaries of $100,000 or less annually are reduced by more than 25%. The Company cannot assure that the PPP Loan will be forgiven, in whole or in part.</w:t>
      </w:r>
    </w:p>
    <w:p>
      <w:pPr>
        <w:spacing w:after="0" w:line="185" w:lineRule="exact"/>
        <w:rPr>
          <w:sz w:val="20"/>
          <w:szCs w:val="20"/>
          <w:color w:val="auto"/>
        </w:rPr>
      </w:pPr>
    </w:p>
    <w:p>
      <w:pPr>
        <w:ind w:right="60" w:firstLine="51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the PPP Loan as debt in accordance with FASB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accrues interest in accordance with the interest method. If the loan is forgiven in part or in whole, and legal release is received, the Company will reduce the liability by the amount forgiven and record a gain on extinguishment in the statement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w:t>
      </w:r>
    </w:p>
    <w:p>
      <w:pPr>
        <w:spacing w:after="0" w:line="119"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In February 2018, the Company extinguished a Note that originated in 2013 (the “2013 Notes”) through the issuance of new long-term debt with Innovatus Life Sciences Lending Fund (“Innovatus”) (the “2018 Notes”). The lender for the 2018 Notes is also a holder of the Company’s Series G preferred stock.</w:t>
      </w:r>
    </w:p>
    <w:p>
      <w:pPr>
        <w:spacing w:after="0" w:line="176"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September 30, 2020 and December 31, 2019, the interest added to the principal value of the 2018 Notes was $1.5 million and $1.1 million,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245"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 payable to Indi.</w:t>
      </w:r>
    </w:p>
    <w:p>
      <w:pPr>
        <w:spacing w:after="0" w:line="180"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2018 Notes contain customary affirmative covenants, including covenants regarding compliance with applicable laws and regulations, payment of taxes, insurance coverage, notice of certain events, and reporting requirements. Further, the 2018 Notes contain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 the Company to comply with a minimum daily liquidity covenant and a rolling monthly revenue requirement. Failure to comply with the covenants and loan requirements may result in early amortization of the loan in a 24- or 36-month payment schedule. As of September 30, 2020, the Company was not in default under the terms of the 2018 Notes.</w:t>
      </w:r>
    </w:p>
    <w:p>
      <w:pPr>
        <w:spacing w:after="0" w:line="189"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notes payable as of September 30, 2020 and December 31, 2019 was as follows (in thousands):</w:t>
      </w:r>
    </w:p>
    <w:p>
      <w:pPr>
        <w:spacing w:after="0" w:line="23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0"/>
                <w:szCs w:val="20"/>
                <w:color w:val="auto"/>
              </w:rPr>
            </w:pPr>
          </w:p>
        </w:tc>
        <w:tc>
          <w:tcPr>
            <w:tcW w:w="11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0"/>
                <w:szCs w:val="20"/>
                <w:color w:val="auto"/>
              </w:rPr>
            </w:pPr>
          </w:p>
        </w:tc>
      </w:tr>
      <w:tr>
        <w:trPr>
          <w:trHeight w:val="223"/>
        </w:trPr>
        <w:tc>
          <w:tcPr>
            <w:tcW w:w="1180" w:type="dxa"/>
            <w:vAlign w:val="bottom"/>
          </w:tcPr>
          <w:p>
            <w:pPr>
              <w:spacing w:after="0"/>
              <w:rPr>
                <w:sz w:val="19"/>
                <w:szCs w:val="19"/>
                <w:color w:val="auto"/>
              </w:rPr>
            </w:pPr>
          </w:p>
        </w:tc>
        <w:tc>
          <w:tcPr>
            <w:tcW w:w="53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Notes</w:t>
            </w: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right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24,088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Final payment fee</w:t>
            </w:r>
          </w:p>
        </w:tc>
        <w:tc>
          <w:tcPr>
            <w:tcW w:w="2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discount and debt issuance costs</w:t>
            </w:r>
          </w:p>
        </w:tc>
        <w:tc>
          <w:tcPr>
            <w:tcW w:w="220" w:type="dxa"/>
            <w:vAlign w:val="bottom"/>
          </w:tcPr>
          <w:p>
            <w:pPr>
              <w:spacing w:after="0"/>
              <w:rPr>
                <w:sz w:val="19"/>
                <w:szCs w:val="19"/>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1180" w:type="dxa"/>
            <w:vAlign w:val="bottom"/>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right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23,812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Pr>
          <w:p>
            <w:pPr>
              <w:spacing w:after="0"/>
              <w:rPr>
                <w:sz w:val="19"/>
                <w:szCs w:val="19"/>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(7,202)</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80" w:type="dxa"/>
            <w:vAlign w:val="bottom"/>
          </w:tcPr>
          <w:p>
            <w:pPr>
              <w:spacing w:after="0"/>
              <w:rPr>
                <w:sz w:val="19"/>
                <w:szCs w:val="19"/>
                <w:color w:val="auto"/>
              </w:rPr>
            </w:pPr>
          </w:p>
        </w:tc>
        <w:tc>
          <w:tcPr>
            <w:tcW w:w="5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notes payable</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right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23,812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4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6760" w:type="dxa"/>
            <w:vAlign w:val="bottom"/>
            <w:gridSpan w:val="4"/>
          </w:tcPr>
          <w:p>
            <w:pPr>
              <w:jc w:val="right"/>
              <w:ind w:right="96"/>
              <w:spacing w:after="0"/>
              <w:rPr>
                <w:sz w:val="20"/>
                <w:szCs w:val="20"/>
                <w:color w:val="auto"/>
              </w:rPr>
            </w:pPr>
            <w:r>
              <w:rPr>
                <w:rFonts w:ascii="Times New Roman" w:cs="Times New Roman" w:eastAsia="Times New Roman" w:hAnsi="Times New Roman"/>
                <w:sz w:val="18"/>
                <w:szCs w:val="18"/>
                <w:color w:val="auto"/>
                <w:w w:val="99"/>
              </w:rPr>
              <w:t>Maturities of long-term obligations as of September 30, 2020 are as follows (in thousands):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180" w:type="dxa"/>
            <w:vAlign w:val="bottom"/>
          </w:tcPr>
          <w:p>
            <w:pPr>
              <w:spacing w:after="0"/>
              <w:rPr>
                <w:sz w:val="24"/>
                <w:szCs w:val="24"/>
                <w:color w:val="auto"/>
              </w:rPr>
            </w:pPr>
          </w:p>
        </w:tc>
        <w:tc>
          <w:tcPr>
            <w:tcW w:w="5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Year Ending December 31,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2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CFF0FC"/>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1740" w:type="dxa"/>
            <w:vAlign w:val="bottom"/>
            <w:gridSpan w:val="2"/>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740" w:type="dxa"/>
            <w:vAlign w:val="bottom"/>
            <w:gridSpan w:val="2"/>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740" w:type="dxa"/>
            <w:vAlign w:val="bottom"/>
            <w:gridSpan w:val="2"/>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740" w:type="dxa"/>
            <w:vAlign w:val="bottom"/>
            <w:gridSpan w:val="2"/>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inception, the Company has incurred net taxable losses, and accordingly, no current provision for income taxes has been recorded.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88" w:lineRule="exact"/>
        <w:rPr>
          <w:sz w:val="20"/>
          <w:szCs w:val="20"/>
          <w:color w:val="auto"/>
        </w:rPr>
      </w:pPr>
    </w:p>
    <w:p>
      <w:pPr>
        <w:ind w:right="300" w:firstLine="510"/>
        <w:spacing w:after="0" w:line="239" w:lineRule="exact"/>
        <w:rPr>
          <w:sz w:val="20"/>
          <w:szCs w:val="20"/>
          <w:color w:val="auto"/>
        </w:rPr>
      </w:pPr>
      <w:r>
        <w:rPr>
          <w:rFonts w:ascii="Times New Roman" w:cs="Times New Roman" w:eastAsia="Times New Roman" w:hAnsi="Times New Roman"/>
          <w:sz w:val="18"/>
          <w:szCs w:val="18"/>
          <w:color w:val="auto"/>
        </w:rPr>
        <w:t>The Company leases facilities under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operating leases. Rent expense was $1.5 million and $1.6 million for the nine months ended September 30, 2020 and 2019, respectively, and was inclusive of common area maintenance charges.</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for operating lease obligations, net of sublease income are as follows as of September 30, 2020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40" w:type="dxa"/>
            <w:vAlign w:val="bottom"/>
            <w:tcBorders>
              <w:bottom w:val="single" w:sz="8" w:color="CFF0FC"/>
            </w:tcBorders>
          </w:tcPr>
          <w:p>
            <w:pPr>
              <w:spacing w:after="0"/>
              <w:rPr>
                <w:sz w:val="20"/>
                <w:szCs w:val="20"/>
                <w:color w:val="auto"/>
              </w:rPr>
            </w:pPr>
          </w:p>
        </w:tc>
        <w:tc>
          <w:tcPr>
            <w:tcW w:w="40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54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6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6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u w:val="single" w:color="auto"/>
          <w:color w:val="auto"/>
        </w:rPr>
        <w:t>Co</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Development Agreement</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April 2014 and amended in October 2016, the Company entered into a worldwide agreement with AVEO Oncology ("AVEO") to develop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commercialize AVEO's hepatocyte growth factor inhibitory antibody ficlatuzumab with the Company's proprietary companion diagnostic test, BDX004,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version of the Company’s serum protein test that is commercially available to help physicians guide treatment decisions for patients with advanced</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small cell lung cancer ("NSCLC"). Under the terms of the agreement, AVEO will conduct a proof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concept (“POC”) clinical study of ficlatuzumab</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NSCLC in which BDX004 will be used to select clinical trial subjects (the “NSCLC POC Trial”). The Company and AVEO will share equally in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of the NSCLC POC Trial, and each will be responsible for 50% of development and regulatory costs associated with all future clinical trials agreed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by the Company and AVEO. The Company and AVEO continue to conduct POC clinical trials of ficlatuzumab in combination with BDX004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responsible for 50% of development and regulatory costs.</w:t>
      </w:r>
    </w:p>
    <w:p>
      <w:pPr>
        <w:spacing w:after="0" w:line="207" w:lineRule="exact"/>
        <w:rPr>
          <w:sz w:val="20"/>
          <w:szCs w:val="20"/>
          <w:color w:val="auto"/>
        </w:rPr>
      </w:pPr>
    </w:p>
    <w:p>
      <w:pPr>
        <w:ind w:right="480" w:firstLine="510"/>
        <w:spacing w:after="0" w:line="261" w:lineRule="auto"/>
        <w:rPr>
          <w:sz w:val="20"/>
          <w:szCs w:val="20"/>
          <w:color w:val="auto"/>
        </w:rPr>
      </w:pPr>
      <w:r>
        <w:rPr>
          <w:rFonts w:ascii="Times New Roman" w:cs="Times New Roman" w:eastAsia="Times New Roman" w:hAnsi="Times New Roman"/>
          <w:sz w:val="18"/>
          <w:szCs w:val="18"/>
          <w:color w:val="auto"/>
        </w:rPr>
        <w:t>In September 2020, the Company exercised its opt-out right with AVEO for the payment of 50% of development and regulatory costs for ficlatuzumab which will be effective December 2, 2020. The Company estimates it has $0.3 million in remaining obligations related to the AVEO agreement as of the opt-out date. Following the effective date, the Company will be entitled to a 10% royalty of net sales of ficlatuzumab and 25% of license income generated from the licensing of ficlatuzumab from AVEO.</w:t>
      </w:r>
    </w:p>
    <w:p>
      <w:pPr>
        <w:spacing w:after="0" w:line="180"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Expenses related to this agreement for the three and nine months ended September 30, 2020 and 2019 were approximately $0.3 million and $1.0 million, and $0.7 million and $0.9 million, respectively.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Agreement</w:t>
      </w:r>
    </w:p>
    <w:p>
      <w:pPr>
        <w:spacing w:after="0" w:line="11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The Company incurred royalty expense of $0.1 million and $0 for the nine months ended September 30, 2020 and 2019, respectively, under the Bio-Rad License.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Share Agreement</w:t>
      </w:r>
    </w:p>
    <w:p>
      <w:pPr>
        <w:spacing w:after="0" w:line="22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As part of the acquisition of Oncimunne, the Company entered into several agreements to govern the relationship between the parties. The Company agreed to a revenue share payment related to an acquired diagnostic test of 8% of recognized revenue for non-screening tests up to an annual minimum volume and 5% thereafter, with an escalating minimum through the first four years of sales. Revenue share expenses of $0 and $0.2 million were incurred for the three and nine months ended September 30, 2020,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Convertible Preferred Stock</w:t>
      </w:r>
    </w:p>
    <w:p>
      <w:pPr>
        <w:spacing w:after="0" w:line="121"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details, by series, the Company's convertible preferred stock at September 30, 2020 (in thousands, except shares and original issue price):</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Defined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Original</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Issued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Issue</w:t>
            </w: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Liquidation</w:t>
            </w:r>
          </w:p>
        </w:tc>
      </w:tr>
      <w:tr>
        <w:trPr>
          <w:trHeight w:val="234"/>
        </w:trPr>
        <w:tc>
          <w:tcPr>
            <w:tcW w:w="52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Series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Authorized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Price</w:t>
            </w: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Preference</w:t>
            </w: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H</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53,031,883</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23,923,188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76,464,035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46,146,517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34,610</w:t>
            </w:r>
          </w:p>
        </w:tc>
        <w:tc>
          <w:tcPr>
            <w:tcW w:w="100" w:type="dxa"/>
            <w:vAlign w:val="bottom"/>
          </w:tcPr>
          <w:p>
            <w:pPr>
              <w:spacing w:after="0"/>
              <w:rPr>
                <w:sz w:val="19"/>
                <w:szCs w:val="19"/>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F</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19,468,203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19,468,203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13,972,954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7,639,556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38,198</w:t>
            </w:r>
          </w:p>
        </w:tc>
        <w:tc>
          <w:tcPr>
            <w:tcW w:w="10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D</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11,781,710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10,874,876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43,499</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2,356,597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2,356,596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Series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2,998,852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2,998,852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3,641,817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3,641,817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Series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Series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266,668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Series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185,432,719</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118,766,273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202,582</w:t>
            </w:r>
          </w:p>
        </w:tc>
        <w:tc>
          <w:tcPr>
            <w:tcW w:w="100" w:type="dxa"/>
            <w:vAlign w:val="bottom"/>
          </w:tcPr>
          <w:p>
            <w:pPr>
              <w:spacing w:after="0"/>
              <w:rPr>
                <w:sz w:val="19"/>
                <w:szCs w:val="19"/>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H</w:t>
      </w:r>
    </w:p>
    <w:p>
      <w:pPr>
        <w:spacing w:after="0" w:line="119"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In February and March 2019, the Company issued 8,695,621 shares of Series H Preferred Stock at $1.15 per share for total cash proceeds of $10.0 million.</w:t>
      </w:r>
    </w:p>
    <w:p>
      <w:pPr>
        <w:spacing w:after="0" w:line="16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 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9" w:lineRule="exact"/>
        <w:rPr>
          <w:sz w:val="20"/>
          <w:szCs w:val="20"/>
          <w:color w:val="auto"/>
        </w:rPr>
      </w:pPr>
    </w:p>
    <w:p>
      <w:pPr>
        <w:ind w:firstLine="510"/>
        <w:spacing w:after="0" w:line="219" w:lineRule="exact"/>
        <w:rPr>
          <w:sz w:val="20"/>
          <w:szCs w:val="20"/>
          <w:color w:val="auto"/>
        </w:rPr>
      </w:pPr>
      <w:r>
        <w:rPr>
          <w:rFonts w:ascii="Times New Roman" w:cs="Times New Roman" w:eastAsia="Times New Roman" w:hAnsi="Times New Roman"/>
          <w:sz w:val="18"/>
          <w:szCs w:val="18"/>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shares of common stock. The number of shares of common stock to which a holder of the Series A, Combined Series B, Series C, Series D, Series E, Series F, Series G, and Series H (collectively,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for which the conversion price is initially $2.75). As a result of the reverse stock split effected in October 2020, the conversion rate for the Series Preferred is 0.1684664 per</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37"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share. Following the closing of the IPO in October 2020, each share of Series Preferred automatically converted into shares of common stock (based on the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Series Preferred conversion price).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90" w:lineRule="exact"/>
        <w:rPr>
          <w:sz w:val="20"/>
          <w:szCs w:val="20"/>
          <w:color w:val="auto"/>
        </w:rPr>
      </w:pPr>
    </w:p>
    <w:p>
      <w:pPr>
        <w:ind w:right="80" w:firstLine="510"/>
        <w:spacing w:after="0" w:line="226" w:lineRule="exact"/>
        <w:rPr>
          <w:sz w:val="20"/>
          <w:szCs w:val="20"/>
          <w:color w:val="auto"/>
        </w:rPr>
      </w:pPr>
      <w:r>
        <w:rPr>
          <w:rFonts w:ascii="Times New Roman" w:cs="Times New Roman" w:eastAsia="Times New Roman" w:hAnsi="Times New Roman"/>
          <w:sz w:val="18"/>
          <w:szCs w:val="18"/>
          <w:color w:val="auto"/>
        </w:rPr>
        <w:t>The Series Preferred holders are entitled to receive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share amount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stock basis. In the event dividends are paid on any common stock, the Company shall pay an additional dividend on all outstanding shares of Series Preferred stock in a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share amount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stock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90" w:lineRule="exact"/>
        <w:rPr>
          <w:sz w:val="20"/>
          <w:szCs w:val="20"/>
          <w:color w:val="auto"/>
        </w:rPr>
      </w:pPr>
    </w:p>
    <w:p>
      <w:pPr>
        <w:ind w:right="320" w:firstLine="510"/>
        <w:spacing w:after="0" w:line="239" w:lineRule="exact"/>
        <w:rPr>
          <w:sz w:val="20"/>
          <w:szCs w:val="20"/>
          <w:color w:val="auto"/>
        </w:rPr>
      </w:pPr>
      <w:r>
        <w:rPr>
          <w:rFonts w:ascii="Times New Roman" w:cs="Times New Roman" w:eastAsia="Times New Roman" w:hAnsi="Times New Roman"/>
          <w:sz w:val="18"/>
          <w:szCs w:val="18"/>
          <w:color w:val="auto"/>
        </w:rPr>
        <w:t>The holders of each share of Series Preferred stock have the right to one vote for each share of common stock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basis. When converted, the common stock and Series Preferred stockholders have equal voting and power rights.</w:t>
      </w:r>
    </w:p>
    <w:p>
      <w:pPr>
        <w:spacing w:after="0" w:line="199" w:lineRule="exact"/>
        <w:rPr>
          <w:sz w:val="20"/>
          <w:szCs w:val="20"/>
          <w:color w:val="auto"/>
        </w:rPr>
      </w:pPr>
    </w:p>
    <w:p>
      <w:pPr>
        <w:ind w:right="580" w:firstLine="510"/>
        <w:spacing w:after="0" w:line="282" w:lineRule="auto"/>
        <w:rPr>
          <w:sz w:val="20"/>
          <w:szCs w:val="20"/>
          <w:color w:val="auto"/>
        </w:rPr>
      </w:pPr>
      <w:r>
        <w:rPr>
          <w:rFonts w:ascii="Times New Roman" w:cs="Times New Roman" w:eastAsia="Times New Roman" w:hAnsi="Times New Roman"/>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right="40" w:firstLine="510"/>
        <w:spacing w:after="0" w:line="218" w:lineRule="exact"/>
        <w:rPr>
          <w:sz w:val="20"/>
          <w:szCs w:val="20"/>
          <w:color w:val="auto"/>
        </w:rPr>
      </w:pPr>
      <w:r>
        <w:rPr>
          <w:rFonts w:ascii="Times New Roman" w:cs="Times New Roman" w:eastAsia="Times New Roman" w:hAnsi="Times New Roman"/>
          <w:sz w:val="18"/>
          <w:szCs w:val="18"/>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basis, of the remaining assets of the Company available for distribution to its stockholders.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Stock Options</w:t>
      </w:r>
    </w:p>
    <w:p>
      <w:pPr>
        <w:spacing w:after="0" w:line="229" w:lineRule="exact"/>
        <w:rPr>
          <w:sz w:val="20"/>
          <w:szCs w:val="20"/>
          <w:color w:val="auto"/>
        </w:rPr>
      </w:pPr>
    </w:p>
    <w:p>
      <w:pPr>
        <w:ind w:right="160" w:firstLine="510"/>
        <w:spacing w:after="0" w:line="219" w:lineRule="exact"/>
        <w:rPr>
          <w:sz w:val="20"/>
          <w:szCs w:val="20"/>
          <w:color w:val="auto"/>
        </w:rPr>
      </w:pPr>
      <w:r>
        <w:rPr>
          <w:rFonts w:ascii="Times New Roman" w:cs="Times New Roman" w:eastAsia="Times New Roman" w:hAnsi="Times New Roman"/>
          <w:sz w:val="18"/>
          <w:szCs w:val="18"/>
          <w:color w:val="auto"/>
        </w:rPr>
        <w:t>In May 2006, the Company adopted the 2006 Employee, Director, and Consultant Stock Plan (the “2006 Plan’) under which the Company is authorized to grant stock awards to employees, directors, and consultants of the Company. The Company is authorized to grant incentive stock options,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statutory stock options, restricted stock awards, restricted stock unit awards, and stock appreciation rights up to 831,389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203"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In February 2016, the Company adopted the 2016 Equity Incentive Plan (“2016 Plan’) as a successor to and continuation of the 2006 Plan. As of February 2016, no additional stock awards may be granted under the 2006 Plan and any unallocated shares remaining available for issuance pursuant to the exercise of options or issuance or settlement of stock awards not previously granted under the 2006 Plan will cease to be available under the 2006 Plan and will be added to the share reserve of the 2016 Plan and be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2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immediately available for issuance pursuant to the stock awards granted in the 2016 Plan. In addition, all outstanding stock awards granted under the 2006 Plan will remain subject to the terms of the 2006 Plan unless they expire, terminate or are forfeited, cancelled or otherwise returned to the Company and will immediately be added to the share reserve and become available for issuance under the 2016 Plan.</w:t>
      </w:r>
    </w:p>
    <w:p>
      <w:pPr>
        <w:spacing w:after="0" w:line="176" w:lineRule="exact"/>
        <w:rPr>
          <w:sz w:val="20"/>
          <w:szCs w:val="20"/>
          <w:color w:val="auto"/>
        </w:rPr>
      </w:pPr>
    </w:p>
    <w:p>
      <w:pPr>
        <w:ind w:right="20" w:firstLine="510"/>
        <w:spacing w:after="0" w:line="220" w:lineRule="exact"/>
        <w:rPr>
          <w:sz w:val="20"/>
          <w:szCs w:val="20"/>
          <w:color w:val="auto"/>
        </w:rPr>
      </w:pPr>
      <w:r>
        <w:rPr>
          <w:rFonts w:ascii="Times New Roman" w:cs="Times New Roman" w:eastAsia="Times New Roman" w:hAnsi="Times New Roman"/>
          <w:sz w:val="18"/>
          <w:szCs w:val="18"/>
          <w:color w:val="auto"/>
        </w:rPr>
        <w:t>Under the 2016 Plan, the Company is authorized to grant stock awards to employees, directors, and consultants of the Company. The Company is authorized to grant incentive stock options,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statutory stock options, restricted stock awards, restricted stock unit awards, and stock appreciation rights up to 1,431,964 total shares, plus any shares subject to outstanding stock awards granted under the 2006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201"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Grant</w:t>
            </w:r>
          </w:p>
        </w:tc>
      </w:tr>
      <w:tr>
        <w:trPr>
          <w:trHeight w:val="216"/>
        </w:trPr>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Average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16"/>
        </w:trPr>
        <w:tc>
          <w:tcPr>
            <w:tcW w:w="52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Exercise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 Per</w:t>
            </w:r>
          </w:p>
        </w:tc>
      </w:tr>
      <w:tr>
        <w:trPr>
          <w:trHeight w:val="234"/>
        </w:trPr>
        <w:tc>
          <w:tcPr>
            <w:tcW w:w="52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Price</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Share</w:t>
            </w:r>
          </w:p>
        </w:tc>
      </w:tr>
      <w:tr>
        <w:trPr>
          <w:trHeight w:val="223"/>
        </w:trPr>
        <w:tc>
          <w:tcPr>
            <w:tcW w:w="5240" w:type="dxa"/>
            <w:vAlign w:val="bottom"/>
            <w:tcBorders>
              <w:top w:val="single" w:sz="8" w:color="CFF0FC"/>
            </w:tcBorders>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Forfeited/canceled</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Borders>
              <w:top w:val="single" w:sz="8" w:color="CFF0FC"/>
              <w:bottom w:val="single" w:sz="8" w:color="CFF0FC"/>
            </w:tcBorders>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September 30,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composition of options outstanding and exercisable as of September 30, 2020 (in thousands, except price and life):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Borders>
              <w:bottom w:val="single" w:sz="8" w:color="auto"/>
            </w:tcBorders>
            <w:gridSpan w:val="6"/>
          </w:tcPr>
          <w:p>
            <w:pPr>
              <w:jc w:val="center"/>
              <w:ind w:left="810"/>
              <w:spacing w:after="0"/>
              <w:rPr>
                <w:sz w:val="20"/>
                <w:szCs w:val="20"/>
                <w:color w:val="auto"/>
              </w:rPr>
            </w:pPr>
            <w:r>
              <w:rPr>
                <w:rFonts w:ascii="Times New Roman" w:cs="Times New Roman" w:eastAsia="Times New Roman" w:hAnsi="Times New Roman"/>
                <w:sz w:val="18"/>
                <w:szCs w:val="18"/>
                <w:color w:val="auto"/>
              </w:rPr>
              <w:t>Options Outstanding</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218"/>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Life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 Prices</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5"/>
              </w:rPr>
              <w:t>Price*</w:t>
            </w: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(years)*</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Price*</w:t>
            </w:r>
          </w:p>
        </w:tc>
      </w:tr>
      <w:tr>
        <w:trPr>
          <w:trHeight w:val="223"/>
        </w:trPr>
        <w:tc>
          <w:tcPr>
            <w:tcW w:w="5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$0.42 - $0.83</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0.65</w:t>
            </w:r>
          </w:p>
        </w:tc>
      </w:tr>
      <w:tr>
        <w:trPr>
          <w:trHeight w:val="230"/>
        </w:trPr>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$2.61 - $3.74</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5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$4.39 - $4.45</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510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8"/>
              </w:rPr>
              <w:t>$6.83</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r>
      <w:tr>
        <w:trPr>
          <w:trHeight w:val="223"/>
        </w:trPr>
        <w:tc>
          <w:tcPr>
            <w:tcW w:w="5200" w:type="dxa"/>
            <w:vAlign w:val="bottom"/>
            <w:tcBorders>
              <w:bottom w:val="single" w:sz="8" w:color="CFF0FC"/>
            </w:tcBorders>
            <w:gridSpan w:val="2"/>
            <w:shd w:val="clear" w:color="auto" w:fill="CFF0FC"/>
          </w:tcPr>
          <w:p>
            <w:pPr>
              <w:jc w:val="center"/>
              <w:ind w:right="100"/>
              <w:spacing w:after="0" w:line="207" w:lineRule="exact"/>
              <w:rPr>
                <w:sz w:val="20"/>
                <w:szCs w:val="20"/>
                <w:color w:val="auto"/>
              </w:rPr>
            </w:pPr>
            <w:r>
              <w:rPr>
                <w:rFonts w:ascii="Times New Roman" w:cs="Times New Roman" w:eastAsia="Times New Roman" w:hAnsi="Times New Roman"/>
                <w:sz w:val="18"/>
                <w:szCs w:val="18"/>
                <w:color w:val="auto"/>
              </w:rPr>
              <w:t xml:space="preserve">Total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September 30, 2020</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2,670</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1,267</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Price and Life reflect the weighted average exercise price and weighted average remaining contractual life, respectively.</w:t>
      </w:r>
    </w:p>
    <w:p>
      <w:pPr>
        <w:spacing w:after="0" w:line="225"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There were 79,000 and 26,000 restricted stock units outstanding at September 30, 2020 and December 31, 2019, respectively, none of which had vested as of September 30,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Common Stock</w:t>
      </w:r>
    </w:p>
    <w:p>
      <w:pPr>
        <w:spacing w:after="0" w:line="22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Prior to the Company’s IPO, the fair value of the Company’s common stock underlying the stock options was determined by the Board of Directors with assistance from management and, in part, on input from an independent third-party valuation firm. The Board of Directors determines the fair value of common stock by considering a number of objective and subjective factors, including valuations of comparable companies, sales of convertible preferred stock, operating and financial performance, the lack of liquidity of the Company’s common stock and the general and industry-specific economic outlook. Subsequent to the Company’s IPO, the fair value of the Company’s common stock is determined based on its closing market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216" w:lineRule="exact"/>
        <w:rPr>
          <w:sz w:val="20"/>
          <w:szCs w:val="20"/>
          <w:color w:val="auto"/>
        </w:rPr>
      </w:pPr>
    </w:p>
    <w:p>
      <w:pPr>
        <w:ind w:right="460" w:firstLine="510"/>
        <w:spacing w:after="0" w:line="239" w:lineRule="exact"/>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with the following weighted average assumptions for the nine months ended September 30, 2020 (dollars in thousands):</w:t>
      </w:r>
    </w:p>
    <w:p>
      <w:pPr>
        <w:spacing w:after="0" w:line="217"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28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Approximate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rate</w:t>
            </w:r>
          </w:p>
        </w:tc>
        <w:tc>
          <w:tcPr>
            <w:tcW w:w="15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Average expected life</w:t>
            </w:r>
          </w:p>
        </w:tc>
        <w:tc>
          <w:tcPr>
            <w:tcW w:w="15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5.63</w:t>
            </w: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fair value of total options granted</w:t>
            </w:r>
          </w:p>
        </w:tc>
        <w:tc>
          <w:tcPr>
            <w:tcW w:w="15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362</w:t>
            </w:r>
          </w:p>
        </w:tc>
      </w:tr>
    </w:tbl>
    <w:p>
      <w:pPr>
        <w:spacing w:after="0" w:line="23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Company estimates volatility based on the historical volatility of its peer group and average expected life based on the review of historical exercise behavior of option grants with similar vesting periods. The expense recorded for options granted under the 2016 Plan is net of estimated forfeitures of 10%.</w:t>
      </w:r>
    </w:p>
    <w:p>
      <w:pPr>
        <w:spacing w:after="0" w:line="176"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of employee stock-based compensation expense on statements of income line items for the periods indicated (in thousands):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18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180" w:type="dxa"/>
            <w:vAlign w:val="bottom"/>
          </w:tcPr>
          <w:p>
            <w:pPr>
              <w:spacing w:after="0"/>
              <w:rPr>
                <w:sz w:val="20"/>
                <w:szCs w:val="20"/>
                <w:color w:val="auto"/>
              </w:rPr>
            </w:pPr>
          </w:p>
        </w:tc>
        <w:tc>
          <w:tcPr>
            <w:tcW w:w="18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37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9"/>
                <w:szCs w:val="19"/>
                <w:color w:val="auto"/>
              </w:rPr>
            </w:pPr>
          </w:p>
        </w:tc>
      </w:tr>
      <w:tr>
        <w:trPr>
          <w:trHeight w:val="21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Sales, marketing, general and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740" w:type="dxa"/>
            <w:vAlign w:val="bottom"/>
            <w:tcBorders>
              <w:bottom w:val="single" w:sz="8" w:color="CFF0FC"/>
            </w:tcBorders>
          </w:tcPr>
          <w:p>
            <w:pPr>
              <w:jc w:val="center"/>
              <w:ind w:right="2350"/>
              <w:spacing w:after="0"/>
              <w:rPr>
                <w:sz w:val="20"/>
                <w:szCs w:val="20"/>
                <w:color w:val="auto"/>
              </w:rPr>
            </w:pPr>
            <w:r>
              <w:rPr>
                <w:rFonts w:ascii="Times New Roman" w:cs="Times New Roman" w:eastAsia="Times New Roman" w:hAnsi="Times New Roman"/>
                <w:sz w:val="18"/>
                <w:szCs w:val="18"/>
                <w:color w:val="auto"/>
                <w:w w:val="98"/>
              </w:rPr>
              <w:t>administrative</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FF0FC"/>
            </w:tcBorders>
          </w:tcPr>
          <w:p>
            <w:pPr>
              <w:spacing w:after="0"/>
              <w:rPr>
                <w:sz w:val="20"/>
                <w:szCs w:val="20"/>
                <w:color w:val="auto"/>
              </w:rPr>
            </w:pPr>
          </w:p>
        </w:tc>
      </w:tr>
      <w:tr>
        <w:trPr>
          <w:trHeight w:val="205"/>
        </w:trPr>
        <w:tc>
          <w:tcPr>
            <w:tcW w:w="374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stock-based compensation</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3740" w:type="dxa"/>
            <w:vAlign w:val="bottom"/>
            <w:tcBorders>
              <w:bottom w:val="single" w:sz="8" w:color="CFF0FC"/>
            </w:tcBorders>
            <w:shd w:val="clear" w:color="auto" w:fill="CFF0FC"/>
          </w:tcPr>
          <w:p>
            <w:pPr>
              <w:jc w:val="center"/>
              <w:ind w:right="2310"/>
              <w:spacing w:after="0"/>
              <w:rPr>
                <w:sz w:val="20"/>
                <w:szCs w:val="20"/>
                <w:color w:val="auto"/>
              </w:rPr>
            </w:pPr>
            <w:r>
              <w:rPr>
                <w:rFonts w:ascii="Times New Roman" w:cs="Times New Roman" w:eastAsia="Times New Roman" w:hAnsi="Times New Roman"/>
                <w:sz w:val="18"/>
                <w:szCs w:val="18"/>
                <w:color w:val="auto"/>
                <w:w w:val="99"/>
              </w:rPr>
              <w:t>expense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right="440" w:firstLine="510"/>
        <w:spacing w:after="0" w:line="239" w:lineRule="exact"/>
        <w:rPr>
          <w:sz w:val="20"/>
          <w:szCs w:val="20"/>
          <w:color w:val="auto"/>
        </w:rPr>
      </w:pPr>
      <w:r>
        <w:rPr>
          <w:rFonts w:ascii="Times New Roman" w:cs="Times New Roman" w:eastAsia="Times New Roman" w:hAnsi="Times New Roman"/>
          <w:sz w:val="18"/>
          <w:szCs w:val="18"/>
          <w:color w:val="auto"/>
        </w:rPr>
        <w:t>The unrecognized remaining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balance for shares issued inside of the 2016 Plan was approximately $0.5 million as of September 30, 2020 which will be amortized over the next three years.</w:t>
      </w:r>
    </w:p>
    <w:p>
      <w:pPr>
        <w:spacing w:after="0" w:line="199" w:lineRule="exact"/>
        <w:rPr>
          <w:sz w:val="20"/>
          <w:szCs w:val="20"/>
          <w:color w:val="auto"/>
        </w:rPr>
      </w:pPr>
    </w:p>
    <w:p>
      <w:pPr>
        <w:ind w:right="60" w:firstLine="510"/>
        <w:spacing w:after="0" w:line="219" w:lineRule="exact"/>
        <w:rPr>
          <w:sz w:val="20"/>
          <w:szCs w:val="20"/>
          <w:color w:val="auto"/>
        </w:rPr>
      </w:pPr>
      <w:r>
        <w:rPr>
          <w:rFonts w:ascii="Times New Roman" w:cs="Times New Roman" w:eastAsia="Times New Roman" w:hAnsi="Times New Roman"/>
          <w:sz w:val="18"/>
          <w:szCs w:val="18"/>
          <w:color w:val="auto"/>
        </w:rPr>
        <w:t>As of September 30, 2020, the Company has issued a total of 205,199 stock options outside the 2006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using approximately the same assumptions as in the previous table other than the term, which is approximately five years. As of September 30, 2020, 173,233 options outside of the 2006 Plan are outstanding and exercisable and have a weighted average exercise price of $11.11, a weighted average remaining life of six years, and were fully vested on the grant date. There was no unrecognized remaining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balance for shares issued outside of the 2006 Plan as of September 30, 2020.</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Warrants for Convertible Preferred Stock</w:t>
      </w:r>
    </w:p>
    <w:p>
      <w:pPr>
        <w:spacing w:after="0" w:line="121" w:lineRule="exact"/>
        <w:rPr>
          <w:sz w:val="20"/>
          <w:szCs w:val="20"/>
          <w:color w:val="auto"/>
        </w:rPr>
      </w:pPr>
    </w:p>
    <w:p>
      <w:pPr>
        <w:ind w:right="40" w:firstLine="510"/>
        <w:spacing w:after="0" w:line="219" w:lineRule="exact"/>
        <w:rPr>
          <w:sz w:val="20"/>
          <w:szCs w:val="20"/>
          <w:color w:val="auto"/>
        </w:rPr>
      </w:pPr>
      <w:r>
        <w:rPr>
          <w:rFonts w:ascii="Times New Roman" w:cs="Times New Roman" w:eastAsia="Times New Roman" w:hAnsi="Times New Roman"/>
          <w:sz w:val="18"/>
          <w:szCs w:val="18"/>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presents the activity for convertible preferred stock warrants outstanding (in thousands, except weighted average exercise price):</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48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color w:val="auto"/>
              </w:rPr>
              <w:t>Series E</w:t>
            </w:r>
          </w:p>
        </w:tc>
        <w:tc>
          <w:tcPr>
            <w:tcW w:w="238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Series G</w:t>
            </w:r>
          </w:p>
        </w:tc>
        <w:tc>
          <w:tcPr>
            <w:tcW w:w="0" w:type="dxa"/>
            <w:vAlign w:val="bottom"/>
          </w:tcPr>
          <w:p>
            <w:pPr>
              <w:spacing w:after="0"/>
              <w:rPr>
                <w:sz w:val="1"/>
                <w:szCs w:val="1"/>
                <w:color w:val="auto"/>
              </w:rPr>
            </w:pPr>
          </w:p>
        </w:tc>
      </w:tr>
      <w:tr>
        <w:trPr>
          <w:trHeight w:val="205"/>
        </w:trPr>
        <w:tc>
          <w:tcPr>
            <w:tcW w:w="5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w w:val="97"/>
              </w:rPr>
              <w:t>Weighted</w:t>
            </w: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w w:val="99"/>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Average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Exercise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price</w:t>
            </w: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price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September 30,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tcBorders>
              <w:top w:val="single" w:sz="8" w:color="CFF0FC"/>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at</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2020</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7.5 years</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 Subsequent Events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October 2020, the Company closed its IPO. See Note 1 (c) for further disclosure.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7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on Form 10-Q and our audited financial statements and notes thereto and the related Management’s Discussion and Analysis of Financial Condition and Results of Operations included in our final prospectus dated October 29, 2020 that forms a part of our Registration Statement on Form S-1 (File No. 333-249260), as filed with the Securities and Exchange Commission (SEC) pursuant to Rule 424(b) under the Securities Act of 1933, as amended (the “Securities Act”), on October 29, 2020 (Prospectus).</w:t>
      </w:r>
    </w:p>
    <w:p>
      <w:pPr>
        <w:spacing w:after="0" w:line="182" w:lineRule="exact"/>
        <w:rPr>
          <w:sz w:val="20"/>
          <w:szCs w:val="20"/>
          <w:color w:val="auto"/>
        </w:rPr>
      </w:pPr>
    </w:p>
    <w:p>
      <w:pPr>
        <w:ind w:right="60" w:firstLine="578"/>
        <w:spacing w:after="0" w:line="254"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report contain forward-looking statements within the meaning of Section 27A of the Securities Act of 1933, as amended, and Section 21E of the Securities Exchange Act of 1934, as amended,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Forward-looking statements are not guarantees of future performance and are subject to risks and uncertainties that could cause actual results and events to differ from those anticipated.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w:t>
      </w:r>
    </w:p>
    <w:p>
      <w:pPr>
        <w:spacing w:after="0" w:line="79"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provided to supplement the financial statements and the related notes in Item 1 of this Quarterly Report on Form10-Q. We intend for this discussion to provide you with information that will assist you in understanding our financial statements, the changes in key items in those financial statements from year to year and the primary factors that accounted for those changes.</w:t>
      </w:r>
    </w:p>
    <w:p>
      <w:pPr>
        <w:spacing w:after="0" w:line="180"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Data for the three months ended September 30, and 2019 and for the nine months ended September 30, 2020 and 2019 has been derived from our unaudited condensed financial statements for the three months ended September 30, 2020 and 2019 and for the nine months ended September 30, 2020 and 2019 included in Item 1 of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8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8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87" w:lineRule="exact"/>
        <w:rPr>
          <w:sz w:val="20"/>
          <w:szCs w:val="20"/>
          <w:color w:val="auto"/>
        </w:rPr>
      </w:pPr>
    </w:p>
    <w:p>
      <w:pPr>
        <w:jc w:val="both"/>
        <w:ind w:right="60" w:firstLine="510"/>
        <w:spacing w:after="0" w:line="258" w:lineRule="auto"/>
        <w:rPr>
          <w:sz w:val="20"/>
          <w:szCs w:val="20"/>
          <w:color w:val="auto"/>
        </w:rPr>
      </w:pPr>
      <w:r>
        <w:rPr>
          <w:rFonts w:ascii="Times New Roman" w:cs="Times New Roman" w:eastAsia="Times New Roman" w:hAnsi="Times New Roman"/>
          <w:sz w:val="18"/>
          <w:szCs w:val="18"/>
          <w:color w:val="auto"/>
        </w:rPr>
        <w:t>We have commercialized six diagnostic tests which are currently available for use by physicians. Our Nodify XL2 and Nodify CDT tests,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ind w:right="20"/>
        <w:spacing w:after="0" w:line="252" w:lineRule="auto"/>
        <w:rPr>
          <w:sz w:val="20"/>
          <w:szCs w:val="20"/>
          <w:color w:val="auto"/>
        </w:rPr>
      </w:pPr>
      <w:r>
        <w:rPr>
          <w:rFonts w:ascii="Times New Roman" w:cs="Times New Roman" w:eastAsia="Times New Roman" w:hAnsi="Times New Roman"/>
          <w:sz w:val="18"/>
          <w:szCs w:val="18"/>
          <w:color w:val="auto"/>
        </w:rPr>
        <w:t>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 response to the COVID-19 pandemic, through our partnership with Bio-Rad, we commercialized the Biodesix WorkSafe testing program. Our scientific diagnostic expertise, technologies, and existing commercial infrastructure enabled us to rapidly commercialize two FDA EUA-authorized tests, a part of our customizable program. Both diagnostic tests are owned and were developed by Bio-Rad and Bio-Rad has granted us permission to utilize both tests for commercial diagnostic services.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Clinical Laboratory Improvement Amendments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Using the Bio-Rad SARS-CoV-2 ddPCR test and the Platelia SARS-CoV-2 Total Ab test, we operate and have commercialized the Biodesix WorkSafe testing program.</w:t>
      </w:r>
    </w:p>
    <w:p>
      <w:pPr>
        <w:spacing w:after="0" w:line="19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8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These tests are utilized by healthcare providers, including hospitals and nursing homes, and are also offered to businesses and educational systems to assist in their back-to-work or back-to-school strategies.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83"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7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Since our inception, we have performed over 245,000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83" w:lineRule="exact"/>
        <w:rPr>
          <w:sz w:val="20"/>
          <w:szCs w:val="20"/>
          <w:color w:val="auto"/>
        </w:rPr>
      </w:pPr>
    </w:p>
    <w:p>
      <w:pPr>
        <w:ind w:right="40" w:firstLine="510"/>
        <w:spacing w:after="0" w:line="281" w:lineRule="auto"/>
        <w:rPr>
          <w:sz w:val="20"/>
          <w:szCs w:val="20"/>
          <w:color w:val="auto"/>
        </w:rPr>
      </w:pPr>
      <w:r>
        <w:rPr>
          <w:rFonts w:ascii="Times New Roman" w:cs="Times New Roman" w:eastAsia="Times New Roman" w:hAnsi="Times New Roman"/>
          <w:sz w:val="17"/>
          <w:szCs w:val="17"/>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customers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We have funded our operations to date principally from net proceeds from the sale of convertible preferred stock, revenue from diagnostic testing and services, and the incurrence of indebtedness. We had cash and cash equivalents of $6.3 million as of September 30, 2020 and $5.3 million as of December 31,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impacted our operating performance and results of operations, including:</w:t>
      </w:r>
    </w:p>
    <w:p>
      <w:pPr>
        <w:spacing w:after="0" w:line="221" w:lineRule="exact"/>
        <w:rPr>
          <w:sz w:val="20"/>
          <w:szCs w:val="20"/>
          <w:color w:val="auto"/>
        </w:rPr>
      </w:pPr>
    </w:p>
    <w:p>
      <w:pPr>
        <w:ind w:left="1000" w:hanging="493"/>
        <w:spacing w:after="0" w:line="254"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Testing volume and customer mix. </w:t>
      </w:r>
      <w:r>
        <w:rPr>
          <w:rFonts w:ascii="Times New Roman" w:cs="Times New Roman" w:eastAsia="Times New Roman" w:hAnsi="Times New Roman"/>
          <w:sz w:val="18"/>
          <w:szCs w:val="18"/>
          <w:color w:val="auto"/>
        </w:rPr>
        <w:t>Our revenues and costs are affected by the volume of testing and mix of customers from period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 We expect our costs to significantly increase in 2020 and the beginning of 2021 due to a significant increase in demand for COVID-19 diagnostic testing and we expect our related revenues from such tests to also increase.</w:t>
      </w:r>
    </w:p>
    <w:p>
      <w:pPr>
        <w:spacing w:after="0" w:line="182" w:lineRule="exact"/>
        <w:rPr>
          <w:rFonts w:ascii="Times New Roman" w:cs="Times New Roman" w:eastAsia="Times New Roman" w:hAnsi="Times New Roman"/>
          <w:sz w:val="18"/>
          <w:szCs w:val="18"/>
          <w:color w:val="auto"/>
        </w:rPr>
      </w:pPr>
    </w:p>
    <w:p>
      <w:pPr>
        <w:jc w:val="both"/>
        <w:ind w:left="1000" w:right="240" w:hanging="493"/>
        <w:spacing w:after="0" w:line="26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 for clinical diagnostic testing. </w:t>
      </w:r>
      <w:r>
        <w:rPr>
          <w:rFonts w:ascii="Times New Roman" w:cs="Times New Roman" w:eastAsia="Times New Roman" w:hAnsi="Times New Roman"/>
          <w:sz w:val="18"/>
          <w:szCs w:val="18"/>
          <w:color w:val="auto"/>
        </w:rPr>
        <w:t>Our revenue depends on achieving broad coverage and reimbursement for our tests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payers, including both commercial and government 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180" w:lineRule="exact"/>
        <w:rPr>
          <w:rFonts w:ascii="Times New Roman" w:cs="Times New Roman" w:eastAsia="Times New Roman" w:hAnsi="Times New Roman"/>
          <w:sz w:val="18"/>
          <w:szCs w:val="18"/>
          <w:color w:val="auto"/>
        </w:rPr>
      </w:pPr>
    </w:p>
    <w:p>
      <w:pPr>
        <w:ind w:left="10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184" w:lineRule="exact"/>
        <w:rPr>
          <w:rFonts w:ascii="Times New Roman" w:cs="Times New Roman" w:eastAsia="Times New Roman" w:hAnsi="Times New Roman"/>
          <w:sz w:val="18"/>
          <w:szCs w:val="18"/>
          <w:color w:val="auto"/>
        </w:rPr>
      </w:pPr>
    </w:p>
    <w:p>
      <w:pPr>
        <w:ind w:left="1000" w:right="20" w:hanging="493"/>
        <w:spacing w:after="0" w:line="25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 clinical studies and product innovation to support growth. </w:t>
      </w:r>
      <w:r>
        <w:rPr>
          <w:rFonts w:ascii="Times New Roman" w:cs="Times New Roman" w:eastAsia="Times New Roman" w:hAnsi="Times New Roman"/>
          <w:sz w:val="18"/>
          <w:szCs w:val="18"/>
          <w:color w:val="auto"/>
        </w:rPr>
        <w:t>A significant aspect of our business is our investment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Our recently launched ALTITUDE study seeks to further demonstrate the efficacy of the Nodify XL2 and Nodify CDT test. A secondary focus of our studies is understanding the economic impact of our tests in guiding treatment choices and the potential impact of our tests in reducing overall healthcare costs.</w:t>
      </w:r>
    </w:p>
    <w:p>
      <w:pPr>
        <w:spacing w:after="0" w:line="186" w:lineRule="exact"/>
        <w:rPr>
          <w:rFonts w:ascii="Times New Roman" w:cs="Times New Roman" w:eastAsia="Times New Roman" w:hAnsi="Times New Roman"/>
          <w:sz w:val="18"/>
          <w:szCs w:val="18"/>
          <w:color w:val="auto"/>
        </w:rPr>
      </w:pPr>
    </w:p>
    <w:p>
      <w:pPr>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has resulted in over 80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175" w:lineRule="exact"/>
        <w:rPr>
          <w:rFonts w:ascii="Times New Roman" w:cs="Times New Roman" w:eastAsia="Times New Roman" w:hAnsi="Times New Roman"/>
          <w:sz w:val="18"/>
          <w:szCs w:val="18"/>
          <w:color w:val="auto"/>
        </w:rPr>
      </w:pPr>
    </w:p>
    <w:p>
      <w:pPr>
        <w:ind w:left="1000" w:right="160" w:hanging="493"/>
        <w:spacing w:after="0" w:line="259"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Ability to attract new biopharmaceutical customers and maintain and expand relationships with existing customers. </w:t>
      </w:r>
      <w:r>
        <w:rPr>
          <w:rFonts w:ascii="Times New Roman" w:cs="Times New Roman" w:eastAsia="Times New Roman" w:hAnsi="Times New Roman"/>
          <w:sz w:val="18"/>
          <w:szCs w:val="18"/>
          <w:color w:val="auto"/>
        </w:rPr>
        <w:t>Our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goal. As we continue to develop</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4" w:name="page35"/>
    <w:bookmarkEnd w:id="34"/>
    <w:p>
      <w:pPr>
        <w:ind w:left="1000" w:right="60"/>
        <w:spacing w:after="0" w:line="258" w:lineRule="auto"/>
        <w:rPr>
          <w:sz w:val="20"/>
          <w:szCs w:val="20"/>
          <w:color w:val="auto"/>
        </w:rPr>
      </w:pPr>
      <w:r>
        <w:rPr>
          <w:rFonts w:ascii="Times New Roman" w:cs="Times New Roman" w:eastAsia="Times New Roman" w:hAnsi="Times New Roman"/>
          <w:sz w:val="18"/>
          <w:szCs w:val="18"/>
          <w:color w:val="auto"/>
        </w:rPr>
        <w:t>these relationships,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179" w:lineRule="exact"/>
        <w:rPr>
          <w:sz w:val="20"/>
          <w:szCs w:val="20"/>
          <w:color w:val="auto"/>
        </w:rPr>
      </w:pPr>
    </w:p>
    <w:p>
      <w:pPr>
        <w:ind w:left="1000" w:right="40" w:hanging="493"/>
        <w:spacing w:after="0" w:line="255"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Motivating and expanding our field sales force and customer support team. </w:t>
      </w:r>
      <w:r>
        <w:rPr>
          <w:rFonts w:ascii="Times New Roman" w:cs="Times New Roman" w:eastAsia="Times New Roman" w:hAnsi="Times New Roman"/>
          <w:sz w:val="18"/>
          <w:szCs w:val="18"/>
          <w:color w:val="auto"/>
        </w:rPr>
        <w:t>Our field sales force is the primary point of contact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These representatives of the company must cover expansive geographic regions which limits their time for interaction and education of our products in the clinical setting.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 Furthermore, as we increase testing volume for our COVID-19 diagnostic testing program, we plan to hire additional project support members to assist us in expanding testing capacity.</w:t>
      </w:r>
    </w:p>
    <w:p>
      <w:pPr>
        <w:spacing w:after="0" w:line="189"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While each of these areas present significant opportunities for us, they also pose significant risks and challenges that we must address. See Part II, Item 1A. “Risk Factors”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8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received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9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are also experiencing an increase in revenues related to an increase in the demand for our Biodesix WorkSafe testing program.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and rapid distribution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92"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See Part II., Item 1A. “Risk Factors” for a description of how the COVID-19 pandemic may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020" w:firstLine="510"/>
        <w:spacing w:after="0" w:line="282" w:lineRule="auto"/>
        <w:rPr>
          <w:sz w:val="20"/>
          <w:szCs w:val="20"/>
          <w:color w:val="auto"/>
        </w:rPr>
      </w:pPr>
      <w:r>
        <w:rPr>
          <w:rFonts w:ascii="Times New Roman" w:cs="Times New Roman" w:eastAsia="Times New Roman" w:hAnsi="Times New Roman"/>
          <w:sz w:val="18"/>
          <w:szCs w:val="18"/>
          <w:color w:val="auto"/>
        </w:rPr>
        <w:t>We derive our revenue from two sources: (i) providing diagnostic testing in the clinical setting (“Diagnostic Tests”); and (ii) providing biopharmaceutical companies with services that include diagnostic research, clinical research, clinical trial testing,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5" w:name="page36"/>
    <w:bookmarkEnd w:id="35"/>
    <w:p>
      <w:pPr>
        <w:ind w:right="780"/>
        <w:spacing w:after="0" w:line="282" w:lineRule="auto"/>
        <w:rPr>
          <w:sz w:val="20"/>
          <w:szCs w:val="20"/>
          <w:color w:val="auto"/>
        </w:rPr>
      </w:pPr>
      <w:r>
        <w:rPr>
          <w:rFonts w:ascii="Times New Roman" w:cs="Times New Roman" w:eastAsia="Times New Roman" w:hAnsi="Times New Roman"/>
          <w:sz w:val="18"/>
          <w:szCs w:val="18"/>
          <w:color w:val="auto"/>
        </w:rPr>
        <w:t>development and testing services generally provided outside the clinical setting and governed by individual contracts with third parties as well as development and commercialization of companion diagnostics (“Services”).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Diagnostic Tests</w:t>
      </w:r>
    </w:p>
    <w:p>
      <w:pPr>
        <w:spacing w:after="0" w:line="119"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w:t>
      </w:r>
    </w:p>
    <w:p>
      <w:pPr>
        <w:spacing w:after="0" w:line="162" w:lineRule="exact"/>
        <w:rPr>
          <w:sz w:val="20"/>
          <w:szCs w:val="20"/>
          <w:color w:val="auto"/>
        </w:rPr>
      </w:pPr>
    </w:p>
    <w:p>
      <w:pPr>
        <w:jc w:val="both"/>
        <w:ind w:right="180" w:firstLine="510"/>
        <w:spacing w:after="0" w:line="261" w:lineRule="auto"/>
        <w:rPr>
          <w:sz w:val="20"/>
          <w:szCs w:val="20"/>
          <w:color w:val="auto"/>
        </w:rPr>
      </w:pPr>
      <w:r>
        <w:rPr>
          <w:rFonts w:ascii="Times New Roman" w:cs="Times New Roman" w:eastAsia="Times New Roman" w:hAnsi="Times New Roman"/>
          <w:sz w:val="18"/>
          <w:szCs w:val="18"/>
          <w:color w:val="auto"/>
        </w:rPr>
        <w:t>We consider diagnostic testing to be completed upon the delivery of test results to the prescribing physician,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1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Cost of diagnostic testing generally consists of cost of materials, direct labor, including bonus, benefit and stock-based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192"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w:t>
      </w:r>
    </w:p>
    <w:p>
      <w:pPr>
        <w:spacing w:after="0" w:line="162"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Cost of services includes costs incurred for the performance of development services requested by our customers. Cost of development services will vary depending on the nature, timing and scope of customer projects.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83"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absolute dollars as we continue to innovate and develop additional products and expand our data management resources. As our services revenue grows, an increasing portion of research and development dollars are expected to be allocated to cost of goods for biopharma service contracts. This expense, though expected to increase in absolute dollars, is expected to decrease as a percentage of revenue in the long term, though it may fluctuate as a percentage of our revenues from period to period due to the timing and extent of these expenses.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stock-based compensation, as well as marketing and educational activities and allocated overhead expenses. We expect our sales and marketing expenses to increase in absolute dollars as we expand our sales force, increase our presence within the United States, and increase our marketing activities to drive further awareness and adoption of our tests and our future products. These expenses, though expected to increase in absolute dollars, are expected to decrease as a percentage of revenue in the long term, though they may fluctuate as a percentage of our revenues from period to period due to the timing and extent of these expenses.</w:t>
      </w:r>
    </w:p>
    <w:p>
      <w:pPr>
        <w:spacing w:after="0" w:line="19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include costs for our executive, accounting, finance, legal and human resources functions. These expenses consist principally of salaries, bonuses, employee benefits, travel and stock-based compensation, as well as professional services fees such as consulting, audit, tax and legal fees, and general corporate costs and allocated overhead expenses. We expect that our general and administrative expenses will continue to increase in absolute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as a percentage of revenue in the long term, though they may fluctuate as a percentage from period to period due to the timing and extent of these expenses.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Accretion and Change in Fair Value of Contingent Consideration</w:t>
      </w:r>
    </w:p>
    <w:p>
      <w:pPr>
        <w:spacing w:after="0" w:line="119" w:lineRule="exact"/>
        <w:rPr>
          <w:sz w:val="20"/>
          <w:szCs w:val="20"/>
          <w:color w:val="auto"/>
        </w:rPr>
      </w:pPr>
    </w:p>
    <w:p>
      <w:pPr>
        <w:ind w:right="240" w:firstLine="510"/>
        <w:spacing w:after="0" w:line="256" w:lineRule="auto"/>
        <w:rPr>
          <w:sz w:val="20"/>
          <w:szCs w:val="20"/>
          <w:color w:val="auto"/>
        </w:rPr>
      </w:pPr>
      <w:r>
        <w:rPr>
          <w:rFonts w:ascii="Times New Roman" w:cs="Times New Roman" w:eastAsia="Times New Roman" w:hAnsi="Times New Roman"/>
          <w:sz w:val="18"/>
          <w:szCs w:val="18"/>
          <w:color w:val="auto"/>
        </w:rPr>
        <w:t>In connection with the purchase transaction of Indi, we recorded contingent consideration pertaining to the amounts potentially payable to Indi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that Milestone, the estimated timing in which the Milestone is achieved, and discount rates. The estimated fair value could materially differ from actual values or fair values determined using different assumptions.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 and Interest Income</w:t>
      </w:r>
    </w:p>
    <w:p>
      <w:pPr>
        <w:spacing w:after="0" w:line="119" w:lineRule="exact"/>
        <w:rPr>
          <w:sz w:val="20"/>
          <w:szCs w:val="20"/>
          <w:color w:val="auto"/>
        </w:rPr>
      </w:pPr>
    </w:p>
    <w:p>
      <w:pPr>
        <w:jc w:val="both"/>
        <w:ind w:right="300" w:firstLine="510"/>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from our term loan and convertible debt, and interest income consists of income earned on our cash and cash equivalents. Our term loan does not begin principal payments until March 2021. Our interest income has not been significant to date, but we expect our interest income to increase primarily as we invest the net proceeds from our recent offering.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 except percentages).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6"/>
          </w:tcPr>
          <w:p>
            <w:pPr>
              <w:jc w:val="center"/>
              <w:ind w:right="281"/>
              <w:spacing w:after="0"/>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6"/>
          </w:tcPr>
          <w:p>
            <w:pPr>
              <w:jc w:val="center"/>
              <w:ind w:right="201"/>
              <w:spacing w:after="0"/>
              <w:rPr>
                <w:sz w:val="20"/>
                <w:szCs w:val="20"/>
                <w:color w:val="auto"/>
              </w:rPr>
            </w:pPr>
            <w:r>
              <w:rPr>
                <w:rFonts w:ascii="Times New Roman" w:cs="Times New Roman" w:eastAsia="Times New Roman" w:hAnsi="Times New Roman"/>
                <w:sz w:val="18"/>
                <w:szCs w:val="18"/>
                <w:color w:val="auto"/>
              </w:rPr>
              <w:t>Nine Months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6"/>
          </w:tcPr>
          <w:p>
            <w:pPr>
              <w:jc w:val="center"/>
              <w:ind w:right="281"/>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220" w:type="dxa"/>
            <w:vAlign w:val="bottom"/>
          </w:tcPr>
          <w:p>
            <w:pPr>
              <w:spacing w:after="0"/>
              <w:rPr>
                <w:sz w:val="20"/>
                <w:szCs w:val="20"/>
                <w:color w:val="auto"/>
              </w:rPr>
            </w:pP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Change</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6"/>
          </w:tcPr>
          <w:p>
            <w:pPr>
              <w:jc w:val="center"/>
              <w:ind w:right="201"/>
              <w:spacing w:after="0"/>
              <w:rPr>
                <w:sz w:val="20"/>
                <w:szCs w:val="20"/>
                <w:color w:val="auto"/>
              </w:rPr>
            </w:pPr>
            <w:r>
              <w:rPr>
                <w:rFonts w:ascii="Times New Roman" w:cs="Times New Roman" w:eastAsia="Times New Roman" w:hAnsi="Times New Roman"/>
                <w:sz w:val="18"/>
                <w:szCs w:val="18"/>
                <w:color w:val="auto"/>
              </w:rPr>
              <w:t>Ended 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Change</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1"/>
        </w:trPr>
        <w:tc>
          <w:tcPr>
            <w:tcW w:w="2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marketing, general and</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8,212</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22,793</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1"/>
        </w:trPr>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Accretion of contingent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(1,944)</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(2,607)</w:t>
            </w:r>
          </w:p>
        </w:tc>
        <w:tc>
          <w:tcPr>
            <w:tcW w:w="2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(2,658)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(1,952)</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(6,899)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(4,894)</w:t>
            </w:r>
          </w:p>
        </w:tc>
        <w:tc>
          <w:tcPr>
            <w:tcW w:w="2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2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revenue from our diagnostic tests and services that we provide (in thousands, except percentages).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Change</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Change</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Diagnostic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Services revenue</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90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2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Total revenue was $9.2 million for the three months ended September 30, 2020 compared to $3.9 million for the three months ended September 30, 2019, an increase of $5.3 million, or 133%.</w:t>
      </w:r>
    </w:p>
    <w:p>
      <w:pPr>
        <w:spacing w:after="0" w:line="162"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Diagnostic test revenue increased to $8.6 million for the three months ended September 30, 2020 compared to $3.8 million for the three months ended September 30, 2019, a net increase of $4.8 million or 127%. This increase was due to $5.5 million of revenue from our two COVID-19 diagnostic tests, partially offset by a modest decline in our non-COVID-19 diagnostic test volumes of $0.7 million as health care practitioners, including pulmonologists, were increasingly diverted to pandemic-related care. In addition, company sales efforts continued to be impacted by travel and other COVID-19 pandemic related restrictions.</w:t>
      </w:r>
    </w:p>
    <w:p>
      <w:pPr>
        <w:spacing w:after="0" w:line="183"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Services revenue increased to $0.6 million for the three months ended September 30, 2020 compared to $0.2 million for the three months ended September 30, 2019, an increase of $0.5 million or 273%.</w:t>
      </w:r>
    </w:p>
    <w:p>
      <w:pPr>
        <w:spacing w:after="0" w:line="162"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Total revenue was $18.5 million for the nine months ended September 30, 2020 compared to $16.3 million for the nine months ended September 30, 2019, an increase of $2.2 million, or 14%.</w:t>
      </w:r>
    </w:p>
    <w:p>
      <w:pPr>
        <w:spacing w:after="0" w:line="162"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Diagnostic test revenue increased to $15.8 million for the nine months ended September 30, 2020 compared to $12.7 million for the nine months ended September 30, 2019, a net increase of $3.1 million or 24%. This increase was due to $6.9 million of revenue from our two new COVID-19 diagnostic tests. Offsetting this increase was a decline in our non-COVID-19 diagnostic tests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ind w:right="80"/>
        <w:spacing w:after="0" w:line="282" w:lineRule="auto"/>
        <w:rPr>
          <w:sz w:val="20"/>
          <w:szCs w:val="20"/>
          <w:color w:val="auto"/>
        </w:rPr>
      </w:pPr>
      <w:r>
        <w:rPr>
          <w:rFonts w:ascii="Times New Roman" w:cs="Times New Roman" w:eastAsia="Times New Roman" w:hAnsi="Times New Roman"/>
          <w:sz w:val="18"/>
          <w:szCs w:val="18"/>
          <w:color w:val="auto"/>
        </w:rPr>
        <w:t>$3.8 million because COVID-19 caused our primary pulmonology call point to be diverted to pandemic-related care and our sales force being quarantined, and in many cases being locked out of call points due to the pandemic.</w:t>
      </w:r>
    </w:p>
    <w:p>
      <w:pPr>
        <w:spacing w:after="0" w:line="162"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Services revenue decreased to $2.7 million for the nine months ended September 30, 2020 compared to $3.6 million for the nine months ended September 30, 2019, a decrease of $0.8 million or 23%. The decrease was partially attributed to the completion of a contract in the first half of 2019 for which we did not have a comparable contract in 2020.</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Direct Cost and Expenses</w:t>
      </w:r>
    </w:p>
    <w:p>
      <w:pPr>
        <w:spacing w:after="0" w:line="119"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Cost of revenue was $3.9 million for the three months ended September 30, 2020 compared to $1.5 million for the three months ended September 30, 2019, an increase of $2.4 million, or 159%. The increase in costs were primarily driven by the release of our CDT test and our COVID-19 testing program in 2020 offset by reductions in costs related to our non-COVID-19 tests.</w:t>
      </w:r>
    </w:p>
    <w:p>
      <w:pPr>
        <w:spacing w:after="0" w:line="176"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Cost of revenue was $7.3 million for the nine months ended September 30, 2020 compared to $4.2 million for the nine months ended September 30, 2019, an increase of $3.1 million, or 73%. The increase in costs were primarily driven by the release of our CDT test and our COVID-19 testing program in 2020 offset by reductions in costs related to our non-COVID-19 tests.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$2.7 million for the three months ended September 30, 2020 compared to $2.4 million for the three months ended September 30, 2019, an increase of $0.3 million, or 15%. This increase was primarily related to an increase in clinical trial costs related to existing trials partially offset by a reduction in travel costs and spend on development and pipeline projects primarily due to the COVID-19 pandemic.</w:t>
      </w:r>
    </w:p>
    <w:p>
      <w:pPr>
        <w:spacing w:after="0" w:line="176"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$7.7 million for the nine months ended September 30, 2020 compared to $8.0 million for the nine months ended September 30, 2019, a decrease of $0.3 million, or 3%. This decrease was primarily related to a reduction in external costs related to the studies and development efforts for pipeline products, partially driven by slowdowns related to the COVID-19 pandemic and partially offset by an increased spend on clinical trials</w:t>
      </w:r>
    </w:p>
    <w:p>
      <w:pPr>
        <w:spacing w:after="0" w:line="180"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external and internal costs for the three and nine months ended September 30, 2020 and 2019 (in thousands, except percentages).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Nine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Change</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Change</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Clinical trials and associated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2,021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external costs</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8"/>
              </w:rPr>
              <w:t>2,002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9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Total external costs</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4,023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9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expenses</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8"/>
              </w:rPr>
              <w:t>3,690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5"/>
        </w:trPr>
        <w:tc>
          <w:tcPr>
            <w:tcW w:w="2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7,713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External expenses include:</w:t>
      </w:r>
    </w:p>
    <w:p>
      <w:pPr>
        <w:spacing w:after="0" w:line="225" w:lineRule="exact"/>
        <w:rPr>
          <w:sz w:val="20"/>
          <w:szCs w:val="20"/>
          <w:color w:val="auto"/>
        </w:rPr>
      </w:pPr>
    </w:p>
    <w:p>
      <w:pPr>
        <w:ind w:left="1000" w:right="2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clinical development of our product candidates, including contract research organizations and consultants;</w:t>
      </w:r>
    </w:p>
    <w:p>
      <w:pPr>
        <w:spacing w:after="0" w:line="161" w:lineRule="exact"/>
        <w:rPr>
          <w:rFonts w:ascii="Times New Roman" w:cs="Times New Roman" w:eastAsia="Times New Roman" w:hAnsi="Times New Roman"/>
          <w:sz w:val="18"/>
          <w:szCs w:val="18"/>
          <w:color w:val="auto"/>
        </w:rPr>
      </w:pPr>
    </w:p>
    <w:p>
      <w:pPr>
        <w:ind w:left="1000" w:right="68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products for use in our preclinical studies and clinical trials, including payments to contract manufacturing organizations (“CMOs”) and consultants;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ind w:left="1000" w:right="600" w:hanging="49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preclinical development of our product candidates, including outsourced professional scientific development services, consulting research fees and for sponsored research arrangements with third parties;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depreciation and other expenses, which include direct or allocated expenses for IT, rent and maintenance of facilities.</w:t>
      </w:r>
    </w:p>
    <w:p>
      <w:pPr>
        <w:spacing w:after="0" w:line="225"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Internal expenses include employee-related costs, including salaries, related benefits and stock-based compensation expense for employees engaged in research and development functions.</w:t>
      </w:r>
    </w:p>
    <w:p>
      <w:pPr>
        <w:spacing w:after="0" w:line="162"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 We do not track internal costs by product candidate because these costs are deployed across multiple programs and, as such, are not separately classified.</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Sales, marketing, general and administrative expenses were $7.9 million for the three months ended September 30, 2020 compared to $8.2 million for the three months ended September 30, 2019, a decrease of $0.3 million, or 4%. This reduction was driven by reductions in the travel and related expenses as the COVID-19 pandemic reduced or eliminated the travel and related expenses.</w:t>
      </w:r>
    </w:p>
    <w:p>
      <w:pPr>
        <w:spacing w:after="0" w:line="176"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Sales, marketing, general and administrative expenses were $22.3 million for the nine months ended September 30, 2020 compared to $24.1 million for the nine months ended September 30, 2019, a decrease of $1.3 million, or 5%. This reduction was driven by reductions in the travel and related expenses as the COVID-19 pandemic reduced or eliminated the travel and related expenses.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Accretion of and Change in Fair Value of Contingent Consideration</w:t>
      </w:r>
    </w:p>
    <w:p>
      <w:pPr>
        <w:spacing w:after="0" w:line="119"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amounts recorded for accretion and change in fair value reflect the passage of time as well as estimates in when the milestones that trigger the payment of contingent consideration will be achieved.</w:t>
      </w:r>
    </w:p>
    <w:p>
      <w:pPr>
        <w:spacing w:after="0" w:line="162"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Accretion of and change in fair value of contingent consideration netted to $1.0 million and $0.9 million for the three months ended September 30, 2020 and 2019, respectively, resulting from the accretion of the liability.</w:t>
      </w:r>
    </w:p>
    <w:p>
      <w:pPr>
        <w:spacing w:after="0" w:line="162"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Accretion of and change in fair value of contingent consideration netted to $1.0 million and $3.2 million for the nine months ended September 30, 2020 and 2019, respectively. The change to contingent consideration during the nine months ended September 30, 2020 was primarily due to $2.9 million resulting from the accretion of the liability offset by $1.9 million due to the impact of the deceleration of expected revenue and decreases in expected costs. The $3.2 million change to the contingent consideration during the nine months ended September 30, 2019 was primarily due to $0.7 million resulting from the impact of the acceleration of expected revenue and decreases in expected costs as a result of events occurring after the acquisition date, as well as $2.5 million resulting from the from the accretion of the liability.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380" w:firstLine="510"/>
        <w:spacing w:after="0" w:line="266" w:lineRule="auto"/>
        <w:rPr>
          <w:sz w:val="20"/>
          <w:szCs w:val="20"/>
          <w:color w:val="auto"/>
        </w:rPr>
      </w:pPr>
      <w:r>
        <w:rPr>
          <w:rFonts w:ascii="Times New Roman" w:cs="Times New Roman" w:eastAsia="Times New Roman" w:hAnsi="Times New Roman"/>
          <w:sz w:val="18"/>
          <w:szCs w:val="18"/>
          <w:color w:val="auto"/>
        </w:rPr>
        <w:t>Interest expense was $2.7 million for the three months ended September 30, 2020 compared to $0.7 million for the three months ended September 30, 2019, an increase of $2.0 million. This increase was due to the addition of interest expense related to convertible notes issued to certain shareholders from August 2019 through March 2020.</w:t>
      </w:r>
    </w:p>
    <w:p>
      <w:pPr>
        <w:spacing w:after="0" w:line="176"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Interest expense was $6.9 million for the nine months ended September 30, 2020 compared to $2.0 million for the nine months ended September 30, 2019, an increase of $4.9 million, or 244%. This increase was primarily due to payment in kind interest accruing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0" w:name="page41"/>
    <w:bookmarkEnd w:id="40"/>
    <w:p>
      <w:pPr>
        <w:ind w:right="220"/>
        <w:spacing w:after="0" w:line="282" w:lineRule="auto"/>
        <w:rPr>
          <w:sz w:val="20"/>
          <w:szCs w:val="20"/>
          <w:color w:val="auto"/>
        </w:rPr>
      </w:pPr>
      <w:r>
        <w:rPr>
          <w:rFonts w:ascii="Times New Roman" w:cs="Times New Roman" w:eastAsia="Times New Roman" w:hAnsi="Times New Roman"/>
          <w:sz w:val="18"/>
          <w:szCs w:val="18"/>
          <w:color w:val="auto"/>
        </w:rPr>
        <w:t>to principal on our existing term loan as well as addition of interest expense related to convertible notes issued to certain shareholders from August 2019 through March 2020.</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and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and expense was $0.1 million both for the three months ended September 30, 2020 and 2019.</w:t>
      </w:r>
    </w:p>
    <w:p>
      <w:pPr>
        <w:spacing w:after="0" w:line="225"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Other income and expense was $0.4 million for the nine months ended September 30, 2020 compared to $1.0 million for the nine months ended September 30, 2019, an increase of $0.6 million, which was primarily proceeds related to a non-recurring legal settlement in our favor.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We have funded our activities primarily through private equity placement offerings, convertible debt, long-term debt and most recently, our IPO. Based on cash and cash equivalents on hand as of September 30, 2020 and the proceeds of $63.0 million from our recent offering, we believe that our existing cash, cash equivalents, and cash generated from sales of our products, will be sufficient to meet our anticipated needs for at least the next 12 months from the issuance of these unaudited interim condensed financial statements.</w:t>
      </w:r>
    </w:p>
    <w:p>
      <w:pPr>
        <w:spacing w:after="0" w:line="18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expenses for the foreseeable future and to incur operating losses through at least December 2021 while we make investments to support our anticipated growth. We may raise additional capital through the issuance of additional equity financing, debt financings or other sources. If this financing is not available to us at adequate levels,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cash flows for the nine months ended September 30, 2020 and 2019:</w:t>
      </w:r>
    </w:p>
    <w:p>
      <w:pPr>
        <w:spacing w:after="0" w:line="239"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2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wp:posOffset>
            </wp:positionV>
            <wp:extent cx="1534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ind w:left="7420"/>
        <w:spacing w:after="0"/>
        <w:tabs>
          <w:tab w:leader="none" w:pos="8720" w:val="left"/>
        </w:tabs>
        <w:rPr>
          <w:sz w:val="20"/>
          <w:szCs w:val="20"/>
          <w:color w:val="auto"/>
        </w:rPr>
      </w:pPr>
      <w:r>
        <w:rPr>
          <w:rFonts w:ascii="Times New Roman" w:cs="Times New Roman" w:eastAsia="Times New Roman" w:hAnsi="Times New Roman"/>
          <w:sz w:val="18"/>
          <w:szCs w:val="18"/>
          <w:color w:val="auto"/>
        </w:rPr>
        <w:t>2020</w:t>
      </w:r>
      <w:r>
        <w:rPr>
          <w:sz w:val="20"/>
          <w:szCs w:val="20"/>
          <w:color w:val="auto"/>
        </w:rPr>
        <w:tab/>
      </w:r>
      <w:r>
        <w:rPr>
          <w:rFonts w:ascii="Times New Roman" w:cs="Times New Roman" w:eastAsia="Times New Roman" w:hAnsi="Times New Roman"/>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17145</wp:posOffset>
            </wp:positionV>
            <wp:extent cx="1534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(unaudited – in thousands)</w:t>
      </w:r>
    </w:p>
    <w:p>
      <w:pPr>
        <w:spacing w:after="0" w:line="47"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provided by:</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(12,610)</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(15,997)</w:t>
            </w:r>
          </w:p>
        </w:tc>
      </w:tr>
      <w:tr>
        <w:trPr>
          <w:trHeight w:val="230"/>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(2,384)</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(994)</w:t>
            </w:r>
          </w:p>
        </w:tc>
      </w:tr>
      <w:tr>
        <w:trPr>
          <w:trHeight w:val="229"/>
        </w:trPr>
        <w:tc>
          <w:tcPr>
            <w:tcW w:w="53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Our cash flows resulted in a net increase in cash of $1.1 million and $3.0 million during the nine months ended September 30, 2020 and 2019, respectively. The net cash used in operating activities decreased primarily due to a $2.6 million increase in net losses, offset by an increase in non-cash charges of $3.0 million and an increase in cash provided by working capital items of $3.0 million.</w:t>
      </w:r>
    </w:p>
    <w:p>
      <w:pPr>
        <w:spacing w:after="0" w:line="176"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2020 totaled $2.4 million, a decrease of $1.4 million compared to the same period in 2019. A decrease in net cash used in investing activities was primarily due to a decrease of $0.6 million in the purchase of research equipment and patent costs and a $0.7 million payment for our Oncimmune acquisition.</w:t>
      </w:r>
    </w:p>
    <w:p>
      <w:pPr>
        <w:spacing w:after="0" w:line="17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2020 totaled $16.1 million, a decrease of $4.0 million compared to the same period in 2019. The net cash provided by financing activities for the nine months ended September 30, 2020 primarily resulted from $13.0 million in proceeds from the issuance of convertible notes payable and $3.1 from proceeds from our Paycheck Protection Program note payable. The net cash provided by financing activities for the nine month period ended September 30, 2019 primarily resulted from $10.0 million in proceeds from the issuance of Series H preferred stock and $10.0 million in proceeds from the issuance of convertible notes payable.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September 30, 2020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color w:val="auto"/>
                <w:w w:val="99"/>
              </w:rPr>
              <w:t>Payments due by period(5)</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center"/>
              <w:ind w:right="110"/>
              <w:spacing w:after="0" w:line="205" w:lineRule="exact"/>
              <w:rPr>
                <w:sz w:val="20"/>
                <w:szCs w:val="20"/>
                <w:color w:val="auto"/>
              </w:rPr>
            </w:pPr>
            <w:r>
              <w:rPr>
                <w:rFonts w:ascii="Times New Roman" w:cs="Times New Roman" w:eastAsia="Times New Roman" w:hAnsi="Times New Roman"/>
                <w:sz w:val="18"/>
                <w:szCs w:val="18"/>
                <w:color w:val="auto"/>
                <w:w w:val="97"/>
              </w:rPr>
              <w:t>More</w:t>
            </w:r>
          </w:p>
        </w:tc>
        <w:tc>
          <w:tcPr>
            <w:tcW w:w="100" w:type="dxa"/>
            <w:vAlign w:val="bottom"/>
          </w:tcPr>
          <w:p>
            <w:pPr>
              <w:spacing w:after="0"/>
              <w:rPr>
                <w:sz w:val="17"/>
                <w:szCs w:val="17"/>
                <w:color w:val="auto"/>
              </w:rPr>
            </w:pPr>
          </w:p>
        </w:tc>
      </w:tr>
      <w:tr>
        <w:trPr>
          <w:trHeight w:val="216"/>
        </w:trPr>
        <w:tc>
          <w:tcPr>
            <w:tcW w:w="3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Less than</w:t>
            </w:r>
          </w:p>
        </w:tc>
        <w:tc>
          <w:tcPr>
            <w:tcW w:w="20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 to 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 to 5</w:t>
            </w: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than</w:t>
            </w:r>
          </w:p>
        </w:tc>
      </w:tr>
      <w:tr>
        <w:trPr>
          <w:trHeight w:val="234"/>
        </w:trPr>
        <w:tc>
          <w:tcPr>
            <w:tcW w:w="3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1 year</w:t>
            </w: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8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obligations(4)</w:t>
            </w:r>
          </w:p>
        </w:tc>
        <w:tc>
          <w:tcPr>
            <w:tcW w:w="15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Term loan(1)(3)</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debt(1)(2)</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18,419</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Reflected in accompanying balance sheets.</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debt was converted to common stock at the completion of our IPO.</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is subject to a 3% prepayment penalty. In addition, upon maturity, a 2% back-end facility fee of $460,000 is due to the lender.</w:t>
      </w:r>
    </w:p>
    <w:p>
      <w:pPr>
        <w:spacing w:after="0" w:line="9" w:lineRule="exact"/>
        <w:rPr>
          <w:rFonts w:ascii="Times New Roman" w:cs="Times New Roman" w:eastAsia="Times New Roman" w:hAnsi="Times New Roman"/>
          <w:sz w:val="18"/>
          <w:szCs w:val="18"/>
          <w:color w:val="auto"/>
        </w:rPr>
      </w:pPr>
    </w:p>
    <w:p>
      <w:pPr>
        <w:ind w:left="500" w:right="340" w:hanging="492"/>
        <w:spacing w:after="0" w:line="250"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under non-cancellable operating leases for all of our facilities. Lease terms for our facilities in effect as of September 30, 2020, ranged from less than one to three years and generally require us to pay the real estate taxes, certain insurance and operating costs.</w:t>
      </w: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that we may owe are not included as the timing of such payments is uncertain.</w:t>
      </w:r>
    </w:p>
    <w:p>
      <w:pPr>
        <w:spacing w:after="0" w:line="207"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In February 2018, we entered into the 2018 Notes with Innovatus to refinance long-term debt carried over from earlier loan agreements.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 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92"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83" w:lineRule="exact"/>
        <w:rPr>
          <w:sz w:val="20"/>
          <w:szCs w:val="20"/>
          <w:color w:val="auto"/>
        </w:rPr>
      </w:pPr>
    </w:p>
    <w:p>
      <w:pPr>
        <w:ind w:right="280" w:firstLine="510"/>
        <w:spacing w:after="0" w:line="255" w:lineRule="auto"/>
        <w:rPr>
          <w:sz w:val="20"/>
          <w:szCs w:val="20"/>
          <w:color w:val="auto"/>
        </w:rPr>
      </w:pPr>
      <w:r>
        <w:rPr>
          <w:rFonts w:ascii="Times New Roman" w:cs="Times New Roman" w:eastAsia="Times New Roman" w:hAnsi="Times New Roman"/>
          <w:sz w:val="18"/>
          <w:szCs w:val="18"/>
          <w:color w:val="auto"/>
        </w:rPr>
        <w:t>In connection with the purchase transaction of Indi, we recorded contingent consideration pertaining to the amounts potentially payable to Indi’s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the Milestone, the estimated timing in which the Milestone is achieved, and discount rates. The estimated fair value could materially differ from actual values or fair values determined using different assumptions. At September 30, 2020, the amount that would be due in cash at the option of the seller at the time the Milestone is met would be approximately $37 million.</w:t>
      </w:r>
    </w:p>
    <w:p>
      <w:pPr>
        <w:spacing w:after="0" w:line="189"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For a description of our other indebtedness, please see Notes 6 and 7 in the Notes to Condensed Financial Statements in Item 1 of this Quarterly Report on Form 10-Q.</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2020, we have not entered into any off-balance sheet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ind w:right="660"/>
        <w:spacing w:after="0" w:line="282" w:lineRule="auto"/>
        <w:rPr>
          <w:sz w:val="20"/>
          <w:szCs w:val="20"/>
          <w:color w:val="auto"/>
        </w:rPr>
      </w:pPr>
      <w:r>
        <w:rPr>
          <w:rFonts w:ascii="Times New Roman" w:cs="Times New Roman" w:eastAsia="Times New Roman" w:hAnsi="Times New Roman"/>
          <w:sz w:val="18"/>
          <w:szCs w:val="18"/>
          <w:color w:val="auto"/>
        </w:rPr>
        <w:t>complex judgments. Our critical accounting policies primarily relate to our fair value estimates, and are described in greater detail in Note 1 to our condensed financial statements in Part 1 of this Quarterly Report on Form 10-Q.</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We adopted the new standard using the modified retrospective method on January 1, 2018 for contracts that are not completed as of the adoption date.</w:t>
      </w:r>
    </w:p>
    <w:p>
      <w:pPr>
        <w:spacing w:after="0" w:line="183"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8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examined our revenue recognition policies specific to revenue streams for the provisioning of services and providing research and development services to third parties and came to conclusions on the impact of the new standard using the 5-step process prescribed by ASC 606. As noted above, we used the modified retrospective method to adopt the new standard which means we did not restate previously issued financial statements but recorded a one-time adjustment to accumulated deficit and accounts receivable of $0.4 million. This adjustment reflected our ability to establish a transaction price for our non-Medicare pay arrangements as of January 1, 2018 as a result of having sufficient history to determine the transaction price under these contracts. ASC 606 did not have an aggregate impact our net cash provided by operating activities but resulted in offsetting changes in certain assets and liabilities presented within net cash used in operating activities in the accompanying statement of cash flows, as noted above.</w:t>
      </w:r>
    </w:p>
    <w:p>
      <w:pPr>
        <w:spacing w:after="0" w:line="189"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Diagnostic service revenues are generally completed upon the delivery of test results to the prescribing physicians, which is considered the performance obligation. Testing services are generally completed upon the delivery of testing results for assay development and testing services, which is considered the performance obligation.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119"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purchase transaction with Indi, we recorded contingent consideration pertaining to the amounts potentially payable to Indi’s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76"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consideration is based upon significant assumptions including probabilities of successful achievement of the related Milestone, the estimated timing in which the Milestone is achieved, and discount rates. The estimated fair value could materially differ from actual values or fair values determined using different assumptions.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for convertible debt</w:t>
      </w:r>
    </w:p>
    <w:p>
      <w:pPr>
        <w:spacing w:after="0" w:line="11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During 2020 and 2019, we issued $26.0 million in convertible debt that are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 The fair value of put options are based on the value of the discounts embedded in the convertible debt and the probability of various settlement scenarios.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i w:val="1"/>
          <w:iCs w:val="1"/>
          <w:color w:val="auto"/>
        </w:rPr>
        <w:t>Stock-based compensation and common stock valuation</w:t>
      </w:r>
    </w:p>
    <w:p>
      <w:pPr>
        <w:spacing w:after="0" w:line="11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stock options granted to our employees, directors and nonemployees is measured at the grant date based on the fair value of the award. The fair value is recognized as expense over the requisite service period, which is generally the vesting period of the respective awards. Compensation expense for stock options with performance metrics is calculated based upon expected achievement of the metrics specified in the grant.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Starting January 1, 2019, upon adoption of Accounting Standards Update (ASU) 2018-07, Compensation—Stock Compensation</w:t>
      </w:r>
    </w:p>
    <w:p>
      <w:pPr>
        <w:spacing w:after="0" w:line="27"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 xml:space="preserve">(Topic 718),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xml:space="preserve"> the fair value of stock options issued to nonemployee consultants is determined as of the grant date, and compensation expense is being recognized over the period that the related services are rendered.</w:t>
      </w:r>
    </w:p>
    <w:p>
      <w:pPr>
        <w:spacing w:after="0" w:line="18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We use the Black-Scholes option-pricing model to estimate the fair value of our stock options and stock purchase rights under our 2016 Incentive Plan. The Black-Scholes option-pricing model requires assumptions to be made related to expected term of an award, expected volatility, risk-free rate and expected dividend yield. Starting January 1, 2017, forfeitures were accounted for as they occur.</w:t>
      </w:r>
    </w:p>
    <w:p>
      <w:pPr>
        <w:spacing w:after="0" w:line="176"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We account for restricted stock units issued to employees based on the grant date fair value which is determined based on the closing market price of the common stock on the date of grant. The expense is recognized in our statement of operations on a straight-line basis over the requisite vesting period.</w:t>
      </w:r>
    </w:p>
    <w:p>
      <w:pPr>
        <w:spacing w:after="0" w:line="162"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In the absence of an active market for our common stock, the fair value of our common stock was determined by our Board of Directors in accordance with the methodologies outlined in the American Institute of Certified Public Accountants Practice Aid, Valuation of Privately-Held-Company Equity Securities Issued as Compensation Practice Aid (“Practice Aid”). In doing so, our Board of Directors determined the best estimate of fair value of our common stock, exercising reasonable judgment and considering numerous objective and subjective factors, including:</w:t>
      </w:r>
    </w:p>
    <w:p>
      <w:pPr>
        <w:spacing w:after="0" w:line="180" w:lineRule="exact"/>
        <w:rPr>
          <w:sz w:val="20"/>
          <w:szCs w:val="20"/>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of our common stock performed by independent third-party valuation specialists;</w:t>
      </w:r>
    </w:p>
    <w:p>
      <w:pPr>
        <w:spacing w:after="0" w:line="225"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including the status of research and development efforts, of our products and product candidates, and the material risks related to our business and industry;</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position, including our levels of available capital resources;</w:t>
      </w:r>
    </w:p>
    <w:p>
      <w:pPr>
        <w:spacing w:after="0" w:line="225"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 traded companies in the life sciences and diagnostic testing sectors, as well as recently completed mergers and acquisitions of peer companies;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 as a private company;</w:t>
      </w:r>
    </w:p>
    <w:p>
      <w:pPr>
        <w:spacing w:after="0" w:line="225" w:lineRule="exact"/>
        <w:rPr>
          <w:rFonts w:ascii="Times New Roman" w:cs="Times New Roman" w:eastAsia="Times New Roman" w:hAnsi="Times New Roman"/>
          <w:sz w:val="18"/>
          <w:szCs w:val="18"/>
          <w:color w:val="auto"/>
        </w:rPr>
      </w:pPr>
    </w:p>
    <w:p>
      <w:pPr>
        <w:ind w:left="1000" w:right="3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161"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such as an initial public offering or a sale of our company, given prevailing market conditions;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developments in our industry;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and medical device industry sectors.</w:t>
      </w:r>
    </w:p>
    <w:p>
      <w:pPr>
        <w:spacing w:after="0" w:line="225"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Practice Aid identifies various available methods for allocating enterprise value across classes and series of capital stock to determine the estimated fair value of common stock at each valuation date.</w:t>
      </w:r>
    </w:p>
    <w:p>
      <w:pPr>
        <w:spacing w:after="0" w:line="180"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 allocating enterprise value among the various classes of stock prior to July 2020, we utilized the Option Pricing Method (OPM) given our early stage of development and the absence of a near term liquidity event. Under the OPM, shares are valued by creating a series of call options with exercise prices based on the liquidation preferences and conversion terms of each equity class. The values of the preferred and common stock are inferred by analyzing these options. From July 2020 onwards, we have utilized a hybrid OPM and the Probability Weighted Expected Return Method (PWERM). The PWERM is a scenario-based analysis that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4" w:name="page45"/>
    <w:bookmarkEnd w:id="44"/>
    <w:p>
      <w:pPr>
        <w:ind w:right="20"/>
        <w:spacing w:after="0" w:line="256" w:lineRule="auto"/>
        <w:rPr>
          <w:sz w:val="20"/>
          <w:szCs w:val="20"/>
          <w:color w:val="auto"/>
        </w:rPr>
      </w:pPr>
      <w:r>
        <w:rPr>
          <w:rFonts w:ascii="Times New Roman" w:cs="Times New Roman" w:eastAsia="Times New Roman" w:hAnsi="Times New Roman"/>
          <w:sz w:val="18"/>
          <w:szCs w:val="18"/>
          <w:color w:val="auto"/>
        </w:rPr>
        <w:t>estimates the value per share based on the probability-weighted present value of expected future investment returns, considering a number of discrete possible outcomes of the business, as well as the economic and control rights of each share class. Under this hybrid method, we considered expected initial public offering liquidity scenarios as well as other market-based non-initial public offering scenarios in the event a near-term initial public offering does not occur. Additionally, in determining the estimated fair value of our common stock, our Board of Directors also considered the fact that our stockholders could not previously freely trade our common stock in the public markets. Accordingly, we applied discounts to reflect the lack of marketability of our common stock based on the weighted-average expected time to liquidity.</w:t>
      </w:r>
    </w:p>
    <w:p>
      <w:pPr>
        <w:spacing w:after="0" w:line="187"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our Board of Directors has determined the fair value of our common stock is based on our closing price as reported on the date of grant on the primary stock exchange on which our common stock is traded.</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1 to our condensed financial statements included in Part I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and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88"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80"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IPO).</w:t>
      </w:r>
    </w:p>
    <w:p>
      <w:pPr>
        <w:spacing w:after="0" w:line="180"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and cash equivalents, marketable securities and our indebtedness. We consider all highly liquid instruments purchased with an original maturity of three months or less to be cash equivalents. We continually monitor our positions with, and the credit quality of, the financial institutions with which we invest. Periodically throughout the year, we have maintained balances in various operating accounts in excess of federally insured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ind w:right="340"/>
        <w:spacing w:after="0" w:line="289" w:lineRule="auto"/>
        <w:rPr>
          <w:sz w:val="20"/>
          <w:szCs w:val="20"/>
          <w:color w:val="auto"/>
        </w:rPr>
      </w:pPr>
      <w:r>
        <w:rPr>
          <w:rFonts w:ascii="Times New Roman" w:cs="Times New Roman" w:eastAsia="Times New Roman" w:hAnsi="Times New Roman"/>
          <w:sz w:val="17"/>
          <w:szCs w:val="17"/>
          <w:color w:val="auto"/>
        </w:rPr>
        <w:t>limits. Included in cash and cash equivalents are money market funds recorded at $4.8 million at September 30, 2020 and December 31, 2019. As of September 30, 2020, a hypothetical 100 basis point increase in interest rates would not have a material impact on our investment portfolio, financial position or results of operations. This estimate is based on a sensitivity model that measures market value changes when changes in interest rates occur.</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December 2019 Notes, August 2019 Notes and our long-term debt payable all accrue interest at fixed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and supervision of our Chief Executive Officer and our Chief Financial Officer, have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September 30, 2020 that have materially affected, or are reasonably likely to materially affect, our internal control over financial reporting.</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Disclosure Controls and Procedures</w:t>
      </w:r>
    </w:p>
    <w:p>
      <w:pPr>
        <w:spacing w:after="0" w:line="119"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securities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 before making investment decisions regarding our securities.</w:t>
      </w:r>
    </w:p>
    <w:p>
      <w:pPr>
        <w:spacing w:after="0" w:line="180" w:lineRule="exact"/>
        <w:rPr>
          <w:sz w:val="20"/>
          <w:szCs w:val="20"/>
          <w:color w:val="auto"/>
        </w:rPr>
      </w:pPr>
    </w:p>
    <w:p>
      <w:pPr>
        <w:ind w:left="100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expect to continue to incur losses for the foreseeable future. If we achieve profitability, we may not be able to sustain it.</w:t>
      </w:r>
    </w:p>
    <w:p>
      <w:pPr>
        <w:spacing w:after="0" w:line="161"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current and future diagnostic tests and services depends upon attaining significant market acceptance among payers, providers, clinics, patients, and biopharmaceutical companies.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225"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161"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current relationships, or enter into new relationships, with biopharmaceutical companies, our revenue prospects could be reduced.</w:t>
      </w:r>
    </w:p>
    <w:p>
      <w:pPr>
        <w:spacing w:after="0" w:line="161" w:lineRule="exact"/>
        <w:rPr>
          <w:rFonts w:ascii="Times New Roman" w:cs="Times New Roman" w:eastAsia="Times New Roman" w:hAnsi="Times New Roman"/>
          <w:sz w:val="18"/>
          <w:szCs w:val="18"/>
          <w:color w:val="auto"/>
        </w:rPr>
      </w:pPr>
    </w:p>
    <w:p>
      <w:pPr>
        <w:ind w:left="1000" w:right="60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and revenue growth are highly dependent on the demand for, and increased adoption of, our diagnostic tests, including our COVID-19 testing program, which are subject to a number of risks and uncertainty.</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ensure strong product performance and reliability to maintain and grow our business.</w:t>
      </w:r>
    </w:p>
    <w:p>
      <w:pPr>
        <w:spacing w:after="0" w:line="225" w:lineRule="exact"/>
        <w:rPr>
          <w:rFonts w:ascii="Times New Roman" w:cs="Times New Roman" w:eastAsia="Times New Roman" w:hAnsi="Times New Roman"/>
          <w:sz w:val="18"/>
          <w:szCs w:val="18"/>
          <w:color w:val="auto"/>
        </w:rPr>
      </w:pPr>
    </w:p>
    <w:p>
      <w:pPr>
        <w:ind w:left="1000" w:right="70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third-party suppliers, including contract manufacturers and single source suppliers, making us vulnerable to supply problems and price fluctuations.</w:t>
      </w:r>
    </w:p>
    <w:p>
      <w:pPr>
        <w:spacing w:after="0" w:line="161" w:lineRule="exact"/>
        <w:rPr>
          <w:rFonts w:ascii="Times New Roman" w:cs="Times New Roman" w:eastAsia="Times New Roman" w:hAnsi="Times New Roman"/>
          <w:sz w:val="18"/>
          <w:szCs w:val="18"/>
          <w:color w:val="auto"/>
        </w:rPr>
      </w:pPr>
    </w:p>
    <w:p>
      <w:pPr>
        <w:jc w:val="both"/>
        <w:ind w:left="1000" w:right="280" w:hanging="493"/>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pandemics, outbreaks, or other similar events, including a sustained outbreak or second wave of the novel strain of coronavirus disease, COVID-19, could significantly disrupt our business, and negatively impact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 and subject to rapid change, which could make our diagnostic tests and services obsolete. If we are unable to continue to innovate and expand and enhance our diagnostic tests and service offerings, we could lose customers or market share.</w:t>
      </w:r>
    </w:p>
    <w:p>
      <w:pPr>
        <w:spacing w:after="0" w:line="161" w:lineRule="exact"/>
        <w:rPr>
          <w:rFonts w:ascii="Times New Roman" w:cs="Times New Roman" w:eastAsia="Times New Roman" w:hAnsi="Times New Roman"/>
          <w:sz w:val="18"/>
          <w:szCs w:val="18"/>
          <w:color w:val="auto"/>
        </w:rPr>
      </w:pPr>
    </w:p>
    <w:p>
      <w:pPr>
        <w:ind w:left="1000" w:right="240" w:hanging="493"/>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1000" w:right="240" w:hanging="493"/>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additional costs, loss of revenue, significant liabilities, harm to our brand, decreased use of our, products or services and business disruption if there are disruptions in our information technology systems, including any security or data privacy breaches or other unauthorized or improper access.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firstLine="510"/>
        <w:spacing w:after="0" w:line="273"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You should consider and read carefully all of the risks and uncertainties described below, together with all of the other information included in this Quarterly Report on Form 10-Q, including our financial statements and related notes,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In such case, the trading price of our securities could decline, and you may lose all or part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have incurred losses since our inception, and expect to continue to incur losses for the foreseeable future. We have reported net losses of $26.8 million and $24.4 million for the nine months ended September 30, 2020 and 2019, respectively. As a result of these losses, as of September 30, 2020, we had $6.3 million in cash and cash equivalents, and an accumulated deficit of approximately $257.7 million. Based on our current planned operations, we expect our cash and cash equivalents, together with the proceeds from our initial public offering in October 2020, will enable us to fund our operating expenses for at least the next twelve months. We have based this estimate on assumptions that in the future may prove to be wrong, and we could use our capital resources sooner than we currently expect. We expect to continue to incur significant net losses for the foreseeable future.</w:t>
      </w:r>
    </w:p>
    <w:p>
      <w:pPr>
        <w:spacing w:after="0" w:line="187"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Our sales and marketing, research and development, regulatory and other expenses continue to increase as we expand our marketing efforts for our diagnostic tests and services, expand existing relationships with our customers, obtain regulatory clearances or approvals for future enhancements to our existing diagnostic tests and services and conduct further clinical trials. In addition, our general and administrative expenses have increased due to the additional costs associated with scaling our business operations and testing capacity, particularly with respect to our COVID-19 diagnostic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5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 The degree of market acceptance of our current and future diagnostic tests and services depends on a number of factors, including:</w:t>
      </w:r>
    </w:p>
    <w:p>
      <w:pPr>
        <w:spacing w:after="0" w:line="183" w:lineRule="exact"/>
        <w:rPr>
          <w:sz w:val="20"/>
          <w:szCs w:val="20"/>
          <w:color w:val="auto"/>
        </w:rPr>
      </w:pPr>
    </w:p>
    <w:p>
      <w:pPr>
        <w:ind w:left="1000" w:right="260" w:hanging="493"/>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use of our diagnostic tests relative to those currently on the market;</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incremental data that show the clinical benefits and cost effectiveness, and operational benefits, of our diagnostic tests;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coverage and reimbursement acceptance of our products and services;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ind w:left="1000" w:right="200" w:hanging="49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group purchasing organizations (“GPOs”), seeking to obtain discounts on our diagnostic tests based on the collective bargaining power of the GPO members;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or our competitors’ diagnostic tests resulting from defects or errors;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tests relative to those of our competitors;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by the FDA or other regulatory authorities;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or other authorities.</w:t>
      </w:r>
    </w:p>
    <w:p>
      <w:pPr>
        <w:spacing w:after="0" w:line="225" w:lineRule="exact"/>
        <w:rPr>
          <w:sz w:val="20"/>
          <w:szCs w:val="20"/>
          <w:color w:val="auto"/>
        </w:rPr>
      </w:pPr>
    </w:p>
    <w:p>
      <w:pPr>
        <w:ind w:right="340" w:firstLine="510"/>
        <w:spacing w:after="0" w:line="261" w:lineRule="auto"/>
        <w:rPr>
          <w:sz w:val="20"/>
          <w:szCs w:val="20"/>
          <w:color w:val="auto"/>
        </w:rPr>
      </w:pPr>
      <w:r>
        <w:rPr>
          <w:rFonts w:ascii="Times New Roman" w:cs="Times New Roman" w:eastAsia="Times New Roman" w:hAnsi="Times New Roman"/>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80"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expect increased revenues from our COVID-19 diagnostic and antibody testing program through the first quarter of 2021, and we expect that such revenue will comprise a significant portion of our revenue over the same period. However, there is no assurance that our COVID-19 diagnostic and antibody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and rapid distribution of vaccines, or otherwise, the need for a COVID-19 diagnostic test could decrease significantly and this could have an adverse effect on our results of operation and profitability.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As of September 30, 2020, we had 186 employees. Over the next several years, we expect to increase significantly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prospects.</w:t>
      </w:r>
    </w:p>
    <w:p>
      <w:pPr>
        <w:spacing w:after="0" w:line="189"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Since our inception, we have experienced multiple cycles of growth and anticipate further growth in our business operations. This future growth could create strain on our organizational, administrative and operational 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189"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We may not be able to maintain the quality or expected turnaround times of our diagnostic tests and services, or satisfy customer demand as it grows. We may not be able to expand our COVID-19 testing capacity rapidly enough to meet the current and anticipated demand.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We have limited experience marketing and selling our diagnostic tests. 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ind w:right="540"/>
        <w:spacing w:after="0" w:line="282" w:lineRule="auto"/>
        <w:rPr>
          <w:sz w:val="20"/>
          <w:szCs w:val="20"/>
          <w:color w:val="auto"/>
        </w:rPr>
      </w:pPr>
      <w:r>
        <w:rPr>
          <w:rFonts w:ascii="Times New Roman" w:cs="Times New Roman" w:eastAsia="Times New Roman" w:hAnsi="Times New Roman"/>
          <w:sz w:val="18"/>
          <w:szCs w:val="18"/>
          <w:color w:val="auto"/>
        </w:rPr>
        <w:t>expertise and qualifications, or if we are unable to successfully instill such technical expertise in replacement personnel, it may negatively affect our business, financial condition and results of operations.</w:t>
      </w:r>
    </w:p>
    <w:p>
      <w:pPr>
        <w:spacing w:after="0" w:line="16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33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current relationships, or enter into new relationships, with biopharmaceutical companies, our revenue prospects could be reduced.</w:t>
      </w:r>
    </w:p>
    <w:p>
      <w:pPr>
        <w:spacing w:after="0" w:line="5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collaborate with biopharmaceutical companies to analyze patient samples for multiple applications primarily to support clinical trials, including patient identification, companion or complementary diagnostics and retrospective testing. In the nine months ended September 30, 2020 and 2019, revenue from our top biopharmaceutical customer accounted for 3.3% and 18.7% of our total revenue, respectively.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183"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 and proprietary AI platform.</w:t>
      </w:r>
    </w:p>
    <w:p>
      <w:pPr>
        <w:spacing w:after="0" w:line="18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jc w:val="both"/>
        <w:ind w:right="220" w:firstLine="510"/>
        <w:spacing w:after="0" w:line="266" w:lineRule="auto"/>
        <w:rPr>
          <w:sz w:val="20"/>
          <w:szCs w:val="20"/>
          <w:color w:val="auto"/>
        </w:rPr>
      </w:pPr>
      <w:r>
        <w:rPr>
          <w:rFonts w:ascii="Times New Roman" w:cs="Times New Roman" w:eastAsia="Times New Roman" w:hAnsi="Times New Roman"/>
          <w:sz w:val="18"/>
          <w:szCs w:val="18"/>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176" w:lineRule="exact"/>
        <w:rPr>
          <w:sz w:val="20"/>
          <w:szCs w:val="20"/>
          <w:color w:val="auto"/>
        </w:rPr>
      </w:pPr>
    </w:p>
    <w:p>
      <w:pPr>
        <w:ind w:left="5540" w:right="4860" w:hanging="5033"/>
        <w:spacing w:after="0" w:line="409" w:lineRule="auto"/>
        <w:tabs>
          <w:tab w:leader="none" w:pos="101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demand for our diagnostic tests, which may vary significantly;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0" w:name="page51"/>
    <w:bookmarkEnd w:id="50"/>
    <w:p>
      <w:pPr>
        <w:ind w:left="1000" w:right="44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manufacturing our diagnostic tests, which may vary depending on the quantity of production and the terms of our agreements with third-party suppliers and manufacturers;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tests and technologies;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pricing pressures;</w:t>
      </w:r>
    </w:p>
    <w:p>
      <w:pPr>
        <w:spacing w:after="0" w:line="225" w:lineRule="exact"/>
        <w:rPr>
          <w:rFonts w:ascii="Times New Roman" w:cs="Times New Roman" w:eastAsia="Times New Roman" w:hAnsi="Times New Roman"/>
          <w:sz w:val="18"/>
          <w:szCs w:val="18"/>
          <w:color w:val="auto"/>
        </w:rPr>
      </w:pPr>
    </w:p>
    <w:p>
      <w:pPr>
        <w:ind w:left="1000" w:right="68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 and the cost and level of investment therein;</w:t>
      </w:r>
    </w:p>
    <w:p>
      <w:pPr>
        <w:spacing w:after="0" w:line="161" w:lineRule="exact"/>
        <w:rPr>
          <w:rFonts w:ascii="Times New Roman" w:cs="Times New Roman" w:eastAsia="Times New Roman" w:hAnsi="Times New Roman"/>
          <w:sz w:val="18"/>
          <w:szCs w:val="18"/>
          <w:color w:val="auto"/>
        </w:rPr>
      </w:pPr>
    </w:p>
    <w:p>
      <w:pPr>
        <w:ind w:left="1000" w:right="30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spacing w:after="0" w:line="161"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lung cancer treatment equipment, and potential future diagnostic tests that compete with our diagnostic tests;</w:t>
      </w:r>
    </w:p>
    <w:p>
      <w:pPr>
        <w:spacing w:after="0" w:line="161" w:lineRule="exact"/>
        <w:rPr>
          <w:rFonts w:ascii="Times New Roman" w:cs="Times New Roman" w:eastAsia="Times New Roman" w:hAnsi="Times New Roman"/>
          <w:sz w:val="18"/>
          <w:szCs w:val="18"/>
          <w:color w:val="auto"/>
        </w:rPr>
      </w:pPr>
    </w:p>
    <w:p>
      <w:pPr>
        <w:ind w:left="1000" w:right="660" w:hanging="48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diagnostic tests or any enhancements to such tests we develop or competing diagnostic tests;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or public perception, of our diagnostic tests or those of our competitors or broader industry trends;</w:t>
      </w:r>
    </w:p>
    <w:p>
      <w:pPr>
        <w:spacing w:after="0" w:line="225"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of the spread of COVID-19, and the resulting effects on the number of patients treated or the demand for our non-COVID-19 diagnostic tests;</w:t>
      </w:r>
    </w:p>
    <w:p>
      <w:pPr>
        <w:spacing w:after="0" w:line="161"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licenses, regulatory approval, commercialization activities, acquisitions and other strategic transactions, or other significant events relating to our diagnostic tests, which may change from time to time;</w:t>
      </w:r>
    </w:p>
    <w:p>
      <w:pPr>
        <w:spacing w:after="0" w:line="161"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obtaining regulatory approvals or clearances for planned or future improvements or enhancements to our diagnostic tests;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regulatory approvals or applications;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discounts and incentives for our diagnostic tests;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225"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In addition, we expect increased revenue from our COVID-19 diagnostic and antibody testing program through the first quarter of 2021, and we expect that such revenue will comprise a significant portion of our revenue over the same period. We can provide no assurances that the demand for our COVID-19 diagnostic and antibody testing program will be sustained, and even if it is, the period of time for which it would be sustained. As a result, the increase in revenue due to any increase in demand for our COVID-19 diagnostic and antibody testing program is not indicative of results expected for any future period.</w:t>
      </w:r>
    </w:p>
    <w:p>
      <w:pPr>
        <w:spacing w:after="0" w:line="183"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0"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need to maintain and continuously improve the performance and reliability of our diagnostic tests, including our Biodesix WorkSafe testing program, the Nodify XL2 and Nodify CDT tests, and the GeneStrat and VeriStrat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33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Laboratories, as described below, is the sole source supplier for our GeneStrat tests and COVID-19 diagnostic and antibody testing program. Oncimmune is also the sole source supplier for our Nodify CDT tests. While we have initiated the second source qualification process for the majority of these critical components, we may not be successful in securing second sourcing for all of them at all or on a timely basis.</w:t>
      </w:r>
    </w:p>
    <w:p>
      <w:pPr>
        <w:spacing w:after="0" w:line="187"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addition, we may purchase supplies through purchase orders and may not have long-term supply agreements with, or guaranteed commitments from, many of our suppliers, including single source suppliers. Additionally, at present, we rely on contract manufacturers for the production of supplies for our diagnostic test. Many of our suppliers and contract manufacturers are not obligated to perform services or supply diagnostic testing materials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19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183"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As further consideration for the non-exclusive license, we agreed to pay a royalty of two and one half percent (2.5%) on net service fees (such fees are defined in the Non-Exclusive License Agreement with Bio-Rad) collected from contracted third parties who receive ddPCR services from us. In addition, we have separately been granted permission by Bio-Rad to use the Bio-Rad SARS-CoV-2 ddPCR assay and Platelia SARS-CoV-2 Total Ab assay for commercial diagnostic services.</w:t>
      </w:r>
    </w:p>
    <w:p>
      <w:pPr>
        <w:spacing w:after="0" w:line="192"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2" w:name="page53"/>
    <w:bookmarkEnd w:id="52"/>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5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We partner with contract manufacturers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or contract manufacturing partners.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including the outbreak of the novel strain of coronavirus disease, COVID-19, could adversely affect our business.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occurs in the United States or worldwide, our business may be adversely affected. COVID-19 has spread to most countries and throughout the United States. Numerous state and local jurisdictions have imposed, and others in the future may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Such orders or restrictions have resulted in reduced operations at our headquarters, work stoppages, slowdowns and delays, travel restrictions and cancellation of events. Other disruptions or potential disruptions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190"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COVID-19 pandemic also has negatively affected,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received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232"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COVID-19 pandemic has also created an opportunity for our diagnostic tests and we have commercialized two diagnostic tests to test for the presence of COVID-19 and antibodies. We are expecting to increase our testing capacity for our COVID-19 diagnostic and antibody testing program in the near term to meet the rising demand for rapid and accurate testing. We expect that the revenue we generate from this expansion will comprise a significant portion of our revenue for the remainder of 2020 and the first quarter of 2021. However, there is no assurance that our COVID-19 diagnostic and antibody testing program will continue to be accepted by the market or that other diagnostic tests will become more accepted, produce quicker results or be accurate. Further, the longevity and extent of the COVID-19 pandemic is uncertain. If the pandemic were to dissipate, whether due to a significant decrease in new infections, due to the availability and rapid distribution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88"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will depend on future developments, which are highly uncertain and cannot be predicted, including new information which may emerge concerning the severity and spread of COVID-19 and the actions to contain COVID-19 or treat its impact, among others. Furthermore there is no assurance that our diagnostic tests will continue to be effective against the virus in the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ind w:firstLine="510"/>
        <w:spacing w:after="0" w:line="256"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Boulder,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298" w:lineRule="exact"/>
        <w:rPr>
          <w:sz w:val="20"/>
          <w:szCs w:val="20"/>
          <w:color w:val="auto"/>
        </w:rPr>
      </w:pPr>
    </w:p>
    <w:p>
      <w:pPr>
        <w:ind w:right="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28"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5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80"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5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4" w:name="page55"/>
    <w:bookmarkEnd w:id="54"/>
    <w:p>
      <w:pPr>
        <w:ind w:right="120"/>
        <w:spacing w:after="0" w:line="256" w:lineRule="auto"/>
        <w:rPr>
          <w:sz w:val="20"/>
          <w:szCs w:val="20"/>
          <w:color w:val="auto"/>
        </w:rPr>
      </w:pPr>
      <w:r>
        <w:rPr>
          <w:rFonts w:ascii="Times New Roman" w:cs="Times New Roman" w:eastAsia="Times New Roman" w:hAnsi="Times New Roman"/>
          <w:sz w:val="18"/>
          <w:szCs w:val="18"/>
          <w:color w:val="auto"/>
        </w:rPr>
        <w:t>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29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5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California Consumer Privacy Act (“CCPA”)), federal (e.g., the Health Insurance Portability and Accountability Act of 1996 (“HIPAA”) and the Health Information Technology for Economic and Clinical Health Act (“HITECH Act”)) and international laws (e.g., the General Data Protection Regulation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22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9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 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 party providers will be successful in preventing cyber-attacks or successfully mitigating their effects.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payer concentration, with a limited number of customers accounting for a substantial portion of our revenues.</w:t>
      </w:r>
    </w:p>
    <w:p>
      <w:pPr>
        <w:spacing w:after="0" w:line="12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2020, Medicare reimbursed to us 61% of our non-COVID-19 diagnostic test revenue and three healthcare providers accounted for 42% of our total diagnostic test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ind w:right="120"/>
        <w:spacing w:after="0" w:line="261" w:lineRule="auto"/>
        <w:rPr>
          <w:sz w:val="20"/>
          <w:szCs w:val="20"/>
          <w:color w:val="auto"/>
        </w:rPr>
      </w:pPr>
      <w:r>
        <w:rPr>
          <w:rFonts w:ascii="Times New Roman" w:cs="Times New Roman" w:eastAsia="Times New Roman" w:hAnsi="Times New Roman"/>
          <w:sz w:val="18"/>
          <w:szCs w:val="18"/>
          <w:color w:val="auto"/>
        </w:rPr>
        <w:t>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manufacturing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such as we are currently experiencing with respect to our COVID-19 diagnostic and antibody testing program,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may be adversely affected.</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19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29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6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ind w:right="260"/>
        <w:spacing w:after="0" w:line="282" w:lineRule="auto"/>
        <w:rPr>
          <w:sz w:val="20"/>
          <w:szCs w:val="20"/>
          <w:color w:val="auto"/>
        </w:rPr>
      </w:pPr>
      <w:r>
        <w:rPr>
          <w:rFonts w:ascii="Times New Roman" w:cs="Times New Roman" w:eastAsia="Times New Roman" w:hAnsi="Times New Roman"/>
          <w:sz w:val="18"/>
          <w:szCs w:val="18"/>
          <w:color w:val="auto"/>
        </w:rPr>
        <w:t>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162"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176" w:lineRule="exact"/>
        <w:rPr>
          <w:sz w:val="20"/>
          <w:szCs w:val="20"/>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diagnostic tests and services;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the market price of our common stock;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many sources, including larger companies, and we may be unable to compete successfully.</w:t>
      </w:r>
    </w:p>
    <w:p>
      <w:pPr>
        <w:spacing w:after="0" w:line="121"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183" w:lineRule="exact"/>
        <w:rPr>
          <w:sz w:val="20"/>
          <w:szCs w:val="20"/>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name recognition;</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longer-term relations with healthcare professionals, customers and third-party payers;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distribution networks;</w:t>
      </w:r>
    </w:p>
    <w:p>
      <w:pPr>
        <w:spacing w:after="0" w:line="225"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diagnostic tests and the ability to offer rebates or bundle them to offer greater discounts or other incentives to gain a competitive advantage;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ind w:left="1000" w:right="22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conducting research and development, manufacturing, clinical trials, marketing and obtaining regulatory clearance or approval for diagnostic tests; and</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and patent litigation.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continued success depends on our ability to:</w:t>
      </w:r>
    </w:p>
    <w:p>
      <w:pPr>
        <w:spacing w:after="0" w:line="225" w:lineRule="exact"/>
        <w:rPr>
          <w:sz w:val="20"/>
          <w:szCs w:val="20"/>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the lung disease diagnostic solutions market and increase utilization of our diagnostic tests;</w:t>
      </w:r>
    </w:p>
    <w:p>
      <w:pPr>
        <w:spacing w:after="0" w:line="225"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widen our technology lead over competitors by continuing to innovate and deliver new product enhancements on a continuous basis; and</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our diagnostic tests and their component parts as well as drive down the cost of service.</w:t>
      </w:r>
    </w:p>
    <w:p>
      <w:pPr>
        <w:spacing w:after="0" w:line="225" w:lineRule="exact"/>
        <w:rPr>
          <w:sz w:val="20"/>
          <w:szCs w:val="20"/>
          <w:color w:val="auto"/>
        </w:rPr>
      </w:pPr>
    </w:p>
    <w:p>
      <w:pPr>
        <w:jc w:val="both"/>
        <w:ind w:right="300" w:firstLine="510"/>
        <w:spacing w:after="0" w:line="266" w:lineRule="auto"/>
        <w:rPr>
          <w:sz w:val="20"/>
          <w:szCs w:val="20"/>
          <w:color w:val="auto"/>
        </w:rPr>
      </w:pPr>
      <w:r>
        <w:rPr>
          <w:rFonts w:ascii="Times New Roman" w:cs="Times New Roman" w:eastAsia="Times New Roman" w:hAnsi="Times New Roman"/>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17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183" w:lineRule="exact"/>
        <w:rPr>
          <w:sz w:val="20"/>
          <w:szCs w:val="20"/>
          <w:color w:val="auto"/>
        </w:rPr>
      </w:pPr>
    </w:p>
    <w:p>
      <w:pPr>
        <w:jc w:val="both"/>
        <w:ind w:right="140" w:firstLine="510"/>
        <w:spacing w:after="0" w:line="261" w:lineRule="auto"/>
        <w:rPr>
          <w:sz w:val="20"/>
          <w:szCs w:val="20"/>
          <w:color w:val="auto"/>
        </w:rPr>
      </w:pPr>
      <w:r>
        <w:rPr>
          <w:rFonts w:ascii="Times New Roman" w:cs="Times New Roman" w:eastAsia="Times New Roman" w:hAnsi="Times New Roman"/>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32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5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192"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Boulder,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5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In an effort to reduce costs, many hospitals in the United States have become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8" w:name="page59"/>
    <w:bookmarkEnd w:id="58"/>
    <w:p>
      <w:pPr>
        <w:ind w:right="160"/>
        <w:spacing w:after="0" w:line="266" w:lineRule="auto"/>
        <w:rPr>
          <w:sz w:val="20"/>
          <w:szCs w:val="20"/>
          <w:color w:val="auto"/>
        </w:rPr>
      </w:pPr>
      <w:r>
        <w:rPr>
          <w:rFonts w:ascii="Times New Roman" w:cs="Times New Roman" w:eastAsia="Times New Roman" w:hAnsi="Times New Roman"/>
          <w:sz w:val="18"/>
          <w:szCs w:val="18"/>
          <w:color w:val="auto"/>
        </w:rPr>
        <w:t>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176"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188"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and financial market conditions may exacerbate our business risks.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187"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In addition, events in the United States or foreign markets, such as the United Kingdom’s exit from the European Union, the worldwide effects from the spread of COVID-19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or costs of our Co-Development and Collaboration Agreement with AVEO.</w:t>
      </w:r>
    </w:p>
    <w:p>
      <w:pPr>
        <w:spacing w:after="0" w:line="121" w:lineRule="exact"/>
        <w:rPr>
          <w:sz w:val="20"/>
          <w:szCs w:val="20"/>
          <w:color w:val="auto"/>
        </w:rPr>
      </w:pPr>
    </w:p>
    <w:p>
      <w:pPr>
        <w:ind w:right="680" w:firstLine="510"/>
        <w:spacing w:after="0" w:line="282" w:lineRule="auto"/>
        <w:rPr>
          <w:sz w:val="20"/>
          <w:szCs w:val="20"/>
          <w:color w:val="auto"/>
        </w:rPr>
      </w:pPr>
      <w:r>
        <w:rPr>
          <w:rFonts w:ascii="Times New Roman" w:cs="Times New Roman" w:eastAsia="Times New Roman" w:hAnsi="Times New Roman"/>
          <w:sz w:val="18"/>
          <w:szCs w:val="18"/>
          <w:color w:val="auto"/>
        </w:rPr>
        <w:t>In 2014, we entered into a Co-Development and Collaboration Agreement with AVEO whereby the two parties agreed to various terms and conditions necessary for the co-development of AVEO’s compound ficlatuzumab (the “Collaboration Agreement”).</w:t>
      </w:r>
    </w:p>
    <w:p>
      <w:pPr>
        <w:spacing w:after="0" w:line="162"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176"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 our right to opt-out of co-development, we equally share in any income received from licensing rights to ficlatuzumab to any third parties. In September 2020, we exercised our opt-out right for the payment of half of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ind w:right="340"/>
        <w:spacing w:after="0" w:line="261" w:lineRule="auto"/>
        <w:rPr>
          <w:sz w:val="20"/>
          <w:szCs w:val="20"/>
          <w:color w:val="auto"/>
        </w:rPr>
      </w:pPr>
      <w:r>
        <w:rPr>
          <w:rFonts w:ascii="Times New Roman" w:cs="Times New Roman" w:eastAsia="Times New Roman" w:hAnsi="Times New Roman"/>
          <w:sz w:val="18"/>
          <w:szCs w:val="18"/>
          <w:color w:val="auto"/>
        </w:rPr>
        <w:t>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 Ficlatuzumab is currently being evaluated in squamous cell carcinoma of the head and neck (SCCHN), metastatic pancreatic ductal cancer (“PDAC”), and acute myeloid leukemia (“AML”).</w:t>
      </w:r>
    </w:p>
    <w:p>
      <w:pPr>
        <w:spacing w:after="0" w:line="180" w:lineRule="exact"/>
        <w:rPr>
          <w:sz w:val="20"/>
          <w:szCs w:val="20"/>
          <w:color w:val="auto"/>
        </w:rPr>
      </w:pPr>
    </w:p>
    <w:p>
      <w:pPr>
        <w:jc w:val="both"/>
        <w:ind w:right="120" w:firstLine="510"/>
        <w:spacing w:after="0" w:line="261" w:lineRule="auto"/>
        <w:rPr>
          <w:sz w:val="20"/>
          <w:szCs w:val="20"/>
          <w:color w:val="auto"/>
        </w:rPr>
      </w:pPr>
      <w:r>
        <w:rPr>
          <w:rFonts w:ascii="Times New Roman" w:cs="Times New Roman" w:eastAsia="Times New Roman" w:hAnsi="Times New Roman"/>
          <w:sz w:val="18"/>
          <w:szCs w:val="18"/>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5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We purchased select assets and liabilities from Integrated Diagnostics, Inc. and IND Funding, LLC (collectively, the “Seller”) which included the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 These shares of Series G Preferred Stock converted into 1,794,099 shares of our common stock upon the closing of our initial public offering.</w:t>
      </w:r>
    </w:p>
    <w:p>
      <w:pPr>
        <w:spacing w:after="0" w:line="183"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acquisition of Integrated Diagnostics included a contingent consideration arrangement that requires additional consideration to be paid by us to the Seller based on the milestone of the attainment of a three consecutive month gross margin target of $2 million within a seven-year period. The amount can be payable in stock or cash at our or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we have 12 months to either settle the contingent consideration in two equal quarterly cash installments or in 2,520,108 of common stock. As of September 30, 2020, we have not made any payments in connection with the contingent consideration.</w:t>
      </w:r>
    </w:p>
    <w:p>
      <w:pPr>
        <w:spacing w:after="0" w:line="18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addition, on October 31, 2019 we completed an acquisition of United Kingdom-based Oncimmune’s United States operations including its CLIA lab in De Soto Kansas and its incidental pulmonary nodule (“IPN”) malignancy test, then marketed in the United States as the EarlyCDT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-Lung. We renamed the test and relaunched the test on February 28, 2020 as the Nodify CDT test and the De Soto, Kansas lab will be the sole United States provider of the Nodify CDT test.</w:t>
      </w:r>
    </w:p>
    <w:p>
      <w:pPr>
        <w:spacing w:after="0" w:line="180"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92"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As consideration for the rights granted to us, we agreed to payments of $1.2 million and further agreed to an option fee for the screening option of $9.0 million due within 30 days of exercising the option. As of September 30, 2020, we have paid $1.2 million of the agreed upon payments. We also agreed to a revenue share payment of 8% of recognized revenue for non-screening tests up to an annual minimum volume and 5% thereafter, with an escalating minimum through the first four years of sales. Revenue share expenses of $0.2 million were incurred for the nine months ended September 30, 2020. In September 2020, we notified Oncimmune that we would not exercise this option for expansion of the field of use.</w:t>
      </w:r>
    </w:p>
    <w:p>
      <w:pPr>
        <w:spacing w:after="0" w:line="183"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Our acquisitions may require us to incur non-recurring and other charges, increase our near and long-term expenditures, issue securities that dilute our existing stockholders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8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headquarters in Boulder,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 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2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5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Our anticipated headcount growth and our transition from a private company to a public company may result in a change to our corporate culture, which could harm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research and development credit may be limited.</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 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in the future,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296"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secured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67"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February 2018, we entered into an agreement with Innovatus Life Sciences Lending Fund to refinance the 2018 Notes.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 Further, we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61" w:name="page62"/>
    <w:bookmarkEnd w:id="61"/>
    <w:p>
      <w:pPr>
        <w:ind w:right="660"/>
        <w:spacing w:after="0" w:line="282" w:lineRule="auto"/>
        <w:rPr>
          <w:sz w:val="20"/>
          <w:szCs w:val="20"/>
          <w:color w:val="auto"/>
        </w:rPr>
      </w:pPr>
      <w:r>
        <w:rPr>
          <w:rFonts w:ascii="Times New Roman" w:cs="Times New Roman" w:eastAsia="Times New Roman" w:hAnsi="Times New Roman"/>
          <w:sz w:val="18"/>
          <w:szCs w:val="18"/>
          <w:color w:val="auto"/>
        </w:rPr>
        <w:t>granted the lender a security interest in all of our assets through a pledge and security agreement, patent security agreement and trademark security agreement, each between us and the lender.</w:t>
      </w:r>
    </w:p>
    <w:p>
      <w:pPr>
        <w:spacing w:after="0" w:line="162"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76"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w:t>
      </w:r>
    </w:p>
    <w:p>
      <w:pPr>
        <w:spacing w:after="0" w:line="176"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7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the event of a default, including, among other things, our failure to make any payment when due or our failure to comply with any covenant under the 2018 Notes, the lender could elect to declare all amounts outstanding to be immediately due and payable, and could proceed against the collateral granted to them to secure such indebtedness, including all of our intellectual property, which could have a material adverse effect on our business, financial condition, and results of operations.</w:t>
      </w:r>
    </w:p>
    <w:p>
      <w:pPr>
        <w:spacing w:after="0" w:line="28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159" w:lineRule="exact"/>
        <w:rPr>
          <w:sz w:val="20"/>
          <w:szCs w:val="20"/>
          <w:color w:val="auto"/>
        </w:rPr>
      </w:pPr>
    </w:p>
    <w:p>
      <w:pPr>
        <w:ind w:right="720" w:firstLine="510"/>
        <w:spacing w:after="0" w:line="282"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to pursue strategic investments, to take advantage of financing opportunities or for other reasons, including to:</w:t>
      </w:r>
    </w:p>
    <w:p>
      <w:pPr>
        <w:spacing w:after="0" w:line="162" w:lineRule="exact"/>
        <w:rPr>
          <w:sz w:val="20"/>
          <w:szCs w:val="20"/>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and address competitive developments;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diagnostic tests or any other future diagnostic tests;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technologies into other types of cancer management and lung disease detection diagnostic tests;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225"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third-party payers and government payers;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225" w:lineRule="exact"/>
        <w:rPr>
          <w:rFonts w:ascii="Times New Roman" w:cs="Times New Roman" w:eastAsia="Times New Roman" w:hAnsi="Times New Roman"/>
          <w:sz w:val="18"/>
          <w:szCs w:val="18"/>
          <w:color w:val="auto"/>
        </w:rPr>
      </w:pPr>
    </w:p>
    <w:p>
      <w:pPr>
        <w:ind w:left="1000" w:right="400" w:hanging="493"/>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and reimbursement for our diagnostic tests;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diagnostic tests in research and early development;</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diagnostic tests.</w:t>
      </w:r>
    </w:p>
    <w:p>
      <w:pPr>
        <w:spacing w:after="0" w:line="225"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89"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88"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or such strategic alliance, joint venture or acquisition may be prohibited. For example, our 2018 Notes restrict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Governmental Regulation</w:t>
      </w:r>
    </w:p>
    <w:p>
      <w:pPr>
        <w:spacing w:after="0" w:line="22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67" w:lineRule="exact"/>
        <w:rPr>
          <w:sz w:val="20"/>
          <w:szCs w:val="20"/>
          <w:color w:val="auto"/>
        </w:rPr>
      </w:pPr>
    </w:p>
    <w:p>
      <w:pPr>
        <w:ind w:right="220" w:firstLine="510"/>
        <w:spacing w:after="0" w:line="255"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ind w:right="40"/>
        <w:spacing w:after="0" w:line="261" w:lineRule="auto"/>
        <w:rPr>
          <w:sz w:val="20"/>
          <w:szCs w:val="20"/>
          <w:color w:val="auto"/>
        </w:rPr>
      </w:pPr>
      <w:r>
        <w:rPr>
          <w:rFonts w:ascii="Times New Roman" w:cs="Times New Roman" w:eastAsia="Times New Roman" w:hAnsi="Times New Roman"/>
          <w:sz w:val="18"/>
          <w:szCs w:val="18"/>
          <w:color w:val="auto"/>
        </w:rPr>
        <w:t>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18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Centers for Medicare and Medicaid Services (“CMS”), an agency within the Department of Health and Human Services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agencies in Europe may be more conservative than CMS. For example, a number of cancer drugs have been approved for reimbursement in the United States and have not been approved for reimbursement, or have been approved under restricted conditions, in certain European countries.</w:t>
      </w:r>
    </w:p>
    <w:p>
      <w:pPr>
        <w:spacing w:after="0" w:line="192"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 set prices and make reimbursement decisions for diagnostics and pharmaceutical products, or medicinal products, as they are commonly referred to in the EU, with limited participation from the marketing authorization or Conformité Européenne (“CE”) mark holders, or may take decisions that are unfavorable to the authorization or CE mark holder where they have participated in the process.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attempt to control the healthcare budget by focusing cost-cutting efforts on medicinal products, and to a lesser extent, medical devices, provided under their state-run healthcare systems. These international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19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payers, in the United States and abroad, to cap or reduce healthcare costs may cause such organizations to limit both coverage and level of reimbursement for newly cleared, authorized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18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diagnostic tests.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Measures to reduce healthcare costs may hurt our business.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majority of our customers are healthcare providers who depend upon reimbursement by government and commercial insurance payers for lung cancer diagnostic solutions services. With a vast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diagnostic tests.</w:t>
      </w:r>
    </w:p>
    <w:p>
      <w:pPr>
        <w:spacing w:after="0" w:line="12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Patient Protection and Affordable Care Act of 2010, as amended by the Health Care and Education Reconciliation Act of 2010 (collectively,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8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There have been judicial challenges to certain aspects of the ACA, as well as efforts by the Trump administration and Congress to repeal, replace or alter the implementation of certain aspects of the ACA. For example,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 cost employer-sponsored insurance plans, the annual fee imposed on certain health insurance providers based on market share (repeal effective in 2021), and the medical device excise tax on non-exempt medical devices. On December 14, 2018, a Texas District Court Judge invalidated the ACA in its entirety because he concluded that the individual mandate, which was repealed by Congress as part of the Tax Cuts and Jobs Act of 2017 (“TCJA”), is unconstitutional and cannot be severed from the remainder of the ACA.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invalid). The Supreme Court of the United States granted certiorari on March 2, 2020, heard oral arguments on November 10, 2020 and the case is expected to be decided by mid-2021. It is unclear how this decision, subsequent appeals, and other efforts to challenge, repeal, or replace, or alter the implementation of the ACA will affect our business, financial condition and results of operations.</w:t>
      </w:r>
    </w:p>
    <w:p>
      <w:pPr>
        <w:spacing w:after="0" w:line="190"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December 31, 2020.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8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Trump administration and Congress may continue to pursue significant changes to the current healthcare laws.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187"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harm:</w:t>
      </w:r>
    </w:p>
    <w:p>
      <w:pPr>
        <w:spacing w:after="0" w:line="162" w:lineRule="exact"/>
        <w:rPr>
          <w:sz w:val="20"/>
          <w:szCs w:val="20"/>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diagnostic tests;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anti-corruption, anti-bribery, anti-money laundering and similar laws.</w:t>
      </w:r>
    </w:p>
    <w:p>
      <w:pPr>
        <w:spacing w:after="0" w:line="12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We are subject to the Foreign Corrupt Practices Act of 1977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8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healthcare fraud and abuse laws.</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Restrictions under applicable United States federal and state healthcare laws and regulations include the following:</w:t>
      </w:r>
    </w:p>
    <w:p>
      <w:pPr>
        <w:spacing w:after="0" w:line="225" w:lineRule="exact"/>
        <w:rPr>
          <w:sz w:val="20"/>
          <w:szCs w:val="20"/>
          <w:color w:val="auto"/>
        </w:rPr>
      </w:pPr>
    </w:p>
    <w:p>
      <w:pPr>
        <w:ind w:left="1000" w:hanging="493"/>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179" w:lineRule="exact"/>
        <w:rPr>
          <w:rFonts w:ascii="Times New Roman" w:cs="Times New Roman" w:eastAsia="Times New Roman" w:hAnsi="Times New Roman"/>
          <w:sz w:val="18"/>
          <w:szCs w:val="18"/>
          <w:color w:val="auto"/>
        </w:rPr>
      </w:pPr>
    </w:p>
    <w:p>
      <w:pPr>
        <w:jc w:val="both"/>
        <w:ind w:left="1000" w:right="140" w:hanging="493"/>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175" w:lineRule="exact"/>
        <w:rPr>
          <w:rFonts w:ascii="Times New Roman" w:cs="Times New Roman" w:eastAsia="Times New Roman" w:hAnsi="Times New Roman"/>
          <w:sz w:val="18"/>
          <w:szCs w:val="18"/>
          <w:color w:val="auto"/>
        </w:rPr>
      </w:pPr>
    </w:p>
    <w:p>
      <w:pPr>
        <w:ind w:left="1000" w:right="80" w:hanging="493"/>
        <w:spacing w:after="0" w:line="312" w:lineRule="auto"/>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137" w:lineRule="exact"/>
        <w:rPr>
          <w:rFonts w:ascii="Times New Roman" w:cs="Times New Roman" w:eastAsia="Times New Roman" w:hAnsi="Times New Roman"/>
          <w:sz w:val="17"/>
          <w:szCs w:val="17"/>
          <w:color w:val="auto"/>
        </w:rPr>
      </w:pPr>
    </w:p>
    <w:p>
      <w:pPr>
        <w:ind w:left="1000" w:right="380" w:hanging="493"/>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may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6" w:name="page67"/>
    <w:bookmarkEnd w:id="66"/>
    <w:p>
      <w:pPr>
        <w:jc w:val="both"/>
        <w:ind w:left="1000" w:right="100"/>
        <w:spacing w:after="0" w:line="266" w:lineRule="auto"/>
        <w:rPr>
          <w:sz w:val="20"/>
          <w:szCs w:val="20"/>
          <w:color w:val="auto"/>
        </w:rPr>
      </w:pPr>
      <w:r>
        <w:rPr>
          <w:rFonts w:ascii="Times New Roman" w:cs="Times New Roman" w:eastAsia="Times New Roman" w:hAnsi="Times New Roman"/>
          <w:sz w:val="18"/>
          <w:szCs w:val="18"/>
          <w:color w:val="auto"/>
        </w:rPr>
        <w:t>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176" w:lineRule="exact"/>
        <w:rPr>
          <w:sz w:val="20"/>
          <w:szCs w:val="20"/>
          <w:color w:val="auto"/>
        </w:rPr>
      </w:pPr>
    </w:p>
    <w:p>
      <w:pPr>
        <w:ind w:left="1000" w:right="20" w:hanging="493"/>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179" w:lineRule="exact"/>
        <w:rPr>
          <w:rFonts w:ascii="Times New Roman" w:cs="Times New Roman" w:eastAsia="Times New Roman" w:hAnsi="Times New Roman"/>
          <w:sz w:val="18"/>
          <w:szCs w:val="18"/>
          <w:color w:val="auto"/>
        </w:rPr>
      </w:pPr>
    </w:p>
    <w:p>
      <w:pPr>
        <w:ind w:left="1000" w:right="580" w:hanging="493"/>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7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23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our industry generally or our tests specifically could be disruptive to our business.</w:t>
      </w:r>
    </w:p>
    <w:p>
      <w:pPr>
        <w:spacing w:after="0" w:line="121"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18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 HHS recently issued an announcement stating that the FDA cannot require premarket review of any LDT without engaging in formal notice-and-comment rulemaking, as opposed to through guidance documents, compliance manuals, website statements, or other informal issuances.</w:t>
      </w:r>
    </w:p>
    <w:p>
      <w:pPr>
        <w:spacing w:after="0" w:line="188"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HHS announcement was made on the Department’s website and we can provide no assurances that the HHS statement will not be rescinded or revised or that it would preclude the FDA from renewing its attention on diagnostic tests, including those that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7" w:name="page68"/>
    <w:bookmarkEnd w:id="67"/>
    <w:p>
      <w:pPr>
        <w:ind w:right="520"/>
        <w:spacing w:after="0" w:line="282" w:lineRule="auto"/>
        <w:rPr>
          <w:sz w:val="20"/>
          <w:szCs w:val="20"/>
          <w:color w:val="auto"/>
        </w:rPr>
      </w:pPr>
      <w:r>
        <w:rPr>
          <w:rFonts w:ascii="Times New Roman" w:cs="Times New Roman" w:eastAsia="Times New Roman" w:hAnsi="Times New Roman"/>
          <w:sz w:val="18"/>
          <w:szCs w:val="18"/>
          <w:color w:val="auto"/>
        </w:rPr>
        <w:t>provide. If this were to happen, it may impact our marketing practices relating to the relevant tests, which in turn may have an adverse impact on our business, financial condition and results of operations.</w:t>
      </w:r>
    </w:p>
    <w:p>
      <w:pPr>
        <w:spacing w:after="0" w:line="162" w:lineRule="exact"/>
        <w:rPr>
          <w:sz w:val="20"/>
          <w:szCs w:val="20"/>
          <w:color w:val="auto"/>
        </w:rPr>
      </w:pPr>
    </w:p>
    <w:p>
      <w:pPr>
        <w:ind w:right="120" w:firstLine="510"/>
        <w:spacing w:after="0" w:line="273" w:lineRule="auto"/>
        <w:rPr>
          <w:sz w:val="20"/>
          <w:szCs w:val="20"/>
          <w:color w:val="auto"/>
        </w:rPr>
      </w:pPr>
      <w:r>
        <w:rPr>
          <w:rFonts w:ascii="Times New Roman" w:cs="Times New Roman" w:eastAsia="Times New Roman" w:hAnsi="Times New Roman"/>
          <w:sz w:val="17"/>
          <w:szCs w:val="17"/>
          <w:color w:val="auto"/>
        </w:rPr>
        <w:t>The SARS-CoV-2 tests we perform are currently the subject of EUAs, which permit the use of unapproved medical products or unapproved uses of medical products to be used in an emergency to diagnose, treat, or prevent serious or life-threatening diseases or conditions when there are no adequate, approved, and available alternatives, as provided under section 564 for the Federal Food, Drug, and Cosmetic Act (“FDCA”). EUAs are temporary authorizations that are revoked at the end of the public health emergency, when there is an adequate, approved, or available alternative, or when there are performance or safety concerns. These EUAs also set out conditions for laboratories who are authorized to perform the particular test. The HHS statement mentioned above did not affect EUAs for COVID-19 laboratory-developed tests that were already in effect at the time the statement was released. The HHS statement did not affect EUAs issued for commercially-developed COVID-19 IVD tests, which apply to test developers and authorized laboratories.</w:t>
      </w:r>
    </w:p>
    <w:p>
      <w:pPr>
        <w:spacing w:after="0" w:line="17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The EUA for Bio-Rad’s SARS-CoV-2 Droplet Digital PCR test provides several conditions for authorized laboratories, including that the test result reports will include Fact Sheets that are authorized as part of the EUA, deviations from the authorized procedures, including specimen types, are not permitted, notification of public health authorities of intent to run the test prior to initiating testing, collection and reporting of performance data to the FDA, including false positives, false negatives, and significant deviations from the established performance characteristics, and appropriate training and protective equipment for laboratory staff. This EUA also states that authorized laboratories must maintain records associated with the EUA and be made available to the FDA for inspection upon request. Printed materials, advertising, and promotion related to use of the test must be consistent with the authorized labeling and Fact Sheets, as well as other terms set forth in the EUA and any applicable requirements under the FDCA and its implementing regulations, and conspicuously bear the following statements:</w:t>
      </w:r>
    </w:p>
    <w:p>
      <w:pPr>
        <w:spacing w:after="0" w:line="192" w:lineRule="exact"/>
        <w:rPr>
          <w:sz w:val="20"/>
          <w:szCs w:val="20"/>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not been FDA cleared or approved;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by the FDA under an EUA for use by authorized laboratories;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only for the detection of nucleic acid from SARS-CoV-2, not for any other viruses or pathogens; and</w:t>
      </w:r>
    </w:p>
    <w:p>
      <w:pPr>
        <w:spacing w:after="0" w:line="225" w:lineRule="exact"/>
        <w:rPr>
          <w:rFonts w:ascii="Times New Roman" w:cs="Times New Roman" w:eastAsia="Times New Roman" w:hAnsi="Times New Roman"/>
          <w:sz w:val="18"/>
          <w:szCs w:val="18"/>
          <w:color w:val="auto"/>
        </w:rPr>
      </w:pPr>
    </w:p>
    <w:p>
      <w:pPr>
        <w:jc w:val="both"/>
        <w:ind w:left="1000" w:right="360" w:hanging="493"/>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176"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Other statements that appear in advertising and promotional materials must not represent or suggest that this test is safe or effective for the detection of SARS-CoV-2.</w:t>
      </w:r>
    </w:p>
    <w:p>
      <w:pPr>
        <w:spacing w:after="0" w:line="162"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EUA for Bio-Rad’s serological test for the antibodies associated with SARS-CoV-2, also sets out several conditions for authorized laboratories that mirror the conditions for the PCR test described above, except that the printed materials, advertising, and promotion of the test must conspicuously bear the following statements:</w:t>
      </w:r>
    </w:p>
    <w:p>
      <w:pPr>
        <w:spacing w:after="0" w:line="176" w:lineRule="exact"/>
        <w:rPr>
          <w:sz w:val="20"/>
          <w:szCs w:val="20"/>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not been FDA cleared or approved;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by the FDA under an EUA for use by authorized laboratories;</w:t>
      </w:r>
    </w:p>
    <w:p>
      <w:pPr>
        <w:spacing w:after="0" w:line="225" w:lineRule="exact"/>
        <w:rPr>
          <w:rFonts w:ascii="Times New Roman" w:cs="Times New Roman" w:eastAsia="Times New Roman" w:hAnsi="Times New Roman"/>
          <w:sz w:val="18"/>
          <w:szCs w:val="18"/>
          <w:color w:val="auto"/>
        </w:rPr>
      </w:pPr>
    </w:p>
    <w:p>
      <w:pPr>
        <w:ind w:left="1000" w:right="50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only for the detection of total antibodies, including IgM/IgG/IgA, against SARS-CoV-2, not for any other viruses or pathogens; and</w:t>
      </w:r>
    </w:p>
    <w:p>
      <w:pPr>
        <w:spacing w:after="0" w:line="161" w:lineRule="exact"/>
        <w:rPr>
          <w:rFonts w:ascii="Times New Roman" w:cs="Times New Roman" w:eastAsia="Times New Roman" w:hAnsi="Times New Roman"/>
          <w:sz w:val="18"/>
          <w:szCs w:val="18"/>
          <w:color w:val="auto"/>
        </w:rPr>
      </w:pPr>
    </w:p>
    <w:p>
      <w:pPr>
        <w:jc w:val="both"/>
        <w:ind w:left="1000" w:right="360" w:hanging="493"/>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67"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diagnostic testing industry is subject to extensive laws and regulations, many of which have not been interpreted by the courts, including the application of the FDA’s EUA authority. As noted above, the EUAs for the COVID-19 tests that are part of our Biodesix WorkSafe testing program set out certain conditions for authorized laboratories using the tests, which have not received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8" w:name="page69"/>
    <w:bookmarkEnd w:id="68"/>
    <w:p>
      <w:pPr>
        <w:ind w:right="120"/>
        <w:spacing w:after="0" w:line="256" w:lineRule="auto"/>
        <w:rPr>
          <w:sz w:val="20"/>
          <w:szCs w:val="20"/>
          <w:color w:val="auto"/>
        </w:rPr>
      </w:pPr>
      <w:r>
        <w:rPr>
          <w:rFonts w:ascii="Times New Roman" w:cs="Times New Roman" w:eastAsia="Times New Roman" w:hAnsi="Times New Roman"/>
          <w:sz w:val="18"/>
          <w:szCs w:val="18"/>
          <w:color w:val="auto"/>
        </w:rPr>
        <w:t>premarket clearance, approval, or a de novo from the FDA. If we fail to meet these conditions, the FDA may take enforcement action, such as issuing a warning letter, seeking an injunction, seizure, fines, or criminal penalties. Pursuant to the August 19, 2020 statement by HHS, the FDA cannot require any LDT to undergo premarket approval until it has engaged in notice-and-comment rulemaking. Laboratory tests that have already received an EUA to detect the COVID-19 virus were “unaffected” by the announcement. Tests without FDA clearance, approval, or authorization would not be considered covered countermeasures under the Public Readiness and Emergency Preparedness Act (“PREP Act”). The HHS statement also did not affect EUAs issued for commercially-developed COVID-19 IVD tests, which apply to test developers and authorized laboratories.</w:t>
      </w:r>
    </w:p>
    <w:p>
      <w:pPr>
        <w:spacing w:after="0" w:line="228"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188"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180"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80"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87"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9" w:lineRule="exact"/>
        <w:rPr>
          <w:sz w:val="20"/>
          <w:szCs w:val="20"/>
          <w:color w:val="auto"/>
        </w:rPr>
      </w:pPr>
    </w:p>
    <w:p>
      <w:pPr>
        <w:jc w:val="both"/>
        <w:ind w:right="180" w:firstLine="510"/>
        <w:spacing w:after="0" w:line="257" w:lineRule="auto"/>
        <w:rPr>
          <w:sz w:val="20"/>
          <w:szCs w:val="20"/>
          <w:color w:val="auto"/>
        </w:rPr>
      </w:pPr>
      <w:r>
        <w:rPr>
          <w:rFonts w:ascii="Times New Roman" w:cs="Times New Roman" w:eastAsia="Times New Roman" w:hAnsi="Times New Roman"/>
          <w:sz w:val="18"/>
          <w:szCs w:val="18"/>
          <w:color w:val="auto"/>
        </w:rPr>
        <w:t>Our Boulder, Colorado and De Soto, Kansas laboratories are College of American Pathologists (“CAP”)-accredited (Boulder) or COLA (De Soto)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our diagnostic tests are categorized as Laboratory Developed Tests (“LDTs”) and are not currently subject to FDA regulation, although certain components provided by third parties and used to create and/or administer the test may be. LDTs are a subset of in vitro diagnostics (“IVDs”) that are intended for clinical use and developed, validated, and offered within a single laboratory for use only in that laboratory. The FDA’s authority to regulate LDTs has been frequently contested, and HHS recently issued a public statement purporting to rescind the FDA’s policies regarding the premarket review of LDTs. According to the HHS statement, the FDA will not require premarket review of LDTs unless it engages in notice-and-comment rulemaking. There is no guarantee, however, that the HHS statement will not be revised or rescinded, that legislation reforming the federal government’s regulation of LDTs will not be passed, or that LDTs will otherwise continue to be able to operate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9" w:name="page70"/>
    <w:bookmarkEnd w:id="69"/>
    <w:p>
      <w:pPr>
        <w:ind w:right="340"/>
        <w:spacing w:after="0" w:line="282" w:lineRule="auto"/>
        <w:rPr>
          <w:sz w:val="20"/>
          <w:szCs w:val="20"/>
          <w:color w:val="auto"/>
        </w:rPr>
      </w:pPr>
      <w:r>
        <w:rPr>
          <w:rFonts w:ascii="Times New Roman" w:cs="Times New Roman" w:eastAsia="Times New Roman" w:hAnsi="Times New Roman"/>
          <w:sz w:val="18"/>
          <w:szCs w:val="18"/>
          <w:color w:val="auto"/>
        </w:rPr>
        <w:t>without first receiving FDA premarket review. Failure to adhere to any new FDA regulation would result in fines, product suspensions, warning letters, recalls, injunctions and other civil and criminal penalties.</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way that the FDA regulates tests performed by laboratories like ours could result in delay or additional expense in offering our tests and tests that we may develop in the future.</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the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HHS has since issued a statement purporting to rescind FDA’s policies regarding the premarket review of LDTs, stating that FDA must engage in notice and comment rulemaking (as opposed to through guidance documents, compliance manuals, website statements, or other informal issuances) prior to requiring premarket review of LDTs. HHS issued this statement on its website and it may be subject to change. Also, it is possible that Congress will pass legislation to reform the federal government’s regulation of LDTs or that FDA will engage in notice-and-comment rulemaking to require premarket review of LDTs, which could result in delay or additional expense in offering our tests and tests that we may develop in the future.</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line of diagnostic tests are covered under CLIA and CMS, although our COVID testing program and select partnerships we may enter may cause us to be subject to additional FDA requirements.</w:t>
      </w:r>
    </w:p>
    <w:p>
      <w:pPr>
        <w:spacing w:after="0" w:line="51" w:lineRule="exact"/>
        <w:rPr>
          <w:sz w:val="20"/>
          <w:szCs w:val="20"/>
          <w:color w:val="auto"/>
        </w:rPr>
      </w:pPr>
    </w:p>
    <w:p>
      <w:pPr>
        <w:jc w:val="both"/>
        <w:ind w:right="400" w:firstLine="510"/>
        <w:spacing w:after="0" w:line="266" w:lineRule="auto"/>
        <w:rPr>
          <w:sz w:val="20"/>
          <w:szCs w:val="20"/>
          <w:color w:val="auto"/>
        </w:rPr>
      </w:pPr>
      <w:r>
        <w:rPr>
          <w:rFonts w:ascii="Times New Roman" w:cs="Times New Roman" w:eastAsia="Times New Roman" w:hAnsi="Times New Roman"/>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17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not otherwise regulating most tests developed and performed within a single high complexity CLIA-certified laboratory. On August 19, 2020, HHS issued a statement purporting to rescind the FDA’s policies regarding the premarket review of LDTs, absent notice-and-comment rulemaking. the FDA’s policies to date have been articulated through guidance documents, compliance manuals, website statements, and other informal issuances. The FDA could, at any time, engage in notice-and-comment rulemaking, or Congress could take action to amend the law to change the current regulatory framework for in vitro diagnostics and LDTs. Further, the HHS statement was issued on its website and may be subject to change, particularly given the reasoning that additional flexibility is needed due to the COVID-19 pandemic.</w:t>
      </w:r>
    </w:p>
    <w:p>
      <w:pPr>
        <w:spacing w:after="0" w:line="235" w:lineRule="exact"/>
        <w:rPr>
          <w:sz w:val="20"/>
          <w:szCs w:val="20"/>
          <w:color w:val="auto"/>
        </w:rPr>
      </w:pPr>
    </w:p>
    <w:p>
      <w:pPr>
        <w:jc w:val="both"/>
        <w:ind w:right="100" w:firstLine="510"/>
        <w:spacing w:after="0" w:line="258" w:lineRule="auto"/>
        <w:rPr>
          <w:sz w:val="20"/>
          <w:szCs w:val="20"/>
          <w:color w:val="auto"/>
        </w:rPr>
      </w:pPr>
      <w:r>
        <w:rPr>
          <w:rFonts w:ascii="Times New Roman" w:cs="Times New Roman" w:eastAsia="Times New Roman" w:hAnsi="Times New Roman"/>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183"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In contrast with our LDTs, the FDA has regulatory jurisdiction over the two FDA EUA-authorized COVID-19 tests that were developed by Bio-Rad, which we offer as part of our Biodesix WorkSafe testing programs.</w:t>
      </w:r>
    </w:p>
    <w:p>
      <w:pPr>
        <w:spacing w:after="0" w:line="162"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162" w:lineRule="exact"/>
        <w:rPr>
          <w:sz w:val="20"/>
          <w:szCs w:val="20"/>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design, development, manufacture, and release;</w:t>
      </w:r>
    </w:p>
    <w:p>
      <w:pPr>
        <w:spacing w:after="0" w:line="225" w:lineRule="exact"/>
        <w:rPr>
          <w:rFonts w:ascii="Times New Roman" w:cs="Times New Roman" w:eastAsia="Times New Roman" w:hAnsi="Times New Roman"/>
          <w:sz w:val="18"/>
          <w:szCs w:val="18"/>
          <w:color w:val="auto"/>
        </w:rPr>
      </w:pPr>
    </w:p>
    <w:p>
      <w:pPr>
        <w:ind w:left="5540" w:right="4760" w:hanging="5033"/>
        <w:spacing w:after="0" w:line="409" w:lineRule="auto"/>
        <w:tabs>
          <w:tab w:leader="none" w:pos="101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laboratory and clinical testing, labeling, packaging, storage and distribution;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w:t>
      </w:r>
    </w:p>
    <w:p>
      <w:pPr>
        <w:spacing w:after="0" w:line="183"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Before a new medical device or service, or a new intended use for an existing product or service, can be marketed in the United States, a company must first submit and receive either 510(k) clearance, de-novo authorization, or premarket approval (“PMA”) from the FDA, unless an exemption applies. Most Class I devices and some Class II devices are exempt from these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United States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8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the process of obtaining PMA approval the FDA must determine that a proposed device is safe and effective for its intended use based, in part, on extensive data, including, but not limited to, technical, clinical trial, manufacturing and labeling data. The PMA process is typically required for devices that are deemed to pose the greatest risk, such as life-sustaining, life-supporting or implantable devices.</w:t>
      </w:r>
    </w:p>
    <w:p>
      <w:pPr>
        <w:spacing w:after="0" w:line="216"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FDA also allows the submission of a direct de-novo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89"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The 510(k), de-novo or PMA process can be expensive, lengthy and unpredictable. The FDA can delay, limit, or deny clearance or approval of a device for many reasons, including:</w:t>
      </w:r>
    </w:p>
    <w:p>
      <w:pPr>
        <w:spacing w:after="0" w:line="162" w:lineRule="exact"/>
        <w:rPr>
          <w:sz w:val="20"/>
          <w:szCs w:val="20"/>
          <w:color w:val="auto"/>
        </w:rPr>
      </w:pPr>
    </w:p>
    <w:p>
      <w:pPr>
        <w:ind w:left="100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the diagnostic tests are safe or effective for their proposed intended uses;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our clinical trials or the interpretation of data from clinical trials;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1" w:name="page72"/>
    <w:bookmarkEnd w:id="71"/>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clinical trials may be insufficient to support clearance or approval, where required;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225"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62"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162" w:lineRule="exact"/>
        <w:rPr>
          <w:sz w:val="20"/>
          <w:szCs w:val="20"/>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it has come to our attention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diagnostic tests;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regulatory clearance or premarket approval of new diagnostic tests or services, new intended uses or modifications to existing diagnostic tests or services;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clearance or premarket approvals that have already been granted; or</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As discussed above, we believe that our current line of diagnostic tests and their components are LDTs, subject to state licensing requirements and federal regulation by CMS under CLIA, although our COVID testing program and select partnerships we may enter may cause us to be subject to additional FDA regulations discussed above.</w:t>
      </w:r>
    </w:p>
    <w:p>
      <w:pPr>
        <w:spacing w:after="0" w:line="17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While we believe that we are currently in material compliance with applicable laws and regulations, it is possible that the FDA, or other regulatory agencies, would not agree with our determinations. If our products became become subject to 510(k) or other similar FDA regulations, we would need to comply with the applicable regulations or face significant civil and criminal penalties. In addition, IVDs and CDx tests are widely considered 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29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receive regulatory clearance or approval for, and introduce new diagnostic tests or enhancements to existing diagnostic tests that will be accepted by the market in a timely manner. There is no guarantee that the FDA will grant 510(k) clearance or PMA approval of our future diagnostic tests and failure to obtain necessary clearances or approvals for our future diagnostic tests would adversely affect our ability to grow our business.</w:t>
      </w:r>
    </w:p>
    <w:p>
      <w:pPr>
        <w:spacing w:after="0" w:line="7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180"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The success of any new diagnostic test or enhancement to an existing diagnostic test will depend on a number of factors, including our ability to, among others:</w:t>
      </w:r>
    </w:p>
    <w:p>
      <w:pPr>
        <w:spacing w:after="0" w:line="162" w:lineRule="exact"/>
        <w:rPr>
          <w:sz w:val="20"/>
          <w:szCs w:val="20"/>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anticipate physician and patient needs properly;</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diagnostic tests or enhancements to our existing diagnostic tests in a timely manner;</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misappropriating or violating the intellectual property rights of third parties;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diagnostic tests with data from clinical studies;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2" w:name="page73"/>
    <w:bookmarkEnd w:id="72"/>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for new diagnostic tests or enhancements to existing diagnostic tests;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fully with FDA and foreign regulations on marketing of new diagnostic tests or modified diagnostic tests;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diagnostic tests.</w:t>
      </w:r>
    </w:p>
    <w:p>
      <w:pPr>
        <w:spacing w:after="0" w:line="225"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176"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or premarket approval of new diagnostic tests. Failure to receive clearance or approval for our new diagnostic tests would have an adverse effect on our ability to expand our business.</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marketed tests may require new 510(k) clearances or PMA approvals, or may require us to cease marketing or recall the modified tests until clearances or approvals are obtained.</w:t>
      </w:r>
    </w:p>
    <w:p>
      <w:pPr>
        <w:spacing w:after="0" w:line="5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Modifications to our diagnostic tests may require new regulatory approvals or clearances, including 510(k) clearances or premarket approvals,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188"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If a manufacturer determines that a modification to an FDA-cleared device could significantly affect its safety or efficacy, or would constitute a major change in its intended use, then the manufacturer must file for a new 510(k) clearance or possibly a premarket approval application. Where we determine that modifications to our diagnostic tests require a new 510(k) clearance or premarket approval application, we may not be able to obtain those additional clearances or approvals for the modifications or additional indications in a timely manner, or at all. Obtaining clearances and approvals can be a time consuming process, and delays in obtaining required future clearances or approvals would adversely affect our ability to introduce new or enhanced diagnostic tests in a timely manner, which in turn would harm our future growth.</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domestic and foreign regulatory authority requirements, or if we experience unanticipated problems with our diagnostic tests, they could be subject to restrictions or withdrawal from the market.</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Any medical device that we manufacture, including those for which we obtain regulatory clearance or approval, and the manufacturing processes, reporting requirements, post-approval clinical data and promotional activities for such diagnostic test, will be subject to continued regulatory review, oversight, and periodic inspections by the FDA and other domestic and foreign regulatory bodies. In particular, we and our suppliers may be required to comply with FDA’s Quality System Regulations (QSR codified at 21 C.F.R. § 820) for medical devices and International Standards Organization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one or more of the following enforcement actions:</w:t>
      </w:r>
    </w:p>
    <w:p>
      <w:pPr>
        <w:spacing w:after="0" w:line="188" w:lineRule="exact"/>
        <w:rPr>
          <w:sz w:val="20"/>
          <w:szCs w:val="20"/>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3" w:name="page74"/>
    <w:bookmarkEnd w:id="73"/>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diagnostic tests;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1000" w:right="72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premarket approval of new diagnostic tests or modified versions of current diagnostic tests;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on PMA approvals that have already been granted;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diagnostic tests;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66"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176"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diagnostic tests and services may in the future be subject to product recalls that could harm our reputation, business and financial results.</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of any future diagnostic tests and to manufacture, market and distribute our diagnostic tests after clearance or approval is obtained.</w:t>
      </w:r>
    </w:p>
    <w:p>
      <w:pPr>
        <w:spacing w:after="0" w:line="5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180"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diagnostic tests.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4" w:name="page75"/>
    <w:bookmarkEnd w:id="74"/>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28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67" w:lineRule="exact"/>
        <w:rPr>
          <w:sz w:val="20"/>
          <w:szCs w:val="20"/>
          <w:color w:val="auto"/>
        </w:rPr>
      </w:pPr>
    </w:p>
    <w:p>
      <w:pPr>
        <w:ind w:right="340" w:firstLine="510"/>
        <w:spacing w:after="0" w:line="261"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any future PMA applications,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80"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189"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29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for or commercialize our diagnostic tests and services.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296"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4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5" w:name="page76"/>
    <w:bookmarkEnd w:id="75"/>
    <w:p>
      <w:pPr>
        <w:spacing w:after="0" w:line="255" w:lineRule="auto"/>
        <w:rPr>
          <w:sz w:val="20"/>
          <w:szCs w:val="20"/>
          <w:color w:val="auto"/>
        </w:rPr>
      </w:pPr>
      <w:r>
        <w:rPr>
          <w:rFonts w:ascii="Times New Roman" w:cs="Times New Roman" w:eastAsia="Times New Roman" w:hAnsi="Times New Roman"/>
          <w:sz w:val="18"/>
          <w:szCs w:val="18"/>
          <w:color w:val="auto"/>
        </w:rPr>
        <w:t>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w:t>
      </w:r>
    </w:p>
    <w:p>
      <w:pPr>
        <w:spacing w:after="0" w:line="189"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180"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Additionally, a new California ballot initiative, the California Privacy Rights Act, has qualified to be included on the November 2020 ballot, and if voted into law by California voters, would impose additional data protection obligations on companies doing business in California, including additional consumer rights, including regarding certain uses of sensitive data. It would also create a new California data protection agency specifically tasked to enforce the law, which would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 changes to our operations or even prevent us from providing certain offerings in jurisdictions in which we currently operate and in which we may operate in the future.</w:t>
      </w:r>
    </w:p>
    <w:p>
      <w:pPr>
        <w:spacing w:after="0" w:line="19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88"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87"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and the business associates with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6" w:name="page77"/>
    <w:bookmarkEnd w:id="7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whom such covered entities contract for services. We are a covered entity under HIPAA when we are conducting our clinical trials. We are a covered entity with regard to our observational studies and clinical trials, and also a business associate under HIPAA for certain other business activities, and we execute business associate agreements with our clients.</w:t>
      </w:r>
    </w:p>
    <w:p>
      <w:pPr>
        <w:spacing w:after="0" w:line="176"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HIPAA requires covered entities and business associates,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7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8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180" w:lineRule="exact"/>
        <w:rPr>
          <w:sz w:val="20"/>
          <w:szCs w:val="20"/>
          <w:color w:val="auto"/>
        </w:rPr>
      </w:pPr>
    </w:p>
    <w:p>
      <w:pPr>
        <w:ind w:right="80" w:firstLine="514"/>
        <w:spacing w:after="0" w:line="252" w:lineRule="auto"/>
        <w:rPr>
          <w:sz w:val="20"/>
          <w:szCs w:val="20"/>
          <w:color w:val="auto"/>
        </w:rPr>
      </w:pPr>
      <w:r>
        <w:rPr>
          <w:rFonts w:ascii="Times New Roman" w:cs="Times New Roman" w:eastAsia="Times New Roman" w:hAnsi="Times New Roman"/>
          <w:sz w:val="18"/>
          <w:szCs w:val="18"/>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97"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may eventually operate in a number of countries outside of the United States whose laws may in some cases be more stringent than the requirements in the United States. For example, the EU has specific requirements relating to cross-border transfers of personal data to certain jurisdictions, including to the United States. In addition, some countries have stricter consumer notice or consent requirements relating to personal data collection, use or sharing, have more stringent requirements relating to organizations’ privacy programs and provide stronger individual rights. Moreover, international privacy and data security regulations may become more complex and result in greater penalties. For instance, since May 25, 2018, the GDPR regulates the collection and use of personal data of data subjects in the EU and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within 72 hours after discovering the breach,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and the applicable national data protection laws of the EU member states may result in fines of up to €20 million or up to 4% of the total worldwide annual turnover of our preceding fiscal year, whichever is higher, and other administrative penalties. Further, as the GDPR has only recently become enforceable, enforcement priorities and official interpretations of certain provisions are still unclear. To comply with the new data protection rules imposed by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7" w:name="page78"/>
    <w:bookmarkEnd w:id="77"/>
    <w:p>
      <w:pPr>
        <w:spacing w:after="0" w:line="256" w:lineRule="auto"/>
        <w:rPr>
          <w:sz w:val="20"/>
          <w:szCs w:val="20"/>
          <w:color w:val="auto"/>
        </w:rPr>
      </w:pPr>
      <w:r>
        <w:rPr>
          <w:rFonts w:ascii="Times New Roman" w:cs="Times New Roman" w:eastAsia="Times New Roman" w:hAnsi="Times New Roman"/>
          <w:sz w:val="18"/>
          <w:szCs w:val="18"/>
          <w:color w:val="auto"/>
        </w:rPr>
        <w:t>the GDPR, we may be required to put in place additional mechanisms ensuring compliance, which may result in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187" w:lineRule="exact"/>
        <w:rPr>
          <w:sz w:val="20"/>
          <w:szCs w:val="20"/>
          <w:color w:val="auto"/>
        </w:rPr>
      </w:pPr>
    </w:p>
    <w:p>
      <w:pPr>
        <w:ind w:right="120" w:firstLine="514"/>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EU to the United States. These obligations may be interpreted and applied in a manner that is inconsistent from one jurisdiction to another and may conflict with other requirements or our practices. In addition, these rules are consistently under scrutiny. For example, following a decision of the Court of Justice of the EU (the “ECJ”) in October 2015, the transfer of personal data to United States companies that had certified as members of the United States Safe Harbor Scheme (“Safe Harbor Scheme”) was declared invalid. In July 2016, the European Commission adopted the EU-United States Privacy Shield Framework (“Privacy Shield Framework) which replaced the Safe Harbor Scheme. The Privacy Shield Framework is reviewed by European authorities annually, and the ECJ recently ruled that the Privacy Shield Framework is no longer a lawful mechanism for EU-United States data transfers under the GDPR. There is currently litigation challenging other EU mechanisms for adequate data transfers. It is uncertain whether and for how long national regulators will permit companies that have relied on the Privacy Shield Framework to come into compliance with the recent ruling and whether alternative methods for EU-United States data transfers or the standard contractual clauses might similarly be invalidated by European courts. The ECJ’s ruling may lead to increased transaction, compliance, and technological costs to support international data transfers.</w:t>
      </w:r>
    </w:p>
    <w:p>
      <w:pPr>
        <w:spacing w:after="0" w:line="192"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183"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292"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51"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176" w:lineRule="exact"/>
        <w:rPr>
          <w:sz w:val="20"/>
          <w:szCs w:val="20"/>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regulations, including those laws requiring the reporting of true, complete and accurate information to the FDA authorities;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22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ind w:right="320"/>
        <w:spacing w:after="0" w:line="282" w:lineRule="auto"/>
        <w:rPr>
          <w:sz w:val="20"/>
          <w:szCs w:val="20"/>
          <w:color w:val="auto"/>
        </w:rPr>
      </w:pPr>
      <w:r>
        <w:rPr>
          <w:rFonts w:ascii="Times New Roman" w:cs="Times New Roman" w:eastAsia="Times New Roman" w:hAnsi="Times New Roman"/>
          <w:sz w:val="18"/>
          <w:szCs w:val="18"/>
          <w:color w:val="auto"/>
        </w:rPr>
        <w:t>FDA debarment or exclusion by the HHS Office of Inspector General (“OIG”) could result in penalties, a loss of business from third parties, and severe reputational harm.</w:t>
      </w:r>
    </w:p>
    <w:p>
      <w:pPr>
        <w:spacing w:after="0" w:line="162"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2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Notified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194"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8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187"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sustained profitability.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discovery of adverse side effects.</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29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51"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180" w:lineRule="exact"/>
        <w:rPr>
          <w:sz w:val="20"/>
          <w:szCs w:val="20"/>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225"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and billing requirements among payers;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185"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176"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Nodify CDT and GeneStrat, the test may be billed under an unlisted molecular pathology procedure code or through the use of a combination of single gene CPT codes, depending on the payer. The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VeriStrat and Nodify XL2 both have test specific CPT codes, but GeneStrat and Nodify CDT do not at this time.</w:t>
      </w:r>
    </w:p>
    <w:p>
      <w:pPr>
        <w:spacing w:after="0" w:line="192"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0" w:name="page81"/>
    <w:bookmarkEnd w:id="80"/>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187"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180"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may be impaired if we are unable to obtain, maintain and protect our intellectual property rights.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180" w:lineRule="exact"/>
        <w:rPr>
          <w:sz w:val="20"/>
          <w:szCs w:val="20"/>
          <w:color w:val="auto"/>
        </w:rPr>
      </w:pPr>
    </w:p>
    <w:p>
      <w:pPr>
        <w:ind w:left="1000" w:right="500" w:hanging="493"/>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our competitors from duplicating our diagnostic tests and products, including our COVID-19 testing program and Nodify XL2, Nodify CDT, GeneStrat and VeriStrat tests;</w:t>
      </w:r>
    </w:p>
    <w:p>
      <w:pPr>
        <w:spacing w:after="0" w:line="161" w:lineRule="exact"/>
        <w:rPr>
          <w:rFonts w:ascii="Times New Roman" w:cs="Times New Roman" w:eastAsia="Times New Roman" w:hAnsi="Times New Roman"/>
          <w:sz w:val="18"/>
          <w:szCs w:val="18"/>
          <w:color w:val="auto"/>
        </w:rPr>
      </w:pPr>
    </w:p>
    <w:p>
      <w:pPr>
        <w:ind w:left="1000" w:right="240" w:hanging="493"/>
        <w:spacing w:after="0" w:line="312" w:lineRule="auto"/>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139" w:lineRule="exact"/>
        <w:rPr>
          <w:rFonts w:ascii="Times New Roman" w:cs="Times New Roman" w:eastAsia="Times New Roman" w:hAnsi="Times New Roman"/>
          <w:sz w:val="17"/>
          <w:szCs w:val="17"/>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gain or maintain a competitive advantage.</w:t>
      </w:r>
    </w:p>
    <w:p>
      <w:pPr>
        <w:spacing w:after="0" w:line="225"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189"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1" w:name="page82"/>
    <w:bookmarkEnd w:id="81"/>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or maintain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187"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19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188"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8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82" w:name="page83"/>
    <w:bookmarkEnd w:id="82"/>
    <w:p>
      <w:pPr>
        <w:spacing w:after="0" w:line="255" w:lineRule="auto"/>
        <w:rPr>
          <w:sz w:val="20"/>
          <w:szCs w:val="20"/>
          <w:color w:val="auto"/>
        </w:rPr>
      </w:pPr>
      <w:r>
        <w:rPr>
          <w:rFonts w:ascii="Times New Roman" w:cs="Times New Roman" w:eastAsia="Times New Roman" w:hAnsi="Times New Roman"/>
          <w:sz w:val="18"/>
          <w:szCs w:val="18"/>
          <w:color w:val="auto"/>
        </w:rPr>
        <w:t>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89"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29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67"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19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diagnostic tests or products, if such technologies or features are found to incorporate or be derived from the trade secrets or other proprietary information of the former employers.</w:t>
      </w:r>
    </w:p>
    <w:p>
      <w:pPr>
        <w:spacing w:after="0" w:line="18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rights to our COVID-19 testing program, either of the Nodify XL2 and Nodify CDT tests, or the VeriStrat and GeneStrat tests.</w:t>
      </w:r>
    </w:p>
    <w:p>
      <w:pPr>
        <w:spacing w:after="0" w:line="176" w:lineRule="exact"/>
        <w:rPr>
          <w:sz w:val="20"/>
          <w:szCs w:val="20"/>
          <w:color w:val="auto"/>
        </w:rPr>
      </w:pPr>
    </w:p>
    <w:p>
      <w:pPr>
        <w:jc w:val="both"/>
        <w:ind w:right="120" w:firstLine="510"/>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3" w:name="page84"/>
    <w:bookmarkEnd w:id="83"/>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8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18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92" w:lineRule="exact"/>
        <w:rPr>
          <w:sz w:val="20"/>
          <w:szCs w:val="20"/>
          <w:color w:val="auto"/>
        </w:rPr>
      </w:pPr>
    </w:p>
    <w:p>
      <w:pPr>
        <w:ind w:right="20" w:firstLine="510"/>
        <w:spacing w:after="0" w:line="312" w:lineRule="auto"/>
        <w:rPr>
          <w:sz w:val="20"/>
          <w:szCs w:val="20"/>
          <w:color w:val="auto"/>
        </w:rPr>
      </w:pPr>
      <w:r>
        <w:rPr>
          <w:rFonts w:ascii="Times New Roman" w:cs="Times New Roman" w:eastAsia="Times New Roman" w:hAnsi="Times New Roman"/>
          <w:sz w:val="17"/>
          <w:szCs w:val="17"/>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4" w:name="page85"/>
    <w:bookmarkEnd w:id="84"/>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51" w:lineRule="exact"/>
        <w:rPr>
          <w:sz w:val="20"/>
          <w:szCs w:val="20"/>
          <w:color w:val="auto"/>
        </w:rPr>
      </w:pPr>
    </w:p>
    <w:p>
      <w:pPr>
        <w:ind w:right="20" w:firstLine="510"/>
        <w:spacing w:after="0" w:line="267" w:lineRule="auto"/>
        <w:rPr>
          <w:sz w:val="20"/>
          <w:szCs w:val="20"/>
          <w:color w:val="auto"/>
        </w:rPr>
      </w:pPr>
      <w:r>
        <w:rPr>
          <w:rFonts w:ascii="Times New Roman" w:cs="Times New Roman" w:eastAsia="Times New Roman" w:hAnsi="Times New Roman"/>
          <w:sz w:val="17"/>
          <w:szCs w:val="17"/>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200" w:lineRule="exact"/>
        <w:rPr>
          <w:sz w:val="20"/>
          <w:szCs w:val="20"/>
          <w:color w:val="auto"/>
        </w:rPr>
      </w:pPr>
    </w:p>
    <w:p>
      <w:pPr>
        <w:spacing w:after="0" w:line="205"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187"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2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5" w:name="page86"/>
    <w:bookmarkEnd w:id="85"/>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183" w:lineRule="exact"/>
        <w:rPr>
          <w:sz w:val="20"/>
          <w:szCs w:val="20"/>
          <w:color w:val="auto"/>
        </w:rPr>
      </w:pPr>
    </w:p>
    <w:p>
      <w:pPr>
        <w:ind w:right="100" w:firstLine="514"/>
        <w:spacing w:after="0" w:line="254" w:lineRule="auto"/>
        <w:rPr>
          <w:sz w:val="20"/>
          <w:szCs w:val="20"/>
          <w:color w:val="auto"/>
        </w:rPr>
      </w:pPr>
      <w:r>
        <w:rPr>
          <w:rFonts w:ascii="Times New Roman" w:cs="Times New Roman" w:eastAsia="Times New Roman" w:hAnsi="Times New Roman"/>
          <w:sz w:val="18"/>
          <w:szCs w:val="18"/>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188"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176"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may develop and any other product candidates or technologies covered by the asserted third 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18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19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priority or inventorship of our patents and other intellectual property rights.</w:t>
      </w:r>
    </w:p>
    <w:p>
      <w:pPr>
        <w:spacing w:after="0" w:line="121" w:lineRule="exact"/>
        <w:rPr>
          <w:sz w:val="20"/>
          <w:szCs w:val="20"/>
          <w:color w:val="auto"/>
        </w:rPr>
      </w:pPr>
    </w:p>
    <w:p>
      <w:pPr>
        <w:ind w:right="40" w:firstLine="510"/>
        <w:spacing w:after="0" w:line="274" w:lineRule="auto"/>
        <w:rPr>
          <w:sz w:val="20"/>
          <w:szCs w:val="20"/>
          <w:color w:val="auto"/>
        </w:rPr>
      </w:pPr>
      <w:r>
        <w:rPr>
          <w:rFonts w:ascii="Times New Roman" w:cs="Times New Roman" w:eastAsia="Times New Roman" w:hAnsi="Times New Roman"/>
          <w:sz w:val="17"/>
          <w:szCs w:val="17"/>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173"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29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51"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some of our patents or patent applications, including licensed patents, may be challenged, in courts or patent offices in the United States and abroad, in opposition, derivation, reexamination,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post-grant review or interference. Additionally, if we and our licensing partners initiate or become involved in legal proceedings against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187"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87" w:name="page88"/>
    <w:bookmarkEnd w:id="87"/>
    <w:p>
      <w:pPr>
        <w:ind w:right="80"/>
        <w:spacing w:after="0" w:line="282" w:lineRule="auto"/>
        <w:rPr>
          <w:sz w:val="20"/>
          <w:szCs w:val="20"/>
          <w:color w:val="auto"/>
        </w:rPr>
      </w:pPr>
      <w:r>
        <w:rPr>
          <w:rFonts w:ascii="Times New Roman" w:cs="Times New Roman" w:eastAsia="Times New Roman" w:hAnsi="Times New Roman"/>
          <w:sz w:val="18"/>
          <w:szCs w:val="18"/>
          <w:color w:val="auto"/>
        </w:rPr>
        <w:t>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16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current or future diagnostic tests,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2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51"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18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92" w:lineRule="exact"/>
        <w:rPr>
          <w:sz w:val="20"/>
          <w:szCs w:val="20"/>
          <w:color w:val="auto"/>
        </w:rPr>
      </w:pPr>
    </w:p>
    <w:p>
      <w:pPr>
        <w:ind w:right="220" w:firstLine="510"/>
        <w:spacing w:after="0" w:line="256" w:lineRule="auto"/>
        <w:rPr>
          <w:sz w:val="20"/>
          <w:szCs w:val="20"/>
          <w:color w:val="auto"/>
        </w:rPr>
      </w:pPr>
      <w:r>
        <w:rPr>
          <w:rFonts w:ascii="Times New Roman" w:cs="Times New Roman" w:eastAsia="Times New Roman" w:hAnsi="Times New Roman"/>
          <w:sz w:val="18"/>
          <w:szCs w:val="18"/>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87"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183"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Any of the foregoing could have a material adverse effect on our competitive position, business, financial conditions, results of operations and prospects.</w:t>
      </w:r>
    </w:p>
    <w:p>
      <w:pPr>
        <w:spacing w:after="0" w:line="162" w:lineRule="exact"/>
        <w:rPr>
          <w:sz w:val="20"/>
          <w:szCs w:val="20"/>
          <w:color w:val="auto"/>
        </w:rPr>
      </w:pPr>
    </w:p>
    <w:p>
      <w:pPr>
        <w:ind w:right="800" w:firstLine="510"/>
        <w:spacing w:after="0" w:line="282" w:lineRule="auto"/>
        <w:rPr>
          <w:sz w:val="20"/>
          <w:szCs w:val="20"/>
          <w:color w:val="auto"/>
        </w:rPr>
      </w:pPr>
      <w:r>
        <w:rPr>
          <w:rFonts w:ascii="Times New Roman" w:cs="Times New Roman" w:eastAsia="Times New Roman" w:hAnsi="Times New Roman"/>
          <w:sz w:val="18"/>
          <w:szCs w:val="18"/>
          <w:color w:val="auto"/>
        </w:rPr>
        <w:t>Moreover, disputes may also arise between us and our current or future licensors regarding intellectual property rights subject to a license agreement, including those relating to:</w:t>
      </w:r>
    </w:p>
    <w:p>
      <w:pPr>
        <w:spacing w:after="0" w:line="162" w:lineRule="exact"/>
        <w:rPr>
          <w:sz w:val="20"/>
          <w:szCs w:val="20"/>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8" w:name="page89"/>
    <w:bookmarkEnd w:id="88"/>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licensor or its licensor had the right to grant the license agreement;</w:t>
      </w:r>
    </w:p>
    <w:p>
      <w:pPr>
        <w:spacing w:after="0" w:line="225"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third parties are entitled to compensation or equitable relief, such as an injunction, for our use of the intellectual property rights without their authorization;</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the prosecution of licensed patents and our licensors’ overall patent enforcement strategy;</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under the license agreement;</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rights by our licensors and us and our collaborators; and</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w:t>
      </w:r>
    </w:p>
    <w:p>
      <w:pPr>
        <w:spacing w:after="0" w:line="18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19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28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67" w:lineRule="exact"/>
        <w:rPr>
          <w:sz w:val="20"/>
          <w:szCs w:val="20"/>
          <w:color w:val="auto"/>
        </w:rPr>
      </w:pPr>
    </w:p>
    <w:p>
      <w:pPr>
        <w:ind w:right="200" w:firstLine="510"/>
        <w:spacing w:after="0" w:line="253" w:lineRule="auto"/>
        <w:rPr>
          <w:sz w:val="20"/>
          <w:szCs w:val="20"/>
          <w:color w:val="auto"/>
        </w:rPr>
      </w:pPr>
      <w:r>
        <w:rPr>
          <w:rFonts w:ascii="Times New Roman" w:cs="Times New Roman" w:eastAsia="Times New Roman" w:hAnsi="Times New Roman"/>
          <w:sz w:val="18"/>
          <w:szCs w:val="18"/>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5" w:lineRule="exact"/>
        <w:rPr>
          <w:sz w:val="20"/>
          <w:szCs w:val="20"/>
          <w:color w:val="auto"/>
        </w:rPr>
      </w:pPr>
    </w:p>
    <w:p>
      <w:pPr>
        <w:ind w:firstLine="8"/>
        <w:spacing w:after="0" w:line="251" w:lineRule="auto"/>
        <w:tabs>
          <w:tab w:leader="none" w:pos="2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ind w:right="160"/>
        <w:spacing w:after="0" w:line="261" w:lineRule="auto"/>
        <w:rPr>
          <w:sz w:val="20"/>
          <w:szCs w:val="20"/>
          <w:color w:val="auto"/>
        </w:rPr>
      </w:pPr>
      <w:r>
        <w:rPr>
          <w:rFonts w:ascii="Times New Roman" w:cs="Times New Roman" w:eastAsia="Times New Roman" w:hAnsi="Times New Roman"/>
          <w:sz w:val="18"/>
          <w:szCs w:val="18"/>
          <w:color w:val="auto"/>
        </w:rPr>
        <w:t>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diagnostic tests, products and services for an adequate amount of time.</w:t>
      </w:r>
    </w:p>
    <w:p>
      <w:pPr>
        <w:spacing w:after="0" w:line="121"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76"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162"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19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0" w:name="page91"/>
    <w:bookmarkEnd w:id="90"/>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1000" w:hanging="493"/>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diagnostic tests or products that are similar to our Nodify XL2, Nodify CDT, GeneStrat or VeriStrat tests or the COVID-19 tests that we use in our COVID-19 testing program or utilize similar technology that is not covered by the claims of our patents or that incorporates certain technology in our Nodify XL2, Nodify CDT, GeneStrat or VeriStrat tests or such COVID-19 tests that is in the public domain;</w:t>
      </w:r>
    </w:p>
    <w:p>
      <w:pPr>
        <w:spacing w:after="0" w:line="179"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161"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161"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patent applications will not lead to issued patents;</w:t>
      </w:r>
    </w:p>
    <w:p>
      <w:pPr>
        <w:spacing w:after="0" w:line="225"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161" w:lineRule="exact"/>
        <w:rPr>
          <w:rFonts w:ascii="Times New Roman" w:cs="Times New Roman" w:eastAsia="Times New Roman" w:hAnsi="Times New Roman"/>
          <w:sz w:val="18"/>
          <w:szCs w:val="18"/>
          <w:color w:val="auto"/>
        </w:rPr>
      </w:pPr>
    </w:p>
    <w:p>
      <w:pPr>
        <w:ind w:left="1000" w:right="100" w:hanging="493"/>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17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225" w:lineRule="exact"/>
        <w:rPr>
          <w:rFonts w:ascii="Times New Roman" w:cs="Times New Roman" w:eastAsia="Times New Roman" w:hAnsi="Times New Roman"/>
          <w:sz w:val="18"/>
          <w:szCs w:val="18"/>
          <w:color w:val="auto"/>
        </w:rPr>
      </w:pPr>
    </w:p>
    <w:p>
      <w:pPr>
        <w:ind w:left="1000" w:right="300" w:hanging="49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 rights.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225" w:lineRule="exact"/>
        <w:rPr>
          <w:sz w:val="20"/>
          <w:szCs w:val="20"/>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customer mix for our COVID-19, Nodify XL2, Nodify CDT, GeneStrat and VeriStrat testing;</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diagnostic tests or enhancements to such tests by us or others in our industry;</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clearance or approval for, and market new and enhanced diagnostic tests on a timely basis;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exposure of our diagnostic tests or of those of others in our industry;</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1" w:name="page92"/>
    <w:bookmarkEnd w:id="91"/>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225" w:lineRule="exact"/>
        <w:rPr>
          <w:rFonts w:ascii="Times New Roman" w:cs="Times New Roman" w:eastAsia="Times New Roman" w:hAnsi="Times New Roman"/>
          <w:sz w:val="18"/>
          <w:szCs w:val="18"/>
          <w:color w:val="auto"/>
        </w:rPr>
      </w:pPr>
    </w:p>
    <w:p>
      <w:pPr>
        <w:ind w:left="1000" w:right="320" w:hanging="493"/>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162" w:lineRule="exact"/>
        <w:rPr>
          <w:sz w:val="20"/>
          <w:szCs w:val="20"/>
          <w:color w:val="auto"/>
        </w:rPr>
      </w:pPr>
    </w:p>
    <w:p>
      <w:pPr>
        <w:ind w:right="500" w:firstLine="510"/>
        <w:spacing w:after="0" w:line="266"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w:t>
      </w:r>
    </w:p>
    <w:p>
      <w:pPr>
        <w:spacing w:after="0" w:line="176"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51"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is influenced to some extent by the research and reports that industry or financial analysts publish about us and our business. We do not control these analysts. If one or more of these analysts cease coverage of us or fail to publish reports covering us regularly, we could lose visibility in the market, which in turn could cause our stock price or trading volume to decline.</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5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While we are an “emerging growth company,” we are exempt from any rules that could be adopted by the Public Company Accounting Oversight Board requiring mandatory audit firm rotations or a supplement to the auditor’s report on financial statements; we are subject to reduced disclosure obligations regarding executive compensation in our periodic reports and proxy statements; and we are not required to hold nonbinding advisory votes on executive compensation or stockholder approval of any golden parachute payments not previously approved.</w:t>
      </w:r>
    </w:p>
    <w:p>
      <w:pPr>
        <w:spacing w:after="0" w:line="189"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76" w:lineRule="exact"/>
        <w:rPr>
          <w:sz w:val="20"/>
          <w:szCs w:val="20"/>
          <w:color w:val="auto"/>
        </w:rPr>
      </w:pPr>
    </w:p>
    <w:p>
      <w:pPr>
        <w:ind w:right="60" w:firstLine="510"/>
        <w:spacing w:after="0" w:line="277" w:lineRule="auto"/>
        <w:rPr>
          <w:sz w:val="20"/>
          <w:szCs w:val="20"/>
          <w:color w:val="auto"/>
        </w:rPr>
      </w:pPr>
      <w:r>
        <w:rPr>
          <w:rFonts w:ascii="Times New Roman" w:cs="Times New Roman" w:eastAsia="Times New Roman" w:hAnsi="Times New Roman"/>
          <w:sz w:val="17"/>
          <w:szCs w:val="17"/>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 billion in annual revenue; (ii) the date we qualify as a “large accelerated filer,” with at least $700 million of equity securities held by non-affiliates;</w:t>
      </w:r>
    </w:p>
    <w:p>
      <w:pPr>
        <w:spacing w:after="0" w:line="9" w:lineRule="exact"/>
        <w:rPr>
          <w:sz w:val="20"/>
          <w:szCs w:val="20"/>
          <w:color w:val="auto"/>
        </w:rPr>
      </w:pPr>
    </w:p>
    <w:p>
      <w:pPr>
        <w:ind w:right="140" w:firstLine="8"/>
        <w:spacing w:after="0" w:line="260" w:lineRule="auto"/>
        <w:tabs>
          <w:tab w:leader="none" w:pos="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and (iv) the last day of the fiscal year ending after the fifth anniversary of the completion of our initial public offering.</w:t>
      </w:r>
    </w:p>
    <w:p>
      <w:pPr>
        <w:spacing w:after="0" w:line="179"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color w:val="auto"/>
        </w:rPr>
        <w:t xml:space="preserve">We are also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smaller reporting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2" w:name="page93"/>
    <w:bookmarkEnd w:id="92"/>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5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5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As of the effective date of our IPO, we have 26,254,072 outstanding shares of common stock. Of the shares, 22,254,072 shares are currently restricted as a result of securities laws or 180-day lock-up agreements from our initial public offering. Holders of an aggregate of 20,090,745 shares of our common stock issuable upon the conversion of the shares of our convertible preferred stock have rights, subject to some conditions, to require us to file registration statements covering their shares or to include their shares in registration statements that we may file for ourselves or other stockholders. We have also registered all shares of common stock that we may issue under our equity compensation plans, which can be freely sold in the public market, subject to volume limitations applicable to affiliates and the lock-up agreements.</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On the effective date of our IPO, our officers, directors and principal stockholders each holding more than 5% of our common stock collectively control approximately 60.7%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additional costs as a result of being a public company, which may adversely affect our business, financial condition and results of operations.</w:t>
      </w:r>
    </w:p>
    <w:p>
      <w:pPr>
        <w:spacing w:after="0" w:line="51"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We incur costs associated with corporate governance requirements, including rules and regulations of the SEC, under the Sarbanes-Oxley Act, the Dodd-Frank Wall Street Reform and Consumer Protection Act of 2010, and the Exchange Act, as well as the rules of Nasdaq. These rules and regulations significantly increase our accounting, legal and financial compliance costs and make some activities more time-consuming. These rules and regulations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becoming a publicly traded company may adversely affect our business, financial condition and results of operations.</w:t>
      </w:r>
    </w:p>
    <w:p>
      <w:pPr>
        <w:spacing w:after="0" w:line="29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67"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As a result of becoming a public company, we are required, under Section 404 of the Sarbanes-Oxley Act to furnish a report by management on, among other things, the effectiveness of our internal control over financial reporting beginning with our Annual Report on Form 10-K for the year ended December 31, 2021. This assessment will need to include disclosure of any material weaknesses identified by our management in our internal control over financial reporting. A material weakness is a deficiency or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3" w:name="page94"/>
    <w:bookmarkEnd w:id="93"/>
    <w:p>
      <w:pPr>
        <w:ind w:right="720"/>
        <w:spacing w:after="0" w:line="282" w:lineRule="auto"/>
        <w:rPr>
          <w:sz w:val="20"/>
          <w:szCs w:val="20"/>
          <w:color w:val="auto"/>
        </w:rPr>
      </w:pPr>
      <w:r>
        <w:rPr>
          <w:rFonts w:ascii="Times New Roman" w:cs="Times New Roman" w:eastAsia="Times New Roman" w:hAnsi="Times New Roman"/>
          <w:sz w:val="18"/>
          <w:szCs w:val="18"/>
          <w:color w:val="auto"/>
        </w:rPr>
        <w:t>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6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are further enhancing internal controls, processes and related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180" w:lineRule="exact"/>
        <w:rPr>
          <w:sz w:val="20"/>
          <w:szCs w:val="20"/>
          <w:color w:val="auto"/>
        </w:rPr>
      </w:pPr>
    </w:p>
    <w:p>
      <w:pPr>
        <w:ind w:left="1000" w:hanging="493"/>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225"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8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will be the sole and exclusive forum for most legal actions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4" w:name="page95"/>
    <w:bookmarkEnd w:id="94"/>
    <w:p>
      <w:pPr>
        <w:ind w:right="20"/>
        <w:spacing w:after="0" w:line="254" w:lineRule="auto"/>
        <w:rPr>
          <w:sz w:val="20"/>
          <w:szCs w:val="20"/>
          <w:color w:val="auto"/>
        </w:rPr>
      </w:pPr>
      <w:r>
        <w:rPr>
          <w:rFonts w:ascii="Times New Roman" w:cs="Times New Roman" w:eastAsia="Times New Roman" w:hAnsi="Times New Roman"/>
          <w:sz w:val="18"/>
          <w:szCs w:val="18"/>
          <w:color w:val="auto"/>
        </w:rPr>
        <w:t>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incorporation provide that we will indemnify our directors and officers to the fullest extent permitted by Section 145 of the Delaware General Corporate Law.</w:t>
      </w:r>
    </w:p>
    <w:p>
      <w:pPr>
        <w:spacing w:after="0" w:line="162" w:lineRule="exact"/>
        <w:rPr>
          <w:sz w:val="20"/>
          <w:szCs w:val="20"/>
          <w:color w:val="auto"/>
        </w:rPr>
      </w:pPr>
    </w:p>
    <w:p>
      <w:pPr>
        <w:ind w:right="480" w:firstLine="510"/>
        <w:spacing w:after="0" w:line="282" w:lineRule="auto"/>
        <w:rPr>
          <w:sz w:val="20"/>
          <w:szCs w:val="20"/>
          <w:color w:val="auto"/>
        </w:rPr>
      </w:pPr>
      <w:r>
        <w:rPr>
          <w:rFonts w:ascii="Times New Roman" w:cs="Times New Roman" w:eastAsia="Times New Roman" w:hAnsi="Times New Roman"/>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54" w:lineRule="exact"/>
        <w:rPr>
          <w:sz w:val="20"/>
          <w:szCs w:val="20"/>
          <w:color w:val="auto"/>
        </w:rPr>
      </w:pPr>
    </w:p>
    <w:p>
      <w:pPr>
        <w:ind w:left="1000" w:hanging="493"/>
        <w:spacing w:after="0" w:line="261"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1000" w:right="180" w:hanging="493"/>
        <w:spacing w:after="0" w:line="312" w:lineRule="auto"/>
        <w:tabs>
          <w:tab w:leader="none" w:pos="10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00" w:right="540" w:hanging="493"/>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articles of incorporation provisions to reduce our indemnification obligations to directors, officers, employees and agents.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1020" w:right="7840" w:hanging="513"/>
        <w:spacing w:after="0" w:line="500"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Unregistered Securities. None.</w:t>
      </w:r>
    </w:p>
    <w:p>
      <w:pPr>
        <w:spacing w:after="0" w:line="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from Public Offering of Common Stock.</w:t>
      </w:r>
    </w:p>
    <w:p>
      <w:pPr>
        <w:spacing w:after="0" w:line="225" w:lineRule="exact"/>
        <w:rPr>
          <w:rFonts w:ascii="Times New Roman" w:cs="Times New Roman" w:eastAsia="Times New Roman" w:hAnsi="Times New Roman"/>
          <w:sz w:val="18"/>
          <w:szCs w:val="18"/>
          <w:color w:val="auto"/>
        </w:rPr>
      </w:pPr>
    </w:p>
    <w:p>
      <w:pPr>
        <w:ind w:left="102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filed our Registration Statement on Form S-1 (File No. 333-249260) with the SEC on October 29, 2020. We sold 4,000,000 shares of common stock at a price to the public of $18.00 per share. The Company received aggregate net proceeds of $63.0 million after deducting offering costs, underwriting discounts and commissions. The underwriters of the offering were Morgan Stanley &amp; Co. LLC, William Blair &amp; Company, L.L.C., Canaccord Genuity LLC and BTIG, LLC. Following the sale of the shares in connection with the closing of the IPO, the offering terminated. No offering expenses were paid or are payable, directly or indirectly, to our directors or officers, to persons owning 10% or more of any class of our equity securities or to any of our affiliates.</w:t>
      </w:r>
    </w:p>
    <w:p>
      <w:pPr>
        <w:spacing w:after="0" w:line="187" w:lineRule="exact"/>
        <w:rPr>
          <w:sz w:val="20"/>
          <w:szCs w:val="20"/>
          <w:color w:val="auto"/>
        </w:rPr>
      </w:pPr>
    </w:p>
    <w:p>
      <w:pPr>
        <w:ind w:left="1020" w:right="20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expected use of the net proceeds from our IPO, as described in our final prospectus filed with the SEC on October 29, 2020 pursuant to Rule 424(b) under the Securities Act.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gridSpan w:val="20"/>
          </w:tcPr>
          <w:p>
            <w:pPr>
              <w:ind w:left="10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5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8980" w:type="dxa"/>
            <w:vAlign w:val="bottom"/>
            <w:gridSpan w:val="24"/>
          </w:tcPr>
          <w:p>
            <w:pP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Amended and Restated Certificate of Incorporation of Biodesix, Inc., dated October 30, 2020.</w:t>
              </w:r>
            </w:hyperlink>
          </w:p>
        </w:tc>
        <w:tc>
          <w:tcPr>
            <w:tcW w:w="1340" w:type="dxa"/>
            <w:vAlign w:val="bottom"/>
          </w:tcPr>
          <w:p>
            <w:pPr>
              <w:spacing w:after="0"/>
              <w:rPr>
                <w:sz w:val="24"/>
                <w:szCs w:val="24"/>
                <w:color w:val="auto"/>
              </w:rPr>
            </w:pPr>
          </w:p>
        </w:tc>
      </w:tr>
      <w:tr>
        <w:trPr>
          <w:trHeight w:val="365"/>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8980" w:type="dxa"/>
            <w:vAlign w:val="bottom"/>
            <w:gridSpan w:val="24"/>
          </w:tcPr>
          <w:p>
            <w:pPr>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Amended and Restated Bylaws of Biodesix, Inc.</w:t>
              </w:r>
            </w:hyperlink>
          </w:p>
        </w:tc>
        <w:tc>
          <w:tcPr>
            <w:tcW w:w="1340" w:type="dxa"/>
            <w:vAlign w:val="bottom"/>
          </w:tcPr>
          <w:p>
            <w:pPr>
              <w:spacing w:after="0"/>
              <w:rPr>
                <w:sz w:val="24"/>
                <w:szCs w:val="24"/>
                <w:color w:val="auto"/>
              </w:rPr>
            </w:pPr>
          </w:p>
        </w:tc>
      </w:tr>
      <w:tr>
        <w:trPr>
          <w:trHeight w:val="324"/>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80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Specimen stock certificate evidencing shares of Common Stock (incorporated by reference to Exhibit 4.1 to the</w:t>
              </w:r>
            </w:hyperlink>
          </w:p>
        </w:tc>
        <w:tc>
          <w:tcPr>
            <w:tcW w:w="940" w:type="dxa"/>
            <w:vAlign w:val="bottom"/>
            <w:gridSpan w:val="13"/>
          </w:tcPr>
          <w:p>
            <w:pPr>
              <w:spacing w:after="0"/>
              <w:rPr>
                <w:sz w:val="24"/>
                <w:szCs w:val="24"/>
                <w:color w:val="auto"/>
              </w:rPr>
            </w:pPr>
          </w:p>
        </w:tc>
        <w:tc>
          <w:tcPr>
            <w:tcW w:w="134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8980" w:type="dxa"/>
            <w:vAlign w:val="bottom"/>
            <w:gridSpan w:val="24"/>
          </w:tcPr>
          <w:p>
            <w:pPr>
              <w:spacing w:after="0"/>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Company’s Registration Statement on Form S-1/A filed with the SEC on October 21, 2020).</w:t>
              </w:r>
            </w:hyperlink>
          </w:p>
        </w:tc>
        <w:tc>
          <w:tcPr>
            <w:tcW w:w="1340" w:type="dxa"/>
            <w:vAlign w:val="bottom"/>
          </w:tcPr>
          <w:p>
            <w:pPr>
              <w:spacing w:after="0"/>
              <w:rPr>
                <w:sz w:val="20"/>
                <w:szCs w:val="20"/>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3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Biodesix, Inc. 2020 Equity Incentive Plan (incorporated by reference to Exhibit 10.5 to the Company’s Registration</w:t>
              </w:r>
            </w:hyperlink>
          </w:p>
        </w:tc>
        <w:tc>
          <w:tcPr>
            <w:tcW w:w="640" w:type="dxa"/>
            <w:vAlign w:val="bottom"/>
            <w:gridSpan w:val="8"/>
          </w:tcPr>
          <w:p>
            <w:pPr>
              <w:spacing w:after="0"/>
              <w:rPr>
                <w:sz w:val="24"/>
                <w:szCs w:val="24"/>
                <w:color w:val="auto"/>
              </w:rPr>
            </w:pPr>
          </w:p>
        </w:tc>
        <w:tc>
          <w:tcPr>
            <w:tcW w:w="13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980" w:type="dxa"/>
            <w:vAlign w:val="bottom"/>
            <w:gridSpan w:val="2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Statement on Form S-1/A filed with the SEC on October 26, 2020).</w:t>
              </w:r>
            </w:hyperlink>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Biodesix, Inc. 2020 Employee Stock Purchase Plan (incorporated by reference to Exhibit 10.6 to the Company’s</w:t>
              </w:r>
            </w:hyperlink>
          </w:p>
        </w:tc>
        <w:tc>
          <w:tcPr>
            <w:tcW w:w="860" w:type="dxa"/>
            <w:vAlign w:val="bottom"/>
            <w:gridSpan w:val="11"/>
          </w:tcPr>
          <w:p>
            <w:pPr>
              <w:spacing w:after="0"/>
              <w:rPr>
                <w:sz w:val="24"/>
                <w:szCs w:val="24"/>
                <w:color w:val="auto"/>
              </w:rPr>
            </w:pPr>
          </w:p>
        </w:tc>
        <w:tc>
          <w:tcPr>
            <w:tcW w:w="13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8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Registration Statement on Form S-1/A filed with the SEC on October 26, 2020).</w:t>
              </w:r>
            </w:hyperlink>
          </w:p>
        </w:tc>
        <w:tc>
          <w:tcPr>
            <w:tcW w:w="3180" w:type="dxa"/>
            <w:vAlign w:val="bottom"/>
            <w:gridSpan w:val="17"/>
          </w:tcPr>
          <w:p>
            <w:pPr>
              <w:spacing w:after="0"/>
              <w:rPr>
                <w:sz w:val="17"/>
                <w:szCs w:val="17"/>
                <w:color w:val="auto"/>
              </w:rPr>
            </w:pPr>
          </w:p>
        </w:tc>
        <w:tc>
          <w:tcPr>
            <w:tcW w:w="1340" w:type="dxa"/>
            <w:vAlign w:val="bottom"/>
          </w:tcPr>
          <w:p>
            <w:pPr>
              <w:spacing w:after="0"/>
              <w:rPr>
                <w:sz w:val="17"/>
                <w:szCs w:val="17"/>
                <w:color w:val="auto"/>
              </w:rPr>
            </w:pPr>
          </w:p>
        </w:tc>
      </w:tr>
      <w:tr>
        <w:trPr>
          <w:trHeight w:val="34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Form of Indemnification Agreement, by and between Biodesix, Inc. and each of its directors and executive officers</w:t>
              </w:r>
            </w:hyperlink>
          </w:p>
        </w:tc>
        <w:tc>
          <w:tcPr>
            <w:tcW w:w="680" w:type="dxa"/>
            <w:vAlign w:val="bottom"/>
            <w:gridSpan w:val="9"/>
          </w:tcPr>
          <w:p>
            <w:pPr>
              <w:spacing w:after="0"/>
              <w:rPr>
                <w:sz w:val="24"/>
                <w:szCs w:val="24"/>
                <w:color w:val="auto"/>
              </w:rPr>
            </w:pPr>
          </w:p>
        </w:tc>
        <w:tc>
          <w:tcPr>
            <w:tcW w:w="13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5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(incorporated by reference to Exhibit 10.7 to the Company’s Registration Statement on Form S-1/A filed with the SEC</w:t>
              </w:r>
            </w:hyperlink>
          </w:p>
        </w:tc>
        <w:tc>
          <w:tcPr>
            <w:tcW w:w="420" w:type="dxa"/>
            <w:vAlign w:val="bottom"/>
            <w:gridSpan w:val="3"/>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on October 14, 2020).</w:t>
              </w:r>
            </w:hyperlink>
          </w:p>
        </w:tc>
        <w:tc>
          <w:tcPr>
            <w:tcW w:w="7380" w:type="dxa"/>
            <w:vAlign w:val="bottom"/>
            <w:gridSpan w:val="22"/>
          </w:tcPr>
          <w:p>
            <w:pPr>
              <w:spacing w:after="0"/>
              <w:rPr>
                <w:sz w:val="17"/>
                <w:szCs w:val="17"/>
                <w:color w:val="auto"/>
              </w:rPr>
            </w:pPr>
          </w:p>
        </w:tc>
        <w:tc>
          <w:tcPr>
            <w:tcW w:w="1340" w:type="dxa"/>
            <w:vAlign w:val="bottom"/>
          </w:tcPr>
          <w:p>
            <w:pPr>
              <w:spacing w:after="0"/>
              <w:rPr>
                <w:sz w:val="17"/>
                <w:szCs w:val="17"/>
                <w:color w:val="auto"/>
              </w:rPr>
            </w:pPr>
          </w:p>
        </w:tc>
      </w:tr>
      <w:tr>
        <w:trPr>
          <w:trHeight w:val="3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980" w:type="dxa"/>
            <w:vAlign w:val="bottom"/>
            <w:gridSpan w:val="24"/>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Consulting Agreement, by and between David Brunel and Biodesix, Inc., dated September 19, 2020 (incorporated by</w:t>
              </w:r>
            </w:hyperlink>
          </w:p>
        </w:tc>
        <w:tc>
          <w:tcPr>
            <w:tcW w:w="13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4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reference to Exhibit 10.11 to the Company’s Registration Statement on Form S-1 filed with the SEC on October 2,</w:t>
              </w:r>
            </w:hyperlink>
          </w:p>
        </w:tc>
        <w:tc>
          <w:tcPr>
            <w:tcW w:w="540" w:type="dxa"/>
            <w:vAlign w:val="bottom"/>
            <w:gridSpan w:val="6"/>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2020).</w:t>
              </w:r>
            </w:hyperlink>
          </w:p>
        </w:tc>
        <w:tc>
          <w:tcPr>
            <w:tcW w:w="11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4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4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Third Amendment to COVID-19 Testing Laboratory Services Agreement by and between Biodesix, Inc. and Centura</w:t>
              </w:r>
            </w:hyperlink>
          </w:p>
        </w:tc>
        <w:tc>
          <w:tcPr>
            <w:tcW w:w="540" w:type="dxa"/>
            <w:vAlign w:val="bottom"/>
            <w:gridSpan w:val="6"/>
          </w:tcPr>
          <w:p>
            <w:pPr>
              <w:spacing w:after="0"/>
              <w:rPr>
                <w:sz w:val="24"/>
                <w:szCs w:val="24"/>
                <w:color w:val="auto"/>
              </w:rPr>
            </w:pPr>
          </w:p>
        </w:tc>
        <w:tc>
          <w:tcPr>
            <w:tcW w:w="13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4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Health Corporation, dated August 7, 2020 (incorporated by reference to Exhibit 10.28 to the Company’s Registration</w:t>
              </w:r>
            </w:hyperlink>
          </w:p>
        </w:tc>
        <w:tc>
          <w:tcPr>
            <w:tcW w:w="540" w:type="dxa"/>
            <w:vAlign w:val="bottom"/>
            <w:gridSpan w:val="7"/>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Statement on Form S-1 filed with the SEC on October 2, 2020).</w:t>
              </w:r>
            </w:hyperlink>
          </w:p>
        </w:tc>
        <w:tc>
          <w:tcPr>
            <w:tcW w:w="4380" w:type="dxa"/>
            <w:vAlign w:val="bottom"/>
            <w:gridSpan w:val="19"/>
          </w:tcPr>
          <w:p>
            <w:pPr>
              <w:spacing w:after="0"/>
              <w:rPr>
                <w:sz w:val="17"/>
                <w:szCs w:val="17"/>
                <w:color w:val="auto"/>
              </w:rPr>
            </w:pPr>
          </w:p>
        </w:tc>
        <w:tc>
          <w:tcPr>
            <w:tcW w:w="1340" w:type="dxa"/>
            <w:vAlign w:val="bottom"/>
          </w:tcPr>
          <w:p>
            <w:pPr>
              <w:spacing w:after="0"/>
              <w:rPr>
                <w:sz w:val="17"/>
                <w:szCs w:val="17"/>
                <w:color w:val="auto"/>
              </w:rPr>
            </w:pPr>
          </w:p>
        </w:tc>
      </w:tr>
      <w:tr>
        <w:trPr>
          <w:trHeight w:val="34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3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Contract Agreement between Biodesix, Inc. and the Colorado Department of Public Health and Environment, dated</w:t>
              </w:r>
            </w:hyperlink>
          </w:p>
        </w:tc>
        <w:tc>
          <w:tcPr>
            <w:tcW w:w="640" w:type="dxa"/>
            <w:vAlign w:val="bottom"/>
            <w:gridSpan w:val="8"/>
          </w:tcPr>
          <w:p>
            <w:pPr>
              <w:spacing w:after="0"/>
              <w:rPr>
                <w:sz w:val="24"/>
                <w:szCs w:val="24"/>
                <w:color w:val="auto"/>
              </w:rPr>
            </w:pPr>
          </w:p>
        </w:tc>
        <w:tc>
          <w:tcPr>
            <w:tcW w:w="13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980" w:type="dxa"/>
            <w:vAlign w:val="bottom"/>
            <w:gridSpan w:val="24"/>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September 11, 2020 (incorporated by reference to Exhibit 10.29 to the Company’s Registration Statement on Form S-1</w:t>
              </w:r>
            </w:hyperlink>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filed with the SEC on October 2, 2020).</w:t>
              </w:r>
            </w:hyperlink>
          </w:p>
        </w:tc>
        <w:tc>
          <w:tcPr>
            <w:tcW w:w="5680" w:type="dxa"/>
            <w:vAlign w:val="bottom"/>
            <w:tcBorders>
              <w:top w:val="single" w:sz="8" w:color="0000EE"/>
            </w:tcBorders>
            <w:gridSpan w:val="17"/>
          </w:tcPr>
          <w:p>
            <w:pPr>
              <w:spacing w:after="0"/>
              <w:rPr>
                <w:sz w:val="17"/>
                <w:szCs w:val="17"/>
                <w:color w:val="auto"/>
              </w:rPr>
            </w:pPr>
          </w:p>
        </w:tc>
        <w:tc>
          <w:tcPr>
            <w:tcW w:w="420" w:type="dxa"/>
            <w:vAlign w:val="bottom"/>
            <w:gridSpan w:val="3"/>
          </w:tcPr>
          <w:p>
            <w:pPr>
              <w:spacing w:after="0"/>
              <w:rPr>
                <w:sz w:val="17"/>
                <w:szCs w:val="17"/>
                <w:color w:val="auto"/>
              </w:rPr>
            </w:pPr>
          </w:p>
        </w:tc>
        <w:tc>
          <w:tcPr>
            <w:tcW w:w="1340" w:type="dxa"/>
            <w:vAlign w:val="bottom"/>
          </w:tcPr>
          <w:p>
            <w:pPr>
              <w:spacing w:after="0"/>
              <w:rPr>
                <w:sz w:val="17"/>
                <w:szCs w:val="17"/>
                <w:color w:val="auto"/>
              </w:rPr>
            </w:pPr>
          </w:p>
        </w:tc>
      </w:tr>
      <w:tr>
        <w:trPr>
          <w:trHeight w:val="3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980" w:type="dxa"/>
            <w:vAlign w:val="bottom"/>
            <w:gridSpan w:val="24"/>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Letter from Bio-Rad Laboratories, Inc. dated August 7, 2020 (incorporated by reference to Exhibit 10.33 to the</w:t>
              </w:r>
            </w:hyperlink>
          </w:p>
        </w:tc>
        <w:tc>
          <w:tcPr>
            <w:tcW w:w="134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8000" w:type="dxa"/>
            <w:vAlign w:val="bottom"/>
            <w:tcBorders>
              <w:top w:val="single" w:sz="8" w:color="0000EE"/>
            </w:tcBorders>
            <w:gridSpan w:val="10"/>
          </w:tcPr>
          <w:p>
            <w:pPr>
              <w:spacing w:after="0"/>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Company’s Registration Statement on Form S-1/A filed with the SEC on October 21, 2020).</w:t>
              </w:r>
            </w:hyperlink>
          </w:p>
        </w:tc>
        <w:tc>
          <w:tcPr>
            <w:tcW w:w="980" w:type="dxa"/>
            <w:vAlign w:val="bottom"/>
            <w:gridSpan w:val="14"/>
          </w:tcPr>
          <w:p>
            <w:pPr>
              <w:spacing w:after="0"/>
              <w:rPr>
                <w:sz w:val="20"/>
                <w:szCs w:val="20"/>
                <w:color w:val="auto"/>
              </w:rPr>
            </w:pPr>
          </w:p>
        </w:tc>
        <w:tc>
          <w:tcPr>
            <w:tcW w:w="1340" w:type="dxa"/>
            <w:vAlign w:val="bottom"/>
          </w:tcPr>
          <w:p>
            <w:pPr>
              <w:spacing w:after="0"/>
              <w:rPr>
                <w:sz w:val="20"/>
                <w:szCs w:val="20"/>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Letter from Bio-Rad Laboratories, Inc. dated August 14, 2020 (incorporated by reference to Exhibit 10.34 to the</w:t>
              </w:r>
            </w:hyperlink>
          </w:p>
        </w:tc>
        <w:tc>
          <w:tcPr>
            <w:tcW w:w="880" w:type="dxa"/>
            <w:vAlign w:val="bottom"/>
            <w:gridSpan w:val="12"/>
          </w:tcPr>
          <w:p>
            <w:pPr>
              <w:spacing w:after="0"/>
              <w:rPr>
                <w:sz w:val="24"/>
                <w:szCs w:val="24"/>
                <w:color w:val="auto"/>
              </w:rPr>
            </w:pPr>
          </w:p>
        </w:tc>
        <w:tc>
          <w:tcPr>
            <w:tcW w:w="134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8980" w:type="dxa"/>
            <w:vAlign w:val="bottom"/>
            <w:gridSpan w:val="24"/>
          </w:tcPr>
          <w:p>
            <w:pPr>
              <w:spacing w:after="0"/>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Company’s Registration Statement on Form S-1/A filed with the SEC on October 21, 2020).</w:t>
              </w:r>
            </w:hyperlink>
          </w:p>
        </w:tc>
        <w:tc>
          <w:tcPr>
            <w:tcW w:w="1340" w:type="dxa"/>
            <w:vAlign w:val="bottom"/>
          </w:tcPr>
          <w:p>
            <w:pPr>
              <w:spacing w:after="0"/>
              <w:rPr>
                <w:sz w:val="20"/>
                <w:szCs w:val="20"/>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4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134">
              <w:r>
                <w:rPr>
                  <w:rFonts w:ascii="Times New Roman" w:cs="Times New Roman" w:eastAsia="Times New Roman" w:hAnsi="Times New Roman"/>
                  <w:sz w:val="18"/>
                  <w:szCs w:val="18"/>
                  <w:color w:val="0000EE"/>
                  <w:w w:val="99"/>
                </w:rPr>
                <w:t>Certification of Principal Executive Officer Pursuant to Rules 13a-14(a) and 15d-14(a) under the Securities Exchange</w:t>
              </w:r>
            </w:hyperlink>
          </w:p>
        </w:tc>
        <w:tc>
          <w:tcPr>
            <w:tcW w:w="500" w:type="dxa"/>
            <w:vAlign w:val="bottom"/>
            <w:gridSpan w:val="5"/>
          </w:tcPr>
          <w:p>
            <w:pPr>
              <w:spacing w:after="0"/>
              <w:rPr>
                <w:sz w:val="24"/>
                <w:szCs w:val="24"/>
                <w:color w:val="auto"/>
              </w:rPr>
            </w:pPr>
          </w:p>
        </w:tc>
        <w:tc>
          <w:tcPr>
            <w:tcW w:w="13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34">
              <w:r>
                <w:rPr>
                  <w:rFonts w:ascii="Times New Roman" w:cs="Times New Roman" w:eastAsia="Times New Roman" w:hAnsi="Times New Roman"/>
                  <w:sz w:val="18"/>
                  <w:szCs w:val="18"/>
                  <w:color w:val="0000EE"/>
                  <w:w w:val="99"/>
                </w:rPr>
                <w:t>Act of 1934, as Adopted Pursuant to Section 302 of the Sarbanes-Oxley Act of 2002.</w:t>
              </w:r>
            </w:hyperlink>
          </w:p>
        </w:tc>
        <w:tc>
          <w:tcPr>
            <w:tcW w:w="2840" w:type="dxa"/>
            <w:vAlign w:val="bottom"/>
            <w:gridSpan w:val="15"/>
          </w:tcPr>
          <w:p>
            <w:pPr>
              <w:spacing w:after="0"/>
              <w:rPr>
                <w:sz w:val="17"/>
                <w:szCs w:val="17"/>
                <w:color w:val="auto"/>
              </w:rPr>
            </w:pPr>
          </w:p>
        </w:tc>
        <w:tc>
          <w:tcPr>
            <w:tcW w:w="1340" w:type="dxa"/>
            <w:vAlign w:val="bottom"/>
          </w:tcPr>
          <w:p>
            <w:pPr>
              <w:spacing w:after="0"/>
              <w:rPr>
                <w:sz w:val="17"/>
                <w:szCs w:val="17"/>
                <w:color w:val="auto"/>
              </w:rPr>
            </w:pPr>
          </w:p>
        </w:tc>
      </w:tr>
      <w:tr>
        <w:trPr>
          <w:trHeight w:val="3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7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135">
              <w:r>
                <w:rPr>
                  <w:rFonts w:ascii="Times New Roman" w:cs="Times New Roman" w:eastAsia="Times New Roman" w:hAnsi="Times New Roman"/>
                  <w:sz w:val="18"/>
                  <w:szCs w:val="18"/>
                  <w:color w:val="0000EE"/>
                  <w:w w:val="99"/>
                </w:rPr>
                <w:t>Certification of Principal Financial Officer Pursuant to Rules 13a-14(a) and 15d-14(a) under the Securities Exchange Act</w:t>
              </w:r>
            </w:hyperlink>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980" w:type="dxa"/>
            <w:vAlign w:val="bottom"/>
            <w:gridSpan w:val="24"/>
          </w:tcPr>
          <w:p>
            <w:pPr>
              <w:spacing w:after="0" w:line="196"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of 1934, as Adopted Pursuant to Section 302 of the Sarbanes-Oxley Act of 2002.</w:t>
              </w:r>
            </w:hyperlink>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272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6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136">
              <w:r>
                <w:rPr>
                  <w:rFonts w:ascii="Times New Roman" w:cs="Times New Roman" w:eastAsia="Times New Roman" w:hAnsi="Times New Roman"/>
                  <w:sz w:val="18"/>
                  <w:szCs w:val="18"/>
                  <w:color w:val="0000EE"/>
                  <w:w w:val="99"/>
                </w:rPr>
                <w:t>Certification of Principal Executive Officer Pursuant to 18 U.S.C. Section 1350, as Adopted Pursuant to Section 906 of</w:t>
              </w:r>
            </w:hyperlink>
          </w:p>
        </w:tc>
        <w:tc>
          <w:tcPr>
            <w:tcW w:w="38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980" w:type="dxa"/>
            <w:vAlign w:val="bottom"/>
            <w:gridSpan w:val="24"/>
          </w:tcPr>
          <w:p>
            <w:pPr>
              <w:spacing w:after="0" w:line="196" w:lineRule="exact"/>
              <w:rPr>
                <w:rFonts w:ascii="Times New Roman" w:cs="Times New Roman" w:eastAsia="Times New Roman" w:hAnsi="Times New Roman"/>
                <w:sz w:val="18"/>
                <w:szCs w:val="18"/>
                <w:color w:val="0000EE"/>
              </w:rPr>
            </w:pPr>
            <w:hyperlink w:anchor="page136">
              <w:r>
                <w:rPr>
                  <w:rFonts w:ascii="Times New Roman" w:cs="Times New Roman" w:eastAsia="Times New Roman" w:hAnsi="Times New Roman"/>
                  <w:sz w:val="18"/>
                  <w:szCs w:val="18"/>
                  <w:color w:val="0000EE"/>
                </w:rPr>
                <w:t>the Sarbanes-Oxley Act of 2002.</w:t>
              </w:r>
            </w:hyperlink>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6180" w:type="dxa"/>
            <w:vAlign w:val="bottom"/>
            <w:gridSpan w:val="17"/>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4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980" w:type="dxa"/>
            <w:vAlign w:val="bottom"/>
            <w:gridSpan w:val="24"/>
          </w:tcPr>
          <w:p>
            <w:pPr>
              <w:spacing w:after="0"/>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Certification of Principal Financial Officer Pursuant to 18 U.S.C. Section 1350, as Adopted Pursuant to Section 906 of</w:t>
              </w:r>
            </w:hyperlink>
          </w:p>
        </w:tc>
        <w:tc>
          <w:tcPr>
            <w:tcW w:w="13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5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the Sarbanes-Oxley Act of 2002.</w:t>
              </w:r>
            </w:hyperlink>
          </w:p>
        </w:tc>
        <w:tc>
          <w:tcPr>
            <w:tcW w:w="440" w:type="dxa"/>
            <w:vAlign w:val="bottom"/>
            <w:gridSpan w:val="4"/>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6620" w:type="dxa"/>
            <w:vAlign w:val="bottom"/>
            <w:gridSpan w:val="21"/>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6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w:t>
            </w:r>
          </w:p>
        </w:tc>
        <w:tc>
          <w:tcPr>
            <w:tcW w:w="134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340" w:type="dxa"/>
            <w:vAlign w:val="bottom"/>
          </w:tcPr>
          <w:p>
            <w:pPr>
              <w:spacing w:after="0"/>
              <w:rPr>
                <w:sz w:val="20"/>
                <w:szCs w:val="20"/>
                <w:color w:val="auto"/>
              </w:rPr>
            </w:pPr>
          </w:p>
        </w:tc>
      </w:tr>
      <w:tr>
        <w:trPr>
          <w:trHeight w:val="36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3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340" w:type="dxa"/>
            <w:vAlign w:val="bottom"/>
          </w:tcPr>
          <w:p>
            <w:pPr>
              <w:spacing w:after="0"/>
              <w:rPr>
                <w:sz w:val="24"/>
                <w:szCs w:val="24"/>
                <w:color w:val="auto"/>
              </w:rPr>
            </w:pPr>
          </w:p>
        </w:tc>
      </w:tr>
      <w:tr>
        <w:trPr>
          <w:trHeight w:val="36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340" w:type="dxa"/>
            <w:vAlign w:val="bottom"/>
          </w:tcPr>
          <w:p>
            <w:pPr>
              <w:spacing w:after="0"/>
              <w:rPr>
                <w:sz w:val="24"/>
                <w:szCs w:val="24"/>
                <w:color w:val="auto"/>
              </w:rPr>
            </w:pPr>
          </w:p>
        </w:tc>
      </w:tr>
      <w:tr>
        <w:trPr>
          <w:trHeight w:val="36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3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340" w:type="dxa"/>
            <w:vAlign w:val="bottom"/>
          </w:tcPr>
          <w:p>
            <w:pPr>
              <w:spacing w:after="0"/>
              <w:rPr>
                <w:sz w:val="24"/>
                <w:szCs w:val="24"/>
                <w:color w:val="auto"/>
              </w:rPr>
            </w:pPr>
          </w:p>
        </w:tc>
      </w:tr>
    </w:tbl>
    <w:p>
      <w:pPr>
        <w:spacing w:after="0" w:line="130" w:lineRule="exact"/>
        <w:rPr>
          <w:sz w:val="20"/>
          <w:szCs w:val="20"/>
          <w:color w:val="auto"/>
        </w:rPr>
      </w:pPr>
    </w:p>
    <w:p>
      <w:pPr>
        <w:ind w:left="5540" w:right="4540" w:hanging="5532"/>
        <w:spacing w:after="0" w:line="704" w:lineRule="auto"/>
        <w:tabs>
          <w:tab w:leader="none" w:pos="9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9512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ind w:left="500" w:hanging="492"/>
        <w:spacing w:after="0"/>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78" w:right="144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Biodesix, Inc.</w:t>
            </w:r>
          </w:p>
        </w:tc>
        <w:tc>
          <w:tcPr>
            <w:tcW w:w="4280" w:type="dxa"/>
            <w:vAlign w:val="bottom"/>
          </w:tcPr>
          <w:p>
            <w:pPr>
              <w:spacing w:after="0"/>
              <w:rPr>
                <w:sz w:val="20"/>
                <w:szCs w:val="20"/>
                <w:color w:val="auto"/>
              </w:rPr>
            </w:pP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10, 2020</w:t>
            </w:r>
          </w:p>
        </w:tc>
        <w:tc>
          <w:tcPr>
            <w:tcW w:w="3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/s/ Scott Hutton</w:t>
            </w:r>
          </w:p>
        </w:tc>
      </w:tr>
      <w:tr>
        <w:trPr>
          <w:trHeight w:val="214"/>
        </w:trPr>
        <w:tc>
          <w:tcPr>
            <w:tcW w:w="36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280" w:type="dxa"/>
            <w:vAlign w:val="bottom"/>
            <w:tcBorders>
              <w:top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Scott Hutton</w:t>
            </w:r>
          </w:p>
        </w:tc>
      </w:tr>
      <w:tr>
        <w:trPr>
          <w:trHeight w:val="238"/>
        </w:trPr>
        <w:tc>
          <w:tcPr>
            <w:tcW w:w="36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8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10, 2020</w:t>
            </w:r>
          </w:p>
        </w:tc>
        <w:tc>
          <w:tcPr>
            <w:tcW w:w="3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214"/>
        </w:trPr>
        <w:tc>
          <w:tcPr>
            <w:tcW w:w="36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280" w:type="dxa"/>
            <w:vAlign w:val="bottom"/>
            <w:tcBorders>
              <w:top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Robin Harper Cowie</w:t>
            </w:r>
          </w:p>
        </w:tc>
      </w:tr>
      <w:tr>
        <w:trPr>
          <w:trHeight w:val="238"/>
        </w:trPr>
        <w:tc>
          <w:tcPr>
            <w:tcW w:w="36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8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648"/>
        </w:trPr>
        <w:tc>
          <w:tcPr>
            <w:tcW w:w="3620" w:type="dxa"/>
            <w:vAlign w:val="bottom"/>
          </w:tcPr>
          <w:p>
            <w:pPr>
              <w:spacing w:after="0"/>
              <w:rPr>
                <w:sz w:val="24"/>
                <w:szCs w:val="24"/>
                <w:color w:val="auto"/>
              </w:rPr>
            </w:pPr>
          </w:p>
        </w:tc>
        <w:tc>
          <w:tcPr>
            <w:tcW w:w="334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97</w:t>
            </w:r>
          </w:p>
        </w:tc>
        <w:tc>
          <w:tcPr>
            <w:tcW w:w="428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CERTIFICATE OF INCORPORATION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BIODESIX, INC.,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ind w:right="260" w:firstLine="1188"/>
        <w:spacing w:after="0" w:line="264" w:lineRule="auto"/>
        <w:rPr>
          <w:sz w:val="20"/>
          <w:szCs w:val="20"/>
          <w:color w:val="auto"/>
        </w:rPr>
      </w:pPr>
      <w:r>
        <w:rPr>
          <w:rFonts w:ascii="Times New Roman" w:cs="Times New Roman" w:eastAsia="Times New Roman" w:hAnsi="Times New Roman"/>
          <w:sz w:val="22"/>
          <w:szCs w:val="22"/>
          <w:color w:val="auto"/>
        </w:rPr>
        <w:t>Biodesix, Inc., a corporation organized and existing under the laws of the State of Delaware (the “</w:t>
      </w:r>
      <w:r>
        <w:rPr>
          <w:rFonts w:ascii="Times New Roman" w:cs="Times New Roman" w:eastAsia="Times New Roman" w:hAnsi="Times New Roman"/>
          <w:sz w:val="22"/>
          <w:szCs w:val="22"/>
          <w:b w:val="1"/>
          <w:bCs w:val="1"/>
          <w:i w:val="1"/>
          <w:iCs w:val="1"/>
          <w:color w:val="auto"/>
        </w:rPr>
        <w:t>Corporation</w:t>
      </w:r>
      <w:r>
        <w:rPr>
          <w:rFonts w:ascii="Times New Roman" w:cs="Times New Roman" w:eastAsia="Times New Roman" w:hAnsi="Times New Roman"/>
          <w:sz w:val="22"/>
          <w:szCs w:val="22"/>
          <w:color w:val="auto"/>
        </w:rPr>
        <w:t>”), hereby certifies as follows:</w:t>
      </w:r>
    </w:p>
    <w:p>
      <w:pPr>
        <w:spacing w:after="0" w:line="151" w:lineRule="exact"/>
        <w:rPr>
          <w:sz w:val="20"/>
          <w:szCs w:val="20"/>
          <w:color w:val="auto"/>
        </w:rPr>
      </w:pPr>
    </w:p>
    <w:p>
      <w:pPr>
        <w:ind w:right="220" w:firstLine="1196"/>
        <w:spacing w:after="0" w:line="244" w:lineRule="auto"/>
        <w:tabs>
          <w:tab w:leader="none" w:pos="21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Biodesix, Inc. The Corporation was originally incorporated under the name Elston Technologies, Inc. The Corporation’s original certificate of incorporation was filed with the office of the Secretary of State of the State of Delaware on December 23, 2005.</w:t>
      </w:r>
    </w:p>
    <w:p>
      <w:pPr>
        <w:spacing w:after="0" w:line="173" w:lineRule="exact"/>
        <w:rPr>
          <w:rFonts w:ascii="Times New Roman" w:cs="Times New Roman" w:eastAsia="Times New Roman" w:hAnsi="Times New Roman"/>
          <w:sz w:val="22"/>
          <w:szCs w:val="22"/>
          <w:color w:val="auto"/>
        </w:rPr>
      </w:pPr>
    </w:p>
    <w:p>
      <w:pPr>
        <w:jc w:val="both"/>
        <w:ind w:right="40" w:firstLine="1196"/>
        <w:spacing w:after="0" w:line="239" w:lineRule="auto"/>
        <w:tabs>
          <w:tab w:leader="none" w:pos="208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amended and restated certificate of incorporation was duly adopted in accordance with Sections 242 and 245 of the General Corporation Law of the State of Delaware, as amended (the “</w:t>
      </w:r>
      <w:r>
        <w:rPr>
          <w:rFonts w:ascii="Times New Roman" w:cs="Times New Roman" w:eastAsia="Times New Roman" w:hAnsi="Times New Roman"/>
          <w:sz w:val="22"/>
          <w:szCs w:val="22"/>
          <w:b w:val="1"/>
          <w:bCs w:val="1"/>
          <w:i w:val="1"/>
          <w:iCs w:val="1"/>
          <w:color w:val="auto"/>
        </w:rPr>
        <w:t>DGCL</w:t>
      </w:r>
      <w:r>
        <w:rPr>
          <w:rFonts w:ascii="Times New Roman" w:cs="Times New Roman" w:eastAsia="Times New Roman" w:hAnsi="Times New Roman"/>
          <w:sz w:val="22"/>
          <w:szCs w:val="22"/>
          <w:color w:val="auto"/>
        </w:rPr>
        <w:t>”), restates and amends the provisions of the Corporation’s certificate of incorporation and has been duly approved by the written consent of the stockholders of the Corporation in accordance with Section 228 of the DGCL.</w:t>
      </w:r>
    </w:p>
    <w:p>
      <w:pPr>
        <w:spacing w:after="0" w:line="180" w:lineRule="exact"/>
        <w:rPr>
          <w:rFonts w:ascii="Times New Roman" w:cs="Times New Roman" w:eastAsia="Times New Roman" w:hAnsi="Times New Roman"/>
          <w:sz w:val="22"/>
          <w:szCs w:val="22"/>
          <w:color w:val="auto"/>
        </w:rPr>
      </w:pPr>
    </w:p>
    <w:p>
      <w:pPr>
        <w:ind w:left="2100" w:hanging="904"/>
        <w:spacing w:after="0"/>
        <w:tabs>
          <w:tab w:leader="none" w:pos="21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text of the certificate of incorporation of this Corporation is hereby amended and restated to read in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entirety as follows:</w:t>
      </w:r>
    </w:p>
    <w:p>
      <w:pPr>
        <w:spacing w:after="0" w:line="17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b w:val="1"/>
          <w:bCs w:val="1"/>
          <w:u w:val="single" w:color="auto"/>
          <w:color w:val="auto"/>
        </w:rPr>
        <w:t>NAME</w:t>
      </w:r>
    </w:p>
    <w:p>
      <w:pPr>
        <w:spacing w:after="0" w:line="18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The name of the Corporation is Biodesix, Inc.</w:t>
      </w:r>
    </w:p>
    <w:p>
      <w:pPr>
        <w:spacing w:after="0" w:line="20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u w:val="single" w:color="auto"/>
          <w:color w:val="auto"/>
        </w:rPr>
        <w:t>REGISTERED OFFICE</w:t>
      </w:r>
    </w:p>
    <w:p>
      <w:pPr>
        <w:spacing w:after="0" w:line="182" w:lineRule="exact"/>
        <w:rPr>
          <w:sz w:val="20"/>
          <w:szCs w:val="20"/>
          <w:color w:val="auto"/>
        </w:rPr>
      </w:pPr>
    </w:p>
    <w:p>
      <w:pPr>
        <w:ind w:right="140" w:firstLine="1188"/>
        <w:spacing w:after="0" w:line="282" w:lineRule="auto"/>
        <w:rPr>
          <w:sz w:val="20"/>
          <w:szCs w:val="20"/>
          <w:color w:val="auto"/>
        </w:rPr>
      </w:pPr>
      <w:r>
        <w:rPr>
          <w:rFonts w:ascii="Times New Roman" w:cs="Times New Roman" w:eastAsia="Times New Roman" w:hAnsi="Times New Roman"/>
          <w:sz w:val="21"/>
          <w:szCs w:val="21"/>
          <w:color w:val="auto"/>
        </w:rPr>
        <w:t>The address of the Corporation’s registered office in the State of Delaware is 1209 Orange Street, City of Wilmington, County of New Castle, 19801. The name of its registered agent at such address is The Corporation Trust Company.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PURPOSE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ACTIVE 259359044</w:t>
      </w:r>
    </w:p>
    <w:p>
      <w:pPr>
        <w:spacing w:after="0" w:line="111"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0" w:name="page101"/>
    <w:bookmarkEnd w:id="100"/>
    <w:tbl>
      <w:tblPr>
        <w:tblLayout w:type="fixed"/>
        <w:tblInd w:w="1180" w:type="dxa"/>
        <w:tblCellMar>
          <w:top w:w="0" w:type="dxa"/>
          <w:left w:w="0" w:type="dxa"/>
          <w:bottom w:w="0" w:type="dxa"/>
          <w:right w:w="0" w:type="dxa"/>
        </w:tblCellMar>
      </w:tblPr>
      <w:tr>
        <w:trPr>
          <w:trHeight w:val="253"/>
        </w:trPr>
        <w:tc>
          <w:tcPr>
            <w:tcW w:w="620" w:type="dxa"/>
            <w:vAlign w:val="bottom"/>
          </w:tcPr>
          <w:p>
            <w:pPr>
              <w:spacing w:after="0"/>
              <w:rPr>
                <w:sz w:val="22"/>
                <w:szCs w:val="22"/>
                <w:color w:val="auto"/>
              </w:rPr>
            </w:pPr>
          </w:p>
        </w:tc>
        <w:tc>
          <w:tcPr>
            <w:tcW w:w="93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ARTICLE IV</w:t>
            </w:r>
          </w:p>
        </w:tc>
      </w:tr>
      <w:tr>
        <w:trPr>
          <w:trHeight w:val="286"/>
        </w:trPr>
        <w:tc>
          <w:tcPr>
            <w:tcW w:w="620" w:type="dxa"/>
            <w:vAlign w:val="bottom"/>
          </w:tcPr>
          <w:p>
            <w:pPr>
              <w:spacing w:after="0"/>
              <w:rPr>
                <w:sz w:val="24"/>
                <w:szCs w:val="24"/>
                <w:color w:val="auto"/>
              </w:rPr>
            </w:pPr>
          </w:p>
        </w:tc>
        <w:tc>
          <w:tcPr>
            <w:tcW w:w="93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u w:val="single" w:color="auto"/>
                <w:color w:val="auto"/>
                <w:w w:val="96"/>
              </w:rPr>
              <w:t>CAPITAL STOCK</w:t>
            </w:r>
          </w:p>
        </w:tc>
      </w:tr>
      <w:tr>
        <w:trPr>
          <w:trHeight w:val="444"/>
        </w:trPr>
        <w:tc>
          <w:tcPr>
            <w:tcW w:w="6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4"/>
              </w:rPr>
              <w:t>4.1</w:t>
            </w:r>
          </w:p>
        </w:tc>
        <w:tc>
          <w:tcPr>
            <w:tcW w:w="9300" w:type="dxa"/>
            <w:vAlign w:val="bottom"/>
          </w:tcPr>
          <w:p>
            <w:pPr>
              <w:ind w:left="360"/>
              <w:spacing w:after="0"/>
              <w:rPr>
                <w:sz w:val="20"/>
                <w:szCs w:val="20"/>
                <w:color w:val="auto"/>
              </w:rPr>
            </w:pPr>
            <w:r>
              <w:rPr>
                <w:rFonts w:ascii="Times New Roman" w:cs="Times New Roman" w:eastAsia="Times New Roman" w:hAnsi="Times New Roman"/>
                <w:sz w:val="22"/>
                <w:szCs w:val="22"/>
                <w:u w:val="single" w:color="auto"/>
                <w:color w:val="auto"/>
                <w:w w:val="97"/>
              </w:rPr>
              <w:t>Authorized Capital Stock</w:t>
            </w:r>
            <w:r>
              <w:rPr>
                <w:rFonts w:ascii="Times New Roman" w:cs="Times New Roman" w:eastAsia="Times New Roman" w:hAnsi="Times New Roman"/>
                <w:sz w:val="22"/>
                <w:szCs w:val="22"/>
                <w:color w:val="auto"/>
                <w:w w:val="97"/>
              </w:rPr>
              <w:t>. The total number of shares of all classes of capital stock that the Corporation</w:t>
            </w:r>
          </w:p>
        </w:tc>
      </w:tr>
    </w:tbl>
    <w:p>
      <w:pPr>
        <w:ind w:right="580"/>
        <w:spacing w:after="0" w:line="237" w:lineRule="auto"/>
        <w:rPr>
          <w:sz w:val="20"/>
          <w:szCs w:val="20"/>
          <w:color w:val="auto"/>
        </w:rPr>
      </w:pPr>
      <w:r>
        <w:rPr>
          <w:rFonts w:ascii="Times New Roman" w:cs="Times New Roman" w:eastAsia="Times New Roman" w:hAnsi="Times New Roman"/>
          <w:sz w:val="22"/>
          <w:szCs w:val="22"/>
          <w:color w:val="auto"/>
        </w:rPr>
        <w:t>is authorized to issue is 205,000,000 shares, consisting of 200,000,000 shares of common stock, par value $0.001 per share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and 5,000,000 shares of preferred stock, par value $0.001 per share (“</w:t>
      </w:r>
      <w:r>
        <w:rPr>
          <w:rFonts w:ascii="Times New Roman" w:cs="Times New Roman" w:eastAsia="Times New Roman" w:hAnsi="Times New Roman"/>
          <w:sz w:val="22"/>
          <w:szCs w:val="22"/>
          <w:b w:val="1"/>
          <w:bCs w:val="1"/>
          <w:i w:val="1"/>
          <w:iCs w:val="1"/>
          <w:color w:val="auto"/>
        </w:rPr>
        <w:t>Preferred Stock</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right="40" w:firstLine="1175"/>
        <w:spacing w:after="0" w:line="23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Increase or Decrease in Authorized Capital Stock</w:t>
      </w:r>
      <w:r>
        <w:rPr>
          <w:rFonts w:ascii="Times New Roman" w:cs="Times New Roman" w:eastAsia="Times New Roman" w:hAnsi="Times New Roman"/>
          <w:sz w:val="22"/>
          <w:szCs w:val="22"/>
          <w:color w:val="auto"/>
        </w:rPr>
        <w:t xml:space="preserve">. The number of authorized shares of Common Stock or Preferred Stock may be increased or decreased (but not below the number of shares thereof then outstanding) by the affirmative vote of the holders of a majority in voting power of the stock of the Corporation entitled to vote generally in the election of directors, irrespective of the provisions of Section 242(b)(2) of the DGCL (or any successor provision thereto), voting together as a single class, without a separate vote of the holders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of this amended and restated certificate of incorporation of the Corporation (as further amended from time to time in accordance with the provisions hereof and including, without limitation, the terms of any certificate of designation with respect to any series of Preferred Stock, this “</w:t>
      </w:r>
      <w:r>
        <w:rPr>
          <w:rFonts w:ascii="Times New Roman" w:cs="Times New Roman" w:eastAsia="Times New Roman" w:hAnsi="Times New Roman"/>
          <w:sz w:val="22"/>
          <w:szCs w:val="22"/>
          <w:b w:val="1"/>
          <w:bCs w:val="1"/>
          <w:i w:val="1"/>
          <w:iCs w:val="1"/>
          <w:color w:val="auto"/>
        </w:rPr>
        <w:t>Certificate of Incorporation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180"/>
        <w:spacing w:after="0"/>
        <w:tabs>
          <w:tab w:leader="none" w:pos="21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735"/>
        <w:spacing w:after="0" w:line="233" w:lineRule="auto"/>
        <w:tabs>
          <w:tab w:leader="none" w:pos="266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holders of shares of Common Stock shall be entitled to one vote for each such share on each matter properly submitted to the stockholders of the Corporation on which the holders of shares of Common Stock are entitled to vote. The holders of shares of Common Stock shall not have cumulative voting rights. Except as otherwise required by law or this Certificate of Incorporation, and subject to the rights of the holders of shares of Preferred Stock, if any, at any annual or special meeting of the stockholders of the Corporation, the holders of shares of Common Stock shall have the right to vote for the election of directors of the Corporation and on all other matters properly submitted to a vote of the stockholders of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except as otherwise required by law, holders of shares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or pursuant to the DGCL.</w:t>
      </w:r>
    </w:p>
    <w:p>
      <w:pPr>
        <w:spacing w:after="0" w:line="184" w:lineRule="exact"/>
        <w:rPr>
          <w:rFonts w:ascii="Times New Roman" w:cs="Times New Roman" w:eastAsia="Times New Roman" w:hAnsi="Times New Roman"/>
          <w:sz w:val="22"/>
          <w:szCs w:val="22"/>
          <w:color w:val="auto"/>
        </w:rPr>
      </w:pPr>
    </w:p>
    <w:p>
      <w:pPr>
        <w:ind w:firstLine="1735"/>
        <w:spacing w:after="0" w:line="238" w:lineRule="auto"/>
        <w:tabs>
          <w:tab w:leader="none" w:pos="268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of the holders of shares of Preferred Stock, the holders of shares of Common Stock shall be entitled to receive such dividends and other distributions (payable in cash, property or capital stock of the Corporation) when, as and if declared thereon by the board of directors of the Corporation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from time to time out of any assets or funds of the Corporation legally available therefor and shall share equally on a per share basis in such dividends and distributions.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01" w:name="page102"/>
    <w:bookmarkEnd w:id="101"/>
    <w:p>
      <w:pPr>
        <w:ind w:right="60" w:firstLine="1735"/>
        <w:spacing w:after="0" w:line="238" w:lineRule="auto"/>
        <w:tabs>
          <w:tab w:leader="none" w:pos="266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voluntary or involuntary liquidation, dissolution or winding-up of the Corporation, after payment or provision for payment of the debts and other liabilities of the Corporation, and subject to the rights of the holders of shares of Preferred Stock in respect thereof, the holders of shares of Common Stock shall be entitled to receive all of the remaining assets of the Corporation available for distribution to its stockholders, ratably in proportion to the number of shares of Common Stock held by them.</w:t>
      </w:r>
    </w:p>
    <w:p>
      <w:pPr>
        <w:spacing w:after="0" w:line="177" w:lineRule="exact"/>
        <w:rPr>
          <w:sz w:val="20"/>
          <w:szCs w:val="20"/>
          <w:color w:val="auto"/>
        </w:rPr>
      </w:pPr>
    </w:p>
    <w:p>
      <w:pPr>
        <w:ind w:left="1240"/>
        <w:spacing w:after="0"/>
        <w:tabs>
          <w:tab w:leader="none" w:pos="21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735"/>
        <w:spacing w:after="0" w:line="235" w:lineRule="auto"/>
        <w:tabs>
          <w:tab w:leader="none" w:pos="266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is expressly authorized to issue from time to time shares of Preferred Stock in one or more series pursuant to a resolution or resolutions providing for such issue duly adopted by the Board. The Board is further authorized, subject to limitations prescribed by law, to fix by resolution or resolutions and to set forth in a certification of designation filed pursuant to the DGCL the powers, designations, preferences and relative, participating, optional or other special rights, if any, and the qualifications, limitations or restrictions thereof, if any, of any wholly unissued series of Preferred Stock, including, without limitation, dividend rights, dividend rate, conversion rights, voting rights, rights and terms of redemption (including, without limitation, sinking fund provisions), redemption price or prices and liquidation preferences of any such series, and the number of shares constituting any such series and the designation thereof, or any of the foregoing.</w:t>
      </w:r>
    </w:p>
    <w:p>
      <w:pPr>
        <w:spacing w:after="0" w:line="178" w:lineRule="exact"/>
        <w:rPr>
          <w:rFonts w:ascii="Times New Roman" w:cs="Times New Roman" w:eastAsia="Times New Roman" w:hAnsi="Times New Roman"/>
          <w:sz w:val="22"/>
          <w:szCs w:val="22"/>
          <w:color w:val="auto"/>
        </w:rPr>
      </w:pPr>
    </w:p>
    <w:p>
      <w:pPr>
        <w:ind w:firstLine="1735"/>
        <w:spacing w:after="0" w:line="235" w:lineRule="auto"/>
        <w:tabs>
          <w:tab w:leader="none" w:pos="26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is further authorized to increase (but not above the total number of authorized shares of the class) or decrease (but not below the number of shares of any such series then outstanding) the number of shares of any series of Preferred Stock,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originally fixing the number of shares of such series. If the number of shares of any series of Preferred Stock is so decreased, then the shares constituting such decrease shall resume the status that they had prior to the adoption of the resolution originally fixing the number of shares of such series.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BOARD OF DIRECTORS</w:t>
      </w:r>
    </w:p>
    <w:p>
      <w:pPr>
        <w:spacing w:after="0" w:line="182" w:lineRule="exact"/>
        <w:rPr>
          <w:sz w:val="20"/>
          <w:szCs w:val="20"/>
          <w:color w:val="auto"/>
        </w:rPr>
      </w:pPr>
    </w:p>
    <w:p>
      <w:pPr>
        <w:ind w:left="1180"/>
        <w:spacing w:after="0"/>
        <w:tabs>
          <w:tab w:leader="none" w:pos="21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General Powers</w:t>
      </w:r>
      <w:r>
        <w:rPr>
          <w:rFonts w:ascii="Times New Roman" w:cs="Times New Roman" w:eastAsia="Times New Roman" w:hAnsi="Times New Roman"/>
          <w:sz w:val="21"/>
          <w:szCs w:val="21"/>
          <w:color w:val="auto"/>
        </w:rPr>
        <w:t>. The business and affairs of the Corporation shall be managed by or under the direction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Board.</w:t>
      </w:r>
    </w:p>
    <w:p>
      <w:pPr>
        <w:spacing w:after="0" w:line="182" w:lineRule="exact"/>
        <w:rPr>
          <w:sz w:val="20"/>
          <w:szCs w:val="20"/>
          <w:color w:val="auto"/>
        </w:rPr>
      </w:pPr>
    </w:p>
    <w:p>
      <w:pPr>
        <w:ind w:left="1180"/>
        <w:spacing w:after="0"/>
        <w:tabs>
          <w:tab w:leader="none" w:pos="21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Number of Directors; Election; Term</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firstLine="1735"/>
        <w:spacing w:after="0" w:line="239" w:lineRule="auto"/>
        <w:tabs>
          <w:tab w:leader="none" w:pos="266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directors that shall be fixed, from time to time, exclusively by the Board in accordance with the bylaws of the Corporation (as amended from time to time in accordance with the provisions hereof and thereof, the “</w:t>
      </w:r>
      <w:r>
        <w:rPr>
          <w:rFonts w:ascii="Times New Roman" w:cs="Times New Roman" w:eastAsia="Times New Roman" w:hAnsi="Times New Roman"/>
          <w:sz w:val="22"/>
          <w:szCs w:val="22"/>
          <w:b w:val="1"/>
          <w:bCs w:val="1"/>
          <w:i w:val="1"/>
          <w:iCs w:val="1"/>
          <w:color w:val="auto"/>
        </w:rPr>
        <w:t>Bylaws</w:t>
      </w:r>
      <w:r>
        <w:rPr>
          <w:rFonts w:ascii="Times New Roman" w:cs="Times New Roman" w:eastAsia="Times New Roman" w:hAnsi="Times New Roman"/>
          <w:sz w:val="22"/>
          <w:szCs w:val="22"/>
          <w:color w:val="auto"/>
        </w:rPr>
        <w:t>”), subject to the rights of holders of any series of Preferred Stock with respect to the election of directors, if any.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2" w:name="page103"/>
    <w:bookmarkEnd w:id="102"/>
    <w:p>
      <w:pPr>
        <w:ind w:left="-20" w:right="140" w:firstLine="1735"/>
        <w:spacing w:after="0" w:line="233" w:lineRule="auto"/>
        <w:tabs>
          <w:tab w:leader="none" w:pos="266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rights of holders of any series of Preferred Stock with respect to the election of directors, the directors of the Corporation shall be divided into three classes as nearly equal in number as is practicable, hereby designated Class I, Class II and Class III. The Board is authorized to assign members of the Board already in office to such classes. The term of office of the initial Class I directors shall expire upon the election of directors at the first annual meeting of stockholders following the effectiveness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the term of office of the initial Class II directors shall expire upon the election of directors at the second annual meeting of stockholders following the effectiveness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the term of office of the initial Class III directors shall expire upon the election of directors at the third annual meeting of stockholders following the effectiveness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At each annual meeting of stockholders, commencing with the first annual meeting of stockholders following the effectiveness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 Subject to the rights of holders of any series of Preferred Stock with respect to the election of directors, if the number of directors that constitutes the Board is changed, any newly created directorships or decrease in directorships shall be so apportioned by the Board among the classes as to make all classes as nearly equal in number as is practicable, provided that no decrease in the number of directors constituting the Board shall shorten the term of any incumbent director.</w:t>
      </w:r>
    </w:p>
    <w:p>
      <w:pPr>
        <w:spacing w:after="0" w:line="177" w:lineRule="exact"/>
        <w:rPr>
          <w:rFonts w:ascii="Times New Roman" w:cs="Times New Roman" w:eastAsia="Times New Roman" w:hAnsi="Times New Roman"/>
          <w:sz w:val="22"/>
          <w:szCs w:val="22"/>
          <w:color w:val="auto"/>
        </w:rPr>
      </w:pPr>
    </w:p>
    <w:p>
      <w:pPr>
        <w:ind w:left="-20" w:firstLine="1735"/>
        <w:spacing w:after="0" w:line="244" w:lineRule="auto"/>
        <w:tabs>
          <w:tab w:leader="none" w:pos="264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and subject to the rights of holders of any series of Preferred Stock with respect to the election of directors, each director shall serve until such director’s successor is duly elected and qualified or until such director’s earlier death, resignation or removal.</w:t>
      </w:r>
    </w:p>
    <w:p>
      <w:pPr>
        <w:spacing w:after="0" w:line="173" w:lineRule="exact"/>
        <w:rPr>
          <w:rFonts w:ascii="Times New Roman" w:cs="Times New Roman" w:eastAsia="Times New Roman" w:hAnsi="Times New Roman"/>
          <w:sz w:val="22"/>
          <w:szCs w:val="22"/>
          <w:color w:val="auto"/>
        </w:rPr>
      </w:pPr>
    </w:p>
    <w:p>
      <w:pPr>
        <w:ind w:left="2660" w:hanging="945"/>
        <w:spacing w:after="0"/>
        <w:tabs>
          <w:tab w:leader="none" w:pos="2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Elections of directors need not be by written ballot unless the Bylaws shall so provide.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44" w:right="339" w:bottom="1440" w:gutter="0" w:footer="0" w:header="0"/>
        </w:sectPr>
      </w:pPr>
    </w:p>
    <w:bookmarkStart w:id="103" w:name="page104"/>
    <w:bookmarkEnd w:id="103"/>
    <w:p>
      <w:pPr>
        <w:ind w:firstLine="1735"/>
        <w:spacing w:after="0" w:line="232" w:lineRule="auto"/>
        <w:tabs>
          <w:tab w:leader="none" w:pos="266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of the other provisions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whenever the holders of any one or more series of Preferred Stock issued by the Corporation shall have the right, voting separately by series, to elect directors at an annual or special meeting of stockholders, the election, term of office, filling of vacancies and other features of such directorships shall be governed by the terms of the certificate of designation for such series of Preferred Stock, and such directors so elected shall not be divided into classes pursuant to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unless expressly provided by such terms. During any period when the holders of any series of Preferred Stock have the right to elect additional directors as provided for or fixed pursuant to the provisions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such director’s earlier death,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series of stock, the terms of office of all such additional directors elected by the holders of such stock, or elected to fill any vacancies resulting from the death, resignation or removal of such additional directors, shall forthwith terminate, and the total authorized number of directors of the Corporation shall be reduced accordingly.</w:t>
      </w:r>
    </w:p>
    <w:p>
      <w:pPr>
        <w:spacing w:after="0" w:line="190" w:lineRule="exact"/>
        <w:rPr>
          <w:sz w:val="20"/>
          <w:szCs w:val="20"/>
          <w:color w:val="auto"/>
        </w:rPr>
      </w:pPr>
    </w:p>
    <w:p>
      <w:pPr>
        <w:ind w:right="120" w:firstLine="1175"/>
        <w:spacing w:after="0" w:line="239"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Subject to the rights of holders of any series of Preferred Stock with respect to the election of directors, a director may be removed from office by the stockholders of the Corporation only for cause and only by the affirmative vote of the holders of at least a majority of the voting power of all then outstanding shares of capital stock of the Corporation entitled to vote generally in the election of directors, voting together as a single class.</w:t>
      </w:r>
    </w:p>
    <w:p>
      <w:pPr>
        <w:spacing w:after="0" w:line="180" w:lineRule="exact"/>
        <w:rPr>
          <w:sz w:val="20"/>
          <w:szCs w:val="20"/>
          <w:color w:val="auto"/>
        </w:rPr>
      </w:pPr>
    </w:p>
    <w:p>
      <w:pPr>
        <w:ind w:right="220" w:firstLine="1175"/>
        <w:spacing w:after="0" w:line="235"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Vacancies and Newly Created Directorships</w:t>
      </w:r>
      <w:r>
        <w:rPr>
          <w:rFonts w:ascii="Times New Roman" w:cs="Times New Roman" w:eastAsia="Times New Roman" w:hAnsi="Times New Roman"/>
          <w:sz w:val="22"/>
          <w:szCs w:val="22"/>
          <w:color w:val="auto"/>
        </w:rPr>
        <w:t>. Subject to the rights of holders of any series of Preferred Stock with respect to the election of directors, vacancies occurring on the Board for any reason and newly created directorships resulting from an increase in the number of directors shall be filled only by vote of a majority of the remaining members of the Board, although less than a quorum, or by a sole remaining director, and not by the stockholders. A person so elected by the Board to fill a vacancy or newly created directorship shall hold office until the next election of the class for which such person shall have been assigned by the Board and until such person’s successor shall be duly elected and qualified or until such director’s earlier death, resignation or removal.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4" w:name="page105"/>
    <w:bookmarkEnd w:id="104"/>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AMENDMENT OF BYLAWS</w:t>
      </w:r>
    </w:p>
    <w:p>
      <w:pPr>
        <w:spacing w:after="0" w:line="182" w:lineRule="exact"/>
        <w:rPr>
          <w:sz w:val="20"/>
          <w:szCs w:val="20"/>
          <w:color w:val="auto"/>
        </w:rPr>
      </w:pPr>
    </w:p>
    <w:p>
      <w:pPr>
        <w:ind w:right="20" w:firstLine="864"/>
        <w:spacing w:after="0" w:line="234" w:lineRule="auto"/>
        <w:rPr>
          <w:sz w:val="20"/>
          <w:szCs w:val="20"/>
          <w:color w:val="auto"/>
        </w:rPr>
      </w:pPr>
      <w:r>
        <w:rPr>
          <w:rFonts w:ascii="Times New Roman" w:cs="Times New Roman" w:eastAsia="Times New Roman" w:hAnsi="Times New Roman"/>
          <w:sz w:val="22"/>
          <w:szCs w:val="22"/>
          <w:color w:val="auto"/>
        </w:rPr>
        <w:t xml:space="preserve">In furtherance and not in limitation of the powers conferred by statute, the Board is expressly authorized to adopt, amend, alter or repeal the Bylaws. The Bylaws may also be adopted, amended, altered or repealed by the stockholders of the Corporation by the affirmative vote of the holders of at least a majority of the voting power of all then outstanding shares of capital stock of the Corporation entitled to vote generally in the election of directors, voting together as a single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any adoption, amendment, alteration or repeal of the Bylaws by the stockholders of the Corporation, notwithstanding any other provision of the Bylaws, and in addition to any other vote that may be required by law or the terms of any series of Preferred Stock, the affirmative vote of the holders of at least sixty six and two-thirds percent (66 2/3%) of the voting power of all of the then outstanding shares of capital stock of the Corporation entitled to vote generally in the election of directors, voting together as a single class, shall be required to amend, alter, repeal or adopt any provision inconsistent with Section 1.7(b), 1.16, 1.17, or 2.14 or Article VI of the Bylaws.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STOCKHOLDERS</w:t>
      </w:r>
    </w:p>
    <w:p>
      <w:pPr>
        <w:spacing w:after="0" w:line="182" w:lineRule="exact"/>
        <w:rPr>
          <w:sz w:val="20"/>
          <w:szCs w:val="20"/>
          <w:color w:val="auto"/>
        </w:rPr>
      </w:pPr>
    </w:p>
    <w:p>
      <w:pPr>
        <w:ind w:right="80" w:firstLine="1175"/>
        <w:spacing w:after="0" w:line="239"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No Action by Written Consent of Stockholders</w:t>
      </w:r>
      <w:r>
        <w:rPr>
          <w:rFonts w:ascii="Times New Roman" w:cs="Times New Roman" w:eastAsia="Times New Roman" w:hAnsi="Times New Roman"/>
          <w:sz w:val="22"/>
          <w:szCs w:val="22"/>
          <w:color w:val="auto"/>
        </w:rPr>
        <w:t>.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the stockholders of the Corporation and may not be effected by written consent in lieu of a meeting.</w:t>
      </w:r>
    </w:p>
    <w:p>
      <w:pPr>
        <w:spacing w:after="0" w:line="180" w:lineRule="exact"/>
        <w:rPr>
          <w:sz w:val="20"/>
          <w:szCs w:val="20"/>
          <w:color w:val="auto"/>
        </w:rPr>
      </w:pPr>
    </w:p>
    <w:p>
      <w:pPr>
        <w:ind w:firstLine="1175"/>
        <w:spacing w:after="0" w:line="238"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Except as otherwise expressly provided by the terms of any series of Preferred Stock permitting the holders of such series of Preferred Stock to call a special meeting of the holders of such series, special meetings of the stockholders of the Corporation may be called only by the chairperson of the Board, the chief executive officer of the Corporation or the Board, and the ability of the stockholders to call a special meeting of the stockholders is hereby specifically denied.</w:t>
      </w:r>
    </w:p>
    <w:p>
      <w:pPr>
        <w:spacing w:after="0" w:line="177" w:lineRule="exact"/>
        <w:rPr>
          <w:sz w:val="20"/>
          <w:szCs w:val="20"/>
          <w:color w:val="auto"/>
        </w:rPr>
      </w:pPr>
    </w:p>
    <w:p>
      <w:pPr>
        <w:jc w:val="both"/>
        <w:ind w:firstLine="1175"/>
        <w:spacing w:after="0" w:line="244"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Advance Notice</w:t>
      </w:r>
      <w:r>
        <w:rPr>
          <w:rFonts w:ascii="Times New Roman" w:cs="Times New Roman" w:eastAsia="Times New Roman" w:hAnsi="Times New Roman"/>
          <w:sz w:val="22"/>
          <w:szCs w:val="22"/>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05" w:name="page106"/>
    <w:bookmarkEnd w:id="105"/>
    <w:tbl>
      <w:tblPr>
        <w:tblLayout w:type="fixed"/>
        <w:tblInd w:w="1180" w:type="dxa"/>
        <w:tblCellMar>
          <w:top w:w="0" w:type="dxa"/>
          <w:left w:w="0" w:type="dxa"/>
          <w:bottom w:w="0" w:type="dxa"/>
          <w:right w:w="0" w:type="dxa"/>
        </w:tblCellMar>
      </w:tblPr>
      <w:tr>
        <w:trPr>
          <w:trHeight w:val="253"/>
        </w:trPr>
        <w:tc>
          <w:tcPr>
            <w:tcW w:w="620" w:type="dxa"/>
            <w:vAlign w:val="bottom"/>
          </w:tcPr>
          <w:p>
            <w:pPr>
              <w:spacing w:after="0"/>
              <w:rPr>
                <w:sz w:val="22"/>
                <w:szCs w:val="22"/>
                <w:color w:val="auto"/>
              </w:rPr>
            </w:pPr>
          </w:p>
        </w:tc>
        <w:tc>
          <w:tcPr>
            <w:tcW w:w="860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7"/>
              </w:rPr>
              <w:t>ARTICLE VIII</w:t>
            </w:r>
          </w:p>
        </w:tc>
      </w:tr>
      <w:tr>
        <w:trPr>
          <w:trHeight w:val="286"/>
        </w:trPr>
        <w:tc>
          <w:tcPr>
            <w:tcW w:w="620" w:type="dxa"/>
            <w:vAlign w:val="bottom"/>
          </w:tcPr>
          <w:p>
            <w:pPr>
              <w:spacing w:after="0"/>
              <w:rPr>
                <w:sz w:val="24"/>
                <w:szCs w:val="24"/>
                <w:color w:val="auto"/>
              </w:rPr>
            </w:pPr>
          </w:p>
        </w:tc>
        <w:tc>
          <w:tcPr>
            <w:tcW w:w="860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u w:val="single" w:color="auto"/>
                <w:color w:val="auto"/>
                <w:w w:val="97"/>
              </w:rPr>
              <w:t>LIMITATION OF LIABILITY AND INDEMNIFICATION</w:t>
            </w:r>
          </w:p>
        </w:tc>
      </w:tr>
      <w:tr>
        <w:trPr>
          <w:trHeight w:val="444"/>
        </w:trPr>
        <w:tc>
          <w:tcPr>
            <w:tcW w:w="6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4"/>
              </w:rPr>
              <w:t>8.1</w:t>
            </w:r>
          </w:p>
        </w:tc>
        <w:tc>
          <w:tcPr>
            <w:tcW w:w="8600" w:type="dxa"/>
            <w:vAlign w:val="bottom"/>
          </w:tcPr>
          <w:p>
            <w:pPr>
              <w:ind w:left="360"/>
              <w:spacing w:after="0"/>
              <w:rPr>
                <w:sz w:val="20"/>
                <w:szCs w:val="20"/>
                <w:color w:val="auto"/>
              </w:rPr>
            </w:pPr>
            <w:r>
              <w:rPr>
                <w:rFonts w:ascii="Times New Roman" w:cs="Times New Roman" w:eastAsia="Times New Roman" w:hAnsi="Times New Roman"/>
                <w:sz w:val="22"/>
                <w:szCs w:val="22"/>
                <w:u w:val="single" w:color="auto"/>
                <w:color w:val="auto"/>
                <w:w w:val="97"/>
              </w:rPr>
              <w:t>Limitation of Personal Liability</w:t>
            </w:r>
            <w:r>
              <w:rPr>
                <w:rFonts w:ascii="Times New Roman" w:cs="Times New Roman" w:eastAsia="Times New Roman" w:hAnsi="Times New Roman"/>
                <w:sz w:val="22"/>
                <w:szCs w:val="22"/>
                <w:color w:val="auto"/>
                <w:w w:val="97"/>
              </w:rPr>
              <w:t>. No director of the Corporation shall be personally liable to the</w:t>
            </w:r>
          </w:p>
        </w:tc>
      </w:tr>
    </w:tbl>
    <w:p>
      <w:pPr>
        <w:ind w:right="40"/>
        <w:spacing w:after="0" w:line="233" w:lineRule="auto"/>
        <w:rPr>
          <w:sz w:val="20"/>
          <w:szCs w:val="20"/>
          <w:color w:val="auto"/>
        </w:rPr>
      </w:pPr>
      <w:r>
        <w:rPr>
          <w:rFonts w:ascii="Times New Roman" w:cs="Times New Roman" w:eastAsia="Times New Roman" w:hAnsi="Times New Roman"/>
          <w:sz w:val="22"/>
          <w:szCs w:val="22"/>
          <w:color w:val="auto"/>
        </w:rPr>
        <w:t>Corporation or its stockholders for monetary damages for breach of fiduciary duty as a director,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79" w:lineRule="exact"/>
        <w:rPr>
          <w:sz w:val="20"/>
          <w:szCs w:val="20"/>
          <w:color w:val="auto"/>
        </w:rPr>
      </w:pPr>
    </w:p>
    <w:p>
      <w:pPr>
        <w:ind w:firstLine="1175"/>
        <w:spacing w:after="0" w:line="233"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Indemnification and Advancement of Expenses</w:t>
      </w:r>
      <w:r>
        <w:rPr>
          <w:rFonts w:ascii="Times New Roman" w:cs="Times New Roman" w:eastAsia="Times New Roman" w:hAnsi="Times New Roman"/>
          <w:sz w:val="22"/>
          <w:szCs w:val="22"/>
          <w:color w:val="auto"/>
        </w:rPr>
        <w:t xml:space="preserve">. The Corporation shall indemnify its directors and officers to the fullest extent authorized or permitted by the DGCL, as now or hereafter in effect, and such right to indemnification shall continue as to a person who has ceased to be a director or officer of the Corporation and shall inure to the benefit of such person’s heirs, executors and personal and legal representatives. A director’s or officer’s right to indemnification conferred by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shall include the right to be paid by the Corporation the expenses incurred in defending or otherwise participating in any proceeding in advance of its final disposition, provided that such director or officer presents to the Corporation a written undertaking to repay such amount if it shall ultimately be determined that such director or officer is not entitled to be indemnified by the Corporation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or otherwise. Notwithstanding the foregoing, except for proceedings to enforce any director’s or officer’s rights to indemnification or rights to advancement of expenses, the Corporation shall not be obligated to indemnify any director or officer, or advance expenses of any director or officer, (or such director’s or officer’s heirs, executors or personal or legal representatives) in connection with any proceeding (or part thereof) initiated by such person unless such proceeding (or part thereof) was authorized by the Board.</w:t>
      </w:r>
    </w:p>
    <w:p>
      <w:pPr>
        <w:spacing w:after="0" w:line="185" w:lineRule="exact"/>
        <w:rPr>
          <w:sz w:val="20"/>
          <w:szCs w:val="20"/>
          <w:color w:val="auto"/>
        </w:rPr>
      </w:pPr>
    </w:p>
    <w:p>
      <w:pPr>
        <w:ind w:right="260" w:firstLine="1175"/>
        <w:spacing w:after="0" w:line="239"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Non-Exclusivity of Rights</w:t>
      </w:r>
      <w:r>
        <w:rPr>
          <w:rFonts w:ascii="Times New Roman" w:cs="Times New Roman" w:eastAsia="Times New Roman" w:hAnsi="Times New Roman"/>
          <w:sz w:val="22"/>
          <w:szCs w:val="22"/>
          <w:color w:val="auto"/>
        </w:rPr>
        <w:t xml:space="preserve">. The rights to indemnification and advancement of expenses conferred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of this Certificate of Incorporation shall neither be exclusive of, nor be deemed in limitation of, any rights to which any person may otherwise be or become entitled or permitted under this Certificate of Incorporation, the Bylaws, any statute, agreement, vote of stockholders or disinterested directors or otherwise.</w:t>
      </w:r>
    </w:p>
    <w:p>
      <w:pPr>
        <w:spacing w:after="0" w:line="180" w:lineRule="exact"/>
        <w:rPr>
          <w:sz w:val="20"/>
          <w:szCs w:val="20"/>
          <w:color w:val="auto"/>
        </w:rPr>
      </w:pPr>
    </w:p>
    <w:p>
      <w:pPr>
        <w:ind w:right="20" w:firstLine="1175"/>
        <w:spacing w:after="0" w:line="239"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To the fullest extent authorized or permitted by the DGCL, the Corporation may purchase and maintain insurance on behalf of any current or former director or officer of the Corporation against any liability asserted against such person, whether or not the Corporation would have the power to indemnify such person against such liability under the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or otherwise.</w:t>
      </w:r>
    </w:p>
    <w:p>
      <w:pPr>
        <w:spacing w:after="0" w:line="180" w:lineRule="exact"/>
        <w:rPr>
          <w:sz w:val="20"/>
          <w:szCs w:val="20"/>
          <w:color w:val="auto"/>
        </w:rPr>
      </w:pPr>
    </w:p>
    <w:p>
      <w:pPr>
        <w:ind w:left="1180"/>
        <w:spacing w:after="0"/>
        <w:tabs>
          <w:tab w:leader="none" w:pos="214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u w:val="single" w:color="auto"/>
          <w:color w:val="auto"/>
        </w:rPr>
        <w:t>Persons Other Than Directors and Officers</w:t>
      </w:r>
      <w:r>
        <w:rPr>
          <w:rFonts w:ascii="Times New Roman" w:cs="Times New Roman" w:eastAsia="Times New Roman" w:hAnsi="Times New Roman"/>
          <w:sz w:val="21"/>
          <w:szCs w:val="21"/>
          <w:color w:val="auto"/>
        </w:rPr>
        <w:t>. This</w:t>
      </w:r>
      <w:r>
        <w:rPr>
          <w:rFonts w:ascii="Times New Roman" w:cs="Times New Roman" w:eastAsia="Times New Roman" w:hAnsi="Times New Roman"/>
          <w:sz w:val="21"/>
          <w:szCs w:val="21"/>
          <w:u w:val="single" w:color="auto"/>
          <w:color w:val="auto"/>
        </w:rPr>
        <w:t xml:space="preserve"> Article VIII </w:t>
      </w:r>
      <w:r>
        <w:rPr>
          <w:rFonts w:ascii="Times New Roman" w:cs="Times New Roman" w:eastAsia="Times New Roman" w:hAnsi="Times New Roman"/>
          <w:sz w:val="21"/>
          <w:szCs w:val="21"/>
          <w:color w:val="auto"/>
        </w:rPr>
        <w:t>shall not limit the right of the Corporation,</w:t>
      </w:r>
    </w:p>
    <w:p>
      <w:pPr>
        <w:spacing w:after="0" w:line="14" w:lineRule="exact"/>
        <w:rPr>
          <w:sz w:val="20"/>
          <w:szCs w:val="20"/>
          <w:color w:val="auto"/>
        </w:rPr>
      </w:pPr>
    </w:p>
    <w:p>
      <w:pPr>
        <w:jc w:val="both"/>
        <w:ind w:right="40"/>
        <w:spacing w:after="0" w:line="235" w:lineRule="auto"/>
        <w:rPr>
          <w:sz w:val="20"/>
          <w:szCs w:val="20"/>
          <w:color w:val="auto"/>
        </w:rPr>
      </w:pPr>
      <w:r>
        <w:rPr>
          <w:rFonts w:ascii="Times New Roman" w:cs="Times New Roman" w:eastAsia="Times New Roman" w:hAnsi="Times New Roman"/>
          <w:sz w:val="22"/>
          <w:szCs w:val="22"/>
          <w:color w:val="auto"/>
        </w:rPr>
        <w:t xml:space="preserve">to the extent and in the manner permitted by law, to indemnify and to advance expenses to, or to purchase and maintain insurance on behalf of, persons other than those persons described in the first sentence of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of this Certificate of Incorporation or to advance expenses to persons other than directors or officers of the Corporation.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6" w:name="page107"/>
    <w:bookmarkEnd w:id="106"/>
    <w:p>
      <w:pPr>
        <w:ind w:firstLine="1175"/>
        <w:spacing w:after="0" w:line="238"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Effect of Modifications</w:t>
      </w:r>
      <w:r>
        <w:rPr>
          <w:rFonts w:ascii="Times New Roman" w:cs="Times New Roman" w:eastAsia="Times New Roman" w:hAnsi="Times New Roman"/>
          <w:sz w:val="22"/>
          <w:szCs w:val="22"/>
          <w:color w:val="auto"/>
        </w:rPr>
        <w:t xml:space="preserve">. Any amendment, repeal or modification of any provision contained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unless otherwise required by law, be prospective only (except to the extent such amendment or change in law permits the Corporation to further limit or eliminate the liability of directors or officers) and shall not adversely affect any right or protection of any current or former director or officer of the Corporation existing at the time of such amendment, repeal or modification with respect to any acts or omissions occurring prior to such amendment, repeal or modification.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182" w:lineRule="exact"/>
        <w:rPr>
          <w:sz w:val="20"/>
          <w:szCs w:val="20"/>
          <w:color w:val="auto"/>
        </w:rPr>
      </w:pPr>
    </w:p>
    <w:p>
      <w:pPr>
        <w:ind w:left="880"/>
        <w:spacing w:after="0"/>
        <w:tabs>
          <w:tab w:leader="none" w:pos="176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Corporate Opportunities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620" w:hanging="885"/>
        <w:spacing w:after="0"/>
        <w:tabs>
          <w:tab w:leader="none" w:pos="26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the following terms shall have the following meanings:</w:t>
      </w:r>
    </w:p>
    <w:p>
      <w:pPr>
        <w:spacing w:after="0" w:line="200" w:lineRule="exact"/>
        <w:rPr>
          <w:rFonts w:ascii="Times New Roman" w:cs="Times New Roman" w:eastAsia="Times New Roman" w:hAnsi="Times New Roman"/>
          <w:sz w:val="22"/>
          <w:szCs w:val="22"/>
          <w:color w:val="auto"/>
        </w:rPr>
      </w:pPr>
    </w:p>
    <w:p>
      <w:pPr>
        <w:ind w:left="2540" w:hanging="372"/>
        <w:spacing w:after="0"/>
        <w:tabs>
          <w:tab w:leader="none" w:pos="254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has the meaning given to such term in Rule 12b-2 under the Securities Exchange Act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1934, as amended.</w:t>
      </w:r>
    </w:p>
    <w:p>
      <w:pPr>
        <w:spacing w:after="0" w:line="176" w:lineRule="exact"/>
        <w:rPr>
          <w:sz w:val="20"/>
          <w:szCs w:val="20"/>
          <w:color w:val="auto"/>
        </w:rPr>
      </w:pPr>
    </w:p>
    <w:p>
      <w:pPr>
        <w:ind w:right="680" w:firstLine="2168"/>
        <w:spacing w:after="0" w:line="264" w:lineRule="auto"/>
        <w:tabs>
          <w:tab w:leader="none" w:pos="253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Person</w:t>
      </w:r>
      <w:r>
        <w:rPr>
          <w:rFonts w:ascii="Times New Roman" w:cs="Times New Roman" w:eastAsia="Times New Roman" w:hAnsi="Times New Roman"/>
          <w:sz w:val="22"/>
          <w:szCs w:val="22"/>
          <w:color w:val="auto"/>
        </w:rPr>
        <w:t>” means (A) any director of the Corporation who is also an officer, director, employee or managing director of any IPO Investor and (B) any IPO Investor.</w:t>
      </w:r>
    </w:p>
    <w:p>
      <w:pPr>
        <w:spacing w:after="0" w:line="145" w:lineRule="exact"/>
        <w:rPr>
          <w:rFonts w:ascii="Times New Roman" w:cs="Times New Roman" w:eastAsia="Times New Roman" w:hAnsi="Times New Roman"/>
          <w:sz w:val="22"/>
          <w:szCs w:val="22"/>
          <w:color w:val="auto"/>
        </w:rPr>
      </w:pPr>
    </w:p>
    <w:p>
      <w:pPr>
        <w:ind w:right="20" w:firstLine="2168"/>
        <w:spacing w:after="0" w:line="241" w:lineRule="auto"/>
        <w:tabs>
          <w:tab w:leader="none" w:pos="259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IPO Investor</w:t>
      </w:r>
      <w:r>
        <w:rPr>
          <w:rFonts w:ascii="Times New Roman" w:cs="Times New Roman" w:eastAsia="Times New Roman" w:hAnsi="Times New Roman"/>
          <w:sz w:val="22"/>
          <w:szCs w:val="22"/>
          <w:color w:val="auto"/>
        </w:rPr>
        <w:t>” means (A) any stockholder of the Corporation that, together with its Affiliates, held at least one percent (1%) of the Corporation’s common stock outstanding as of immediately prior to the closing of the Corporation’s initial public offering, and (B) any Affiliate of the foregoing (in each case, other than the Corporation and its subsidiaries).</w:t>
      </w:r>
    </w:p>
    <w:p>
      <w:pPr>
        <w:spacing w:after="0" w:line="172" w:lineRule="exact"/>
        <w:rPr>
          <w:sz w:val="20"/>
          <w:szCs w:val="20"/>
          <w:color w:val="auto"/>
        </w:rPr>
      </w:pPr>
    </w:p>
    <w:p>
      <w:pPr>
        <w:ind w:right="40" w:firstLine="2168"/>
        <w:spacing w:after="0" w:line="241" w:lineRule="auto"/>
        <w:tabs>
          <w:tab w:leader="none" w:pos="25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Corporate Opportunity</w:t>
      </w:r>
      <w:r>
        <w:rPr>
          <w:rFonts w:ascii="Times New Roman" w:cs="Times New Roman" w:eastAsia="Times New Roman" w:hAnsi="Times New Roman"/>
          <w:sz w:val="22"/>
          <w:szCs w:val="22"/>
          <w:color w:val="auto"/>
        </w:rPr>
        <w:t>” means any business opportunity, potential transaction, interest or other matter that is offered or presented to any Covered Person other than any business opportunity, potential transaction, interest or other matter that is offered or presented to such Covered Person solely in such Covered Person’s capacity as an officer, director or stockholder of the Corporation.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7" w:name="page108"/>
    <w:bookmarkEnd w:id="107"/>
    <w:p>
      <w:pPr>
        <w:ind w:left="-40" w:right="60" w:firstLine="1735"/>
        <w:spacing w:after="0" w:line="244" w:lineRule="auto"/>
        <w:tabs>
          <w:tab w:leader="none" w:pos="1993"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fullest extent permitted by applicable law (including, without limitation, Section 122(17) of the DGCL), the Corporation, on behalf of itself and its subsidiaries, hereby renounces any interest or expectancy of the Corporation or any of its subsidiaries in, or being offered any opportunity to participate in, any Specified Corporate Opportunity, even if such Specified Corporate Opportunity is one that the Corporation or any of its subsidiaries might reasonably be deemed to have pursued or had the ability or desire to pursue if offered or presented the opportunity to do so. No Covered Person shall have any duty to offer or communicate information regarding any Specified Corporate Opportunity to the Corporation or any of its subsidiaries and, to the fullest extent permitted by applicable law, shall not be liable to the Corporation or any of its subsidiaries for breach of any fiduciary duty, as a director, officer, controlling stockholder or otherwise, solely by reason of the fact that such Covered Person (i) pursues or acquires such Specified Corporate Opportunity for its own account or the account of any of the IPO Investors, (ii) directs such Specified Corporate Opportunity to another person or entity or (iii) fails to present such Specified Corporate Opportunity, or information regarding such Specified Corporate Opportunity, to the Corporation or any of its subsidiaries. For the avoidance of doubt, the foregoing provisions of this </w:t>
      </w:r>
      <w:r>
        <w:rPr>
          <w:rFonts w:ascii="Times New Roman" w:cs="Times New Roman" w:eastAsia="Times New Roman" w:hAnsi="Times New Roman"/>
          <w:sz w:val="21"/>
          <w:szCs w:val="21"/>
          <w:u w:val="single" w:color="auto"/>
          <w:color w:val="auto"/>
        </w:rPr>
        <w:t>Section 9.1(b)</w:t>
      </w:r>
      <w:r>
        <w:rPr>
          <w:rFonts w:ascii="Times New Roman" w:cs="Times New Roman" w:eastAsia="Times New Roman" w:hAnsi="Times New Roman"/>
          <w:sz w:val="21"/>
          <w:szCs w:val="21"/>
          <w:color w:val="auto"/>
        </w:rPr>
        <w:t xml:space="preserve"> shall not apply to any business opportunity, potential transaction, interest or other matter that is offered or presented to any Covered Person solely in such Covered Person’s capacity as an officer, director or stockholder of the Corporation.</w:t>
      </w:r>
    </w:p>
    <w:p>
      <w:pPr>
        <w:spacing w:after="0" w:line="180" w:lineRule="exact"/>
        <w:rPr>
          <w:rFonts w:ascii="Times New Roman" w:cs="Times New Roman" w:eastAsia="Times New Roman" w:hAnsi="Times New Roman"/>
          <w:sz w:val="21"/>
          <w:szCs w:val="21"/>
          <w:color w:val="auto"/>
        </w:rPr>
      </w:pPr>
    </w:p>
    <w:p>
      <w:pPr>
        <w:ind w:left="-40" w:right="560" w:firstLine="1735"/>
        <w:spacing w:after="0" w:line="258" w:lineRule="auto"/>
        <w:tabs>
          <w:tab w:leader="none" w:pos="202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or entity purchasing or otherwise acquiring any interest in shares of capital stock of the Corporation shall be deemed to have notice of and to have consented to the provisions of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40" w:firstLine="1735"/>
        <w:spacing w:after="0" w:line="239" w:lineRule="auto"/>
        <w:tabs>
          <w:tab w:leader="none" w:pos="204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shall have no further force or effect at such time as no IPO Investor continues to beneficially own, in the aggregate, at least one percent (1%) of the Corporation’s then outstanding common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termination shall not terminate the effect of the foregoing provisions of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with respect to any Specified Corporate Opportunity that first arose prior to such termination.</w:t>
      </w:r>
    </w:p>
    <w:p>
      <w:pPr>
        <w:spacing w:after="0" w:line="180" w:lineRule="exact"/>
        <w:rPr>
          <w:sz w:val="20"/>
          <w:szCs w:val="20"/>
          <w:color w:val="auto"/>
        </w:rPr>
      </w:pPr>
    </w:p>
    <w:p>
      <w:pPr>
        <w:ind w:left="1140"/>
        <w:spacing w:after="0"/>
        <w:tabs>
          <w:tab w:leader="none" w:pos="204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Forum for Certain Actions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40" w:right="20" w:firstLine="1735"/>
        <w:spacing w:after="0" w:line="245" w:lineRule="auto"/>
        <w:tabs>
          <w:tab w:leader="none" w:pos="2575"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Forum</w:t>
      </w:r>
      <w:r>
        <w:rPr>
          <w:rFonts w:ascii="Times New Roman" w:cs="Times New Roman" w:eastAsia="Times New Roman" w:hAnsi="Times New Roman"/>
          <w:sz w:val="21"/>
          <w:szCs w:val="21"/>
          <w:color w:val="auto"/>
        </w:rPr>
        <w:t>. Unless a majority of the Board, acting on behalf of the Corporation, consents in writing to the selection of an alternative forum (which consent may be given at any time, including during the pendency of litigation),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to the fullest extent permitted by law, shall be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against the Corporation or any of its directors, officers or other employees arising pursuant to any provision of the DGCL, this Certificate of Incorporation or the Bylaws (in each case, as may be amended from time to time), (iv) any action asserting a claim against the Corporation or any of its directors, officers or other employees governed by the internal affairs doctrine of the State of Delaware or (v) any other action asserting an “internal corporate claim,” as defined in Section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216535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60" w:top="544" w:right="379" w:bottom="1440" w:gutter="0" w:footer="0" w:header="0"/>
        </w:sectPr>
      </w:pPr>
    </w:p>
    <w:bookmarkStart w:id="108" w:name="page109"/>
    <w:bookmarkEnd w:id="108"/>
    <w:p>
      <w:pPr>
        <w:ind w:right="80"/>
        <w:spacing w:after="0" w:line="235" w:lineRule="auto"/>
        <w:rPr>
          <w:sz w:val="20"/>
          <w:szCs w:val="20"/>
          <w:color w:val="auto"/>
        </w:rPr>
      </w:pPr>
      <w:r>
        <w:rPr>
          <w:rFonts w:ascii="Times New Roman" w:cs="Times New Roman" w:eastAsia="Times New Roman" w:hAnsi="Times New Roman"/>
          <w:sz w:val="22"/>
          <w:szCs w:val="22"/>
          <w:color w:val="auto"/>
        </w:rPr>
        <w:t>115 of the DGCL, in all cases subject to the court’s having personal jurisdiction over all indispensable parties named as defendants; provided that the foregoing provision will not apply to any claim to enforce any liability or duty created by the Securities Act of 1933, as amended or the Securities Exchange Act of 1934, as amended and for which the federal courts have exclusive jurisdiction. Unless a majority of the Board, acting on behalf of the Corporation, consents in writing to the selection of an alternative forum (which consent may be given at any time, including during the pendency of litigation), the federal district courts of the United States of America, to the fullest extent permitted by law, shall be the sole and exclusive forum for any action asserting a cause of action arising under the Securities Act of 1933, as amended, or the Securities Exchange Act of 1934, as amended.</w:t>
      </w:r>
    </w:p>
    <w:p>
      <w:pPr>
        <w:spacing w:after="0" w:line="178" w:lineRule="exact"/>
        <w:rPr>
          <w:sz w:val="20"/>
          <w:szCs w:val="20"/>
          <w:color w:val="auto"/>
        </w:rPr>
      </w:pPr>
    </w:p>
    <w:p>
      <w:pPr>
        <w:ind w:left="2640" w:hanging="905"/>
        <w:spacing w:after="0"/>
        <w:tabs>
          <w:tab w:leader="none" w:pos="264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Personal Jurisdiction</w:t>
      </w:r>
      <w:r>
        <w:rPr>
          <w:rFonts w:ascii="Times New Roman" w:cs="Times New Roman" w:eastAsia="Times New Roman" w:hAnsi="Times New Roman"/>
          <w:sz w:val="21"/>
          <w:szCs w:val="21"/>
          <w:color w:val="auto"/>
        </w:rPr>
        <w:t>. If any action the subject matter of which is within the scope of subparagraph</w:t>
      </w:r>
    </w:p>
    <w:p>
      <w:pPr>
        <w:spacing w:after="0" w:line="25" w:lineRule="exact"/>
        <w:rPr>
          <w:rFonts w:ascii="Times New Roman" w:cs="Times New Roman" w:eastAsia="Times New Roman" w:hAnsi="Times New Roman"/>
          <w:sz w:val="21"/>
          <w:szCs w:val="21"/>
          <w:color w:val="auto"/>
        </w:rPr>
      </w:pPr>
    </w:p>
    <w:p>
      <w:pPr>
        <w:ind w:right="120" w:firstLine="8"/>
        <w:spacing w:after="0" w:line="245" w:lineRule="auto"/>
        <w:tabs>
          <w:tab w:leader="none" w:pos="294"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is filed in a court other than a court located within the State of Delaware (a “</w:t>
      </w:r>
      <w:r>
        <w:rPr>
          <w:rFonts w:ascii="Times New Roman" w:cs="Times New Roman" w:eastAsia="Times New Roman" w:hAnsi="Times New Roman"/>
          <w:sz w:val="21"/>
          <w:szCs w:val="21"/>
          <w:b w:val="1"/>
          <w:bCs w:val="1"/>
          <w:i w:val="1"/>
          <w:iCs w:val="1"/>
          <w:color w:val="auto"/>
        </w:rPr>
        <w:t>Foreign Action</w:t>
      </w:r>
      <w:r>
        <w:rPr>
          <w:rFonts w:ascii="Times New Roman" w:cs="Times New Roman" w:eastAsia="Times New Roman" w:hAnsi="Times New Roman"/>
          <w:sz w:val="21"/>
          <w:szCs w:val="21"/>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subparagraph (a) of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(an “</w:t>
      </w:r>
      <w:r>
        <w:rPr>
          <w:rFonts w:ascii="Times New Roman" w:cs="Times New Roman" w:eastAsia="Times New Roman" w:hAnsi="Times New Roman"/>
          <w:sz w:val="21"/>
          <w:szCs w:val="21"/>
          <w:b w:val="1"/>
          <w:bCs w:val="1"/>
          <w:i w:val="1"/>
          <w:iCs w:val="1"/>
          <w:color w:val="auto"/>
        </w:rPr>
        <w:t>Enforcement Action</w:t>
      </w:r>
      <w:r>
        <w:rPr>
          <w:rFonts w:ascii="Times New Roman" w:cs="Times New Roman" w:eastAsia="Times New Roman" w:hAnsi="Times New Roman"/>
          <w:sz w:val="21"/>
          <w:szCs w:val="21"/>
          <w:color w:val="auto"/>
        </w:rPr>
        <w:t>”) and (ii) having service of process made upon such stockholder in any such Enforcement Action by service upon such stockholder’s counsel in the Foreign Action as agent for such stockholder.</w:t>
      </w:r>
    </w:p>
    <w:p>
      <w:pPr>
        <w:spacing w:after="0" w:line="174" w:lineRule="exact"/>
        <w:rPr>
          <w:rFonts w:ascii="Times New Roman" w:cs="Times New Roman" w:eastAsia="Times New Roman" w:hAnsi="Times New Roman"/>
          <w:sz w:val="21"/>
          <w:szCs w:val="21"/>
          <w:color w:val="auto"/>
        </w:rPr>
      </w:pPr>
    </w:p>
    <w:p>
      <w:pPr>
        <w:ind w:right="120" w:firstLine="1735"/>
        <w:spacing w:after="0" w:line="238" w:lineRule="auto"/>
        <w:tabs>
          <w:tab w:leader="none" w:pos="261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xml:space="preserve">. If any provision of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and the application of such provision to other persons or entities and circumstances shall not in any way be affected or impaired thereby.</w:t>
      </w:r>
    </w:p>
    <w:p>
      <w:pPr>
        <w:spacing w:after="0" w:line="176" w:lineRule="exact"/>
        <w:rPr>
          <w:rFonts w:ascii="Times New Roman" w:cs="Times New Roman" w:eastAsia="Times New Roman" w:hAnsi="Times New Roman"/>
          <w:sz w:val="22"/>
          <w:szCs w:val="22"/>
          <w:color w:val="auto"/>
        </w:rPr>
      </w:pPr>
    </w:p>
    <w:p>
      <w:pPr>
        <w:ind w:right="100" w:firstLine="1735"/>
        <w:spacing w:after="0" w:line="244" w:lineRule="auto"/>
        <w:tabs>
          <w:tab w:leader="none" w:pos="2627"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 and Consent. To the fullest extent permitted by law, any person or entity purchasing or otherwise acquiring or holding any interest in any security of the Corporation shall be deemed to have notice of and consented to the provisions of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firstLine="1175"/>
        <w:spacing w:after="0" w:line="233"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The Corporation reserves the right to amend, alter or repeal any provision contained in this Certificate of Incorporation, in the manner now or hereafter prescribed by this Certificate of Incorporation and the DGCL, and all rights, preferences and privileges herein conferred upon stockholders of the Corporation by and pursuant to this Certificate of Incorporation in its present form or as hereafter amended are granted subject to the right reserved in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In addition to any other vote that may be required by law, applicable stock exchange rule or the terms of any series of Preferred Stock, the affirmative vote of the holders of at least a majority of the voting power of all then outstanding shares of capital stock of the Corporation entitled to vote generally in the election of directors, voting together as a single class, shall be required to amend, alter, repeal or adopt any provision of this Certificate of Incorporation. Notwithstanding any other provision of this Certificate of Incorporation, and in addition to any other vote that may be required by law, applicable stock exchange rule or the terms of any series of Preferred Stock, the affirmative vote of the holders of at least sixty six and two-thirds percent (66 2/3%) of the voting power of all then outstanding shares of capital stock of the Corporation entitled to vote generally in the election of directors, voting together as a single class, shall be required to amend, alter, repeal or adopt any provision of this Certificate of Incorporation inconsistent with the purpose and intent of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(including, without limitation, any such Article as renumbered as a result of any amendment, alternation, repeal or adoption of any other Article).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9" w:name="page110"/>
    <w:bookmarkEnd w:id="109"/>
    <w:p>
      <w:pPr>
        <w:ind w:firstLine="1188"/>
        <w:spacing w:after="0" w:line="236"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or provisions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0" w:name="page111"/>
    <w:bookmarkEnd w:id="110"/>
    <w:p>
      <w:pPr>
        <w:ind w:firstLine="1188"/>
        <w:spacing w:after="0" w:line="258" w:lineRule="auto"/>
        <w:rPr>
          <w:sz w:val="20"/>
          <w:szCs w:val="20"/>
          <w:color w:val="auto"/>
        </w:rPr>
      </w:pPr>
      <w:r>
        <w:rPr>
          <w:rFonts w:ascii="Times New Roman" w:cs="Times New Roman" w:eastAsia="Times New Roman" w:hAnsi="Times New Roman"/>
          <w:sz w:val="22"/>
          <w:szCs w:val="22"/>
          <w:color w:val="auto"/>
        </w:rPr>
        <w:t>IN WITNESS WHEREOF, the Corporation has caused this Amended and Restated Certificate of Incorporation to be signed by a duly authorized officer of the Corporation on this 30th day of October, 2020.</w:t>
      </w:r>
    </w:p>
    <w:p>
      <w:pPr>
        <w:spacing w:after="0" w:line="28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10795</wp:posOffset>
            </wp:positionV>
            <wp:extent cx="37287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10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By: Robin Harper Cowie</w:t>
      </w:r>
    </w:p>
    <w:p>
      <w:pPr>
        <w:spacing w:after="0" w:line="1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Its: Chief Financial Officer</w:t>
      </w:r>
    </w:p>
    <w:p>
      <w:pPr>
        <w:sectPr>
          <w:pgSz w:w="11900" w:h="16838" w:orient="portrait"/>
          <w:cols w:equalWidth="0" w:num="1">
            <w:col w:w="11020"/>
          </w:cols>
          <w:pgMar w:left="320" w:top="328" w:right="55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BIODESIX, INC.</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(hereinafter called the “</w:t>
      </w:r>
      <w:r>
        <w:rPr>
          <w:rFonts w:ascii="Times New Roman" w:cs="Times New Roman" w:eastAsia="Times New Roman" w:hAnsi="Times New Roman"/>
          <w:sz w:val="22"/>
          <w:szCs w:val="22"/>
          <w:b w:val="1"/>
          <w:bCs w:val="1"/>
          <w:i w:val="1"/>
          <w:iCs w:val="1"/>
          <w:color w:val="auto"/>
        </w:rPr>
        <w:t>Corporation</w:t>
      </w:r>
      <w:r>
        <w:rPr>
          <w:rFonts w:ascii="Times New Roman" w:cs="Times New Roman" w:eastAsia="Times New Roman" w:hAnsi="Times New Roman"/>
          <w:sz w:val="22"/>
          <w:szCs w:val="22"/>
          <w:color w:val="auto"/>
        </w:rPr>
        <w: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MEETINGS OF STOCKHOLDERS</w:t>
      </w:r>
    </w:p>
    <w:p>
      <w:pPr>
        <w:spacing w:after="0" w:line="152" w:lineRule="exact"/>
        <w:rPr>
          <w:sz w:val="20"/>
          <w:szCs w:val="20"/>
          <w:color w:val="auto"/>
        </w:rPr>
      </w:pPr>
    </w:p>
    <w:p>
      <w:pPr>
        <w:ind w:right="240" w:firstLine="864"/>
        <w:spacing w:after="0" w:line="251"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Place of Meetings</w:t>
      </w:r>
      <w:r>
        <w:rPr>
          <w:rFonts w:ascii="Times New Roman" w:cs="Times New Roman" w:eastAsia="Times New Roman" w:hAnsi="Times New Roman"/>
          <w:sz w:val="21"/>
          <w:szCs w:val="21"/>
          <w:color w:val="auto"/>
        </w:rPr>
        <w:t>. Meetings of the stockholders of the Corporation for the election of directors or for any other purpose shall be held at such time and place, if any, either within or without the State of Delaware, as shall be designated from time to time by the board of directors of the Corporation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The Board may, in its sole discretion, determine that a meeting shall not be held at any place, but may instead be held solely by means of remote communication in accordance with Section 211(a) of the General Corporation Law of the State of Delaware, as amended (the “</w:t>
      </w:r>
      <w:r>
        <w:rPr>
          <w:rFonts w:ascii="Times New Roman" w:cs="Times New Roman" w:eastAsia="Times New Roman" w:hAnsi="Times New Roman"/>
          <w:sz w:val="21"/>
          <w:szCs w:val="21"/>
          <w:b w:val="1"/>
          <w:bCs w:val="1"/>
          <w:i w:val="1"/>
          <w:iCs w:val="1"/>
          <w:color w:val="auto"/>
        </w:rPr>
        <w:t>DGCL</w:t>
      </w:r>
      <w:r>
        <w:rPr>
          <w:rFonts w:ascii="Times New Roman" w:cs="Times New Roman" w:eastAsia="Times New Roman" w:hAnsi="Times New Roman"/>
          <w:sz w:val="21"/>
          <w:szCs w:val="21"/>
          <w:color w:val="auto"/>
        </w:rPr>
        <w:t>”).</w:t>
      </w:r>
    </w:p>
    <w:p>
      <w:pPr>
        <w:spacing w:after="0" w:line="114" w:lineRule="exact"/>
        <w:rPr>
          <w:sz w:val="20"/>
          <w:szCs w:val="20"/>
          <w:color w:val="auto"/>
        </w:rPr>
      </w:pPr>
    </w:p>
    <w:p>
      <w:pPr>
        <w:ind w:right="220" w:firstLine="864"/>
        <w:spacing w:after="0" w:line="238"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The annual meeting of stockholders of the Corporation for the election of directors and for the transaction of such other business as may properly be brought before the meeting in accordance with these amended and restated bylaws of the Corporation (as amended from time to time in accordance with the provisions hereof, these “</w:t>
      </w:r>
      <w:r>
        <w:rPr>
          <w:rFonts w:ascii="Times New Roman" w:cs="Times New Roman" w:eastAsia="Times New Roman" w:hAnsi="Times New Roman"/>
          <w:sz w:val="22"/>
          <w:szCs w:val="22"/>
          <w:b w:val="1"/>
          <w:bCs w:val="1"/>
          <w:i w:val="1"/>
          <w:iCs w:val="1"/>
          <w:color w:val="auto"/>
        </w:rPr>
        <w:t>Bylaws</w:t>
      </w:r>
      <w:r>
        <w:rPr>
          <w:rFonts w:ascii="Times New Roman" w:cs="Times New Roman" w:eastAsia="Times New Roman" w:hAnsi="Times New Roman"/>
          <w:sz w:val="22"/>
          <w:szCs w:val="22"/>
          <w:color w:val="auto"/>
        </w:rPr>
        <w:t>”) shall be held on such date and at such time as may be designated from time to time by the Board. The Board may postpone, reschedule or cancel any annual meeting of stockholders previously scheduled by the Board.</w:t>
      </w:r>
    </w:p>
    <w:p>
      <w:pPr>
        <w:spacing w:after="0" w:line="123" w:lineRule="exact"/>
        <w:rPr>
          <w:sz w:val="20"/>
          <w:szCs w:val="20"/>
          <w:color w:val="auto"/>
        </w:rPr>
      </w:pPr>
    </w:p>
    <w:p>
      <w:pPr>
        <w:ind w:right="40" w:firstLine="864"/>
        <w:spacing w:after="0" w:line="235"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Unless otherwise required by law or by the certificate of incorporation of the Corporation (including, without limitation, the terms of any certificate of designation with respect to any series of preferred stock), as amended and restated from time to time (the “</w:t>
      </w:r>
      <w:r>
        <w:rPr>
          <w:rFonts w:ascii="Times New Roman" w:cs="Times New Roman" w:eastAsia="Times New Roman" w:hAnsi="Times New Roman"/>
          <w:sz w:val="22"/>
          <w:szCs w:val="22"/>
          <w:b w:val="1"/>
          <w:bCs w:val="1"/>
          <w:i w:val="1"/>
          <w:iCs w:val="1"/>
          <w:color w:val="auto"/>
        </w:rPr>
        <w:t>Certificate of Incorporation</w:t>
      </w:r>
      <w:r>
        <w:rPr>
          <w:rFonts w:ascii="Times New Roman" w:cs="Times New Roman" w:eastAsia="Times New Roman" w:hAnsi="Times New Roman"/>
          <w:sz w:val="22"/>
          <w:szCs w:val="22"/>
          <w:color w:val="auto"/>
        </w:rPr>
        <w:t>”), special meetings of the stockholders of the Corporation, for any purpose or purposes, may be called only by the Chairperson of the Board, the Chief Executive Officer or the Board. The ability of the stockholders of the Corporation to call a special meeting of stockholders is hereby specifically denied. At a special meeting of stockholders, only such business shall be conducted as shall be specified in the notice of meeting. The Chairperson of the Board, the Chief Executive Officer or the Board may postpone, reschedule or cancel any special meeting of stockholders previously called by any of them.</w:t>
      </w:r>
    </w:p>
    <w:p>
      <w:pPr>
        <w:spacing w:after="0" w:line="124" w:lineRule="exact"/>
        <w:rPr>
          <w:sz w:val="20"/>
          <w:szCs w:val="20"/>
          <w:color w:val="auto"/>
        </w:rPr>
      </w:pPr>
    </w:p>
    <w:p>
      <w:pPr>
        <w:ind w:right="60" w:firstLine="864"/>
        <w:spacing w:after="0" w:line="234"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Whenever stockholders of the Corporation are required or permitted to take any action at a meeting, a written notice of the meeting shall be given which shall state the place, if any, date and time of the meeting, the record date for determining the stockholders entitled to vote at the meeting, if such date is different from the record date for determining stockholders entitled to notice of meeting, and, in the case of a special meeting, the purpose or purposes for which the meeting is called and the means of remote communications, if any, by which stockholders and proxy holders may be deemed present in person and vote at such meeting. Unless otherwise required by law or the Certificate of Incorporation, written notice of any meeting shall be given either personally, by mail or by electronic transmission (as defined below) (if permitted under the circumstances by the DGCL) not less than ten (10) nor more than sixty (60) days before the date of the meeting, by or at the direction of the Chairperson of the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ACTIVE 259359567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2" w:name="page113"/>
    <w:bookmarkEnd w:id="112"/>
    <w:p>
      <w:pPr>
        <w:ind w:right="40"/>
        <w:spacing w:after="0" w:line="233" w:lineRule="auto"/>
        <w:rPr>
          <w:sz w:val="20"/>
          <w:szCs w:val="20"/>
          <w:color w:val="auto"/>
        </w:rPr>
      </w:pPr>
      <w:r>
        <w:rPr>
          <w:rFonts w:ascii="Times New Roman" w:cs="Times New Roman" w:eastAsia="Times New Roman" w:hAnsi="Times New Roman"/>
          <w:sz w:val="22"/>
          <w:szCs w:val="22"/>
          <w:color w:val="auto"/>
        </w:rPr>
        <w:t>Board, the Chief Executive Officer or the Board, to each stockholder entitled to vote at such meeting as of the record date for determining stockholders entitled to notice of the meeting. If mailed, such notice shall be deemed to be given when deposited in the United States mail with postage thereon prepaid, addressed to the stockholder at the stockholder’s address as it appears on the stock transfer books of the Corporation. If notice is given by means of electronic transmission, such notice shall be deemed to be given at the times provided in the DGCL. Any stockholder may waive notice of any meeting before or after the meeting. The attendance of a stockholder at any meeting shall constitute a waiver of notice at such meeting, except where the stockholder attends the meeting for the express purpose of objecting, and does so object, at the beginning of the meeting to the transaction of any business because the meeting is not lawfully called or convened. For the purposes of these Bylaws, “</w:t>
      </w:r>
      <w:r>
        <w:rPr>
          <w:rFonts w:ascii="Times New Roman" w:cs="Times New Roman" w:eastAsia="Times New Roman" w:hAnsi="Times New Roman"/>
          <w:sz w:val="22"/>
          <w:szCs w:val="22"/>
          <w:b w:val="1"/>
          <w:bCs w:val="1"/>
          <w:i w:val="1"/>
          <w:iCs w:val="1"/>
          <w:color w:val="auto"/>
        </w:rPr>
        <w:t>electronic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transmission</w:t>
      </w:r>
      <w:r>
        <w:rPr>
          <w:rFonts w:ascii="Times New Roman" w:cs="Times New Roman" w:eastAsia="Times New Roman" w:hAnsi="Times New Roman"/>
          <w:sz w:val="22"/>
          <w:szCs w:val="22"/>
          <w:color w:val="auto"/>
        </w:rPr>
        <w:t>” means any form of communication, not directly involving the physical transmission of paper, that creates a record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that may be retained, retrieved and reviewed by a recipient thereof and that may be directly reproduced in paper form by such a recipient through an automated process.</w:t>
      </w:r>
    </w:p>
    <w:p>
      <w:pPr>
        <w:spacing w:after="0" w:line="133" w:lineRule="exact"/>
        <w:rPr>
          <w:sz w:val="20"/>
          <w:szCs w:val="20"/>
          <w:color w:val="auto"/>
        </w:rPr>
      </w:pPr>
    </w:p>
    <w:p>
      <w:pPr>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Adjournments</w:t>
      </w:r>
      <w:r>
        <w:rPr>
          <w:rFonts w:ascii="Times New Roman" w:cs="Times New Roman" w:eastAsia="Times New Roman" w:hAnsi="Times New Roman"/>
          <w:sz w:val="22"/>
          <w:szCs w:val="22"/>
          <w:color w:val="auto"/>
        </w:rPr>
        <w:t xml:space="preserve">. Any meeting of stockholders of the Corporation may be adjourned or recessed from time to time to reconvene at the same or some other place, if any, by holders of a majority of the voting power of the Corporation’s capital stock issued and outstanding and entitled to vote thereat, present in person or represented by proxy, though less than a quorum, or by any officer entitled to preside at or to act as secretary of such meeting, and notice need not be given of any such adjourned or recessed meeting if the time and place, if any, thereof, and the means of remote communication, if any, by which stockholders and proxy holders may be deemed to be present in person and vote at such adjourned or recessed meeting, are announced at the meeting at which the adjournment or recess is taken. At the adjourned or recessed meeting, the Corporation may transact any business that might have been transacted at the original meeting. If the adjournment is for more than thirty (30) days, notice of the adjourned meeting in accordance with the requirements of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these Bylaws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26" w:lineRule="exact"/>
        <w:rPr>
          <w:sz w:val="20"/>
          <w:szCs w:val="20"/>
          <w:color w:val="auto"/>
        </w:rPr>
      </w:pPr>
    </w:p>
    <w:p>
      <w:pPr>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xml:space="preserve">. Unless otherwise required by applicable law or the Certificate of Incorporation, the holders of a majority of the voting power of the Corporation’s capital stock issued and outstanding and entitled to vote thereat, present in person, present by means of remote communication, if any, or represented by proxy, shall constitute a quorum at a meeting of stockholders. Where a separate vote by a class or classes or series is required, a majority of the voting power of the shares of such class or classes or series present in person, present by means of remote communication, if any, or represented by proxy shall constitute a quorum entitled to take action with respect to such vote. If a quorum shall not be present or represented at any meeting of stockholders, either the chairperson of the meeting or the stockholders entitled to vote thereat, present in person or represented by proxy, shall have power to adjourn the meeting from time to time, in the manner provided in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of these Bylaws, until a quorum shall be present or represented. A quorum, once established, shall not be broken by the withdrawal of enough votes to leave less than a quorum.</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3" w:name="page114"/>
    <w:bookmarkEnd w:id="113"/>
    <w:p>
      <w:pPr>
        <w:ind w:left="88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1.7.</w:t>
      </w:r>
      <w:r>
        <w:rPr>
          <w:sz w:val="20"/>
          <w:szCs w:val="20"/>
          <w:color w:val="auto"/>
        </w:rPr>
        <w:tab/>
      </w:r>
      <w:r>
        <w:rPr>
          <w:rFonts w:ascii="Times New Roman" w:cs="Times New Roman" w:eastAsia="Times New Roman" w:hAnsi="Times New Roman"/>
          <w:sz w:val="21"/>
          <w:szCs w:val="21"/>
          <w:u w:val="single" w:color="auto"/>
          <w:color w:val="auto"/>
        </w:rPr>
        <w:t>Voting</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firstLine="872"/>
        <w:spacing w:after="0" w:line="234" w:lineRule="auto"/>
        <w:tabs>
          <w:tab w:leader="none" w:pos="175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Matters Other Than Election of Directors</w:t>
      </w:r>
      <w:r>
        <w:rPr>
          <w:rFonts w:ascii="Times New Roman" w:cs="Times New Roman" w:eastAsia="Times New Roman" w:hAnsi="Times New Roman"/>
          <w:sz w:val="22"/>
          <w:szCs w:val="22"/>
          <w:color w:val="auto"/>
        </w:rPr>
        <w:t xml:space="preserve">. Any matter brought before any meeting of stockholders of the Corporation, other than the election of directors, shall be decided by the affirmative vote of the holders of a majority of the voting power of the Corporation’s capital stock present in person or represented by proxy at the meeting and entitled to vote on such matter, voting as a single class, unless the matter is one upon which, by express provision of law, the Certificate of Incorporation or these Bylaws, a different vote is required, in which case such express provision shall govern and control the decision of such matter. Except as provided in the Certificate of Incorporation, every stockholder having the right to vote shall have one vote for each share of stock having voting power registered in such stockholder’s name on the books of the Corporation. Such votes may be cast in person or by proxy as provided in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xml:space="preserve"> of these Bylaws. The Board, in its discretion, or the officer of the Corporation presiding at a meeting of stockholders, in such officer’s discretion, may require that any votes cast at such meeting shall be cast by written ballot.</w:t>
      </w:r>
    </w:p>
    <w:p>
      <w:pPr>
        <w:spacing w:after="0" w:line="125" w:lineRule="exact"/>
        <w:rPr>
          <w:rFonts w:ascii="Times New Roman" w:cs="Times New Roman" w:eastAsia="Times New Roman" w:hAnsi="Times New Roman"/>
          <w:sz w:val="22"/>
          <w:szCs w:val="22"/>
          <w:color w:val="auto"/>
        </w:rPr>
      </w:pPr>
    </w:p>
    <w:p>
      <w:pPr>
        <w:jc w:val="both"/>
        <w:ind w:right="240" w:firstLine="872"/>
        <w:spacing w:after="0" w:line="244" w:lineRule="auto"/>
        <w:tabs>
          <w:tab w:leader="none" w:pos="176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of Directors</w:t>
      </w:r>
      <w:r>
        <w:rPr>
          <w:rFonts w:ascii="Times New Roman" w:cs="Times New Roman" w:eastAsia="Times New Roman" w:hAnsi="Times New Roman"/>
          <w:sz w:val="22"/>
          <w:szCs w:val="22"/>
          <w:color w:val="auto"/>
        </w:rPr>
        <w:t>. Subject to the rights of the holders of any series of preferred stock to elect directors under specified circumstances, election of directors at all meetings of the stockholders at which directors are to be elected shall be by a plurality of the votes cast at any meeting for the election of directors at which a quorum is present.</w:t>
      </w:r>
    </w:p>
    <w:p>
      <w:pPr>
        <w:spacing w:after="0" w:line="119" w:lineRule="exact"/>
        <w:rPr>
          <w:sz w:val="20"/>
          <w:szCs w:val="20"/>
          <w:color w:val="auto"/>
        </w:rPr>
      </w:pPr>
    </w:p>
    <w:p>
      <w:pPr>
        <w:ind w:right="40" w:firstLine="864"/>
        <w:spacing w:after="0" w:line="234"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Voting of Stock of Certain Holders</w:t>
      </w:r>
      <w:r>
        <w:rPr>
          <w:rFonts w:ascii="Times New Roman" w:cs="Times New Roman" w:eastAsia="Times New Roman" w:hAnsi="Times New Roman"/>
          <w:sz w:val="22"/>
          <w:szCs w:val="22"/>
          <w:color w:val="auto"/>
        </w:rPr>
        <w:t>. Shares of stock of the Corporation standing in the name of another corporation or entity, domestic or foreign, and entitled to vote may be voted by such officer, agent or proxy as the bylaws or other internal regulations of such corporation or entity may prescribe or, in the absence of such provision, as the board of directors or comparable body of such corporation or entity may determine. Shares of stock of the Corporation standing in the name of a deceased person, a minor, an incompetent or a debtor in a case under Title 11, United States Code, and entitled to vote may be voted by an administrator, executor, guardian, conservator, debtor-in-possession or trustee, as the case may be, either in person or by proxy, without transfer of such shares into the name of the official or other person so voting. A stockholder whose shares of stock of the Corporation are pledged shall be entitled to vote such shares, unless on the transfer records of the Corporation such stockholder has expressly empowered the pledgee to vote such shares, in which case only the pledgee, or the pledgee’s proxy, may vote such shares.</w:t>
      </w:r>
    </w:p>
    <w:p>
      <w:pPr>
        <w:spacing w:after="0" w:line="125" w:lineRule="exact"/>
        <w:rPr>
          <w:sz w:val="20"/>
          <w:szCs w:val="20"/>
          <w:color w:val="auto"/>
        </w:rPr>
      </w:pPr>
    </w:p>
    <w:p>
      <w:pPr>
        <w:ind w:right="20" w:firstLine="864"/>
        <w:spacing w:after="0" w:line="238" w:lineRule="auto"/>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Treasury Stock</w:t>
      </w:r>
      <w:r>
        <w:rPr>
          <w:rFonts w:ascii="Times New Roman" w:cs="Times New Roman" w:eastAsia="Times New Roman" w:hAnsi="Times New Roman"/>
          <w:sz w:val="22"/>
          <w:szCs w:val="22"/>
          <w:color w:val="auto"/>
        </w:rPr>
        <w:t xml:space="preserve">. Shares of stock of the Corporation belonging to the Corporation, or to another corporation a majority of the shares entitled to vote in the election of directors of which are held by the Corporation, shall not be voted at any meeting of stockholders of the Corporation and shall not be counted in the total number of outstanding shares for the purpose of determining whether a quorum is present. Nothing in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shall limit the right of the Corporation to vote shares of stock of the Corporation held by it in a fiduciary capacity.</w:t>
      </w:r>
    </w:p>
    <w:p>
      <w:pPr>
        <w:spacing w:after="0" w:line="123" w:lineRule="exact"/>
        <w:rPr>
          <w:sz w:val="20"/>
          <w:szCs w:val="20"/>
          <w:color w:val="auto"/>
        </w:rPr>
      </w:pPr>
    </w:p>
    <w:p>
      <w:pPr>
        <w:ind w:left="88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1.10.</w:t>
      </w:r>
      <w:r>
        <w:rPr>
          <w:sz w:val="20"/>
          <w:szCs w:val="20"/>
          <w:color w:val="auto"/>
        </w:rPr>
        <w:tab/>
      </w:r>
      <w:r>
        <w:rPr>
          <w:rFonts w:ascii="Times New Roman" w:cs="Times New Roman" w:eastAsia="Times New Roman" w:hAnsi="Times New Roman"/>
          <w:sz w:val="21"/>
          <w:szCs w:val="21"/>
          <w:u w:val="single" w:color="auto"/>
          <w:color w:val="auto"/>
        </w:rPr>
        <w:t>Proxies</w:t>
      </w:r>
      <w:r>
        <w:rPr>
          <w:rFonts w:ascii="Times New Roman" w:cs="Times New Roman" w:eastAsia="Times New Roman" w:hAnsi="Times New Roman"/>
          <w:sz w:val="21"/>
          <w:szCs w:val="21"/>
          <w:color w:val="auto"/>
        </w:rPr>
        <w:t>. Each stockholder entitled to vote at a meeting of stockholders of the Corporation may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authorize another person or persons to act for such stockholder by proxy filed with the secretary of the Corporation (the</w:t>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Secretary</w:t>
      </w:r>
      <w:r>
        <w:rPr>
          <w:rFonts w:ascii="Times New Roman" w:cs="Times New Roman" w:eastAsia="Times New Roman" w:hAnsi="Times New Roman"/>
          <w:sz w:val="21"/>
          <w:szCs w:val="21"/>
          <w:color w:val="auto"/>
        </w:rPr>
        <w:t>”) before or at the time of the meeting. No such proxy shall be voted or acted upon after three (3) years from its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the proxy provides for a longer period. A duly executed proxy shall be irrevocable if it states that it is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14" w:name="page115"/>
    <w:bookmarkEnd w:id="114"/>
    <w:p>
      <w:pPr>
        <w:ind w:right="280"/>
        <w:spacing w:after="0" w:line="244" w:lineRule="auto"/>
        <w:rPr>
          <w:sz w:val="20"/>
          <w:szCs w:val="20"/>
          <w:color w:val="auto"/>
        </w:rPr>
      </w:pPr>
      <w:r>
        <w:rPr>
          <w:rFonts w:ascii="Times New Roman" w:cs="Times New Roman" w:eastAsia="Times New Roman" w:hAnsi="Times New Roman"/>
          <w:sz w:val="22"/>
          <w:szCs w:val="22"/>
          <w:color w:val="auto"/>
        </w:rPr>
        <w:t>irrevocable and if, and only as long as, it is coupled with an interest sufficient in law to support an irrevocable power. A stockholder may revoke any proxy which is not irrevocable by attending the meeting and voting in person or by filing with the Secretary an instrument in writing revoking the proxy or another duly executed proxy bearing a later date.</w:t>
      </w:r>
    </w:p>
    <w:p>
      <w:pPr>
        <w:spacing w:after="0" w:line="119" w:lineRule="exact"/>
        <w:rPr>
          <w:sz w:val="20"/>
          <w:szCs w:val="20"/>
          <w:color w:val="auto"/>
        </w:rPr>
      </w:pPr>
    </w:p>
    <w:p>
      <w:pPr>
        <w:ind w:right="20" w:firstLine="864"/>
        <w:spacing w:after="0" w:line="238"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u w:val="single" w:color="auto"/>
          <w:color w:val="auto"/>
        </w:rPr>
        <w:t>No Consent of Stockholders in Lieu of Meeting</w:t>
      </w:r>
      <w:r>
        <w:rPr>
          <w:rFonts w:ascii="Times New Roman" w:cs="Times New Roman" w:eastAsia="Times New Roman" w:hAnsi="Times New Roman"/>
          <w:sz w:val="22"/>
          <w:szCs w:val="22"/>
          <w:color w:val="auto"/>
        </w:rPr>
        <w:t>.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stockholders of the Corporation, and, as specified by the Certificate of Incorporation, the ability of the stockholders to consent in writing to the taking of any action is specifically denied.</w:t>
      </w:r>
    </w:p>
    <w:p>
      <w:pPr>
        <w:spacing w:after="0" w:line="123" w:lineRule="exact"/>
        <w:rPr>
          <w:sz w:val="20"/>
          <w:szCs w:val="20"/>
          <w:color w:val="auto"/>
        </w:rPr>
      </w:pPr>
    </w:p>
    <w:p>
      <w:pPr>
        <w:ind w:firstLine="864"/>
        <w:spacing w:after="0" w:line="232" w:lineRule="auto"/>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u w:val="single" w:color="auto"/>
          <w:color w:val="auto"/>
        </w:rPr>
        <w:t>List of Stockholders Entitled to Vote</w:t>
      </w:r>
      <w:r>
        <w:rPr>
          <w:rFonts w:ascii="Times New Roman" w:cs="Times New Roman" w:eastAsia="Times New Roman" w:hAnsi="Times New Roman"/>
          <w:sz w:val="22"/>
          <w:szCs w:val="22"/>
          <w:color w:val="auto"/>
        </w:rPr>
        <w:t>. The officer of the Corporation who has charge of the stock ledger of the Corporation shall prepare and make or have prepared and made, at least ten (10) days before every meeting of stockholders of the Corporation, a complete list of the stockholders entitled to vote at the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record date for determining the stockholders entitled to vote is less than ten (10) days before the meeting date, the list shall reflect the stockholders entitled to vote as of the tenth (10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before the meeting date), arranged in alphabetical order, and showing the address of each stockholder and the number of shares registered in the name of each stockholder. Nothing in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be produced and kept at the time and place of the meeting during the whole time thereof and may be examined by any stockholder who is present. In the event that the Corporation determines to make the list available on an electronic network, the Corporation may take reasonable steps to ensure that such information is available only to stockholders of the Corporation.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36" w:lineRule="exact"/>
        <w:rPr>
          <w:sz w:val="20"/>
          <w:szCs w:val="20"/>
          <w:color w:val="auto"/>
        </w:rPr>
      </w:pPr>
    </w:p>
    <w:p>
      <w:pPr>
        <w:ind w:right="40" w:firstLine="864"/>
        <w:spacing w:after="0" w:line="234" w:lineRule="auto"/>
        <w:rPr>
          <w:sz w:val="20"/>
          <w:szCs w:val="20"/>
          <w:color w:val="auto"/>
        </w:rPr>
      </w:pPr>
      <w:r>
        <w:rPr>
          <w:rFonts w:ascii="Times New Roman" w:cs="Times New Roman" w:eastAsia="Times New Roman" w:hAnsi="Times New Roman"/>
          <w:sz w:val="22"/>
          <w:szCs w:val="22"/>
          <w:color w:val="auto"/>
        </w:rPr>
        <w:t xml:space="preserve">Section 1.13. </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In order that the Corporation may determine the stockholders entitled to notice of any meeting of stockholders of the Corporation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15" w:name="page116"/>
    <w:bookmarkEnd w:id="115"/>
    <w:p>
      <w:pPr>
        <w:ind w:right="160"/>
        <w:spacing w:after="0" w:line="239" w:lineRule="auto"/>
        <w:rPr>
          <w:sz w:val="20"/>
          <w:szCs w:val="20"/>
          <w:color w:val="auto"/>
        </w:rPr>
      </w:pPr>
      <w:r>
        <w:rPr>
          <w:rFonts w:ascii="Times New Roman" w:cs="Times New Roman" w:eastAsia="Times New Roman" w:hAnsi="Times New Roman"/>
          <w:sz w:val="22"/>
          <w:szCs w:val="22"/>
          <w:color w:val="auto"/>
        </w:rPr>
        <w:t xml:space="preserve">stockholders shall apply to any adjournment of the meeting, but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at the adjourned meeting.</w:t>
      </w:r>
    </w:p>
    <w:p>
      <w:pPr>
        <w:spacing w:after="0" w:line="126" w:lineRule="exact"/>
        <w:rPr>
          <w:sz w:val="20"/>
          <w:szCs w:val="20"/>
          <w:color w:val="auto"/>
        </w:rPr>
      </w:pPr>
    </w:p>
    <w:p>
      <w:pPr>
        <w:ind w:firstLine="864"/>
        <w:spacing w:after="0" w:line="243" w:lineRule="auto"/>
        <w:rPr>
          <w:sz w:val="20"/>
          <w:szCs w:val="20"/>
          <w:color w:val="auto"/>
        </w:rPr>
      </w:pPr>
      <w:r>
        <w:rPr>
          <w:rFonts w:ascii="Times New Roman" w:cs="Times New Roman" w:eastAsia="Times New Roman" w:hAnsi="Times New Roman"/>
          <w:sz w:val="21"/>
          <w:szCs w:val="21"/>
          <w:color w:val="auto"/>
        </w:rPr>
        <w:t xml:space="preserve">Section 1.14. </w:t>
      </w:r>
      <w:r>
        <w:rPr>
          <w:rFonts w:ascii="Times New Roman" w:cs="Times New Roman" w:eastAsia="Times New Roman" w:hAnsi="Times New Roman"/>
          <w:sz w:val="21"/>
          <w:szCs w:val="21"/>
          <w:u w:val="single" w:color="auto"/>
          <w:color w:val="auto"/>
        </w:rPr>
        <w:t>Organization and Conduct of Meetings</w:t>
      </w:r>
      <w:r>
        <w:rPr>
          <w:rFonts w:ascii="Times New Roman" w:cs="Times New Roman" w:eastAsia="Times New Roman" w:hAnsi="Times New Roman"/>
          <w:sz w:val="21"/>
          <w:szCs w:val="21"/>
          <w:color w:val="auto"/>
        </w:rPr>
        <w:t>. The Chairperson of the Board shall act as chairperson of meetings of stockholders of the Corporation. The Board may designate any other director or officer of the Corporation to act as chairperson of any meeting in the absence of the Chairperson of the Board, and the Board may further provide for determining who shall act as chairperson of any meeting of stockholders in the absence of the Chairperson of the Board and such designee. The Board may adopt by resolution such rules and regulations for the conduct of any meeting of stockholders as it shall deem appropriate. Except to the extent inconsistent with such rules and regulations as adopted by the Board, the chairperson of any meeting of stockholders shall have the right and authority to convene and (for any or no reason) to recess or adjourn the meeting to prescribe such rules, regulations and procedures and to do all such acts as, in the judgment of such chairperson, are appropriate for the proper conduct of the meeting. Such rules, regulations or procedures, whether adopted by the Board or prescribed by the chairperson of the meeting, may include, without limitation, the following: (a) the establishment of an agenda or order of business for the meeting; (b) the determination of when the polls shall open and close for any given matter to be voted on at the meeting; (c) rules and procedures for maintaining order at the meeting and the safety of those present; (d) limitations on attendance at or participation in the meeting to stockholders of record of the Corporation, their duly authorized proxies or such other persons as the chairperson of the meeting shall determine; (e) restrictions on entry to the meeting after the time fixed for the commencement of the meeting; (f) limitations on the time allotted to questions or comments by participants; (g) removal of any stockholder or any other individual who refuses to comply with meeting procedures, rules or guidelines; (h) conclusion, recess or adjournment of the meeting, regardless of whether a quorum is present, to a later date and time and at a place, if any, announced at the meeting; (i) restrictions on the use of audio and video recording devices, cell phones and other electronic devices; (j) rules, regulations or procedures for compliance with any state and local laws and regulations concerning safety, health and security; (k) procedures (if any) requiring attendees to provide the Corporation advance notice of their intent to attend the meeting and (l) any guidelines and procedures as the chairperson may deem appropriate regarding the participation by means of remote communication of stockholders and proxyholders not physically present at a meeting, whether such meeting is to be held at a designated place or solely by means of remote communication. The chairperson of a stockholder meeting, in addition to making any other determinations that may be appropriate to the conduct of the meeting, shall determine and declare to the meeting that a matter or business was not properly brought before the meeting, and, if the chairperson should so determine, the chairperson shall so declare to the meeting and any such matter of business not properly brought before the meeting shall not be transacted or considered. Except to the extent determined by the Board or the person presiding over the meeting, meetings of stockholders shall not be required to be held in accordance with the rules of parliamentary procedure.</w:t>
      </w:r>
    </w:p>
    <w:p>
      <w:pPr>
        <w:spacing w:after="0" w:line="364" w:lineRule="exact"/>
        <w:rPr>
          <w:sz w:val="20"/>
          <w:szCs w:val="20"/>
          <w:color w:val="auto"/>
        </w:rPr>
      </w:pPr>
    </w:p>
    <w:p>
      <w:pPr>
        <w:ind w:right="880" w:firstLine="864"/>
        <w:spacing w:after="0" w:line="258" w:lineRule="auto"/>
        <w:rPr>
          <w:sz w:val="20"/>
          <w:szCs w:val="20"/>
          <w:color w:val="auto"/>
        </w:rPr>
      </w:pPr>
      <w:r>
        <w:rPr>
          <w:rFonts w:ascii="Times New Roman" w:cs="Times New Roman" w:eastAsia="Times New Roman" w:hAnsi="Times New Roman"/>
          <w:sz w:val="22"/>
          <w:szCs w:val="22"/>
          <w:color w:val="auto"/>
        </w:rPr>
        <w:t xml:space="preserve">Section 1.15. </w:t>
      </w:r>
      <w:r>
        <w:rPr>
          <w:rFonts w:ascii="Times New Roman" w:cs="Times New Roman" w:eastAsia="Times New Roman" w:hAnsi="Times New Roman"/>
          <w:sz w:val="22"/>
          <w:szCs w:val="22"/>
          <w:u w:val="single" w:color="auto"/>
          <w:color w:val="auto"/>
        </w:rPr>
        <w:t>Inspectors of Election</w:t>
      </w:r>
      <w:r>
        <w:rPr>
          <w:rFonts w:ascii="Times New Roman" w:cs="Times New Roman" w:eastAsia="Times New Roman" w:hAnsi="Times New Roman"/>
          <w:sz w:val="22"/>
          <w:szCs w:val="22"/>
          <w:color w:val="auto"/>
        </w:rPr>
        <w:t>. In advance of any meeting of stockholders of the Corporation, the Chairperson of the Board, the Chief Executive Officer or the Board, by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16" w:name="page117"/>
    <w:bookmarkEnd w:id="116"/>
    <w:p>
      <w:pPr>
        <w:spacing w:after="0" w:line="235" w:lineRule="auto"/>
        <w:rPr>
          <w:sz w:val="20"/>
          <w:szCs w:val="20"/>
          <w:color w:val="auto"/>
        </w:rPr>
      </w:pPr>
      <w:r>
        <w:rPr>
          <w:rFonts w:ascii="Times New Roman" w:cs="Times New Roman" w:eastAsia="Times New Roman" w:hAnsi="Times New Roman"/>
          <w:sz w:val="22"/>
          <w:szCs w:val="22"/>
          <w:color w:val="auto"/>
        </w:rPr>
        <w:t>resolution, shall appoint one or more inspectors to act at the meeting and make a written report thereof. One or more other persons may be designated as alternate inspectors to replace any inspector who fails to act. If no inspector or alternate is able to act at a meeting of stockholders, the chairperson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spacing w:after="0" w:line="124" w:lineRule="exact"/>
        <w:rPr>
          <w:sz w:val="20"/>
          <w:szCs w:val="20"/>
          <w:color w:val="auto"/>
        </w:rPr>
      </w:pPr>
    </w:p>
    <w:p>
      <w:pPr>
        <w:ind w:left="88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1.16.</w:t>
      </w:r>
      <w:r>
        <w:rPr>
          <w:sz w:val="20"/>
          <w:szCs w:val="20"/>
          <w:color w:val="auto"/>
        </w:rPr>
        <w:tab/>
      </w:r>
      <w:r>
        <w:rPr>
          <w:rFonts w:ascii="Times New Roman" w:cs="Times New Roman" w:eastAsia="Times New Roman" w:hAnsi="Times New Roman"/>
          <w:sz w:val="21"/>
          <w:szCs w:val="21"/>
          <w:u w:val="single" w:color="auto"/>
          <w:color w:val="auto"/>
        </w:rPr>
        <w:t>Notice of Stockholder Proposals and Director Nominations</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right="40" w:firstLine="872"/>
        <w:spacing w:after="0" w:line="245" w:lineRule="auto"/>
        <w:tabs>
          <w:tab w:leader="none" w:pos="175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Meetings of Stockholders</w:t>
      </w:r>
      <w:r>
        <w:rPr>
          <w:rFonts w:ascii="Times New Roman" w:cs="Times New Roman" w:eastAsia="Times New Roman" w:hAnsi="Times New Roman"/>
          <w:sz w:val="21"/>
          <w:szCs w:val="21"/>
          <w:color w:val="auto"/>
        </w:rPr>
        <w:t xml:space="preserve">. Nominations of persons for election to the Board and the proposal of business other than nominations to be considered by the stockholders may be made at an annual meeting of stockholders only: (i) pursuant to the Corporation’s notice of meeting (or any supplement thereto) with respect to such annual meeting given by or at the direction of the Board (or any duly authorized committee thereof), (ii) otherwise properly brought before such annual meeting by or at the direction of the Board (or any duly authorized committee thereof) or (iii) by any stockholder of the Corporation who (A) is a stockholder of record on the date of the giving of the notice provided for in this </w:t>
      </w:r>
      <w:r>
        <w:rPr>
          <w:rFonts w:ascii="Times New Roman" w:cs="Times New Roman" w:eastAsia="Times New Roman" w:hAnsi="Times New Roman"/>
          <w:sz w:val="21"/>
          <w:szCs w:val="21"/>
          <w:u w:val="single" w:color="auto"/>
          <w:color w:val="auto"/>
        </w:rPr>
        <w:t>Section 1.16</w:t>
      </w:r>
      <w:r>
        <w:rPr>
          <w:rFonts w:ascii="Times New Roman" w:cs="Times New Roman" w:eastAsia="Times New Roman" w:hAnsi="Times New Roman"/>
          <w:sz w:val="21"/>
          <w:szCs w:val="21"/>
          <w:color w:val="auto"/>
        </w:rPr>
        <w:t xml:space="preserve"> through the date of such annual meeting, (B) is entitled to vote at such annual meeting and (C) complies with the notice procedures set forth in this </w:t>
      </w:r>
      <w:r>
        <w:rPr>
          <w:rFonts w:ascii="Times New Roman" w:cs="Times New Roman" w:eastAsia="Times New Roman" w:hAnsi="Times New Roman"/>
          <w:sz w:val="21"/>
          <w:szCs w:val="21"/>
          <w:u w:val="single" w:color="auto"/>
          <w:color w:val="auto"/>
        </w:rPr>
        <w:t>Section 1.16</w:t>
      </w:r>
      <w:r>
        <w:rPr>
          <w:rFonts w:ascii="Times New Roman" w:cs="Times New Roman" w:eastAsia="Times New Roman" w:hAnsi="Times New Roman"/>
          <w:sz w:val="21"/>
          <w:szCs w:val="21"/>
          <w:color w:val="auto"/>
        </w:rPr>
        <w:t>. For the avoidance of doubt, compliance with the foregoing clause (iii) shall be the exclusive means for a stockholder to make nominations, or to propose any other business (other than a proposal included in the Corporation’s proxy materials pursuant to and in compliance with Rule 14a-8 under the Securities Exchange Act of 1934, as amended (such act, and the rules and regulations promulgated thereunder,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at an annual meeting of stockholders.</w:t>
      </w:r>
    </w:p>
    <w:p>
      <w:pPr>
        <w:spacing w:after="0" w:line="123" w:lineRule="exact"/>
        <w:rPr>
          <w:rFonts w:ascii="Times New Roman" w:cs="Times New Roman" w:eastAsia="Times New Roman" w:hAnsi="Times New Roman"/>
          <w:sz w:val="21"/>
          <w:szCs w:val="21"/>
          <w:color w:val="auto"/>
        </w:rPr>
      </w:pPr>
    </w:p>
    <w:p>
      <w:pPr>
        <w:ind w:firstLine="872"/>
        <w:spacing w:after="0" w:line="233" w:lineRule="auto"/>
        <w:tabs>
          <w:tab w:leader="none" w:pos="176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Notice for Annual Meetings</w:t>
      </w:r>
      <w:r>
        <w:rPr>
          <w:rFonts w:ascii="Times New Roman" w:cs="Times New Roman" w:eastAsia="Times New Roman" w:hAnsi="Times New Roman"/>
          <w:sz w:val="22"/>
          <w:szCs w:val="22"/>
          <w:color w:val="auto"/>
        </w:rPr>
        <w:t xml:space="preserve">. In addition to any other applicable requirements, for nominations or other business to be properly brought before an annual meeting by a stockholder pursuant to </w:t>
      </w:r>
      <w:r>
        <w:rPr>
          <w:rFonts w:ascii="Times New Roman" w:cs="Times New Roman" w:eastAsia="Times New Roman" w:hAnsi="Times New Roman"/>
          <w:sz w:val="22"/>
          <w:szCs w:val="22"/>
          <w:u w:val="single" w:color="auto"/>
          <w:color w:val="auto"/>
        </w:rPr>
        <w:t>Section 1.16(a)(iii</w:t>
      </w:r>
      <w:r>
        <w:rPr>
          <w:rFonts w:ascii="Times New Roman" w:cs="Times New Roman" w:eastAsia="Times New Roman" w:hAnsi="Times New Roman"/>
          <w:sz w:val="22"/>
          <w:szCs w:val="22"/>
          <w:color w:val="auto"/>
        </w:rPr>
        <w:t xml:space="preserve">) above, the stockholder must have given timely notice thereof in proper written form to the Secretary, and, in the case of business other than nominations, such business must be a proper matter for stockholder action. To be timely, such notice must be received by the Secretary at the principal executive offices of the Corporation not later than the Close of Business on the ninetieth (90th) day, or earlier than the Close of Business on the one hundred twentieth (120th) day, prior to the first anniversary of the date of the preceding year’s annual meeting of stockholders;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the first annual meeting after October 14, 2020, if the date of the annual meeting of stockholders is more than thirty (30) days prior to, or more than sixty (60) days after, the first anniversary of the date of the preceding year’s annual meeting or if no annual meeting was held in the preceding year, to be timely, a stockholder’s notice must be so received not later than the Close of Business on the later of (i) the ninetieth (90th) day prior to such annual meeting and (ii) the tenth (10th) day following the day on which public disclosure (as defined below) of the date of the meeting is first made by the Corporation. In no event shall the adjournment, recess, postponement or rescheduling of an annual meeting (or the public disclosure thereof) commence a new time period (or extend any time period) for the giving of notice as described above.</w:t>
      </w:r>
    </w:p>
    <w:p>
      <w:pPr>
        <w:spacing w:after="0" w:line="179"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117" w:name="page118"/>
    <w:bookmarkEnd w:id="117"/>
    <w:p>
      <w:pPr>
        <w:ind w:left="1760" w:hanging="888"/>
        <w:spacing w:after="0"/>
        <w:tabs>
          <w:tab w:leader="none" w:pos="17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of Notice</w:t>
      </w:r>
      <w:r>
        <w:rPr>
          <w:rFonts w:ascii="Times New Roman" w:cs="Times New Roman" w:eastAsia="Times New Roman" w:hAnsi="Times New Roman"/>
          <w:sz w:val="21"/>
          <w:szCs w:val="21"/>
          <w:color w:val="auto"/>
        </w:rPr>
        <w:t xml:space="preserve">. To be in proper written form, the notice of any stockholder giving notice under this </w:t>
      </w:r>
      <w:r>
        <w:rPr>
          <w:rFonts w:ascii="Times New Roman" w:cs="Times New Roman" w:eastAsia="Times New Roman" w:hAnsi="Times New Roman"/>
          <w:sz w:val="21"/>
          <w:szCs w:val="21"/>
          <w:u w:val="single" w:color="auto"/>
          <w:color w:val="auto"/>
        </w:rPr>
        <w:t>Section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1.16</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b w:val="1"/>
          <w:bCs w:val="1"/>
          <w:i w:val="1"/>
          <w:iCs w:val="1"/>
          <w:color w:val="auto"/>
        </w:rPr>
        <w:t>Noticing Party</w:t>
      </w:r>
      <w:r>
        <w:rPr>
          <w:rFonts w:ascii="Times New Roman" w:cs="Times New Roman" w:eastAsia="Times New Roman" w:hAnsi="Times New Roman"/>
          <w:sz w:val="22"/>
          <w:szCs w:val="22"/>
          <w:color w:val="auto"/>
        </w:rPr>
        <w:t>”) must set forth:</w:t>
      </w:r>
    </w:p>
    <w:p>
      <w:pPr>
        <w:spacing w:after="0" w:line="128" w:lineRule="exact"/>
        <w:rPr>
          <w:rFonts w:ascii="Times New Roman" w:cs="Times New Roman" w:eastAsia="Times New Roman" w:hAnsi="Times New Roman"/>
          <w:sz w:val="21"/>
          <w:szCs w:val="21"/>
          <w:color w:val="auto"/>
        </w:rPr>
      </w:pPr>
    </w:p>
    <w:p>
      <w:pPr>
        <w:ind w:left="880" w:right="160" w:firstLine="789"/>
        <w:spacing w:after="0" w:line="258" w:lineRule="auto"/>
        <w:tabs>
          <w:tab w:leader="none" w:pos="2529"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whom such Noticing Stockholder proposes to nominate for election or reelection as a director (each, a “</w:t>
      </w:r>
      <w:r>
        <w:rPr>
          <w:rFonts w:ascii="Times New Roman" w:cs="Times New Roman" w:eastAsia="Times New Roman" w:hAnsi="Times New Roman"/>
          <w:sz w:val="22"/>
          <w:szCs w:val="22"/>
          <w:b w:val="1"/>
          <w:bCs w:val="1"/>
          <w:i w:val="1"/>
          <w:iCs w:val="1"/>
          <w:color w:val="auto"/>
        </w:rPr>
        <w:t>Proposed Nominee</w:t>
      </w:r>
      <w:r>
        <w:rPr>
          <w:rFonts w:ascii="Times New Roman" w:cs="Times New Roman" w:eastAsia="Times New Roman" w:hAnsi="Times New Roman"/>
          <w:sz w:val="22"/>
          <w:szCs w:val="22"/>
          <w:color w:val="auto"/>
        </w:rPr>
        <w:t>”), if any:</w:t>
      </w:r>
    </w:p>
    <w:p>
      <w:pPr>
        <w:spacing w:after="0" w:line="104" w:lineRule="exact"/>
        <w:rPr>
          <w:rFonts w:ascii="Times New Roman" w:cs="Times New Roman" w:eastAsia="Times New Roman" w:hAnsi="Times New Roman"/>
          <w:sz w:val="22"/>
          <w:szCs w:val="22"/>
          <w:color w:val="auto"/>
        </w:rPr>
      </w:pPr>
    </w:p>
    <w:p>
      <w:pPr>
        <w:ind w:left="2820" w:hanging="354"/>
        <w:spacing w:after="0"/>
        <w:tabs>
          <w:tab w:leader="none" w:pos="2820"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age, business address and residence address of such Proposed Nominee;</w:t>
      </w:r>
    </w:p>
    <w:p>
      <w:pPr>
        <w:spacing w:after="0" w:line="152" w:lineRule="exact"/>
        <w:rPr>
          <w:rFonts w:ascii="Times New Roman" w:cs="Times New Roman" w:eastAsia="Times New Roman" w:hAnsi="Times New Roman"/>
          <w:sz w:val="22"/>
          <w:szCs w:val="22"/>
          <w:color w:val="auto"/>
        </w:rPr>
      </w:pPr>
    </w:p>
    <w:p>
      <w:pPr>
        <w:ind w:left="2800" w:hanging="334"/>
        <w:spacing w:after="0"/>
        <w:tabs>
          <w:tab w:leader="none" w:pos="2800"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occupation and employment of such Proposed Nominee;</w:t>
      </w:r>
    </w:p>
    <w:p>
      <w:pPr>
        <w:spacing w:after="0" w:line="152" w:lineRule="exact"/>
        <w:rPr>
          <w:sz w:val="20"/>
          <w:szCs w:val="20"/>
          <w:color w:val="auto"/>
        </w:rPr>
      </w:pPr>
    </w:p>
    <w:p>
      <w:pPr>
        <w:ind w:left="1740" w:right="180" w:firstLine="726"/>
        <w:spacing w:after="0" w:line="255" w:lineRule="auto"/>
        <w:tabs>
          <w:tab w:leader="none" w:pos="2813"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questionnaire with respect to the background and qualification of such Proposed Nominee, completed by such Proposed Nominee in the form required by the Corporation (which form such Noticing Stockholder shall request in writing from the Secretary prior to submitting notice and which the Secretary shall provide to such Noticing Stockholder within ten (10) days after receiving such request);</w:t>
      </w:r>
    </w:p>
    <w:p>
      <w:pPr>
        <w:spacing w:after="0" w:line="107" w:lineRule="exact"/>
        <w:rPr>
          <w:rFonts w:ascii="Times New Roman" w:cs="Times New Roman" w:eastAsia="Times New Roman" w:hAnsi="Times New Roman"/>
          <w:sz w:val="21"/>
          <w:szCs w:val="21"/>
          <w:color w:val="auto"/>
        </w:rPr>
      </w:pPr>
    </w:p>
    <w:p>
      <w:pPr>
        <w:ind w:left="1740" w:firstLine="726"/>
        <w:spacing w:after="0" w:line="242" w:lineRule="auto"/>
        <w:tabs>
          <w:tab w:leader="none" w:pos="2813"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representation and agreement completed by such Proposed Nominee in the form required by the Corporation (which form such Noticing Stockholder shall request in writing from the Secretary prior to submitting notice and which the Secretary shall provide to such Noticing Stockholder within ten (10) days after receiving such request) providing that such Proposed Nominee: (I) is not and will not become a party to any agreement, arrangement or understanding with, and has not given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21"/>
          <w:szCs w:val="21"/>
          <w:b w:val="1"/>
          <w:bCs w:val="1"/>
          <w:i w:val="1"/>
          <w:iCs w:val="1"/>
          <w:color w:val="auto"/>
        </w:rPr>
        <w:t>Voting Commitment</w:t>
      </w:r>
      <w:r>
        <w:rPr>
          <w:rFonts w:ascii="Times New Roman" w:cs="Times New Roman" w:eastAsia="Times New Roman" w:hAnsi="Times New Roman"/>
          <w:sz w:val="21"/>
          <w:szCs w:val="21"/>
          <w:color w:val="auto"/>
        </w:rPr>
        <w:t>”) that has not been disclosed to the Corporation or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(III) will, if elected as a director of the Corporation, comply with all applicable rules of any securities exchanges upon which the Corporation’s securities are listed, the Certificate of Incorporation, these Bylaws and all applicable publicly disclosed corporate governance, ethics, conflict of interest, confidentiality and stock ownership and trading policies and other guidelines and policies of the Corporation generally applicable to directors (which will be provided to such Proposed Nominee within five</w:t>
      </w:r>
    </w:p>
    <w:p>
      <w:pPr>
        <w:spacing w:after="0" w:line="15" w:lineRule="exact"/>
        <w:rPr>
          <w:rFonts w:ascii="Times New Roman" w:cs="Times New Roman" w:eastAsia="Times New Roman" w:hAnsi="Times New Roman"/>
          <w:sz w:val="21"/>
          <w:szCs w:val="21"/>
          <w:color w:val="auto"/>
        </w:rPr>
      </w:pPr>
    </w:p>
    <w:p>
      <w:pPr>
        <w:ind w:left="1740" w:right="20" w:hanging="5"/>
        <w:spacing w:after="0" w:line="232" w:lineRule="auto"/>
        <w:tabs>
          <w:tab w:leader="none" w:pos="204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Secretary receives any written request therefor from such Proposed Nominee), and all applicable fiduciary duties under state law; (IV) consents to being named as a nominee in the Corporation’s proxy statement and form of proxy for the meeting and to serving a full term as a director of the Corporation, if elected; and (V) will provide facts, statements and other information in all communications with the Corporation and its stockholders that are or will be true and correct in all material respects and that do not and will not omit to state a</w:t>
      </w:r>
    </w:p>
    <w:p>
      <w:pPr>
        <w:spacing w:after="0" w:line="182"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118" w:name="page119"/>
    <w:bookmarkEnd w:id="118"/>
    <w:p>
      <w:pPr>
        <w:ind w:left="620" w:right="100"/>
        <w:spacing w:after="0" w:line="258" w:lineRule="auto"/>
        <w:rPr>
          <w:sz w:val="20"/>
          <w:szCs w:val="20"/>
          <w:color w:val="auto"/>
        </w:rPr>
      </w:pPr>
      <w:r>
        <w:rPr>
          <w:rFonts w:ascii="Times New Roman" w:cs="Times New Roman" w:eastAsia="Times New Roman" w:hAnsi="Times New Roman"/>
          <w:sz w:val="22"/>
          <w:szCs w:val="22"/>
          <w:color w:val="auto"/>
        </w:rPr>
        <w:t>material fact necessary in order to make the statements made, in light of the circumstances under which they are made, not misleading;</w:t>
      </w:r>
    </w:p>
    <w:p>
      <w:pPr>
        <w:spacing w:after="0" w:line="104" w:lineRule="exact"/>
        <w:rPr>
          <w:sz w:val="20"/>
          <w:szCs w:val="20"/>
          <w:color w:val="auto"/>
        </w:rPr>
      </w:pPr>
    </w:p>
    <w:p>
      <w:pPr>
        <w:ind w:left="620" w:firstLine="726"/>
        <w:spacing w:after="0" w:line="248" w:lineRule="auto"/>
        <w:tabs>
          <w:tab w:leader="none" w:pos="1705"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direct and indirect compensation and other material monetary agreements, arrangements and understandings, written or oral, during the past three (3) years, and any other material relationships, between or among such Proposed Nominee, on the one hand, and such Noticing Stockholder or any Stockholder Associated Person (as defined below), on the other hand, including, without limitation, all information that would be required to be disclosed pursuant to Item 404 promulgated under Regulation S-K as if such Noticing Stockholder and any Stockholder Associated Person were the “registrant” for purposes of such rule and the Proposed Nominee were a director or executive officer of such registrant; and</w:t>
      </w:r>
    </w:p>
    <w:p>
      <w:pPr>
        <w:spacing w:after="0" w:line="116" w:lineRule="exact"/>
        <w:rPr>
          <w:rFonts w:ascii="Times New Roman" w:cs="Times New Roman" w:eastAsia="Times New Roman" w:hAnsi="Times New Roman"/>
          <w:sz w:val="21"/>
          <w:szCs w:val="21"/>
          <w:color w:val="auto"/>
        </w:rPr>
      </w:pPr>
    </w:p>
    <w:p>
      <w:pPr>
        <w:ind w:left="620" w:right="40" w:firstLine="726"/>
        <w:spacing w:after="0" w:line="238" w:lineRule="auto"/>
        <w:tabs>
          <w:tab w:leader="none" w:pos="168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information relating to such Proposed Nominee or such Proposed Nominee’s associates that would be required to be disclosed in a proxy statement or other filing required to be made by such Noticing Party or any Stockholder Associated Person in connection with the solicitation of proxies for the election of directors in a contested election or otherwise required pursuant to Section 14 of the Exchange Act and the rules and regulations promulgated thereunder (collectively, the “</w:t>
      </w:r>
      <w:r>
        <w:rPr>
          <w:rFonts w:ascii="Times New Roman" w:cs="Times New Roman" w:eastAsia="Times New Roman" w:hAnsi="Times New Roman"/>
          <w:sz w:val="22"/>
          <w:szCs w:val="22"/>
          <w:b w:val="1"/>
          <w:bCs w:val="1"/>
          <w:i w:val="1"/>
          <w:iCs w:val="1"/>
          <w:color w:val="auto"/>
        </w:rPr>
        <w:t>Proxy Rules</w:t>
      </w:r>
      <w:r>
        <w:rPr>
          <w:rFonts w:ascii="Times New Roman" w:cs="Times New Roman" w:eastAsia="Times New Roman" w:hAnsi="Times New Roman"/>
          <w:sz w:val="22"/>
          <w:szCs w:val="22"/>
          <w:color w:val="auto"/>
        </w:rPr>
        <w:t>”);</w:t>
      </w:r>
    </w:p>
    <w:p>
      <w:pPr>
        <w:spacing w:after="0" w:line="122" w:lineRule="exact"/>
        <w:rPr>
          <w:rFonts w:ascii="Times New Roman" w:cs="Times New Roman" w:eastAsia="Times New Roman" w:hAnsi="Times New Roman"/>
          <w:sz w:val="22"/>
          <w:szCs w:val="22"/>
          <w:color w:val="auto"/>
        </w:rPr>
      </w:pPr>
    </w:p>
    <w:p>
      <w:pPr>
        <w:ind w:left="1460" w:hanging="911"/>
        <w:spacing w:after="0"/>
        <w:tabs>
          <w:tab w:leader="none" w:pos="14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other business that such Noticing Stockholder proposes to bring before the meeting:</w:t>
      </w:r>
    </w:p>
    <w:p>
      <w:pPr>
        <w:spacing w:after="0" w:line="152" w:lineRule="exact"/>
        <w:rPr>
          <w:rFonts w:ascii="Times New Roman" w:cs="Times New Roman" w:eastAsia="Times New Roman" w:hAnsi="Times New Roman"/>
          <w:sz w:val="22"/>
          <w:szCs w:val="22"/>
          <w:color w:val="auto"/>
        </w:rPr>
      </w:pPr>
    </w:p>
    <w:p>
      <w:pPr>
        <w:ind w:left="620" w:right="240" w:firstLine="726"/>
        <w:spacing w:after="0" w:line="258" w:lineRule="auto"/>
        <w:tabs>
          <w:tab w:leader="none" w:pos="1705"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reasonably brief description of the business desired to be brought before the meeting and the reasons for conducting such business at the meeting;</w:t>
      </w:r>
    </w:p>
    <w:p>
      <w:pPr>
        <w:spacing w:after="0" w:line="104" w:lineRule="exact"/>
        <w:rPr>
          <w:rFonts w:ascii="Times New Roman" w:cs="Times New Roman" w:eastAsia="Times New Roman" w:hAnsi="Times New Roman"/>
          <w:sz w:val="22"/>
          <w:szCs w:val="22"/>
          <w:color w:val="auto"/>
        </w:rPr>
      </w:pPr>
    </w:p>
    <w:p>
      <w:pPr>
        <w:ind w:left="620" w:right="140" w:firstLine="726"/>
        <w:spacing w:after="0" w:line="244" w:lineRule="auto"/>
        <w:tabs>
          <w:tab w:leader="none" w:pos="1693"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text of the proposal or business (including the complete text of any resolutions proposed for consideration and, in the event that such business includes a proposal to amend the Certificate of Incorporation or these Bylaws, the language of the proposed amendment); and</w:t>
      </w:r>
    </w:p>
    <w:p>
      <w:pPr>
        <w:spacing w:after="0" w:line="119" w:lineRule="exact"/>
        <w:rPr>
          <w:rFonts w:ascii="Times New Roman" w:cs="Times New Roman" w:eastAsia="Times New Roman" w:hAnsi="Times New Roman"/>
          <w:sz w:val="22"/>
          <w:szCs w:val="22"/>
          <w:color w:val="auto"/>
        </w:rPr>
      </w:pPr>
    </w:p>
    <w:p>
      <w:pPr>
        <w:ind w:left="620" w:right="160" w:firstLine="726"/>
        <w:spacing w:after="0" w:line="239" w:lineRule="auto"/>
        <w:tabs>
          <w:tab w:leader="none" w:pos="1693"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information relating to such business that would be required to be disclosed in a proxy statement or other filing required to be made by such Noticing Stockholder or any Stockholder Associated Person in connection with the solicitation of proxies in support of such proposed business by such Noticing Party or any Stockholder Associated Person pursuant to the Proxy Rules; and</w:t>
      </w:r>
    </w:p>
    <w:p>
      <w:pPr>
        <w:spacing w:after="0" w:line="126" w:lineRule="exact"/>
        <w:rPr>
          <w:rFonts w:ascii="Times New Roman" w:cs="Times New Roman" w:eastAsia="Times New Roman" w:hAnsi="Times New Roman"/>
          <w:sz w:val="22"/>
          <w:szCs w:val="22"/>
          <w:color w:val="auto"/>
        </w:rPr>
      </w:pPr>
    </w:p>
    <w:p>
      <w:pPr>
        <w:ind w:left="1520" w:hanging="971"/>
        <w:spacing w:after="0"/>
        <w:tabs>
          <w:tab w:leader="none" w:pos="15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such Noticing Party, each Proposed Nominee and each Stockholder Associated Person:</w:t>
      </w:r>
    </w:p>
    <w:p>
      <w:pPr>
        <w:spacing w:after="0" w:line="152" w:lineRule="exact"/>
        <w:rPr>
          <w:rFonts w:ascii="Times New Roman" w:cs="Times New Roman" w:eastAsia="Times New Roman" w:hAnsi="Times New Roman"/>
          <w:sz w:val="22"/>
          <w:szCs w:val="22"/>
          <w:color w:val="auto"/>
        </w:rPr>
      </w:pPr>
    </w:p>
    <w:p>
      <w:pPr>
        <w:ind w:left="620" w:right="420" w:firstLine="726"/>
        <w:spacing w:after="0" w:line="282" w:lineRule="auto"/>
        <w:tabs>
          <w:tab w:leader="none" w:pos="1705"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and address of such Noticing Party, each Proposed Nominee and each Stockholder Associated Person (including, as applicable, as they appear on the Corporation’s books and records);</w:t>
      </w:r>
    </w:p>
    <w:p>
      <w:pPr>
        <w:spacing w:after="0" w:line="80" w:lineRule="exact"/>
        <w:rPr>
          <w:rFonts w:ascii="Times New Roman" w:cs="Times New Roman" w:eastAsia="Times New Roman" w:hAnsi="Times New Roman"/>
          <w:sz w:val="21"/>
          <w:szCs w:val="21"/>
          <w:color w:val="auto"/>
        </w:rPr>
      </w:pPr>
    </w:p>
    <w:p>
      <w:pPr>
        <w:ind w:left="620" w:right="200" w:firstLine="726"/>
        <w:spacing w:after="0" w:line="244" w:lineRule="auto"/>
        <w:tabs>
          <w:tab w:leader="none" w:pos="1693"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series and number of shares of each class or series of capital stock (if any) of the Corporation that are, directly or indirectly, owned beneficially and/or of record by such Noticing Party, any Proposed Nominee or</w:t>
      </w:r>
    </w:p>
    <w:p>
      <w:pPr>
        <w:spacing w:after="0" w:line="173" w:lineRule="exact"/>
        <w:rPr>
          <w:rFonts w:ascii="Times New Roman" w:cs="Times New Roman" w:eastAsia="Times New Roman" w:hAnsi="Times New Roman"/>
          <w:sz w:val="22"/>
          <w:szCs w:val="22"/>
          <w:color w:val="auto"/>
        </w:rPr>
      </w:pPr>
    </w:p>
    <w:p>
      <w:pPr>
        <w:ind w:left="4460" w:hanging="136"/>
        <w:spacing w:after="0"/>
        <w:tabs>
          <w:tab w:leader="none" w:pos="4460"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80"/>
          </w:cols>
          <w:pgMar w:left="1440" w:top="490" w:right="379" w:bottom="1440" w:gutter="0" w:footer="0" w:header="0"/>
        </w:sectPr>
      </w:pPr>
    </w:p>
    <w:bookmarkStart w:id="119" w:name="page120"/>
    <w:bookmarkEnd w:id="119"/>
    <w:p>
      <w:pPr>
        <w:ind w:left="620" w:right="20"/>
        <w:spacing w:after="0" w:line="258" w:lineRule="auto"/>
        <w:rPr>
          <w:sz w:val="20"/>
          <w:szCs w:val="20"/>
          <w:color w:val="auto"/>
        </w:rPr>
      </w:pPr>
      <w:r>
        <w:rPr>
          <w:rFonts w:ascii="Times New Roman" w:cs="Times New Roman" w:eastAsia="Times New Roman" w:hAnsi="Times New Roman"/>
          <w:sz w:val="22"/>
          <w:szCs w:val="22"/>
          <w:color w:val="auto"/>
        </w:rPr>
        <w:t>any Stockholder Associated Person and the date or dates such shares were acquired and the investment intent of such acquisition;</w:t>
      </w:r>
    </w:p>
    <w:p>
      <w:pPr>
        <w:spacing w:after="0" w:line="104" w:lineRule="exact"/>
        <w:rPr>
          <w:sz w:val="20"/>
          <w:szCs w:val="20"/>
          <w:color w:val="auto"/>
        </w:rPr>
      </w:pPr>
    </w:p>
    <w:p>
      <w:pPr>
        <w:ind w:left="620" w:firstLine="726"/>
        <w:spacing w:after="0" w:line="239" w:lineRule="auto"/>
        <w:tabs>
          <w:tab w:leader="none" w:pos="169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each nominee holder for, and number of, any securities of the Corporation owned beneficially but not of record by such Noticing Party, any Proposed Nominee or any Stockholder Associated Person and any pledge by such Noticing Party, any Proposed Nominee or any Stockholder Associated Person with respect to any of such securities;</w:t>
      </w:r>
    </w:p>
    <w:p>
      <w:pPr>
        <w:spacing w:after="0" w:line="126" w:lineRule="exact"/>
        <w:rPr>
          <w:rFonts w:ascii="Times New Roman" w:cs="Times New Roman" w:eastAsia="Times New Roman" w:hAnsi="Times New Roman"/>
          <w:sz w:val="22"/>
          <w:szCs w:val="22"/>
          <w:color w:val="auto"/>
        </w:rPr>
      </w:pPr>
    </w:p>
    <w:p>
      <w:pPr>
        <w:ind w:left="620" w:right="320" w:firstLine="726"/>
        <w:spacing w:after="0" w:line="258" w:lineRule="auto"/>
        <w:tabs>
          <w:tab w:leader="none" w:pos="170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Short Interest (as defined below) held by or involving such Noticing Party, any Proposed Nominee or any Stockholder Associated Person;</w:t>
      </w:r>
    </w:p>
    <w:p>
      <w:pPr>
        <w:spacing w:after="0" w:line="104" w:lineRule="exact"/>
        <w:rPr>
          <w:rFonts w:ascii="Times New Roman" w:cs="Times New Roman" w:eastAsia="Times New Roman" w:hAnsi="Times New Roman"/>
          <w:sz w:val="22"/>
          <w:szCs w:val="22"/>
          <w:color w:val="auto"/>
        </w:rPr>
      </w:pPr>
    </w:p>
    <w:p>
      <w:pPr>
        <w:ind w:left="620" w:right="100" w:firstLine="726"/>
        <w:spacing w:after="0" w:line="246" w:lineRule="auto"/>
        <w:tabs>
          <w:tab w:leader="none" w:pos="168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complete and accurate description of all agreements, arrangements or understandings, written or oral, (including any derivative or short positions, profit interests, hedging transactions, options, warrants, convertible securities, stock appreciation or similar rights and borrowed or loaned shares) that have been entered into by, or on behalf of, such Noticing Party, any Proposed Nominee or any Stockholder Associated Person, the effect or intent of which is to mitigate loss, manage risk or benefit from changes in the price of any securities of the Corporation, or maintain, increase or decrease the voting power of such Noticing Party, any Proposed Nominee or any Stockholder Associated Person with respect to securities of the Corporation, whether or not such instrument or right shall be subject to settlement in underlying shares of capital stock of the Corporation (any of the foregoing, a “</w:t>
      </w:r>
      <w:r>
        <w:rPr>
          <w:rFonts w:ascii="Times New Roman" w:cs="Times New Roman" w:eastAsia="Times New Roman" w:hAnsi="Times New Roman"/>
          <w:sz w:val="21"/>
          <w:szCs w:val="21"/>
          <w:b w:val="1"/>
          <w:bCs w:val="1"/>
          <w:i w:val="1"/>
          <w:iCs w:val="1"/>
          <w:color w:val="auto"/>
        </w:rPr>
        <w:t>Derivative Instrument</w:t>
      </w:r>
      <w:r>
        <w:rPr>
          <w:rFonts w:ascii="Times New Roman" w:cs="Times New Roman" w:eastAsia="Times New Roman" w:hAnsi="Times New Roman"/>
          <w:sz w:val="21"/>
          <w:szCs w:val="21"/>
          <w:color w:val="auto"/>
        </w:rPr>
        <w:t>”);</w:t>
      </w:r>
    </w:p>
    <w:p>
      <w:pPr>
        <w:spacing w:after="0" w:line="121" w:lineRule="exact"/>
        <w:rPr>
          <w:rFonts w:ascii="Times New Roman" w:cs="Times New Roman" w:eastAsia="Times New Roman" w:hAnsi="Times New Roman"/>
          <w:sz w:val="21"/>
          <w:szCs w:val="21"/>
          <w:color w:val="auto"/>
        </w:rPr>
      </w:pPr>
    </w:p>
    <w:p>
      <w:pPr>
        <w:ind w:left="620" w:right="160" w:firstLine="726"/>
        <w:spacing w:after="0" w:line="236" w:lineRule="auto"/>
        <w:tabs>
          <w:tab w:leader="none" w:pos="166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substantial interest, direct or indirect (including any existing or prospective commercial, business or contractual relationship with the Corporation), by security holdings or otherwise, of such Noticing Party, any Proposed Nominee or any Stockholder Associated Person in the Corporation or any affiliate thereof, other than an interest arising from the ownership of Corporation securities where such Noticing Party, such Proposed Nominee or such Stockholder Associated Person receives no extra or special benefit not shared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by all other holders of the same class or series;</w:t>
      </w:r>
    </w:p>
    <w:p>
      <w:pPr>
        <w:spacing w:after="0" w:line="127" w:lineRule="exact"/>
        <w:rPr>
          <w:rFonts w:ascii="Times New Roman" w:cs="Times New Roman" w:eastAsia="Times New Roman" w:hAnsi="Times New Roman"/>
          <w:sz w:val="22"/>
          <w:szCs w:val="22"/>
          <w:color w:val="auto"/>
        </w:rPr>
      </w:pPr>
    </w:p>
    <w:p>
      <w:pPr>
        <w:ind w:left="620" w:right="40" w:firstLine="726"/>
        <w:spacing w:after="0" w:line="233" w:lineRule="auto"/>
        <w:tabs>
          <w:tab w:leader="none" w:pos="170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and accurate description of all agreements, arrangements or understandings, written or oral, (I) between or among such Noticing Party and any of the Stockholder Associated Persons or (II) between or among such Noticing Party or any Stockholder Associated Person and any other person or entity (naming each such person or entity) or any Proposed Nominee, including, without limitation, (x) any proxy, contract, arrangement, understanding or relationship pursuant to which such Noticing Party or any Stockholder Associated Person has a right to vote any security of the Corporation, (y) any understanding, written or oral, that such Noticing Party or any Stockholder Associated Person may have reached with any stockholder of the Corporation (including the name of such stockholder) with respect to how such stockholder will vote such stockholder’s shares in the Corporation at any meeting of the Corporation’s stockholders or take other action in support of any Proposed Nominee or other business, or other action to be taken, by such Noticing Party or any Stockholder</w:t>
      </w:r>
    </w:p>
    <w:p>
      <w:pPr>
        <w:spacing w:after="0" w:line="187" w:lineRule="exact"/>
        <w:rPr>
          <w:rFonts w:ascii="Times New Roman" w:cs="Times New Roman" w:eastAsia="Times New Roman" w:hAnsi="Times New Roman"/>
          <w:sz w:val="22"/>
          <w:szCs w:val="22"/>
          <w:color w:val="auto"/>
        </w:rPr>
      </w:pPr>
    </w:p>
    <w:p>
      <w:pPr>
        <w:ind w:left="4460" w:hanging="136"/>
        <w:spacing w:after="0"/>
        <w:tabs>
          <w:tab w:leader="none" w:pos="446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60"/>
          </w:cols>
          <w:pgMar w:left="1440" w:top="490" w:right="399" w:bottom="1440" w:gutter="0" w:footer="0" w:header="0"/>
        </w:sectPr>
      </w:pPr>
    </w:p>
    <w:bookmarkStart w:id="120" w:name="page121"/>
    <w:bookmarkEnd w:id="120"/>
    <w:p>
      <w:pPr>
        <w:ind w:left="620" w:right="60"/>
        <w:spacing w:after="0" w:line="251" w:lineRule="auto"/>
        <w:rPr>
          <w:sz w:val="20"/>
          <w:szCs w:val="20"/>
          <w:color w:val="auto"/>
        </w:rPr>
      </w:pPr>
      <w:r>
        <w:rPr>
          <w:rFonts w:ascii="Times New Roman" w:cs="Times New Roman" w:eastAsia="Times New Roman" w:hAnsi="Times New Roman"/>
          <w:sz w:val="21"/>
          <w:szCs w:val="21"/>
          <w:color w:val="auto"/>
        </w:rPr>
        <w:t>Associated Person and (z) any other agreements that would be required to be disclosed by such Noticing Party, any Proposed Nominee, any Stockholder Associated Person or any other person or entity pursuant to Item 5 or Item 6 of a Schedule 13D pursuant to Section 13 of the Exchange Act and the rules and regulations promulgated thereunder (regardless of whether the requirement to file a Schedule 13D is applicable to such Noticing Party, any Proposed Nominee, any Stockholder Associated Person or any other person or entity);</w:t>
      </w:r>
    </w:p>
    <w:p>
      <w:pPr>
        <w:spacing w:after="0" w:line="114" w:lineRule="exact"/>
        <w:rPr>
          <w:sz w:val="20"/>
          <w:szCs w:val="20"/>
          <w:color w:val="auto"/>
        </w:rPr>
      </w:pPr>
    </w:p>
    <w:p>
      <w:pPr>
        <w:ind w:left="620" w:right="100" w:firstLine="726"/>
        <w:spacing w:after="0" w:line="244" w:lineRule="auto"/>
        <w:tabs>
          <w:tab w:leader="none" w:pos="170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to dividends on the shares of the Corporation owned beneficially by such Noticing Party, any Proposed Nominee or any Stockholder Associated Person that are separated or separable from the underlying shares of the Corporation;</w:t>
      </w:r>
    </w:p>
    <w:p>
      <w:pPr>
        <w:spacing w:after="0" w:line="119" w:lineRule="exact"/>
        <w:rPr>
          <w:rFonts w:ascii="Times New Roman" w:cs="Times New Roman" w:eastAsia="Times New Roman" w:hAnsi="Times New Roman"/>
          <w:sz w:val="22"/>
          <w:szCs w:val="22"/>
          <w:color w:val="auto"/>
        </w:rPr>
      </w:pPr>
    </w:p>
    <w:p>
      <w:pPr>
        <w:ind w:left="620" w:right="80" w:firstLine="726"/>
        <w:spacing w:after="0" w:line="236" w:lineRule="auto"/>
        <w:tabs>
          <w:tab w:leader="none" w:pos="162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proportionate interest in shares of the Corporation or Derivative Instruments held, directly or indirectly, by a general or limited partnership, limited liability company or similar entity in which such Noticing Party, any Proposed Nominee or any Stockholder Associated Person is (I) a general partner or, directly or indirectly, beneficially owns an interest in a general partner of such general or limited partnership or (II) the manager, managing member or, directly or indirectly, beneficially owns an interest in the manager or managing member of such limited liability company or similar entity;</w:t>
      </w:r>
    </w:p>
    <w:p>
      <w:pPr>
        <w:spacing w:after="0" w:line="127" w:lineRule="exact"/>
        <w:rPr>
          <w:rFonts w:ascii="Times New Roman" w:cs="Times New Roman" w:eastAsia="Times New Roman" w:hAnsi="Times New Roman"/>
          <w:sz w:val="22"/>
          <w:szCs w:val="22"/>
          <w:color w:val="auto"/>
        </w:rPr>
      </w:pPr>
    </w:p>
    <w:p>
      <w:pPr>
        <w:ind w:left="620" w:right="220" w:firstLine="726"/>
        <w:spacing w:after="0" w:line="244" w:lineRule="auto"/>
        <w:tabs>
          <w:tab w:leader="none" w:pos="163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significant equity interests or any Derivative Instruments or Short Interests in any principal competitor of the Corporation held by such Noticing Party, any Proposed Nominee or any Stockholder Associated Person;</w:t>
      </w:r>
    </w:p>
    <w:p>
      <w:pPr>
        <w:spacing w:after="0" w:line="119" w:lineRule="exact"/>
        <w:rPr>
          <w:rFonts w:ascii="Times New Roman" w:cs="Times New Roman" w:eastAsia="Times New Roman" w:hAnsi="Times New Roman"/>
          <w:sz w:val="22"/>
          <w:szCs w:val="22"/>
          <w:color w:val="auto"/>
        </w:rPr>
      </w:pPr>
    </w:p>
    <w:p>
      <w:pPr>
        <w:ind w:left="620" w:right="80" w:firstLine="726"/>
        <w:spacing w:after="0" w:line="239" w:lineRule="auto"/>
        <w:tabs>
          <w:tab w:leader="none" w:pos="170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interest of such Noticing Party, any Proposed Nominee or any Stockholder Associated Person in any contract with the Corporation, any affiliate of the Corporation or any principal competitor of the Corporation (including, without limitation, any employment agreement, collective bargaining agreement or consulting agreement);</w:t>
      </w:r>
    </w:p>
    <w:p>
      <w:pPr>
        <w:spacing w:after="0" w:line="126" w:lineRule="exact"/>
        <w:rPr>
          <w:rFonts w:ascii="Times New Roman" w:cs="Times New Roman" w:eastAsia="Times New Roman" w:hAnsi="Times New Roman"/>
          <w:sz w:val="22"/>
          <w:szCs w:val="22"/>
          <w:color w:val="auto"/>
        </w:rPr>
      </w:pPr>
    </w:p>
    <w:p>
      <w:pPr>
        <w:ind w:left="620" w:right="40" w:firstLine="726"/>
        <w:spacing w:after="0" w:line="244" w:lineRule="auto"/>
        <w:tabs>
          <w:tab w:leader="none" w:pos="168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material interest of such Noticing Party, any Proposed Nominee or any Stockholder Associated Person in the business proposed by such Noticing Party, if any, or the election of any Proposed Nominee;</w:t>
      </w:r>
    </w:p>
    <w:p>
      <w:pPr>
        <w:spacing w:after="0" w:line="119" w:lineRule="exact"/>
        <w:rPr>
          <w:rFonts w:ascii="Times New Roman" w:cs="Times New Roman" w:eastAsia="Times New Roman" w:hAnsi="Times New Roman"/>
          <w:sz w:val="22"/>
          <w:szCs w:val="22"/>
          <w:color w:val="auto"/>
        </w:rPr>
      </w:pPr>
    </w:p>
    <w:p>
      <w:pPr>
        <w:ind w:left="620" w:firstLine="726"/>
        <w:spacing w:after="0" w:line="238" w:lineRule="auto"/>
        <w:tabs>
          <w:tab w:leader="none" w:pos="174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an accurate description of any performance-related fees (other than an asset-based fee) to which such Noticing Party, any Proposed Nominee or any Stockholder Associated Person may be entitled as a result of any increase or decrease in the value of the Corporation’s securities or any Derivative Instruments, including, without limitation, any such interests held by members of any Proposed Nominee’s or Stockholder Associated Person’s immediate family sharing the same household;</w:t>
      </w:r>
    </w:p>
    <w:p>
      <w:pPr>
        <w:spacing w:after="0" w:line="122" w:lineRule="exact"/>
        <w:rPr>
          <w:rFonts w:ascii="Times New Roman" w:cs="Times New Roman" w:eastAsia="Times New Roman" w:hAnsi="Times New Roman"/>
          <w:sz w:val="22"/>
          <w:szCs w:val="22"/>
          <w:color w:val="auto"/>
        </w:rPr>
      </w:pPr>
    </w:p>
    <w:p>
      <w:pPr>
        <w:ind w:left="620" w:right="300" w:firstLine="726"/>
        <w:spacing w:after="0" w:line="244" w:lineRule="auto"/>
        <w:tabs>
          <w:tab w:leader="none" w:pos="170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strategy or objective, if any, of such Noticing Party, any Proposed Nominee or any Stockholder Associated Person who is not an individual and a copy of the prospectus, offering memorandum or similar</w:t>
      </w:r>
    </w:p>
    <w:p>
      <w:pPr>
        <w:spacing w:after="0" w:line="173"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80"/>
          </w:cols>
          <w:pgMar w:left="1440" w:top="490" w:right="379" w:bottom="1440" w:gutter="0" w:footer="0" w:header="0"/>
        </w:sectPr>
      </w:pPr>
    </w:p>
    <w:bookmarkStart w:id="121" w:name="page122"/>
    <w:bookmarkEnd w:id="121"/>
    <w:p>
      <w:pPr>
        <w:ind w:left="868" w:right="700"/>
        <w:spacing w:after="0" w:line="258" w:lineRule="auto"/>
        <w:rPr>
          <w:sz w:val="20"/>
          <w:szCs w:val="20"/>
          <w:color w:val="auto"/>
        </w:rPr>
      </w:pPr>
      <w:r>
        <w:rPr>
          <w:rFonts w:ascii="Times New Roman" w:cs="Times New Roman" w:eastAsia="Times New Roman" w:hAnsi="Times New Roman"/>
          <w:sz w:val="22"/>
          <w:szCs w:val="22"/>
          <w:color w:val="auto"/>
        </w:rPr>
        <w:t>document, if any, provided to investors or potential investors in the Noticing Party or any Stockholder Associated Person; and</w:t>
      </w:r>
    </w:p>
    <w:p>
      <w:pPr>
        <w:spacing w:after="0" w:line="104" w:lineRule="exact"/>
        <w:rPr>
          <w:sz w:val="20"/>
          <w:szCs w:val="20"/>
          <w:color w:val="auto"/>
        </w:rPr>
      </w:pPr>
    </w:p>
    <w:p>
      <w:pPr>
        <w:ind w:left="868" w:right="120" w:firstLine="726"/>
        <w:spacing w:after="0" w:line="238" w:lineRule="auto"/>
        <w:tabs>
          <w:tab w:leader="none" w:pos="1953"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information relating to such Noticing Party or any Stockholder Associated Person, or such Noticing Party’s or any Stockholder Associated Person’s associates, that would be required to be disclosed in a proxy statement or other filing in connection with the solicitation of proxies in support of the business proposed by such Noticing Party, if any, or for the election of any Proposed Nominee in a contested election or otherwise pursuant to the Proxy Rules.</w:t>
      </w:r>
    </w:p>
    <w:p>
      <w:pPr>
        <w:spacing w:after="0" w:line="122" w:lineRule="exact"/>
        <w:rPr>
          <w:rFonts w:ascii="Times New Roman" w:cs="Times New Roman" w:eastAsia="Times New Roman" w:hAnsi="Times New Roman"/>
          <w:sz w:val="22"/>
          <w:szCs w:val="22"/>
          <w:color w:val="auto"/>
        </w:rPr>
      </w:pPr>
    </w:p>
    <w:p>
      <w:pPr>
        <w:ind w:left="8" w:firstLine="789"/>
        <w:spacing w:after="0" w:line="236" w:lineRule="auto"/>
        <w:tabs>
          <w:tab w:leader="none" w:pos="176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such Noticing Party intends to appear in person or by proxy at the meeting to bring such business before the meeting or nominate any Proposed Nominees, as applicable, and an acknowledgment that, if such Noticing Party (or a Qualified Representative (as defined below) of such Noticing Party)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w:t>
      </w:r>
    </w:p>
    <w:p>
      <w:pPr>
        <w:spacing w:after="0" w:line="127" w:lineRule="exact"/>
        <w:rPr>
          <w:rFonts w:ascii="Times New Roman" w:cs="Times New Roman" w:eastAsia="Times New Roman" w:hAnsi="Times New Roman"/>
          <w:sz w:val="22"/>
          <w:szCs w:val="22"/>
          <w:color w:val="auto"/>
        </w:rPr>
      </w:pPr>
    </w:p>
    <w:p>
      <w:pPr>
        <w:ind w:left="8" w:right="200" w:firstLine="789"/>
        <w:spacing w:after="0" w:line="239" w:lineRule="auto"/>
        <w:tabs>
          <w:tab w:leader="none" w:pos="170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and accurate description of any pending or, to such Noticing Party’s knowledge, threatened legal proceeding in which such Noticing Party, any Proposed Nominee or any Stockholder Associated Person is a party or participant involving the Corporation or, to such Noticing Party’s knowledge, any officer, affiliate or associate of the Corporation;</w:t>
      </w:r>
    </w:p>
    <w:p>
      <w:pPr>
        <w:spacing w:after="0" w:line="126" w:lineRule="exact"/>
        <w:rPr>
          <w:rFonts w:ascii="Times New Roman" w:cs="Times New Roman" w:eastAsia="Times New Roman" w:hAnsi="Times New Roman"/>
          <w:sz w:val="22"/>
          <w:szCs w:val="22"/>
          <w:color w:val="auto"/>
        </w:rPr>
      </w:pPr>
    </w:p>
    <w:p>
      <w:pPr>
        <w:ind w:left="8" w:right="300" w:firstLine="789"/>
        <w:spacing w:after="0" w:line="235" w:lineRule="auto"/>
        <w:tabs>
          <w:tab w:leader="none" w:pos="176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from such Noticing Party as to whether such Noticing Party or any Stockholder Associated Person intends or is part of a group that intends (I) to deliver a proxy statement and/or form of proxy to a number of holders of the Corporation’s voting shares reasonably believed by such Noticing Party to be sufficient to approve or adopt the business to be proposed or elect the Proposed Nominees, as applicable, or (II) engage in a solicitation (within the meaning of Exchange Act Rule 14a-1(l) with respect to the nomination or other business, as applicable, and if so, the name of each participant (as defined in Item 4 of Schedule 14A under the Exchange Act) in such solicitation; and</w:t>
      </w:r>
    </w:p>
    <w:p>
      <w:pPr>
        <w:spacing w:after="0" w:line="129" w:lineRule="exact"/>
        <w:rPr>
          <w:rFonts w:ascii="Times New Roman" w:cs="Times New Roman" w:eastAsia="Times New Roman" w:hAnsi="Times New Roman"/>
          <w:sz w:val="22"/>
          <w:szCs w:val="22"/>
          <w:color w:val="auto"/>
        </w:rPr>
      </w:pPr>
    </w:p>
    <w:p>
      <w:pPr>
        <w:jc w:val="both"/>
        <w:ind w:left="8" w:right="60" w:firstLine="789"/>
        <w:spacing w:after="0" w:line="239" w:lineRule="auto"/>
        <w:tabs>
          <w:tab w:leader="none" w:pos="182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agreement, arrangement or understanding, written or oral, the effect or intent of which is to increase or decrease the voting power of such Noticing Party or any Stockholder Associated Person with respect to any shares of the capital stock of the Corporation, without regard to whether such agreement, arrangement or understanding is required to be reported on a Schedule 13D in accordance with the Exchange Act.</w:t>
      </w:r>
    </w:p>
    <w:p>
      <w:pPr>
        <w:spacing w:after="0" w:line="126" w:lineRule="exact"/>
        <w:rPr>
          <w:rFonts w:ascii="Times New Roman" w:cs="Times New Roman" w:eastAsia="Times New Roman" w:hAnsi="Times New Roman"/>
          <w:sz w:val="22"/>
          <w:szCs w:val="22"/>
          <w:color w:val="auto"/>
        </w:rPr>
      </w:pPr>
    </w:p>
    <w:p>
      <w:pPr>
        <w:ind w:left="-872" w:right="60" w:firstLine="872"/>
        <w:spacing w:after="0" w:line="238" w:lineRule="auto"/>
        <w:tabs>
          <w:tab w:leader="none" w:pos="89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Information</w:t>
      </w:r>
      <w:r>
        <w:rPr>
          <w:rFonts w:ascii="Times New Roman" w:cs="Times New Roman" w:eastAsia="Times New Roman" w:hAnsi="Times New Roman"/>
          <w:sz w:val="22"/>
          <w:szCs w:val="22"/>
          <w:color w:val="auto"/>
        </w:rPr>
        <w:t>. In addition to the information required above, the Corporation may require any Noticing Party to furnish such other information as the Corporation may reasonably require to determine the eligibility or suitability of a Proposed Nominee to serve as a director of the Corporation or that could be material to a reasonable stockholder’s understanding of the independence, or lack thereof, of such Proposed Nominee, under the listing standards of each securities exchange upon which the Corporation’s securities are listed, any</w:t>
      </w:r>
    </w:p>
    <w:p>
      <w:pPr>
        <w:spacing w:after="0" w:line="176" w:lineRule="exact"/>
        <w:rPr>
          <w:rFonts w:ascii="Times New Roman" w:cs="Times New Roman" w:eastAsia="Times New Roman" w:hAnsi="Times New Roman"/>
          <w:sz w:val="22"/>
          <w:szCs w:val="22"/>
          <w:color w:val="auto"/>
        </w:rPr>
      </w:pPr>
    </w:p>
    <w:p>
      <w:pPr>
        <w:ind w:left="4648" w:hanging="126"/>
        <w:spacing w:after="0"/>
        <w:tabs>
          <w:tab w:leader="none" w:pos="4648" w:val="left"/>
        </w:tabs>
        <w:numPr>
          <w:ilvl w:val="3"/>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79375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490" w:right="339" w:bottom="1440" w:gutter="0" w:footer="0" w:header="0"/>
        </w:sectPr>
      </w:pPr>
    </w:p>
    <w:bookmarkStart w:id="122" w:name="page123"/>
    <w:bookmarkEnd w:id="122"/>
    <w:p>
      <w:pPr>
        <w:ind w:right="100"/>
        <w:spacing w:after="0" w:line="238" w:lineRule="auto"/>
        <w:rPr>
          <w:sz w:val="20"/>
          <w:szCs w:val="20"/>
          <w:color w:val="auto"/>
        </w:rPr>
      </w:pPr>
      <w:r>
        <w:rPr>
          <w:rFonts w:ascii="Times New Roman" w:cs="Times New Roman" w:eastAsia="Times New Roman" w:hAnsi="Times New Roman"/>
          <w:sz w:val="22"/>
          <w:szCs w:val="22"/>
          <w:color w:val="auto"/>
        </w:rPr>
        <w:t>applicable rules of the Securities and Exchange Commission, any publicly disclosed standards used by the Board in selecting nominees for election as a director and for determining and disclosing the independence of the Corporation’s directors, including those applicable to a director’s service on any of the committees of the Board, or the requirements of any other laws or regulations applicable to the Corporation. If requested by the Corporation, any supplemental information required under this paragraph shall be provided by a Noticing Party within ten (10) days after it has been requested by the Corporation.</w:t>
      </w:r>
    </w:p>
    <w:p>
      <w:pPr>
        <w:spacing w:after="0" w:line="123" w:lineRule="exact"/>
        <w:rPr>
          <w:sz w:val="20"/>
          <w:szCs w:val="20"/>
          <w:color w:val="auto"/>
        </w:rPr>
      </w:pPr>
    </w:p>
    <w:p>
      <w:pPr>
        <w:ind w:firstLine="872"/>
        <w:spacing w:after="0" w:line="244" w:lineRule="auto"/>
        <w:tabs>
          <w:tab w:leader="none" w:pos="1751"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Special Meetings of Stockholders</w:t>
      </w:r>
      <w:r>
        <w:rPr>
          <w:rFonts w:ascii="Times New Roman" w:cs="Times New Roman" w:eastAsia="Times New Roman" w:hAnsi="Times New Roman"/>
          <w:sz w:val="21"/>
          <w:szCs w:val="21"/>
          <w:color w:val="auto"/>
        </w:rPr>
        <w:t xml:space="preserve">. Only such business shall be conducted at a special meeting of stockholders as shall have been brought before the meeting pursuant to the Corporation’s notice of meeting (or any supplement thereto). Nominations of persons for election to the Board may be made at a special meeting of stockholders at which directors are to be elected pursuant to the Corporation’s notice of meeting (or any supplement thereto) (i) by or at the direction of the Board (or any duly authorized committee thereof) or (ii) provided that one or more directors are to be elected at such meeting pursuant to the Corporation’s notice of meeting, by any stockholder of the Corporation who (A) is a stockholder of record on the date of the giving of the notice provided for in this </w:t>
      </w:r>
      <w:r>
        <w:rPr>
          <w:rFonts w:ascii="Times New Roman" w:cs="Times New Roman" w:eastAsia="Times New Roman" w:hAnsi="Times New Roman"/>
          <w:sz w:val="21"/>
          <w:szCs w:val="21"/>
          <w:u w:val="single" w:color="auto"/>
          <w:color w:val="auto"/>
        </w:rPr>
        <w:t>Section 1.16(e)</w:t>
      </w:r>
      <w:r>
        <w:rPr>
          <w:rFonts w:ascii="Times New Roman" w:cs="Times New Roman" w:eastAsia="Times New Roman" w:hAnsi="Times New Roman"/>
          <w:sz w:val="21"/>
          <w:szCs w:val="21"/>
          <w:color w:val="auto"/>
        </w:rPr>
        <w:t xml:space="preserve"> through the date of such special meeting, (B) is entitled to vote at such special meeting and upon such election and (C) complies with the notice procedures set forth in this </w:t>
      </w:r>
      <w:r>
        <w:rPr>
          <w:rFonts w:ascii="Times New Roman" w:cs="Times New Roman" w:eastAsia="Times New Roman" w:hAnsi="Times New Roman"/>
          <w:sz w:val="21"/>
          <w:szCs w:val="21"/>
          <w:u w:val="single" w:color="auto"/>
          <w:color w:val="auto"/>
        </w:rPr>
        <w:t>Section 1.16(e)</w:t>
      </w:r>
      <w:r>
        <w:rPr>
          <w:rFonts w:ascii="Times New Roman" w:cs="Times New Roman" w:eastAsia="Times New Roman" w:hAnsi="Times New Roman"/>
          <w:sz w:val="21"/>
          <w:szCs w:val="21"/>
          <w:color w:val="auto"/>
        </w:rPr>
        <w:t xml:space="preserve">. In addition to any other applicable requirements, for director nominations to be properly brought before a special meeting by a stockholder pursuant to the foregoing clause (ii), such stockholder must have given timely notice thereof in proper written form to the Secretary. To be timely, such notice must be received by the Secretary at the principal executive offices of the Corporation not earlier than the Close of Business on the one hundred twentieth (120th) day prior to such special meeting and not later than the Close of Business on the later of (x) the ninetieth (90th) day prior to such special meeting and (y) the tenth (10th) day following the day on which public disclosure of the date of the meeting is first made by the Corporation. In no event shall an adjournment, recess, postponement or rescheduling of a special meeting (or the public disclosure thereof) commence a new time period (or extend any time period) for the giving of a stockholder’s notice as described above. To be in proper written form, such notice shall include all information required pursuant to </w:t>
      </w:r>
      <w:r>
        <w:rPr>
          <w:rFonts w:ascii="Times New Roman" w:cs="Times New Roman" w:eastAsia="Times New Roman" w:hAnsi="Times New Roman"/>
          <w:sz w:val="21"/>
          <w:szCs w:val="21"/>
          <w:u w:val="single" w:color="auto"/>
          <w:color w:val="auto"/>
        </w:rPr>
        <w:t>Section 1.16(c)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1.16(d)</w:t>
      </w:r>
      <w:r>
        <w:rPr>
          <w:rFonts w:ascii="Times New Roman" w:cs="Times New Roman" w:eastAsia="Times New Roman" w:hAnsi="Times New Roman"/>
          <w:sz w:val="21"/>
          <w:szCs w:val="21"/>
          <w:color w:val="auto"/>
        </w:rPr>
        <w:t xml:space="preserve"> above.</w:t>
      </w:r>
    </w:p>
    <w:p>
      <w:pPr>
        <w:spacing w:after="0" w:line="119" w:lineRule="exact"/>
        <w:rPr>
          <w:sz w:val="20"/>
          <w:szCs w:val="20"/>
          <w:color w:val="auto"/>
        </w:rPr>
      </w:pPr>
    </w:p>
    <w:p>
      <w:pPr>
        <w:ind w:left="1760" w:hanging="888"/>
        <w:spacing w:after="0"/>
        <w:tabs>
          <w:tab w:leader="none" w:pos="1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880" w:firstLine="789"/>
        <w:spacing w:after="0" w:line="233" w:lineRule="auto"/>
        <w:tabs>
          <w:tab w:leader="none" w:pos="2529"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person shall be eligible for election as a director of the Corporation unless the person is nominated by a stockholder in accordance with the procedures set forth in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or the person is nominated by the Board, and no business shall be conducted at a meeting of stockholders of the Corporation except business brought by a stockholder in accordance with the procedures set forth in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or by the Board. Except as otherwise provided by law, the chairperson of a meeting shall have the power and the duty to determine whether a nomination or any business proposed to be brought before the meeting has been made in accordance with the procedures set forth in these Bylaws, and, if the chairperson of the meeting determines that any proposed nomination or business was not properly brought before the meeting, the chairperson shall declare to the meeting that such nomination shall be disregarded or such business shall not be transacted, and no vote shall be taken with respect to such nomination or proposed business, in each case, notwithstanding that proxies with respect to such vote may have been received by the Corporation. Notwithstanding the foregoing provisions of</w:t>
      </w:r>
    </w:p>
    <w:p>
      <w:pPr>
        <w:spacing w:after="0" w:line="187"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3" w:name="page124"/>
    <w:bookmarkEnd w:id="123"/>
    <w:p>
      <w:pPr>
        <w:spacing w:after="0" w:line="236"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unless otherwise required by law, if the Noticing Party (or a Qualified Representative of the Noticing Party) proposing a nominee for director or business to be conducted at a meeting does not appear at the meeting of stockholders of the Corporation to present such nomination or propose such business, such proposed nomination shall be disregarded or such proposed business shall not be transacted, as applicable, and no vote shall be taken with respect to such nomination or proposed business, notwithstanding that proxies with respect to such vote may have been received by the Corporation.</w:t>
      </w:r>
    </w:p>
    <w:p>
      <w:pPr>
        <w:spacing w:after="0" w:line="127" w:lineRule="exact"/>
        <w:rPr>
          <w:sz w:val="20"/>
          <w:szCs w:val="20"/>
          <w:color w:val="auto"/>
        </w:rPr>
      </w:pPr>
    </w:p>
    <w:p>
      <w:pPr>
        <w:ind w:right="20" w:firstLine="789"/>
        <w:spacing w:after="0" w:line="233" w:lineRule="auto"/>
        <w:tabs>
          <w:tab w:leader="none" w:pos="170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Noticing Party shall update such notice, if necessary, such that the information provided or required to be provided in such notice shall be true and correct (A) as of the record date for determining the stockholders entitled to receive notice of the meeting and (B) as of the date that is ten (10) business days prior to the meeting (or any postponement, rescheduling or adjournment thereof), and such update shall be received by the Secretary at the principal executive offices of the Corporation (x) not later than the Close of Business five (5) business days after the record date for determining the stockholders entitled to receive notice of such meeting (in the case of an update required to be made under clause (A)) and (y) not later than the Close of Business seven (7) business days prior to the date for the meeting or, if practicable, any postponement, rescheduling or adjournment thereof (and, if not practicable, on the first practicable date prior to the date to which the meeting has been postponed, rescheduled or adjourned) (in the case of an update required to be made pursuant to clause (B)). For the avoidance of doubt, any information provided pursuant to this </w:t>
      </w:r>
      <w:r>
        <w:rPr>
          <w:rFonts w:ascii="Times New Roman" w:cs="Times New Roman" w:eastAsia="Times New Roman" w:hAnsi="Times New Roman"/>
          <w:sz w:val="22"/>
          <w:szCs w:val="22"/>
          <w:u w:val="single" w:color="auto"/>
          <w:color w:val="auto"/>
        </w:rPr>
        <w:t>Section 1.16(e)(ii)</w:t>
      </w:r>
      <w:r>
        <w:rPr>
          <w:rFonts w:ascii="Times New Roman" w:cs="Times New Roman" w:eastAsia="Times New Roman" w:hAnsi="Times New Roman"/>
          <w:sz w:val="22"/>
          <w:szCs w:val="22"/>
          <w:color w:val="auto"/>
        </w:rPr>
        <w:t xml:space="preserve"> shall not be deemed to cure any deficiencies in a notice previously delivered pursuant to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and shall not extend the time period for the delivery of notice pursuant to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If a Noticing Party fails to provide such written update within such period, the information as to which written update relates may be deemed to not have been provided in accordance with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w:t>
      </w:r>
    </w:p>
    <w:p>
      <w:pPr>
        <w:spacing w:after="0" w:line="123" w:lineRule="exact"/>
        <w:rPr>
          <w:rFonts w:ascii="Times New Roman" w:cs="Times New Roman" w:eastAsia="Times New Roman" w:hAnsi="Times New Roman"/>
          <w:sz w:val="22"/>
          <w:szCs w:val="22"/>
          <w:color w:val="auto"/>
        </w:rPr>
      </w:pPr>
    </w:p>
    <w:p>
      <w:pPr>
        <w:ind w:right="20" w:firstLine="789"/>
        <w:spacing w:after="0" w:line="233" w:lineRule="auto"/>
        <w:tabs>
          <w:tab w:leader="none" w:pos="176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information submitted pursuant to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by any Noticing Party proposing individuals to nominate for election or reelection as a director or business for consideration at a stockholder meeting shall be inaccurate in any respect, such information shall be deemed not to have been provided in accordance with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Any such Noticing Party shall notify the Secretary in writing at the principal executive offices of the Corporation of any inaccuracy or change in any information submitted pursuant to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within two (2) business days after becoming aware of such inaccuracy or change. Upon written request of the Secretary on behalf of the Board (or a duly authorized committee thereof), any such Noticing Party shall provide, within seven (7) business days after delivery of such request (or such other period as may be specified in such request), (A) written verification, reasonably satisfactory to the Board, any committee thereof or any authorized officer of the Corporation, to demonstrate the accuracy of any information submitted by such Noticing Party pursuant to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and (B) a written affirmation of any information submitted by such Noticing Party pursuant to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as of an earlier date. If a Noticing Party fails to provide such written verification or affirmation within such period, the information as to which written verification or affirmation was requested may be deemed not to have been provided in accordance with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640" w:hanging="130"/>
        <w:spacing w:after="0"/>
        <w:tabs>
          <w:tab w:leader="none" w:pos="464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79375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80"/>
          </w:cols>
          <w:pgMar w:left="1200" w:top="490" w:right="419" w:bottom="1440" w:gutter="0" w:footer="0" w:header="0"/>
        </w:sectPr>
      </w:pPr>
    </w:p>
    <w:bookmarkStart w:id="124" w:name="page125"/>
    <w:bookmarkEnd w:id="124"/>
    <w:p>
      <w:pPr>
        <w:ind w:left="8" w:firstLine="789"/>
        <w:spacing w:after="0" w:line="249" w:lineRule="auto"/>
        <w:tabs>
          <w:tab w:leader="none" w:pos="1765"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this </w:t>
      </w:r>
      <w:r>
        <w:rPr>
          <w:rFonts w:ascii="Times New Roman" w:cs="Times New Roman" w:eastAsia="Times New Roman" w:hAnsi="Times New Roman"/>
          <w:sz w:val="21"/>
          <w:szCs w:val="21"/>
          <w:u w:val="single" w:color="auto"/>
          <w:color w:val="auto"/>
        </w:rPr>
        <w:t>Section 1.16</w:t>
      </w:r>
      <w:r>
        <w:rPr>
          <w:rFonts w:ascii="Times New Roman" w:cs="Times New Roman" w:eastAsia="Times New Roman" w:hAnsi="Times New Roman"/>
          <w:sz w:val="21"/>
          <w:szCs w:val="21"/>
          <w:color w:val="auto"/>
        </w:rPr>
        <w:t xml:space="preserve">, a stockholder shall also comply with all applicable requirements of state law and the Exchange Act with respect to the matters set forth in this </w:t>
      </w:r>
      <w:r>
        <w:rPr>
          <w:rFonts w:ascii="Times New Roman" w:cs="Times New Roman" w:eastAsia="Times New Roman" w:hAnsi="Times New Roman"/>
          <w:sz w:val="21"/>
          <w:szCs w:val="21"/>
          <w:u w:val="single" w:color="auto"/>
          <w:color w:val="auto"/>
        </w:rPr>
        <w:t>Section 1.16</w:t>
      </w:r>
      <w:r>
        <w:rPr>
          <w:rFonts w:ascii="Times New Roman" w:cs="Times New Roman" w:eastAsia="Times New Roman" w:hAnsi="Times New Roman"/>
          <w:sz w:val="21"/>
          <w:szCs w:val="21"/>
          <w:color w:val="auto"/>
        </w:rPr>
        <w:t xml:space="preserve">. Nothing in this </w:t>
      </w:r>
      <w:r>
        <w:rPr>
          <w:rFonts w:ascii="Times New Roman" w:cs="Times New Roman" w:eastAsia="Times New Roman" w:hAnsi="Times New Roman"/>
          <w:sz w:val="21"/>
          <w:szCs w:val="21"/>
          <w:u w:val="single" w:color="auto"/>
          <w:color w:val="auto"/>
        </w:rPr>
        <w:t>Section 1.16</w:t>
      </w:r>
      <w:r>
        <w:rPr>
          <w:rFonts w:ascii="Times New Roman" w:cs="Times New Roman" w:eastAsia="Times New Roman" w:hAnsi="Times New Roman"/>
          <w:sz w:val="21"/>
          <w:szCs w:val="21"/>
          <w:color w:val="auto"/>
        </w:rPr>
        <w:t xml:space="preserve"> shall be deemed to affect any rights of (A) stockholders to request inclusion of proposals in the Corporation’s proxy statement pursuant to Rule 14a-8 under the Exchange Act, (B) stockholders to request inclusion of nominees in the Corporation’s proxy statement pursuant to the Proxy Rules or (C) the holders of any series of preferred stock to elect directors pursuant to any applicable provisions of the Certificate of Incorporation.</w:t>
      </w:r>
    </w:p>
    <w:p>
      <w:pPr>
        <w:spacing w:after="0" w:line="110" w:lineRule="exact"/>
        <w:rPr>
          <w:rFonts w:ascii="Times New Roman" w:cs="Times New Roman" w:eastAsia="Times New Roman" w:hAnsi="Times New Roman"/>
          <w:sz w:val="21"/>
          <w:szCs w:val="21"/>
          <w:color w:val="auto"/>
        </w:rPr>
      </w:pPr>
    </w:p>
    <w:p>
      <w:pPr>
        <w:ind w:left="8" w:right="20" w:firstLine="789"/>
        <w:spacing w:after="0" w:line="245" w:lineRule="auto"/>
        <w:tabs>
          <w:tab w:leader="none" w:pos="1705"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these Bylaws, (A) “</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associate</w:t>
      </w:r>
      <w:r>
        <w:rPr>
          <w:rFonts w:ascii="Times New Roman" w:cs="Times New Roman" w:eastAsia="Times New Roman" w:hAnsi="Times New Roman"/>
          <w:sz w:val="21"/>
          <w:szCs w:val="21"/>
          <w:color w:val="auto"/>
        </w:rPr>
        <w:t>” each shall have the respective meanings set forth in Rule 12b-2 under the Exchange Act; (B) “</w:t>
      </w:r>
      <w:r>
        <w:rPr>
          <w:rFonts w:ascii="Times New Roman" w:cs="Times New Roman" w:eastAsia="Times New Roman" w:hAnsi="Times New Roman"/>
          <w:sz w:val="21"/>
          <w:szCs w:val="21"/>
          <w:b w:val="1"/>
          <w:bCs w:val="1"/>
          <w:i w:val="1"/>
          <w:iCs w:val="1"/>
          <w:color w:val="auto"/>
        </w:rPr>
        <w:t>beneficial owner</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beneficially owned</w:t>
      </w:r>
      <w:r>
        <w:rPr>
          <w:rFonts w:ascii="Times New Roman" w:cs="Times New Roman" w:eastAsia="Times New Roman" w:hAnsi="Times New Roman"/>
          <w:sz w:val="21"/>
          <w:szCs w:val="21"/>
          <w:color w:val="auto"/>
        </w:rPr>
        <w:t>” shall have the meaning set forth for such terms in Section 13(d) of the Exchange Act; (C) “</w:t>
      </w:r>
      <w:r>
        <w:rPr>
          <w:rFonts w:ascii="Times New Roman" w:cs="Times New Roman" w:eastAsia="Times New Roman" w:hAnsi="Times New Roman"/>
          <w:sz w:val="21"/>
          <w:szCs w:val="21"/>
          <w:b w:val="1"/>
          <w:bCs w:val="1"/>
          <w:i w:val="1"/>
          <w:iCs w:val="1"/>
          <w:color w:val="auto"/>
        </w:rPr>
        <w:t>Close of Business</w:t>
      </w:r>
      <w:r>
        <w:rPr>
          <w:rFonts w:ascii="Times New Roman" w:cs="Times New Roman" w:eastAsia="Times New Roman" w:hAnsi="Times New Roman"/>
          <w:sz w:val="21"/>
          <w:szCs w:val="21"/>
          <w:color w:val="auto"/>
        </w:rPr>
        <w:t>” shall mean 5:00 p.m. Eastern Time on any calendar day, whether or not the day is a business day; (D) “</w:t>
      </w:r>
      <w:r>
        <w:rPr>
          <w:rFonts w:ascii="Times New Roman" w:cs="Times New Roman" w:eastAsia="Times New Roman" w:hAnsi="Times New Roman"/>
          <w:sz w:val="21"/>
          <w:szCs w:val="21"/>
          <w:b w:val="1"/>
          <w:bCs w:val="1"/>
          <w:i w:val="1"/>
          <w:iCs w:val="1"/>
          <w:color w:val="auto"/>
        </w:rPr>
        <w:t>public disclosure</w:t>
      </w:r>
      <w:r>
        <w:rPr>
          <w:rFonts w:ascii="Times New Roman" w:cs="Times New Roman" w:eastAsia="Times New Roman" w:hAnsi="Times New Roman"/>
          <w:sz w:val="21"/>
          <w:szCs w:val="21"/>
          <w:color w:val="auto"/>
        </w:rPr>
        <w:t>” shall mean disclosure in a press release reported by a national news service or in a document publicly filed by the Corporation with the Securities and Exchange Commission pursuant to Section 13, 14 or 15(d) of the Exchange Act; (E) a “</w:t>
      </w:r>
      <w:r>
        <w:rPr>
          <w:rFonts w:ascii="Times New Roman" w:cs="Times New Roman" w:eastAsia="Times New Roman" w:hAnsi="Times New Roman"/>
          <w:sz w:val="21"/>
          <w:szCs w:val="21"/>
          <w:b w:val="1"/>
          <w:bCs w:val="1"/>
          <w:i w:val="1"/>
          <w:iCs w:val="1"/>
          <w:color w:val="auto"/>
        </w:rPr>
        <w:t>Qualified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Representative</w:t>
      </w:r>
      <w:r>
        <w:rPr>
          <w:rFonts w:ascii="Times New Roman" w:cs="Times New Roman" w:eastAsia="Times New Roman" w:hAnsi="Times New Roman"/>
          <w:sz w:val="21"/>
          <w:szCs w:val="21"/>
          <w:color w:val="auto"/>
        </w:rPr>
        <w:t>” of a Noticing Party means (I) a duly authorized officer, manager or partner of such Noticing Party or</w:t>
      </w:r>
    </w:p>
    <w:p>
      <w:pPr>
        <w:spacing w:after="0" w:line="5" w:lineRule="exact"/>
        <w:rPr>
          <w:rFonts w:ascii="Times New Roman" w:cs="Times New Roman" w:eastAsia="Times New Roman" w:hAnsi="Times New Roman"/>
          <w:sz w:val="21"/>
          <w:szCs w:val="21"/>
          <w:color w:val="auto"/>
        </w:rPr>
      </w:pPr>
    </w:p>
    <w:p>
      <w:pPr>
        <w:ind w:left="8" w:hanging="8"/>
        <w:spacing w:after="0" w:line="246" w:lineRule="exact"/>
        <w:tabs>
          <w:tab w:leader="none" w:pos="35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authorized by a writing executed by such Noticing Party (or a reliable reproduction or electronic transmission of the writing) delivered by such Noticing Party to the Corporation prior to the making of any nomination or proposal at a stockholder meeting stating that such person is authorized to act for such Noticing Party as proxy at the meeting of stockholders, which writing or electronic transmission, or a reliable reproduction of the writing or electronic transmission, must be produced at the meeting of stockholders; (F) “</w:t>
      </w:r>
      <w:r>
        <w:rPr>
          <w:rFonts w:ascii="Times New Roman" w:cs="Times New Roman" w:eastAsia="Times New Roman" w:hAnsi="Times New Roman"/>
          <w:sz w:val="22"/>
          <w:szCs w:val="22"/>
          <w:b w:val="1"/>
          <w:bCs w:val="1"/>
          <w:i w:val="1"/>
          <w:iCs w:val="1"/>
          <w:color w:val="auto"/>
        </w:rPr>
        <w:t>Short Interest</w:t>
      </w:r>
      <w:r>
        <w:rPr>
          <w:rFonts w:ascii="Times New Roman" w:cs="Times New Roman" w:eastAsia="Times New Roman" w:hAnsi="Times New Roman"/>
          <w:sz w:val="22"/>
          <w:szCs w:val="22"/>
          <w:color w:val="auto"/>
        </w:rPr>
        <w:t>” shall mean any agreement, arrangement, understanding, relationship or otherwise, including, without limitation, any repurchase or similar so-called “stock borrowing” agreement or arrangement, involving any Noticing Party or any Stockholder Associated Person of any Noticing Party directly or indirectly, the purpose or effect of which is to mitigate loss to, reduce the economic risk (of ownership or otherwise) of any class or series of shares of the Corporation by, manage the risk of share price changes for, or increase or decrease the voting power of, such Noticing Party or any Stockholder Associated Person of any Noticing Party with respect to any class or series of shares of the Corporation, or which provides, directly or indirectly, the opportunity to profit or share in any profit derived from any decrease in the price or value of any class or series of shares of the Corporation; and (G) “</w:t>
      </w:r>
      <w:r>
        <w:rPr>
          <w:rFonts w:ascii="Times New Roman" w:cs="Times New Roman" w:eastAsia="Times New Roman" w:hAnsi="Times New Roman"/>
          <w:sz w:val="22"/>
          <w:szCs w:val="22"/>
          <w:b w:val="1"/>
          <w:bCs w:val="1"/>
          <w:i w:val="1"/>
          <w:iCs w:val="1"/>
          <w:color w:val="auto"/>
        </w:rPr>
        <w:t>Stockholder Associated Person</w:t>
      </w:r>
      <w:r>
        <w:rPr>
          <w:rFonts w:ascii="Times New Roman" w:cs="Times New Roman" w:eastAsia="Times New Roman" w:hAnsi="Times New Roman"/>
          <w:sz w:val="22"/>
          <w:szCs w:val="22"/>
          <w:color w:val="auto"/>
        </w:rPr>
        <w:t>” shall mean, with respect to any Noticing Party, (I) any person directly or indirectly controlling, controlled by, under common control with such Noticing Party, (II) any member of the immediate family of such Noticing Party sharing the same household, (III) any person who is a member of a “group” (as such term is used in Rule 13d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under the Exchange Act (or any successor provision at law)) with or otherwise acting in concert with such Noticing Party or Stockholder Associated Person with respect to the stock of the Corporation, (IV) any beneficial owner of shares of stock of the Corporation owned of record by such Noticing Party or Stockholder Associated Person (other than a stockholder that is a depositary), (V) any affiliate or associate of such Noticing Party or any Stockholder Associated Person, (VI) any participant (as defined in paragraphs (a)(ii)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(vi) of Instruction 3 to Item 4 of</w:t>
      </w:r>
    </w:p>
    <w:p>
      <w:pPr>
        <w:spacing w:after="0" w:line="164" w:lineRule="exact"/>
        <w:rPr>
          <w:rFonts w:ascii="Times New Roman" w:cs="Times New Roman" w:eastAsia="Times New Roman" w:hAnsi="Times New Roman"/>
          <w:sz w:val="22"/>
          <w:szCs w:val="22"/>
          <w:color w:val="auto"/>
        </w:rPr>
      </w:pPr>
    </w:p>
    <w:p>
      <w:pPr>
        <w:ind w:left="4648" w:hanging="130"/>
        <w:spacing w:after="0"/>
        <w:tabs>
          <w:tab w:leader="none" w:pos="4648"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79375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490" w:right="339" w:bottom="1440" w:gutter="0" w:footer="0" w:header="0"/>
        </w:sectPr>
      </w:pPr>
    </w:p>
    <w:bookmarkStart w:id="125" w:name="page126"/>
    <w:bookmarkEnd w:id="125"/>
    <w:p>
      <w:pPr>
        <w:ind w:left="880" w:right="340"/>
        <w:spacing w:after="0" w:line="258" w:lineRule="auto"/>
        <w:rPr>
          <w:sz w:val="20"/>
          <w:szCs w:val="20"/>
          <w:color w:val="auto"/>
        </w:rPr>
      </w:pPr>
      <w:r>
        <w:rPr>
          <w:rFonts w:ascii="Times New Roman" w:cs="Times New Roman" w:eastAsia="Times New Roman" w:hAnsi="Times New Roman"/>
          <w:sz w:val="22"/>
          <w:szCs w:val="22"/>
          <w:color w:val="auto"/>
        </w:rPr>
        <w:t>Schedule 14A) with such Noticing Party or Stockholder Associated Person with respect to any proposed business or nominations, as applicable, and (VII) any Proposed Nominee.</w:t>
      </w:r>
    </w:p>
    <w:p>
      <w:pPr>
        <w:spacing w:after="0" w:line="26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ARTICLE II</w:t>
      </w:r>
    </w:p>
    <w:p>
      <w:pPr>
        <w:spacing w:after="0" w:line="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u w:val="single" w:color="auto"/>
          <w:color w:val="auto"/>
        </w:rPr>
        <w:t>DIRECTORS</w:t>
      </w:r>
    </w:p>
    <w:p>
      <w:pPr>
        <w:spacing w:after="0" w:line="152" w:lineRule="exact"/>
        <w:rPr>
          <w:sz w:val="20"/>
          <w:szCs w:val="20"/>
          <w:color w:val="auto"/>
        </w:rPr>
      </w:pPr>
    </w:p>
    <w:p>
      <w:pPr>
        <w:ind w:right="100" w:firstLine="864"/>
        <w:spacing w:after="0" w:line="244"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 Within the limit set forth in the Certificate of Incorporation, the number of directors that shall constitute the entire Board shall be fixed, from time to time, exclusively by the Board, subject to the rights of the holders of any series of preferred stock with respect to the election of directors, if any.</w:t>
      </w:r>
    </w:p>
    <w:p>
      <w:pPr>
        <w:spacing w:after="0" w:line="119" w:lineRule="exact"/>
        <w:rPr>
          <w:sz w:val="20"/>
          <w:szCs w:val="20"/>
          <w:color w:val="auto"/>
        </w:rPr>
      </w:pPr>
    </w:p>
    <w:p>
      <w:pPr>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Duties and Powers</w:t>
      </w:r>
      <w:r>
        <w:rPr>
          <w:rFonts w:ascii="Times New Roman" w:cs="Times New Roman" w:eastAsia="Times New Roman" w:hAnsi="Times New Roman"/>
          <w:sz w:val="22"/>
          <w:szCs w:val="22"/>
          <w:color w:val="auto"/>
        </w:rPr>
        <w:t>. The business and affairs of the Corporation shall be managed by or under the direction of the Board, which may exercise all such powers of the Corporation and do all such lawful acts and things as are not by law or by the Certificate of Incorporation required to be exercised or done by the stockholders.</w:t>
      </w:r>
    </w:p>
    <w:p>
      <w:pPr>
        <w:spacing w:after="0" w:line="119" w:lineRule="exact"/>
        <w:rPr>
          <w:sz w:val="20"/>
          <w:szCs w:val="20"/>
          <w:color w:val="auto"/>
        </w:rPr>
      </w:pPr>
    </w:p>
    <w:p>
      <w:pPr>
        <w:ind w:right="40"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The Board may hold meetings, both regular and special, either within or without the State of Delaware. Regular meetings of the Board may be held at such time and at such place as may from time to time be determined by the Board. Special meetings of the Board may be called by the Chairperson of the Board (if there be one), the Chief Executive Officer or the Board and shall be held at such place, on such date and at such time as he, she or it shall specify.</w:t>
      </w:r>
    </w:p>
    <w:p>
      <w:pPr>
        <w:spacing w:after="0" w:line="126" w:lineRule="exact"/>
        <w:rPr>
          <w:sz w:val="20"/>
          <w:szCs w:val="20"/>
          <w:color w:val="auto"/>
        </w:rPr>
      </w:pPr>
    </w:p>
    <w:p>
      <w:pPr>
        <w:ind w:right="20" w:firstLine="864"/>
        <w:spacing w:after="0" w:line="233"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Notice of any meeting of the Board stating the place, date and time of the meeting shall be given to each director by mail posted not less than five (5) days before the date of the meeting, by nationally recognized overnight courier deposited not less than two (2) days before the date of the meeting or by email, facsimile or other means of electronic transmission delivered or sent not less than twenty-four (24) hours before the date and time of the meeting, or on such shorter notice as the person or persons calling such meeting may deem necessary or appropriate in the circumstances. If mailed or sent by overnight courier, such notice shall be deemed to be given at the time when it is deposited in the United States mail with first class postage prepaid or deposited with the overnight courier. Notice by facsimile or other electronic transmission shall be deemed given when the notice is transmitted. Any director may waive notice of any meeting before or after the meeting. The attendance of a director at any meeting shall constitute a waiver of notice of such meeting, except where the director attends the meeting for the express purpose of objecting, and does so object, at the beginning of the meeting to the transaction of any business because the meeting is not lawfully called or convened. Neither the business to be transacted at, nor the purpose of, any regular or special meeting of the Board need be specified in any notice of such meeting unless so required by law. A meeting may be held at any time without notice if all of the directors are present or if those not present waive notice of the meeting in accordance with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of these Bylaws.</w:t>
      </w:r>
    </w:p>
    <w:p>
      <w:pPr>
        <w:spacing w:after="0" w:line="126" w:lineRule="exact"/>
        <w:rPr>
          <w:sz w:val="20"/>
          <w:szCs w:val="20"/>
          <w:color w:val="auto"/>
        </w:rPr>
      </w:pPr>
    </w:p>
    <w:p>
      <w:pPr>
        <w:jc w:val="both"/>
        <w:ind w:right="160" w:firstLine="864"/>
        <w:spacing w:after="0" w:line="244"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Chairperson of the Board</w:t>
      </w:r>
      <w:r>
        <w:rPr>
          <w:rFonts w:ascii="Times New Roman" w:cs="Times New Roman" w:eastAsia="Times New Roman" w:hAnsi="Times New Roman"/>
          <w:sz w:val="22"/>
          <w:szCs w:val="22"/>
          <w:color w:val="auto"/>
        </w:rPr>
        <w:t xml:space="preserve">. The Chairperson of the Board shall be chosen from among the directors and may be the Chief Executive Officer. Except as otherwise provided by law, the Certificate of Incorporation or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of these Bylaws, the Chairperson of the Board shall preside at all meetings of stockholders and of the Board. The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Chairperson of the Board shall have such other powers and duties as may from time to time be assigned by the Board.</w:t>
      </w:r>
    </w:p>
    <w:p>
      <w:pPr>
        <w:spacing w:after="0" w:line="152" w:lineRule="exact"/>
        <w:rPr>
          <w:sz w:val="20"/>
          <w:szCs w:val="20"/>
          <w:color w:val="auto"/>
        </w:rPr>
      </w:pPr>
    </w:p>
    <w:p>
      <w:pPr>
        <w:ind w:firstLine="864"/>
        <w:spacing w:after="0" w:line="236"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Lead Director</w:t>
      </w:r>
      <w:r>
        <w:rPr>
          <w:rFonts w:ascii="Times New Roman" w:cs="Times New Roman" w:eastAsia="Times New Roman" w:hAnsi="Times New Roman"/>
          <w:sz w:val="22"/>
          <w:szCs w:val="22"/>
          <w:color w:val="auto"/>
        </w:rPr>
        <w:t>. The Board may include a Lead Director. The Lead Director shall be one of the directors who has been determined by the Board to be an “independent director” (any such director, an “</w:t>
      </w:r>
      <w:r>
        <w:rPr>
          <w:rFonts w:ascii="Times New Roman" w:cs="Times New Roman" w:eastAsia="Times New Roman" w:hAnsi="Times New Roman"/>
          <w:sz w:val="22"/>
          <w:szCs w:val="22"/>
          <w:b w:val="1"/>
          <w:bCs w:val="1"/>
          <w:i w:val="1"/>
          <w:iCs w:val="1"/>
          <w:color w:val="auto"/>
        </w:rPr>
        <w:t>Independent Director</w:t>
      </w:r>
      <w:r>
        <w:rPr>
          <w:rFonts w:ascii="Times New Roman" w:cs="Times New Roman" w:eastAsia="Times New Roman" w:hAnsi="Times New Roman"/>
          <w:sz w:val="22"/>
          <w:szCs w:val="22"/>
          <w:color w:val="auto"/>
        </w:rPr>
        <w:t>”). The Lead Director shall preside at all meetings of the Board at which the Chairperson of the Board is not present, preside over the executive sessions of the Independent Directors, serve as a liaison between the Chairperson of the Board and the Board and have such other responsibilities, and perform such duties, as may from time to time be assigned to him or her by the Board. The Lead Director shall be elected by a majority of the Independent Directors.</w:t>
      </w:r>
    </w:p>
    <w:p>
      <w:pPr>
        <w:spacing w:after="0" w:line="127" w:lineRule="exact"/>
        <w:rPr>
          <w:sz w:val="20"/>
          <w:szCs w:val="20"/>
          <w:color w:val="auto"/>
        </w:rPr>
      </w:pPr>
    </w:p>
    <w:p>
      <w:pPr>
        <w:ind w:right="20" w:firstLine="864"/>
        <w:spacing w:after="0" w:line="236"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At each meeting of the Board, the Chairperson of the Board, or, in the Chairperson’s absence, the Lead Director, or, in the Lead Director’s absence, a director chosen by a majority of the directors present, shall act as chairperson. The Secretary shall act as secretary at each meeting of the Board. In case the Secretary shall be absent from any meeting of the Board, an assistant secretary shall perform the duties of secretary at such meeting, and in the absence from any such meeting of the Secretary and all assistant secretaries, the chairperson of the meeting may appoint any person to act as secretary of the meeting.</w:t>
      </w:r>
    </w:p>
    <w:p>
      <w:pPr>
        <w:spacing w:after="0" w:line="127" w:lineRule="exact"/>
        <w:rPr>
          <w:sz w:val="20"/>
          <w:szCs w:val="20"/>
          <w:color w:val="auto"/>
        </w:rPr>
      </w:pPr>
    </w:p>
    <w:p>
      <w:pPr>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Resignations and Removals of Directors</w:t>
      </w:r>
      <w:r>
        <w:rPr>
          <w:rFonts w:ascii="Times New Roman" w:cs="Times New Roman" w:eastAsia="Times New Roman" w:hAnsi="Times New Roman"/>
          <w:sz w:val="22"/>
          <w:szCs w:val="22"/>
          <w:color w:val="auto"/>
        </w:rPr>
        <w:t>. Any director of the Corporation may resign at any time, by giving notice in writing or by electronic transmission to the Chairperson of the Board, the Chief Executive Officer or the Secretary. Such resignation shall be effective upon receipt unless it is specified to be effective at some other time or upon the occurrence of some other event, and, unless otherwise specified in such notice, the acceptance of such resignation shall not be necessary to make it effective. Subject to the rights of holders of any series of preferred stock with respect to the election of directors, a director may be removed from office by the stockholders of the Corporation only for cause and only by the affirmative vote of the holders of at least a majority of the voting power of all then outstanding shares of capital stock of the Corporation entitled to vote generally in the election of directors, voting together as a single class.</w:t>
      </w:r>
    </w:p>
    <w:p>
      <w:pPr>
        <w:spacing w:after="0" w:line="124" w:lineRule="exact"/>
        <w:rPr>
          <w:sz w:val="20"/>
          <w:szCs w:val="20"/>
          <w:color w:val="auto"/>
        </w:rPr>
      </w:pPr>
    </w:p>
    <w:p>
      <w:pPr>
        <w:ind w:right="40" w:firstLine="864"/>
        <w:spacing w:after="0" w:line="238"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At all meetings of the Board, a majority of directors constituting the Board shall constitute a quorum for the transaction of business, and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of the time and place of the adjourned meeting, until a quorum shall be present.</w:t>
      </w:r>
    </w:p>
    <w:p>
      <w:pPr>
        <w:spacing w:after="0" w:line="123" w:lineRule="exact"/>
        <w:rPr>
          <w:sz w:val="20"/>
          <w:szCs w:val="20"/>
          <w:color w:val="auto"/>
        </w:rPr>
      </w:pPr>
    </w:p>
    <w:p>
      <w:pPr>
        <w:ind w:right="40"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Actions of the Board by Written Consent</w:t>
      </w:r>
      <w:r>
        <w:rPr>
          <w:rFonts w:ascii="Times New Roman" w:cs="Times New Roman" w:eastAsia="Times New Roman" w:hAnsi="Times New Roman"/>
          <w:sz w:val="22"/>
          <w:szCs w:val="22"/>
          <w:color w:val="auto"/>
        </w:rPr>
        <w:t>. Any action required or permitted to be taken at any meeting of the Board or of any committee thereof may be taken without a meeting, if all the members of the Board or committee, as the case may be, consent thereto in writing or by electronic transmission, and the writing or writings or electronic transmission are filed with the minutes of proceedings of the Board or committee.</w:t>
      </w:r>
    </w:p>
    <w:p>
      <w:pPr>
        <w:spacing w:after="0" w:line="126" w:lineRule="exact"/>
        <w:rPr>
          <w:sz w:val="20"/>
          <w:szCs w:val="20"/>
          <w:color w:val="auto"/>
        </w:rPr>
      </w:pPr>
    </w:p>
    <w:p>
      <w:pPr>
        <w:ind w:right="300" w:firstLine="864"/>
        <w:spacing w:after="0" w:line="244"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Telephonic Meetings</w:t>
      </w:r>
      <w:r>
        <w:rPr>
          <w:rFonts w:ascii="Times New Roman" w:cs="Times New Roman" w:eastAsia="Times New Roman" w:hAnsi="Times New Roman"/>
          <w:sz w:val="22"/>
          <w:szCs w:val="22"/>
          <w:color w:val="auto"/>
        </w:rPr>
        <w:t>. Members of the Board, or any committee thereof, may participate in a meeting of the Board or such committee by means of a conference telephone or other communications equipment by means of which all persons participating in the meeting</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7" w:name="page128"/>
    <w:bookmarkEnd w:id="127"/>
    <w:p>
      <w:pPr>
        <w:spacing w:after="0" w:line="258" w:lineRule="auto"/>
        <w:rPr>
          <w:sz w:val="20"/>
          <w:szCs w:val="20"/>
          <w:color w:val="auto"/>
        </w:rPr>
      </w:pPr>
      <w:r>
        <w:rPr>
          <w:rFonts w:ascii="Times New Roman" w:cs="Times New Roman" w:eastAsia="Times New Roman" w:hAnsi="Times New Roman"/>
          <w:sz w:val="22"/>
          <w:szCs w:val="22"/>
          <w:color w:val="auto"/>
        </w:rPr>
        <w:t xml:space="preserve">can hear and speak with each other, and participation in a meeting pursuant to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constitute presence in person at such meeting.</w:t>
      </w:r>
    </w:p>
    <w:p>
      <w:pPr>
        <w:spacing w:after="0" w:line="104" w:lineRule="exact"/>
        <w:rPr>
          <w:sz w:val="20"/>
          <w:szCs w:val="20"/>
          <w:color w:val="auto"/>
        </w:rPr>
      </w:pPr>
    </w:p>
    <w:p>
      <w:pPr>
        <w:ind w:right="40" w:firstLine="864"/>
        <w:spacing w:after="0" w:line="233"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Committees</w:t>
      </w:r>
      <w:r>
        <w:rPr>
          <w:rFonts w:ascii="Times New Roman" w:cs="Times New Roman" w:eastAsia="Times New Roman" w:hAnsi="Times New Roman"/>
          <w:sz w:val="22"/>
          <w:szCs w:val="22"/>
          <w:color w:val="auto"/>
        </w:rPr>
        <w:t>. The Board may designate one or more committees, each committee to consist of one or more of the directors of the Corporation and, to the extent permitted by law, to have and exercise such authority as may be provided for in the resolutions creating such committee, as such resolutions may be amended from time to time. The Board may designate one or more directors as alternate members of any committee, who may replace any absent or disqualified member at any meeting of any such committee. In the absence or disqualification of a member of a committee, and in the absence of a designation by the Board of an alternate member to replace the absent or disqualified member, the member or members thereof present at any meeting and not disqualified from voting, whether or not such member or members constitute a quorum, may unanimously appoint another member of the Board to act at the meeting in the place of any absent or disqualified member. Each committee shall keep regular minutes and report to the Board when required. A majority of any committee may determine its action and fix the time and place of its meetings, unless the Board shall otherwise provide. The Board shall have the power at any time to fill vacancies in, to change the membership of or to dissolve any such committee.</w:t>
      </w:r>
    </w:p>
    <w:p>
      <w:pPr>
        <w:spacing w:after="0" w:line="133" w:lineRule="exact"/>
        <w:rPr>
          <w:sz w:val="20"/>
          <w:szCs w:val="20"/>
          <w:color w:val="auto"/>
        </w:rPr>
      </w:pPr>
    </w:p>
    <w:p>
      <w:pPr>
        <w:ind w:right="60" w:firstLine="864"/>
        <w:spacing w:after="0" w:line="236"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Board shall have the authority to fix the compensation of directors. The directors shall be paid their reasonable expenses, if any, of attendance at each meeting of the Board or any committee thereof and may be paid a fixed sum for attendance at each such meeting and an annual retainer or salary for service as director or committee member, payable in cash or securities. No such payment shall preclude any director from serving the Corporation in any other capacity and receiving compensation therefor. Directors who are full-time employees of the Corporation shall not receive any compensation for their service as director.</w:t>
      </w:r>
    </w:p>
    <w:p>
      <w:pPr>
        <w:spacing w:after="0" w:line="127" w:lineRule="exact"/>
        <w:rPr>
          <w:sz w:val="20"/>
          <w:szCs w:val="20"/>
          <w:color w:val="auto"/>
        </w:rPr>
      </w:pPr>
    </w:p>
    <w:p>
      <w:pPr>
        <w:ind w:right="20" w:firstLine="864"/>
        <w:spacing w:after="0" w:line="244" w:lineRule="auto"/>
        <w:rPr>
          <w:sz w:val="20"/>
          <w:szCs w:val="20"/>
          <w:color w:val="auto"/>
        </w:rPr>
      </w:pPr>
      <w:r>
        <w:rPr>
          <w:rFonts w:ascii="Times New Roman" w:cs="Times New Roman" w:eastAsia="Times New Roman" w:hAnsi="Times New Roman"/>
          <w:sz w:val="21"/>
          <w:szCs w:val="21"/>
          <w:color w:val="auto"/>
        </w:rPr>
        <w:t xml:space="preserve">Section 2.14. </w:t>
      </w:r>
      <w:r>
        <w:rPr>
          <w:rFonts w:ascii="Times New Roman" w:cs="Times New Roman" w:eastAsia="Times New Roman" w:hAnsi="Times New Roman"/>
          <w:sz w:val="21"/>
          <w:szCs w:val="21"/>
          <w:u w:val="single" w:color="auto"/>
          <w:color w:val="auto"/>
        </w:rPr>
        <w:t>Interested Directors</w:t>
      </w:r>
      <w:r>
        <w:rPr>
          <w:rFonts w:ascii="Times New Roman" w:cs="Times New Roman" w:eastAsia="Times New Roman" w:hAnsi="Times New Roman"/>
          <w:sz w:val="21"/>
          <w:szCs w:val="21"/>
          <w:color w:val="auto"/>
        </w:rPr>
        <w:t>.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any such director’s or officer’s vote is counted for such purpose if: (a) the material facts as to the director’s or officer’s relationship or interest and as to the contract or transaction are disclosed or are known to the Board or the committee and the Board or committee in good faith authorizes the contract or transaction by the affirmative vote of a majority of the disinterested directors, even though the disinterested directors be less than a quorum; (b)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Interested directors may be counted in determining the presence of a quorum at a meeting of the Board or of a committee that authorizes the contract or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22"/>
          <w:szCs w:val="22"/>
          <w:color w:val="auto"/>
        </w:rPr>
        <w:t>ARTICLE III</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OFFICERS</w:t>
      </w:r>
    </w:p>
    <w:p>
      <w:pPr>
        <w:spacing w:after="0" w:line="152" w:lineRule="exact"/>
        <w:rPr>
          <w:sz w:val="20"/>
          <w:szCs w:val="20"/>
          <w:color w:val="auto"/>
        </w:rPr>
      </w:pPr>
    </w:p>
    <w:p>
      <w:pPr>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officers of the Corporation shall be chosen by the Board (or, in the case of any officer other than the Chief Executive Officer, by either the Board or the Chief Executive Officer) and shall be a Chief Executive Officer, a Chief Financial Officer, a President, a Secretary and a Treasurer. The Board or the Chief Executive Officer, in their discretion, may also choose one or more Executive Vice Presidents, Senior Vice Presidents, Vice Presidents, Assistant Secretaries, Assistant Treasurers and such other officers as either the Board or the Chief Executive Officer, as applicable, from time to time may deem appropriate. Any two or more offices may be held by the same person. The officers of the Corporation need not be stockholders of the Corporation.</w:t>
      </w:r>
    </w:p>
    <w:p>
      <w:pPr>
        <w:spacing w:after="0" w:line="129" w:lineRule="exact"/>
        <w:rPr>
          <w:sz w:val="20"/>
          <w:szCs w:val="20"/>
          <w:color w:val="auto"/>
        </w:rPr>
      </w:pPr>
    </w:p>
    <w:p>
      <w:pPr>
        <w:ind w:right="80" w:firstLine="864"/>
        <w:spacing w:after="0" w:line="234"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Election; Term</w:t>
      </w:r>
      <w:r>
        <w:rPr>
          <w:rFonts w:ascii="Times New Roman" w:cs="Times New Roman" w:eastAsia="Times New Roman" w:hAnsi="Times New Roman"/>
          <w:sz w:val="22"/>
          <w:szCs w:val="22"/>
          <w:color w:val="auto"/>
        </w:rPr>
        <w:t xml:space="preserve">. The Board (or, in the case of any officer other than the Chief Executive Officer, either the Board or the Chief Executive Officer) shall elect the officers of the Corporation who shall hold their offices for such terms and shall exercise such powers and perform such duties as shall be determined from time to time by the Board or the Chief Executive Officer, as applicable, and each officer of the Corporation shall hold office until such officer’s successor is elected and qualified, or until such officer’s earlier death, resignation or removal. Any officer may be removed at any time by the Board or the Chief Executive Officer. Any officer may resign upon notice given in writing or electronic transmission to the Chief Executive Officer or the Secretary. Such resignation shall be effective upon receipt unless it is specified to be effective at some other time or upon the occurrence of some other event. Any vacancy occurring in any office of the Corporation shall be filled in the manner prescribed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for the regular election to such office.</w:t>
      </w:r>
    </w:p>
    <w:p>
      <w:pPr>
        <w:spacing w:after="0" w:line="129" w:lineRule="exact"/>
        <w:rPr>
          <w:sz w:val="20"/>
          <w:szCs w:val="20"/>
          <w:color w:val="auto"/>
        </w:rPr>
      </w:pPr>
    </w:p>
    <w:p>
      <w:pPr>
        <w:ind w:right="80" w:firstLine="864"/>
        <w:spacing w:after="0" w:line="235"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Voting Securities Owned by the Corporation</w:t>
      </w:r>
      <w:r>
        <w:rPr>
          <w:rFonts w:ascii="Times New Roman" w:cs="Times New Roman" w:eastAsia="Times New Roman" w:hAnsi="Times New Roman"/>
          <w:sz w:val="22"/>
          <w:szCs w:val="22"/>
          <w:color w:val="auto"/>
        </w:rPr>
        <w:t>. Powers of attorney, proxies, waivers of notice of meeting, consents and other instruments relating to securities owned by the Corporation may be executed in the name of and on behalf of the Corporation by the Chief Executive Officer, the Secretary or any other officer authorized to do so by the Board,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may, by resolution, from time to time confer like powers upon any other person or persons.</w:t>
      </w:r>
    </w:p>
    <w:p>
      <w:pPr>
        <w:spacing w:after="0" w:line="124" w:lineRule="exact"/>
        <w:rPr>
          <w:sz w:val="20"/>
          <w:szCs w:val="20"/>
          <w:color w:val="auto"/>
        </w:rPr>
      </w:pPr>
    </w:p>
    <w:p>
      <w:pPr>
        <w:ind w:right="20" w:firstLine="864"/>
        <w:spacing w:after="0" w:line="238"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Chief Executive Officer shall, subject to the control of the Board, have general supervision over the business of the Corporation and shall direct the affairs and policies of the Corporation. The Chief Executive Officer may also serve as Chairperson of the Board and may also serve as President, if so elected by the Board. The Chief Executive Officer shall also perform such other duties and may exercise such other powers as may from time to time be assigned to such officer by these Bylaws or by the Board.</w:t>
      </w:r>
    </w:p>
    <w:p>
      <w:pPr>
        <w:spacing w:after="0" w:line="123" w:lineRule="exact"/>
        <w:rPr>
          <w:sz w:val="20"/>
          <w:szCs w:val="20"/>
          <w:color w:val="auto"/>
        </w:rPr>
      </w:pPr>
    </w:p>
    <w:p>
      <w:pPr>
        <w:ind w:right="340" w:firstLine="864"/>
        <w:spacing w:after="0" w:line="244"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The President shall act in a general executive capacity and shall assist the Chief Executive Officer in the administration and operation of the Corporation’s business and general supervision of its policies and affairs. The President shall, in the absence of</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29" w:name="page130"/>
    <w:bookmarkEnd w:id="129"/>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or because of the inability to act of the Chief Executive Officer, perform all duties of the Chief Executive Officer. The President shall also perform such other duties and may exercise such other powers as may from time to time be assigned to such officer by these Bylaws, the Board or the Chief Executive Officer.</w:t>
      </w:r>
    </w:p>
    <w:p>
      <w:pPr>
        <w:spacing w:after="0" w:line="119" w:lineRule="exact"/>
        <w:rPr>
          <w:sz w:val="20"/>
          <w:szCs w:val="20"/>
          <w:color w:val="auto"/>
        </w:rPr>
      </w:pPr>
    </w:p>
    <w:p>
      <w:pPr>
        <w:ind w:right="180" w:firstLine="864"/>
        <w:spacing w:after="0" w:line="244"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Chief Financial Officer</w:t>
      </w:r>
      <w:r>
        <w:rPr>
          <w:rFonts w:ascii="Times New Roman" w:cs="Times New Roman" w:eastAsia="Times New Roman" w:hAnsi="Times New Roman"/>
          <w:sz w:val="22"/>
          <w:szCs w:val="22"/>
          <w:color w:val="auto"/>
        </w:rPr>
        <w:t>. The Chief Financial Officer shall be the principal financial officer of the Corporation. The Chief Financial Officer shall also perform such other duties and may exercise such other powers as may from time to time be assigned to such officer by these Bylaws, the Board or the Chief Executive Officer.</w:t>
      </w:r>
    </w:p>
    <w:p>
      <w:pPr>
        <w:spacing w:after="0" w:line="119" w:lineRule="exact"/>
        <w:rPr>
          <w:sz w:val="20"/>
          <w:szCs w:val="20"/>
          <w:color w:val="auto"/>
        </w:rPr>
      </w:pPr>
    </w:p>
    <w:p>
      <w:pPr>
        <w:ind w:right="280" w:firstLine="864"/>
        <w:spacing w:after="0" w:line="261" w:lineRule="auto"/>
        <w:rPr>
          <w:sz w:val="20"/>
          <w:szCs w:val="20"/>
          <w:color w:val="auto"/>
        </w:rPr>
      </w:pPr>
      <w:r>
        <w:rPr>
          <w:rFonts w:ascii="Times New Roman" w:cs="Times New Roman" w:eastAsia="Times New Roman" w:hAnsi="Times New Roman"/>
          <w:sz w:val="21"/>
          <w:szCs w:val="21"/>
          <w:color w:val="auto"/>
        </w:rPr>
        <w:t xml:space="preserve">Section 3.7. </w:t>
      </w:r>
      <w:r>
        <w:rPr>
          <w:rFonts w:ascii="Times New Roman" w:cs="Times New Roman" w:eastAsia="Times New Roman" w:hAnsi="Times New Roman"/>
          <w:sz w:val="21"/>
          <w:szCs w:val="21"/>
          <w:u w:val="single" w:color="auto"/>
          <w:color w:val="auto"/>
        </w:rPr>
        <w:t>Executive Vice Presidents, Senior Vice Presidents and Vice Presidents</w:t>
      </w:r>
      <w:r>
        <w:rPr>
          <w:rFonts w:ascii="Times New Roman" w:cs="Times New Roman" w:eastAsia="Times New Roman" w:hAnsi="Times New Roman"/>
          <w:sz w:val="21"/>
          <w:szCs w:val="21"/>
          <w:color w:val="auto"/>
        </w:rPr>
        <w:t>. The Executive Vice Presidents (if any), Senior Vice Presidents (if any) and such other Vice Presidents as shall have been chosen by the Board shall have such powers and shall perform such duties as shall be assigned to them by the Board or the Chief Executive Officer.</w:t>
      </w:r>
    </w:p>
    <w:p>
      <w:pPr>
        <w:spacing w:after="0" w:line="103" w:lineRule="exact"/>
        <w:rPr>
          <w:sz w:val="20"/>
          <w:szCs w:val="20"/>
          <w:color w:val="auto"/>
        </w:rPr>
      </w:pPr>
    </w:p>
    <w:p>
      <w:pPr>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give the requisite notice of meetings of stockholders and directors and shall record the proceedings of such meetings, shall have custody of the seal of the Corporation and shall affix it or cause it to be affixed to such instruments as require the seal and attest it and, besides the Secretary’s powers and duties prescribed by law, shall have such other powers and perform such other duties as shall at any time be assigned to such officer by the Board or the Chief Executive Officer.</w:t>
      </w:r>
    </w:p>
    <w:p>
      <w:pPr>
        <w:spacing w:after="0" w:line="123" w:lineRule="exact"/>
        <w:rPr>
          <w:sz w:val="20"/>
          <w:szCs w:val="20"/>
          <w:color w:val="auto"/>
        </w:rPr>
      </w:pPr>
    </w:p>
    <w:p>
      <w:pPr>
        <w:ind w:right="40" w:firstLine="864"/>
        <w:spacing w:after="0" w:line="238" w:lineRule="auto"/>
        <w:rPr>
          <w:sz w:val="20"/>
          <w:szCs w:val="20"/>
          <w:color w:val="auto"/>
        </w:rPr>
      </w:pPr>
      <w:r>
        <w:rPr>
          <w:rFonts w:ascii="Times New Roman" w:cs="Times New Roman" w:eastAsia="Times New Roman" w:hAnsi="Times New Roman"/>
          <w:sz w:val="22"/>
          <w:szCs w:val="22"/>
          <w:color w:val="auto"/>
        </w:rPr>
        <w:t xml:space="preserve">Section 3.9.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exercise general supervision over the receipt, custody and disbursement of corporate funds. The Treasurer shall cause the funds of the Corporation to be deposited in such banks as may be authorized by the Board or in such banks as may be designated as depositaries in the manner provided by resolution of the Board. The Treasurer shall have such other powers and perform such other duties as shall at any time be assigned to such officer by the Board or the Chief Executive Officer.</w:t>
      </w:r>
    </w:p>
    <w:p>
      <w:pPr>
        <w:spacing w:after="0" w:line="123" w:lineRule="exact"/>
        <w:rPr>
          <w:sz w:val="20"/>
          <w:szCs w:val="20"/>
          <w:color w:val="auto"/>
        </w:rPr>
      </w:pPr>
    </w:p>
    <w:p>
      <w:pPr>
        <w:ind w:right="60"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Assistant Secretaries</w:t>
      </w:r>
      <w:r>
        <w:rPr>
          <w:rFonts w:ascii="Times New Roman" w:cs="Times New Roman" w:eastAsia="Times New Roman" w:hAnsi="Times New Roman"/>
          <w:sz w:val="22"/>
          <w:szCs w:val="22"/>
          <w:color w:val="auto"/>
        </w:rPr>
        <w:t>. Assistant Secretaries, if there be any, shall assist the Secretary in the discharge of the Secretary’s duties, shall have such powers and perform such other duties as shall at any time be assigned to them by the Board and, in the absence or disability of the Secretary, shall perform the duties of the Secretary’s office, subject to the control of the Board or the Chief Executive Officer.</w:t>
      </w:r>
    </w:p>
    <w:p>
      <w:pPr>
        <w:spacing w:after="0" w:line="126" w:lineRule="exact"/>
        <w:rPr>
          <w:sz w:val="20"/>
          <w:szCs w:val="20"/>
          <w:color w:val="auto"/>
        </w:rPr>
      </w:pPr>
    </w:p>
    <w:p>
      <w:pPr>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Assistant Treasurers</w:t>
      </w:r>
      <w:r>
        <w:rPr>
          <w:rFonts w:ascii="Times New Roman" w:cs="Times New Roman" w:eastAsia="Times New Roman" w:hAnsi="Times New Roman"/>
          <w:sz w:val="22"/>
          <w:szCs w:val="22"/>
          <w:color w:val="auto"/>
        </w:rPr>
        <w:t>. Assistant Treasurers, if there be any, shall assist the Treasurer in the discharge of the Treasurer’s duties, shall have such powers and perform such other duties as shall at any time be assigned to them by the Board and, in the absence or disability of the Treasurer, shall perform the duties of the Treasurer’s office, subject to the control of the Board or the Chief Executive Officer.</w:t>
      </w:r>
    </w:p>
    <w:p>
      <w:pPr>
        <w:spacing w:after="0" w:line="126" w:lineRule="exact"/>
        <w:rPr>
          <w:sz w:val="20"/>
          <w:szCs w:val="20"/>
          <w:color w:val="auto"/>
        </w:rPr>
      </w:pPr>
    </w:p>
    <w:p>
      <w:pPr>
        <w:ind w:right="160"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Other Officers</w:t>
      </w:r>
      <w:r>
        <w:rPr>
          <w:rFonts w:ascii="Times New Roman" w:cs="Times New Roman" w:eastAsia="Times New Roman" w:hAnsi="Times New Roman"/>
          <w:sz w:val="22"/>
          <w:szCs w:val="22"/>
          <w:color w:val="auto"/>
        </w:rPr>
        <w:t>. Such other officers as the Board or the Chief Executive Officer may choose shall perform such duties and have such powers as from time to time may be assigned to them by the Board or the Chief Executive Officer. The Board may delegate to any other officer of the Corporation the power to choose such other officers and to prescribe their respective duties and powers.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STOCK</w:t>
      </w:r>
    </w:p>
    <w:p>
      <w:pPr>
        <w:spacing w:after="0" w:line="152" w:lineRule="exact"/>
        <w:rPr>
          <w:sz w:val="20"/>
          <w:szCs w:val="20"/>
          <w:color w:val="auto"/>
        </w:rPr>
      </w:pPr>
    </w:p>
    <w:p>
      <w:pPr>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Uncertificated Shares</w:t>
      </w:r>
      <w:r>
        <w:rPr>
          <w:rFonts w:ascii="Times New Roman" w:cs="Times New Roman" w:eastAsia="Times New Roman" w:hAnsi="Times New Roman"/>
          <w:sz w:val="22"/>
          <w:szCs w:val="22"/>
          <w:color w:val="auto"/>
        </w:rPr>
        <w:t>. Unless otherwise provided by resolution of the Board, each class or series of shares of the Corporation’s capital stock shall be issued in 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spacing w:after="0" w:line="123" w:lineRule="exact"/>
        <w:rPr>
          <w:sz w:val="20"/>
          <w:szCs w:val="20"/>
          <w:color w:val="auto"/>
        </w:rPr>
      </w:pPr>
    </w:p>
    <w:p>
      <w:pPr>
        <w:ind w:right="80" w:firstLine="864"/>
        <w:spacing w:after="0" w:line="235"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the close of business on the day on which the Board adopts the resolution relating thereto.</w:t>
      </w:r>
    </w:p>
    <w:p>
      <w:pPr>
        <w:spacing w:after="0" w:line="129" w:lineRule="exact"/>
        <w:rPr>
          <w:sz w:val="20"/>
          <w:szCs w:val="20"/>
          <w:color w:val="auto"/>
        </w:rPr>
      </w:pPr>
    </w:p>
    <w:p>
      <w:pPr>
        <w:ind w:right="300" w:firstLine="864"/>
        <w:spacing w:after="0" w:line="238"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Record Owners</w:t>
      </w:r>
      <w:r>
        <w:rPr>
          <w:rFonts w:ascii="Times New Roman" w:cs="Times New Roman" w:eastAsia="Times New Roman" w:hAnsi="Times New Roman"/>
          <w:sz w:val="22"/>
          <w:szCs w:val="22"/>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23" w:lineRule="exact"/>
        <w:rPr>
          <w:sz w:val="20"/>
          <w:szCs w:val="20"/>
          <w:color w:val="auto"/>
        </w:rPr>
      </w:pPr>
    </w:p>
    <w:p>
      <w:pPr>
        <w:ind w:right="60" w:firstLine="864"/>
        <w:spacing w:after="0" w:line="244"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Transfer and Registry Agents</w:t>
      </w:r>
      <w:r>
        <w:rPr>
          <w:rFonts w:ascii="Times New Roman" w:cs="Times New Roman" w:eastAsia="Times New Roman" w:hAnsi="Times New Roman"/>
          <w:sz w:val="22"/>
          <w:szCs w:val="22"/>
          <w:color w:val="auto"/>
        </w:rPr>
        <w:t>. The Corporation may from time to time maintain one or more transfer offices or agencies and registry offices or agencies at such place or places as may be determined from time to time by the Board.</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152" w:lineRule="exact"/>
        <w:rPr>
          <w:sz w:val="20"/>
          <w:szCs w:val="20"/>
          <w:color w:val="auto"/>
        </w:rPr>
      </w:pPr>
    </w:p>
    <w:p>
      <w:pPr>
        <w:ind w:right="200" w:firstLine="864"/>
        <w:spacing w:after="0" w:line="244"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The Board may authorize any officer or officers or any agent or agents to enter into any contract or execute and deliver any instrument or other document in the name of and on behalf of the Corporation, and such authority may be general or confined to specific instances.</w:t>
      </w:r>
    </w:p>
    <w:p>
      <w:pPr>
        <w:spacing w:after="0" w:line="119" w:lineRule="exact"/>
        <w:rPr>
          <w:sz w:val="20"/>
          <w:szCs w:val="20"/>
          <w:color w:val="auto"/>
        </w:rPr>
      </w:pPr>
    </w:p>
    <w:p>
      <w:pPr>
        <w:ind w:right="240" w:firstLine="864"/>
        <w:spacing w:after="0" w:line="258"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Disbursements</w:t>
      </w:r>
      <w:r>
        <w:rPr>
          <w:rFonts w:ascii="Times New Roman" w:cs="Times New Roman" w:eastAsia="Times New Roman" w:hAnsi="Times New Roman"/>
          <w:sz w:val="22"/>
          <w:szCs w:val="22"/>
          <w:color w:val="auto"/>
        </w:rPr>
        <w:t>. All checks or demands for money and notes of the Corporation shall be signed by such officer or officers or such other person or persons as the Board may from time to time designate.</w:t>
      </w:r>
    </w:p>
    <w:p>
      <w:pPr>
        <w:spacing w:after="0" w:line="104"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of the Corporation shall end on the 31</w:t>
      </w:r>
      <w:r>
        <w:rPr>
          <w:rFonts w:ascii="Times New Roman" w:cs="Times New Roman" w:eastAsia="Times New Roman" w:hAnsi="Times New Roman"/>
          <w:sz w:val="18"/>
          <w:szCs w:val="18"/>
          <w:color w:val="auto"/>
        </w:rPr>
        <w:t>st</w:t>
      </w:r>
      <w:r>
        <w:rPr>
          <w:rFonts w:ascii="Times New Roman" w:cs="Times New Roman" w:eastAsia="Times New Roman" w:hAnsi="Times New Roman"/>
          <w:sz w:val="22"/>
          <w:szCs w:val="22"/>
          <w:color w:val="auto"/>
        </w:rPr>
        <w:t xml:space="preserve"> day of December in each year or on such other day as may be fixed from time to time by resolution of the Board.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1" w:name="page132"/>
    <w:bookmarkEnd w:id="131"/>
    <w:p>
      <w:pPr>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Corporate Seal</w:t>
      </w:r>
      <w:r>
        <w:rPr>
          <w:rFonts w:ascii="Times New Roman" w:cs="Times New Roman" w:eastAsia="Times New Roman" w:hAnsi="Times New Roman"/>
          <w:sz w:val="22"/>
          <w:szCs w:val="22"/>
          <w:color w:val="auto"/>
        </w:rPr>
        <w:t>. The corporate seal shall have inscribed thereon the name of the Corporation, the year of its organization and the words “Corporate Seal, Delaware.” The seal may be used by causing it or a facsimile thereof to be impressed or affixed or otherwise reproduced.</w:t>
      </w:r>
    </w:p>
    <w:p>
      <w:pPr>
        <w:spacing w:after="0" w:line="119" w:lineRule="exact"/>
        <w:rPr>
          <w:sz w:val="20"/>
          <w:szCs w:val="20"/>
          <w:color w:val="auto"/>
        </w:rPr>
      </w:pPr>
    </w:p>
    <w:p>
      <w:pPr>
        <w:ind w:right="60"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Offices</w:t>
      </w:r>
      <w:r>
        <w:rPr>
          <w:rFonts w:ascii="Times New Roman" w:cs="Times New Roman" w:eastAsia="Times New Roman" w:hAnsi="Times New Roman"/>
          <w:sz w:val="22"/>
          <w:szCs w:val="22"/>
          <w:color w:val="auto"/>
        </w:rPr>
        <w:t>. The Corporation shall maintain a registered office inside the State of Delaware and may also have other offices outside or inside the State of Delaware. The books of the Corporation may be kept (subject to any applicable law) outside the State of Delaware at the principal executive offices of the Corporation or at such other place or places as may be designated from time to time by the Board.</w:t>
      </w:r>
    </w:p>
    <w:p>
      <w:pPr>
        <w:spacing w:after="0" w:line="126" w:lineRule="exact"/>
        <w:rPr>
          <w:sz w:val="20"/>
          <w:szCs w:val="20"/>
          <w:color w:val="auto"/>
        </w:rPr>
      </w:pPr>
    </w:p>
    <w:p>
      <w:pPr>
        <w:ind w:right="120" w:firstLine="864"/>
        <w:spacing w:after="0" w:line="236"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Whenever any notice is required to be given to any stockholder or director of the Corporation under the provisions of the DGCL or these Bylaws, a waiver thereof in writing, signed by the person or persons entitled to such notice, or a waiver by electronic transmission by the person or persons entitled to such notice, whether before or after the time stated therein, shall be deemed equivalent to the giving of such notice. Neither the business to be transacted at, nor the purpose of, any annual or special meeting of the stockholders or any regular or special meeting of the Board or committee thereof need be specified in any waiver of notice of such meeting unless so required by law.</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AMENDMENTS</w:t>
      </w:r>
    </w:p>
    <w:p>
      <w:pPr>
        <w:spacing w:after="0" w:line="152" w:lineRule="exact"/>
        <w:rPr>
          <w:sz w:val="20"/>
          <w:szCs w:val="20"/>
          <w:color w:val="auto"/>
        </w:rPr>
      </w:pPr>
    </w:p>
    <w:p>
      <w:pPr>
        <w:ind w:right="100" w:firstLine="864"/>
        <w:spacing w:after="0" w:line="234"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below, these Bylaws may be adopted, amended, altered or repealed by the Board or by the stockholders of the Corporation by the affirmative vote of the holders of at least a majority of the voting power of all then outstanding shares of capital stock of the Corporation entitled to vote generally in the election of directors, voting together as a single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case of any adoption, amendment, alteration or repeal of these Bylaws by the stockholders of the Corporation, notwithstanding any other provision of these Bylaws, and in addition to any other vote that may be required by law or the terms of any series of preferred stock, the affirmative vote of the holders of at least sixty six and two-thirds percent (66 2/3%) of the voting power of all of the then outstanding shares of capital stock of the Corporation entitled to vote generally in the election of directors, voting together as a single class, shall be required to amend, alter, repeal or adopt any provision inconsistent with </w:t>
      </w:r>
      <w:r>
        <w:rPr>
          <w:rFonts w:ascii="Times New Roman" w:cs="Times New Roman" w:eastAsia="Times New Roman" w:hAnsi="Times New Roman"/>
          <w:sz w:val="22"/>
          <w:szCs w:val="22"/>
          <w:u w:val="single" w:color="auto"/>
          <w:color w:val="auto"/>
        </w:rPr>
        <w:t>Section 1.7(b)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of these Bylaws.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EMERGENCY BYLAWS</w:t>
      </w:r>
    </w:p>
    <w:p>
      <w:pPr>
        <w:spacing w:after="0" w:line="152" w:lineRule="exact"/>
        <w:rPr>
          <w:sz w:val="20"/>
          <w:szCs w:val="20"/>
          <w:color w:val="auto"/>
        </w:rPr>
      </w:pPr>
    </w:p>
    <w:p>
      <w:pPr>
        <w:ind w:right="40" w:firstLine="864"/>
        <w:spacing w:after="0" w:line="236"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Emergency Bylaws</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be operative during any emergency, disaster or catastrophe, as referred to in Section 110 of the DGCL, or other similar emergency condition (including, without limitation, a pandemic), as a result of which a quorum of the Board or a committee thereof cannot readily be convened for action (each, an “</w:t>
      </w:r>
      <w:r>
        <w:rPr>
          <w:rFonts w:ascii="Times New Roman" w:cs="Times New Roman" w:eastAsia="Times New Roman" w:hAnsi="Times New Roman"/>
          <w:sz w:val="22"/>
          <w:szCs w:val="22"/>
          <w:b w:val="1"/>
          <w:bCs w:val="1"/>
          <w:i w:val="1"/>
          <w:iCs w:val="1"/>
          <w:color w:val="auto"/>
        </w:rPr>
        <w:t>Emergency</w:t>
      </w:r>
      <w:r>
        <w:rPr>
          <w:rFonts w:ascii="Times New Roman" w:cs="Times New Roman" w:eastAsia="Times New Roman" w:hAnsi="Times New Roman"/>
          <w:sz w:val="22"/>
          <w:szCs w:val="22"/>
          <w:color w:val="auto"/>
        </w:rPr>
        <w:t xml:space="preserve">”), notwithstanding any different or conflicting provision of the preceding Sections of these Bylaws or in the Certificate of Incorporation. To the extent not inconsistent with the provisions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preceding Sections of these Bylaws and the provisions of the Certificate of Incorporation shall remain in effect during such Emergency, and upon termination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1"/>
          <w:szCs w:val="21"/>
          <w:color w:val="auto"/>
        </w:rPr>
        <w:t xml:space="preserve">of such Emergency, the provisions of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shall cease to be operative unless and until another Emergency shall occur.</w:t>
      </w:r>
    </w:p>
    <w:p>
      <w:pPr>
        <w:spacing w:after="0" w:line="164" w:lineRule="exact"/>
        <w:rPr>
          <w:sz w:val="20"/>
          <w:szCs w:val="20"/>
          <w:color w:val="auto"/>
        </w:rPr>
      </w:pPr>
    </w:p>
    <w:p>
      <w:pPr>
        <w:ind w:firstLine="864"/>
        <w:spacing w:after="0" w:line="236"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Meetings; Notice</w:t>
      </w:r>
      <w:r>
        <w:rPr>
          <w:rFonts w:ascii="Times New Roman" w:cs="Times New Roman" w:eastAsia="Times New Roman" w:hAnsi="Times New Roman"/>
          <w:sz w:val="22"/>
          <w:szCs w:val="22"/>
          <w:color w:val="auto"/>
        </w:rPr>
        <w:t>. During any Emergency, a meeting of the Board or any committee thereof may be called by any member of the Board or such committee or the Chair of the Board, the Chief Executive Officer, the President or the Secretary of the Corporation. Notice of the place, date and time of the meeting shall be given by any available means of communication by the person calling the meeting to such of the directors or committee members and Designated Officers (as defined below) as, in the judgment of the person calling the meeting, it may be feasible to reach. Such notice shall be given at such time in advance of the meeting as, in the judgment of the person calling the meeting, circumstances permit.</w:t>
      </w:r>
    </w:p>
    <w:p>
      <w:pPr>
        <w:spacing w:after="0" w:line="127" w:lineRule="exact"/>
        <w:rPr>
          <w:sz w:val="20"/>
          <w:szCs w:val="20"/>
          <w:color w:val="auto"/>
        </w:rPr>
      </w:pPr>
    </w:p>
    <w:p>
      <w:pPr>
        <w:ind w:firstLine="864"/>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7.3 Quorum</w:t>
      </w:r>
      <w:r>
        <w:rPr>
          <w:rFonts w:ascii="Times New Roman" w:cs="Times New Roman" w:eastAsia="Times New Roman" w:hAnsi="Times New Roman"/>
          <w:sz w:val="22"/>
          <w:szCs w:val="22"/>
          <w:color w:val="auto"/>
        </w:rPr>
        <w:t xml:space="preserve">. At any meeting of the Board called in accordance with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above, the presence or participation of one director shall constitute a quorum for the transaction of business, and at any meeting of any committee of the Board called in accordance with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above, the presence or participation of one committee member shall constitute a quorum for the transaction of business. In the event that no directors are able to attend a meeting of the Board, or any committee thereof, then the Designated Officers in attendance shall serve as directors, or committee members, as the case may be, for the meeting, without any additional quorum requirement and will have full powers to act as directors, or committee members, as the case may be, of the Corporation.</w:t>
      </w:r>
    </w:p>
    <w:p>
      <w:pPr>
        <w:spacing w:after="0" w:line="129" w:lineRule="exact"/>
        <w:rPr>
          <w:sz w:val="20"/>
          <w:szCs w:val="20"/>
          <w:color w:val="auto"/>
        </w:rPr>
      </w:pPr>
    </w:p>
    <w:p>
      <w:pPr>
        <w:ind w:right="780" w:firstLine="864"/>
        <w:spacing w:after="0" w:line="258"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xml:space="preserve">. No officer, director or employee of the Corporation acting in accordance with the provisions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be liable except for willful misconduct.</w:t>
      </w:r>
    </w:p>
    <w:p>
      <w:pPr>
        <w:spacing w:after="0" w:line="104" w:lineRule="exact"/>
        <w:rPr>
          <w:sz w:val="20"/>
          <w:szCs w:val="20"/>
          <w:color w:val="auto"/>
        </w:rPr>
      </w:pPr>
    </w:p>
    <w:p>
      <w:pPr>
        <w:ind w:right="160"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At any meeting called in accordance with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above, the Board, or any committee thereof, as the case may be, may modify, amend or add to the provisions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as it deems it to be in the best interests of the Corporation so as to make any provision that may be practical or necessary for the circumstances of the Emergency.</w:t>
      </w:r>
    </w:p>
    <w:p>
      <w:pPr>
        <w:spacing w:after="0" w:line="126" w:lineRule="exact"/>
        <w:rPr>
          <w:sz w:val="20"/>
          <w:szCs w:val="20"/>
          <w:color w:val="auto"/>
        </w:rPr>
      </w:pPr>
    </w:p>
    <w:p>
      <w:pPr>
        <w:ind w:right="100" w:firstLine="864"/>
        <w:spacing w:after="0" w:line="244"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Repeal or Change</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be subject to repeal or change by further action of the Board or by action of the stockholders, but no such repeal or change shall modify the provisions of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above with regard to action taken prior to the time of such repeal or change.</w:t>
      </w:r>
    </w:p>
    <w:p>
      <w:pPr>
        <w:spacing w:after="0" w:line="113" w:lineRule="exact"/>
        <w:rPr>
          <w:sz w:val="20"/>
          <w:szCs w:val="20"/>
          <w:color w:val="auto"/>
        </w:rPr>
      </w:pPr>
    </w:p>
    <w:p>
      <w:pPr>
        <w:ind w:right="40" w:firstLine="864"/>
        <w:spacing w:after="0" w:line="237"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i w:val="1"/>
          <w:iCs w:val="1"/>
          <w:color w:val="auto"/>
        </w:rPr>
        <w:t>Designated Officer</w:t>
      </w:r>
      <w:r>
        <w:rPr>
          <w:rFonts w:ascii="Times New Roman" w:cs="Times New Roman" w:eastAsia="Times New Roman" w:hAnsi="Times New Roman"/>
          <w:sz w:val="22"/>
          <w:szCs w:val="22"/>
          <w:color w:val="auto"/>
        </w:rPr>
        <w:t>” means an officer identified on a numbered list of officers of the Corporation who shall be deemed to be, in the order in which they appear on the list up until a quorum is obtained, directors of the Corporation, or members of a committee of the Board, as the case may be, for purposes of obtaining a quorum during an Emergency, if a quorum of directors or committee members, as the case may be, cannot otherwise be obtained during such Emergency, which officers have been designated by the Board from time to time but in any event prior to such time or times as an Emergency may have occurred.</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 *</w:t>
      </w:r>
    </w:p>
    <w:p>
      <w:pPr>
        <w:spacing w:after="0" w:line="58"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Adopted as of: October 14, 2020, subject to and effective upon the closing of the Corporation’s initial public offering on its Registration Statement on Form S-1.</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00"/>
          </w:cols>
          <w:pgMar w:left="320" w:top="490" w:right="37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Hutton, certify that:</w:t>
      </w:r>
    </w:p>
    <w:p>
      <w:pPr>
        <w:spacing w:after="0" w:line="117" w:lineRule="exact"/>
        <w:rPr>
          <w:sz w:val="20"/>
          <w:szCs w:val="20"/>
          <w:color w:val="auto"/>
        </w:rPr>
      </w:pPr>
    </w:p>
    <w:p>
      <w:pPr>
        <w:ind w:left="1280" w:hanging="714"/>
        <w:spacing w:after="0"/>
        <w:tabs>
          <w:tab w:leader="none" w:pos="12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Quarterly Report on Form 10-Q of Biodesix, Inc.;</w:t>
      </w:r>
    </w:p>
    <w:p>
      <w:pPr>
        <w:spacing w:after="0" w:line="107" w:lineRule="exact"/>
        <w:rPr>
          <w:rFonts w:ascii="Times New Roman" w:cs="Times New Roman" w:eastAsia="Times New Roman" w:hAnsi="Times New Roman"/>
          <w:sz w:val="20"/>
          <w:szCs w:val="20"/>
          <w:color w:val="auto"/>
        </w:rPr>
      </w:pPr>
    </w:p>
    <w:p>
      <w:pPr>
        <w:ind w:left="1280" w:right="200" w:hanging="714"/>
        <w:spacing w:after="0" w:line="252" w:lineRule="auto"/>
        <w:tabs>
          <w:tab w:leader="none" w:pos="12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Times New Roman" w:cs="Times New Roman" w:eastAsia="Times New Roman" w:hAnsi="Times New Roman"/>
          <w:sz w:val="20"/>
          <w:szCs w:val="20"/>
          <w:color w:val="auto"/>
        </w:rPr>
      </w:pPr>
    </w:p>
    <w:p>
      <w:pPr>
        <w:ind w:left="1280" w:right="240" w:hanging="714"/>
        <w:spacing w:after="0" w:line="284" w:lineRule="auto"/>
        <w:tabs>
          <w:tab w:leader="none" w:pos="128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9"/>
          <w:szCs w:val="19"/>
          <w:color w:val="auto"/>
        </w:rPr>
      </w:pPr>
    </w:p>
    <w:p>
      <w:pPr>
        <w:ind w:left="1280" w:right="120" w:hanging="714"/>
        <w:spacing w:after="0" w:line="261" w:lineRule="auto"/>
        <w:tabs>
          <w:tab w:leader="none" w:pos="128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9"/>
          <w:szCs w:val="19"/>
          <w:color w:val="auto"/>
        </w:rPr>
      </w:pPr>
    </w:p>
    <w:p>
      <w:pPr>
        <w:ind w:left="1960" w:right="80" w:hanging="787"/>
        <w:spacing w:after="0" w:line="252" w:lineRule="auto"/>
        <w:tabs>
          <w:tab w:leader="none" w:pos="196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Times New Roman" w:cs="Times New Roman" w:eastAsia="Times New Roman" w:hAnsi="Times New Roman"/>
          <w:sz w:val="20"/>
          <w:szCs w:val="20"/>
          <w:color w:val="auto"/>
        </w:rPr>
      </w:pPr>
    </w:p>
    <w:p>
      <w:pPr>
        <w:ind w:left="1980" w:right="240" w:hanging="807"/>
        <w:spacing w:after="0" w:line="252" w:lineRule="auto"/>
        <w:tabs>
          <w:tab w:leader="none" w:pos="198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Times New Roman" w:cs="Times New Roman" w:eastAsia="Times New Roman" w:hAnsi="Times New Roman"/>
          <w:sz w:val="20"/>
          <w:szCs w:val="20"/>
          <w:color w:val="auto"/>
        </w:rPr>
      </w:pPr>
    </w:p>
    <w:p>
      <w:pPr>
        <w:jc w:val="both"/>
        <w:ind w:left="1960" w:right="320" w:hanging="787"/>
        <w:spacing w:after="0" w:line="252" w:lineRule="auto"/>
        <w:tabs>
          <w:tab w:leader="none" w:pos="196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20"/>
          <w:szCs w:val="20"/>
          <w:color w:val="auto"/>
        </w:rPr>
      </w:pPr>
    </w:p>
    <w:p>
      <w:pPr>
        <w:ind w:left="1980" w:right="320" w:hanging="807"/>
        <w:spacing w:after="0" w:line="252" w:lineRule="auto"/>
        <w:tabs>
          <w:tab w:leader="none" w:pos="198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Times New Roman" w:cs="Times New Roman" w:eastAsia="Times New Roman" w:hAnsi="Times New Roman"/>
          <w:sz w:val="20"/>
          <w:szCs w:val="20"/>
          <w:color w:val="auto"/>
        </w:rPr>
      </w:pPr>
    </w:p>
    <w:p>
      <w:pPr>
        <w:ind w:left="1280" w:right="160" w:hanging="714"/>
        <w:spacing w:after="0" w:line="252" w:lineRule="auto"/>
        <w:tabs>
          <w:tab w:leader="none" w:pos="12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Times New Roman" w:cs="Times New Roman" w:eastAsia="Times New Roman" w:hAnsi="Times New Roman"/>
          <w:sz w:val="20"/>
          <w:szCs w:val="20"/>
          <w:color w:val="auto"/>
        </w:rPr>
      </w:pPr>
    </w:p>
    <w:p>
      <w:pPr>
        <w:ind w:left="1960" w:right="120" w:hanging="787"/>
        <w:spacing w:after="0" w:line="252" w:lineRule="auto"/>
        <w:tabs>
          <w:tab w:leader="none" w:pos="196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Times New Roman" w:cs="Times New Roman" w:eastAsia="Times New Roman" w:hAnsi="Times New Roman"/>
          <w:sz w:val="20"/>
          <w:szCs w:val="20"/>
          <w:color w:val="auto"/>
        </w:rPr>
      </w:pPr>
    </w:p>
    <w:p>
      <w:pPr>
        <w:ind w:left="1980" w:right="120" w:hanging="807"/>
        <w:spacing w:after="0" w:line="255" w:lineRule="auto"/>
        <w:tabs>
          <w:tab w:leader="none" w:pos="198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460" w:val="left"/>
          <w:tab w:leader="none" w:pos="8000" w:val="left"/>
        </w:tabs>
        <w:rPr>
          <w:sz w:val="20"/>
          <w:szCs w:val="20"/>
          <w:color w:val="auto"/>
        </w:rPr>
      </w:pPr>
      <w:r>
        <w:rPr>
          <w:rFonts w:ascii="Times New Roman" w:cs="Times New Roman" w:eastAsia="Times New Roman" w:hAnsi="Times New Roman"/>
          <w:sz w:val="18"/>
          <w:szCs w:val="18"/>
          <w:color w:val="auto"/>
        </w:rPr>
        <w:t>Date: December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34290</wp:posOffset>
            </wp:positionV>
            <wp:extent cx="33775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color w:val="auto"/>
        </w:rPr>
        <w:t>Scott Hutton</w:t>
      </w:r>
    </w:p>
    <w:p>
      <w:pPr>
        <w:spacing w:after="0" w:line="6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11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Robin Harper Cowie, certify that:</w:t>
      </w:r>
    </w:p>
    <w:p>
      <w:pPr>
        <w:spacing w:after="0" w:line="117" w:lineRule="exact"/>
        <w:rPr>
          <w:sz w:val="20"/>
          <w:szCs w:val="20"/>
          <w:color w:val="auto"/>
        </w:rPr>
      </w:pPr>
    </w:p>
    <w:p>
      <w:pPr>
        <w:ind w:left="1280" w:hanging="714"/>
        <w:spacing w:after="0"/>
        <w:tabs>
          <w:tab w:leader="none" w:pos="12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Quarterly Report on Form 10-Q of Biodesix, Inc.;</w:t>
      </w:r>
    </w:p>
    <w:p>
      <w:pPr>
        <w:spacing w:after="0" w:line="107" w:lineRule="exact"/>
        <w:rPr>
          <w:rFonts w:ascii="Times New Roman" w:cs="Times New Roman" w:eastAsia="Times New Roman" w:hAnsi="Times New Roman"/>
          <w:sz w:val="20"/>
          <w:szCs w:val="20"/>
          <w:color w:val="auto"/>
        </w:rPr>
      </w:pPr>
    </w:p>
    <w:p>
      <w:pPr>
        <w:ind w:left="1280" w:right="200" w:hanging="714"/>
        <w:spacing w:after="0" w:line="252" w:lineRule="auto"/>
        <w:tabs>
          <w:tab w:leader="none" w:pos="12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Times New Roman" w:cs="Times New Roman" w:eastAsia="Times New Roman" w:hAnsi="Times New Roman"/>
          <w:sz w:val="20"/>
          <w:szCs w:val="20"/>
          <w:color w:val="auto"/>
        </w:rPr>
      </w:pPr>
    </w:p>
    <w:p>
      <w:pPr>
        <w:ind w:left="1280" w:right="240" w:hanging="714"/>
        <w:spacing w:after="0" w:line="284" w:lineRule="auto"/>
        <w:tabs>
          <w:tab w:leader="none" w:pos="128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9"/>
          <w:szCs w:val="19"/>
          <w:color w:val="auto"/>
        </w:rPr>
      </w:pPr>
    </w:p>
    <w:p>
      <w:pPr>
        <w:ind w:left="1280" w:right="120" w:hanging="714"/>
        <w:spacing w:after="0" w:line="261" w:lineRule="auto"/>
        <w:tabs>
          <w:tab w:leader="none" w:pos="128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9"/>
          <w:szCs w:val="19"/>
          <w:color w:val="auto"/>
        </w:rPr>
      </w:pPr>
    </w:p>
    <w:p>
      <w:pPr>
        <w:ind w:left="1960" w:right="80" w:hanging="787"/>
        <w:spacing w:after="0" w:line="252" w:lineRule="auto"/>
        <w:tabs>
          <w:tab w:leader="none" w:pos="196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Times New Roman" w:cs="Times New Roman" w:eastAsia="Times New Roman" w:hAnsi="Times New Roman"/>
          <w:sz w:val="20"/>
          <w:szCs w:val="20"/>
          <w:color w:val="auto"/>
        </w:rPr>
      </w:pPr>
    </w:p>
    <w:p>
      <w:pPr>
        <w:ind w:left="1980" w:right="240" w:hanging="807"/>
        <w:spacing w:after="0" w:line="252" w:lineRule="auto"/>
        <w:tabs>
          <w:tab w:leader="none" w:pos="198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Times New Roman" w:cs="Times New Roman" w:eastAsia="Times New Roman" w:hAnsi="Times New Roman"/>
          <w:sz w:val="20"/>
          <w:szCs w:val="20"/>
          <w:color w:val="auto"/>
        </w:rPr>
      </w:pPr>
    </w:p>
    <w:p>
      <w:pPr>
        <w:jc w:val="both"/>
        <w:ind w:left="1960" w:right="320" w:hanging="787"/>
        <w:spacing w:after="0" w:line="252" w:lineRule="auto"/>
        <w:tabs>
          <w:tab w:leader="none" w:pos="196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20"/>
          <w:szCs w:val="20"/>
          <w:color w:val="auto"/>
        </w:rPr>
      </w:pPr>
    </w:p>
    <w:p>
      <w:pPr>
        <w:ind w:left="1980" w:right="320" w:hanging="807"/>
        <w:spacing w:after="0" w:line="252" w:lineRule="auto"/>
        <w:tabs>
          <w:tab w:leader="none" w:pos="198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Times New Roman" w:cs="Times New Roman" w:eastAsia="Times New Roman" w:hAnsi="Times New Roman"/>
          <w:sz w:val="20"/>
          <w:szCs w:val="20"/>
          <w:color w:val="auto"/>
        </w:rPr>
      </w:pPr>
    </w:p>
    <w:p>
      <w:pPr>
        <w:ind w:left="1280" w:right="160" w:hanging="714"/>
        <w:spacing w:after="0" w:line="252" w:lineRule="auto"/>
        <w:tabs>
          <w:tab w:leader="none" w:pos="12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Times New Roman" w:cs="Times New Roman" w:eastAsia="Times New Roman" w:hAnsi="Times New Roman"/>
          <w:sz w:val="20"/>
          <w:szCs w:val="20"/>
          <w:color w:val="auto"/>
        </w:rPr>
      </w:pPr>
    </w:p>
    <w:p>
      <w:pPr>
        <w:ind w:left="1960" w:right="120" w:hanging="787"/>
        <w:spacing w:after="0" w:line="252" w:lineRule="auto"/>
        <w:tabs>
          <w:tab w:leader="none" w:pos="196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Times New Roman" w:cs="Times New Roman" w:eastAsia="Times New Roman" w:hAnsi="Times New Roman"/>
          <w:sz w:val="20"/>
          <w:szCs w:val="20"/>
          <w:color w:val="auto"/>
        </w:rPr>
      </w:pPr>
    </w:p>
    <w:p>
      <w:pPr>
        <w:ind w:left="1980" w:right="120" w:hanging="807"/>
        <w:spacing w:after="0" w:line="255" w:lineRule="auto"/>
        <w:tabs>
          <w:tab w:leader="none" w:pos="198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40"/>
        <w:spacing w:after="0"/>
        <w:tabs>
          <w:tab w:leader="none" w:pos="5500" w:val="left"/>
          <w:tab w:leader="none" w:pos="7920" w:val="left"/>
        </w:tabs>
        <w:rPr>
          <w:sz w:val="20"/>
          <w:szCs w:val="20"/>
          <w:color w:val="auto"/>
        </w:rPr>
      </w:pPr>
      <w:r>
        <w:rPr>
          <w:rFonts w:ascii="Times New Roman" w:cs="Times New Roman" w:eastAsia="Times New Roman" w:hAnsi="Times New Roman"/>
          <w:sz w:val="18"/>
          <w:szCs w:val="18"/>
          <w:color w:val="auto"/>
        </w:rPr>
        <w:t>Date: December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34290</wp:posOffset>
            </wp:positionV>
            <wp:extent cx="31032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7"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63"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333"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12" w:lineRule="exact"/>
        <w:rPr>
          <w:sz w:val="20"/>
          <w:szCs w:val="20"/>
          <w:color w:val="auto"/>
        </w:rPr>
      </w:pPr>
    </w:p>
    <w:p>
      <w:pPr>
        <w:jc w:val="both"/>
        <w:ind w:firstLine="589"/>
        <w:spacing w:after="0" w:line="254" w:lineRule="auto"/>
        <w:rPr>
          <w:sz w:val="20"/>
          <w:szCs w:val="20"/>
          <w:color w:val="auto"/>
        </w:rPr>
      </w:pPr>
      <w:r>
        <w:rPr>
          <w:rFonts w:ascii="Times New Roman" w:cs="Times New Roman" w:eastAsia="Times New Roman" w:hAnsi="Times New Roman"/>
          <w:sz w:val="20"/>
          <w:szCs w:val="20"/>
          <w:color w:val="auto"/>
        </w:rPr>
        <w:t>In connection with the Quarterly Report of Biodesix, Inc. (the “Company”) on Form 10-Q for the period ending September 30, 2020 as filed with the Securities and Exchange Commission on the date hereof (the “Report”), I certify, pursuant to 18 U.S.C. § 1350, as adopted pursuant to § 906 of the Sarbanes-Oxley Act of 2002, that, to my knowledge:</w:t>
      </w:r>
    </w:p>
    <w:p>
      <w:pPr>
        <w:spacing w:after="0" w:line="66" w:lineRule="exact"/>
        <w:rPr>
          <w:sz w:val="20"/>
          <w:szCs w:val="20"/>
          <w:color w:val="auto"/>
        </w:rPr>
      </w:pPr>
    </w:p>
    <w:p>
      <w:pPr>
        <w:ind w:left="1980" w:right="20" w:hanging="807"/>
        <w:spacing w:after="0" w:line="269" w:lineRule="auto"/>
        <w:tabs>
          <w:tab w:leader="none" w:pos="19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51" w:lineRule="exact"/>
        <w:rPr>
          <w:rFonts w:ascii="Times New Roman" w:cs="Times New Roman" w:eastAsia="Times New Roman" w:hAnsi="Times New Roman"/>
          <w:sz w:val="20"/>
          <w:szCs w:val="20"/>
          <w:color w:val="auto"/>
        </w:rPr>
      </w:pPr>
    </w:p>
    <w:p>
      <w:pPr>
        <w:ind w:left="1980" w:hanging="807"/>
        <w:spacing w:after="0" w:line="269" w:lineRule="auto"/>
        <w:tabs>
          <w:tab w:leader="none" w:pos="19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tabs>
          <w:tab w:leader="none" w:pos="5460" w:val="left"/>
          <w:tab w:leader="none" w:pos="8100" w:val="left"/>
        </w:tabs>
        <w:rPr>
          <w:sz w:val="20"/>
          <w:szCs w:val="20"/>
          <w:color w:val="auto"/>
        </w:rPr>
      </w:pPr>
      <w:r>
        <w:rPr>
          <w:rFonts w:ascii="Times New Roman" w:cs="Times New Roman" w:eastAsia="Times New Roman" w:hAnsi="Times New Roman"/>
          <w:sz w:val="20"/>
          <w:szCs w:val="20"/>
          <w:color w:val="auto"/>
        </w:rPr>
        <w:t>Date: December 10,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31115</wp:posOffset>
            </wp:positionV>
            <wp:extent cx="31718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4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rPr>
        <w:t>Scott Hutton</w:t>
      </w:r>
    </w:p>
    <w:p>
      <w:pPr>
        <w:spacing w:after="0" w:line="54"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1240"/>
          </w:cols>
          <w:pgMar w:left="320" w:top="329"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12" w:lineRule="exact"/>
        <w:rPr>
          <w:sz w:val="20"/>
          <w:szCs w:val="20"/>
          <w:color w:val="auto"/>
        </w:rPr>
      </w:pPr>
    </w:p>
    <w:p>
      <w:pPr>
        <w:jc w:val="both"/>
        <w:ind w:firstLine="589"/>
        <w:spacing w:after="0" w:line="254" w:lineRule="auto"/>
        <w:rPr>
          <w:sz w:val="20"/>
          <w:szCs w:val="20"/>
          <w:color w:val="auto"/>
        </w:rPr>
      </w:pPr>
      <w:r>
        <w:rPr>
          <w:rFonts w:ascii="Times New Roman" w:cs="Times New Roman" w:eastAsia="Times New Roman" w:hAnsi="Times New Roman"/>
          <w:sz w:val="20"/>
          <w:szCs w:val="20"/>
          <w:color w:val="auto"/>
        </w:rPr>
        <w:t>In connection with the Quarterly Report of Biodesix, Inc. (the “Company”) on Form 10-Q for the period ending September 30, 2020 as filed with the Securities and Exchange Commission on the date hereof (the “Report”), I certify, pursuant to 18 U.S.C. § 1350, as adopted pursuant to § 906 of the Sarbanes-Oxley Act of 2002, that, to my knowledge:</w:t>
      </w:r>
    </w:p>
    <w:p>
      <w:pPr>
        <w:spacing w:after="0" w:line="66" w:lineRule="exact"/>
        <w:rPr>
          <w:sz w:val="20"/>
          <w:szCs w:val="20"/>
          <w:color w:val="auto"/>
        </w:rPr>
      </w:pPr>
    </w:p>
    <w:p>
      <w:pPr>
        <w:ind w:left="1980" w:right="20" w:hanging="807"/>
        <w:spacing w:after="0" w:line="269" w:lineRule="auto"/>
        <w:tabs>
          <w:tab w:leader="none" w:pos="19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51" w:lineRule="exact"/>
        <w:rPr>
          <w:rFonts w:ascii="Times New Roman" w:cs="Times New Roman" w:eastAsia="Times New Roman" w:hAnsi="Times New Roman"/>
          <w:sz w:val="20"/>
          <w:szCs w:val="20"/>
          <w:color w:val="auto"/>
        </w:rPr>
      </w:pPr>
    </w:p>
    <w:p>
      <w:pPr>
        <w:ind w:left="1980" w:hanging="807"/>
        <w:spacing w:after="0" w:line="269" w:lineRule="auto"/>
        <w:tabs>
          <w:tab w:leader="none" w:pos="19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5460" w:val="left"/>
          <w:tab w:leader="none" w:pos="7780" w:val="left"/>
        </w:tabs>
        <w:rPr>
          <w:sz w:val="20"/>
          <w:szCs w:val="20"/>
          <w:color w:val="auto"/>
        </w:rPr>
      </w:pPr>
      <w:r>
        <w:rPr>
          <w:rFonts w:ascii="Times New Roman" w:cs="Times New Roman" w:eastAsia="Times New Roman" w:hAnsi="Times New Roman"/>
          <w:sz w:val="20"/>
          <w:szCs w:val="20"/>
          <w:color w:val="auto"/>
        </w:rPr>
        <w:t>Date: December 10,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48260</wp:posOffset>
            </wp:positionV>
            <wp:extent cx="31629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4"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color w:val="auto"/>
        </w:rPr>
        <w:t>Robin Harper Cowie</w:t>
      </w:r>
    </w:p>
    <w:p>
      <w:pPr>
        <w:spacing w:after="0" w:line="54"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color w:val="auto"/>
        </w:rPr>
        <w:t>Chief Financial Officer</w:t>
      </w:r>
    </w:p>
    <w:sectPr>
      <w:pgSz w:w="11900" w:h="16838" w:orient="portrait"/>
      <w:cols w:equalWidth="0" w:num="1">
        <w:col w:w="11240"/>
      </w:cols>
      <w:pgMar w:left="320" w:top="3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lowerLetter"/>
      <w:start w:val="7"/>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lowerLetter"/>
      <w:start w:val="18"/>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1)"/>
      <w:numFmt w:val="decimal"/>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1)"/>
      <w:numFmt w:val="lowerRoman"/>
      <w:start w:val="2"/>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1)"/>
      <w:numFmt w:val="lowerRoman"/>
      <w:start w:val="3"/>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1)"/>
      <w:numFmt w:val="lowerLetter"/>
      <w:start w:val="1"/>
    </w:lvl>
  </w:abstractNum>
  <w:abstractNum w:abstractNumId="51">
    <w:nsid w:val="5F5E7FD0"/>
    <w:multiLevelType w:val="hybridMultilevel"/>
    <w:lvl w:ilvl="0">
      <w:lvlJc w:val="left"/>
      <w:lvlText w:val="%1"/>
      <w:numFmt w:val="decimal"/>
      <w:start w:val="104"/>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1."/>
      <w:numFmt w:val="upperLetter"/>
      <w:start w:val="1"/>
    </w:lvl>
  </w:abstractNum>
  <w:abstractNum w:abstractNumId="54">
    <w:nsid w:val="6B94764"/>
    <w:multiLevelType w:val="hybridMultilevel"/>
    <w:lvl w:ilvl="0">
      <w:lvlJc w:val="left"/>
      <w:lvlText w:val="(%1)"/>
      <w:numFmt w:val="lowerLetter"/>
      <w:start w:val="1"/>
    </w:lvl>
  </w:abstractNum>
  <w:abstractNum w:abstractNumId="55">
    <w:nsid w:val="42C296BD"/>
    <w:multiLevelType w:val="hybridMultilevel"/>
    <w:lvl w:ilvl="0">
      <w:lvlJc w:val="left"/>
      <w:lvlText w:val="(%1)"/>
      <w:numFmt w:val="lowerLetter"/>
      <w:start w:val="3"/>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Letter"/>
      <w:start w:val="1"/>
    </w:lvl>
  </w:abstractNum>
  <w:abstractNum w:abstractNumId="58">
    <w:nsid w:val="661E3F1E"/>
    <w:multiLevelType w:val="hybridMultilevel"/>
    <w:lvl w:ilvl="0">
      <w:lvlJc w:val="left"/>
      <w:lvlText w:val="(%1)"/>
      <w:numFmt w:val="lowerLetter"/>
      <w:start w:val="2"/>
    </w:lvl>
  </w:abstractNum>
  <w:abstractNum w:abstractNumId="59">
    <w:nsid w:val="5DC79EA8"/>
    <w:multiLevelType w:val="hybridMultilevel"/>
    <w:lvl w:ilvl="0">
      <w:lvlJc w:val="left"/>
      <w:lvlText w:val="(%1)"/>
      <w:numFmt w:val="lowerLetter"/>
      <w:start w:val="5"/>
    </w:lvl>
  </w:abstractNum>
  <w:abstractNum w:abstractNumId="60">
    <w:nsid w:val="540A471C"/>
    <w:multiLevelType w:val="hybridMultilevel"/>
    <w:lvl w:ilvl="0">
      <w:lvlJc w:val="left"/>
      <w:lvlText w:val="(%1)"/>
      <w:numFmt w:val="lowerLetter"/>
      <w:start w:val="1"/>
    </w:lvl>
    <w:lvl w:ilvl="1">
      <w:lvlJc w:val="left"/>
      <w:lvlText w:val="(%2)"/>
      <w:numFmt w:val="lowerLetter"/>
      <w:start w:val="9"/>
    </w:lvl>
  </w:abstractNum>
  <w:abstractNum w:abstractNumId="61">
    <w:nsid w:val="7BD3EE7B"/>
    <w:multiLevelType w:val="hybridMultilevel"/>
    <w:lvl w:ilvl="0">
      <w:lvlJc w:val="left"/>
      <w:lvlText w:val="(%1)"/>
      <w:numFmt w:val="lowerRoman"/>
      <w:start w:val="2"/>
    </w:lvl>
  </w:abstractNum>
  <w:abstractNum w:abstractNumId="62">
    <w:nsid w:val="51D9C564"/>
    <w:multiLevelType w:val="hybridMultilevel"/>
    <w:lvl w:ilvl="0">
      <w:lvlJc w:val="left"/>
      <w:lvlText w:val="(%1)"/>
      <w:numFmt w:val="lowerRoman"/>
      <w:start w:val="5"/>
    </w:lvl>
  </w:abstractNum>
  <w:abstractNum w:abstractNumId="63">
    <w:nsid w:val="613EFDC5"/>
    <w:multiLevelType w:val="hybridMultilevel"/>
    <w:lvl w:ilvl="0">
      <w:lvlJc w:val="left"/>
      <w:lvlText w:val="(%1)"/>
      <w:numFmt w:val="lowerLetter"/>
      <w:start w:val="2"/>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1"/>
      <w:numFmt w:val="lowerLetter"/>
      <w:start w:val="1"/>
    </w:lvl>
    <w:lvl w:ilvl="1">
      <w:lvlJc w:val="left"/>
      <w:lvlText w:val="(%2)"/>
      <w:numFmt w:val="lowerLetter"/>
      <w:start w:val="2"/>
    </w:lvl>
  </w:abstractNum>
  <w:abstractNum w:abstractNumId="66">
    <w:nsid w:val="42963E5A"/>
    <w:multiLevelType w:val="hybridMultilevel"/>
    <w:lvl w:ilvl="0">
      <w:lvlJc w:val="left"/>
      <w:lvlText w:val="(%1)"/>
      <w:numFmt w:val="lowerLetter"/>
      <w:start w:val="1"/>
    </w:lvl>
    <w:lvl w:ilvl="1">
      <w:lvlJc w:val="left"/>
      <w:lvlText w:val="(%2)"/>
      <w:numFmt w:val="lowerLetter"/>
      <w:start w:val="3"/>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1)"/>
      <w:numFmt w:val="lowerLetter"/>
      <w:start w:val="1"/>
    </w:lvl>
    <w:lvl w:ilvl="1">
      <w:lvlJc w:val="left"/>
      <w:lvlText w:val="-"/>
      <w:numFmt w:val="bullet"/>
      <w:start w:val="1"/>
    </w:lvl>
  </w:abstractNum>
  <w:abstractNum w:abstractNumId="69">
    <w:nsid w:val="1A32234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0">
    <w:nsid w:val="3B0FD379"/>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71">
    <w:nsid w:val="68EB2F63"/>
    <w:multiLevelType w:val="hybridMultilevel"/>
    <w:lvl w:ilvl="0">
      <w:lvlJc w:val="left"/>
      <w:lvlText w:val="(%1)"/>
      <w:numFmt w:val="decimal"/>
      <w:start w:val="5"/>
    </w:lvl>
    <w:lvl w:ilvl="1">
      <w:lvlJc w:val="left"/>
      <w:lvlText w:val="%2"/>
      <w:numFmt w:val="upperLetter"/>
      <w:start w:val="1"/>
    </w:lvl>
    <w:lvl w:ilvl="2">
      <w:lvlJc w:val="left"/>
      <w:lvlText w:val="-"/>
      <w:numFmt w:val="bullet"/>
      <w:start w:val="1"/>
    </w:lvl>
  </w:abstractNum>
  <w:abstractNum w:abstractNumId="72">
    <w:nsid w:val="4962813B"/>
    <w:multiLevelType w:val="hybridMultilevel"/>
    <w:lvl w:ilvl="0">
      <w:lvlJc w:val="left"/>
      <w:lvlText w:val="%1"/>
      <w:numFmt w:val="lowerRoman"/>
      <w:start w:val="1"/>
    </w:lvl>
    <w:lvl w:ilvl="1">
      <w:lvlJc w:val="left"/>
      <w:lvlText w:val="(%2)"/>
      <w:numFmt w:val="upperLetter"/>
      <w:start w:val="4"/>
    </w:lvl>
    <w:lvl w:ilvl="2">
      <w:lvlJc w:val="left"/>
      <w:lvlText w:val="-"/>
      <w:numFmt w:val="bullet"/>
      <w:start w:val="1"/>
    </w:lvl>
  </w:abstractNum>
  <w:abstractNum w:abstractNumId="73">
    <w:nsid w:val="60B6DF70"/>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74">
    <w:nsid w:val="6A5EE64"/>
    <w:multiLevelType w:val="hybridMultilevel"/>
    <w:lvl w:ilvl="0">
      <w:lvlJc w:val="left"/>
      <w:lvlText w:val="(%1)"/>
      <w:numFmt w:val="upperLetter"/>
      <w:start w:val="3"/>
    </w:lvl>
    <w:lvl w:ilvl="1">
      <w:lvlJc w:val="left"/>
      <w:lvlText w:val="-"/>
      <w:numFmt w:val="bullet"/>
      <w:start w:val="1"/>
    </w:lvl>
  </w:abstractNum>
  <w:abstractNum w:abstractNumId="75">
    <w:nsid w:val="14330624"/>
    <w:multiLevelType w:val="hybridMultilevel"/>
    <w:lvl w:ilvl="0">
      <w:lvlJc w:val="left"/>
      <w:lvlText w:val="(%1)"/>
      <w:numFmt w:val="upperLetter"/>
      <w:start w:val="8"/>
    </w:lvl>
    <w:lvl w:ilvl="1">
      <w:lvlJc w:val="left"/>
      <w:lvlText w:val="-"/>
      <w:numFmt w:val="bullet"/>
      <w:start w:val="1"/>
    </w:lvl>
  </w:abstractNum>
  <w:abstractNum w:abstractNumId="76">
    <w:nsid w:val="7FFFCA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5"/>
    </w:lvl>
    <w:lvl w:ilvl="3">
      <w:lvlJc w:val="left"/>
      <w:lvlText w:val="-"/>
      <w:numFmt w:val="bullet"/>
      <w:start w:val="1"/>
    </w:lvl>
  </w:abstractNum>
  <w:abstractNum w:abstractNumId="77">
    <w:nsid w:val="1A27709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78">
    <w:nsid w:val="71EA110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79">
    <w:nsid w:val="100F59DC"/>
    <w:multiLevelType w:val="hybridMultilevel"/>
    <w:lvl w:ilvl="0">
      <w:lvlJc w:val="left"/>
      <w:lvlText w:val="(%1)"/>
      <w:numFmt w:val="lowerLetter"/>
      <w:start w:val="5"/>
    </w:lvl>
  </w:abstractNum>
  <w:abstractNum w:abstractNumId="80">
    <w:nsid w:val="7FB7E0AA"/>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81">
    <w:nsid w:val="6EB5BD4"/>
    <w:multiLevelType w:val="hybridMultilevel"/>
    <w:lvl w:ilvl="0">
      <w:lvlJc w:val="left"/>
      <w:lvlText w:val="(%1)"/>
      <w:numFmt w:val="lowerRoman"/>
      <w:start w:val="2"/>
    </w:lvl>
    <w:lvl w:ilvl="1">
      <w:lvlJc w:val="left"/>
      <w:lvlText w:val="-"/>
      <w:numFmt w:val="bullet"/>
      <w:start w:val="1"/>
    </w:lvl>
  </w:abstractNum>
  <w:abstractNum w:abstractNumId="82">
    <w:nsid w:val="6F6DD9AC"/>
    <w:multiLevelType w:val="hybridMultilevel"/>
    <w:lvl w:ilvl="0">
      <w:lvlJc w:val="left"/>
      <w:lvlText w:val="%1"/>
      <w:numFmt w:val="upperLetter"/>
      <w:start w:val="1"/>
    </w:lvl>
    <w:lvl w:ilvl="1">
      <w:lvlJc w:val="left"/>
      <w:lvlText w:val="(%2)"/>
      <w:numFmt w:val="lowerRoman"/>
      <w:start w:val="4"/>
    </w:lvl>
    <w:lvl w:ilvl="2">
      <w:lvlJc w:val="left"/>
      <w:lvlText w:val="-"/>
      <w:numFmt w:val="bullet"/>
      <w:start w:val="1"/>
    </w:lvl>
  </w:abstractNum>
  <w:abstractNum w:abstractNumId="83">
    <w:nsid w:val="94211F2"/>
    <w:multiLevelType w:val="hybridMultilevel"/>
    <w:lvl w:ilvl="0">
      <w:lvlJc w:val="left"/>
      <w:lvlText w:val="(%1)"/>
      <w:numFmt w:val="upperLetter"/>
      <w:start w:val="35"/>
    </w:lvl>
    <w:lvl w:ilvl="1">
      <w:lvlJc w:val="left"/>
      <w:lvlText w:val="%2"/>
      <w:numFmt w:val="lowerRoman"/>
      <w:start w:val="1"/>
    </w:lvl>
    <w:lvl w:ilvl="2">
      <w:lvlJc w:val="left"/>
      <w:lvlText w:val="-"/>
      <w:numFmt w:val="bullet"/>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20" Type="http://schemas.openxmlformats.org/officeDocument/2006/relationships/hyperlink" Target="http://www.sec.gov/Archives/edgar/data/1439725/000119312520273369/d937421dex41.htm" TargetMode="External"/><Relationship Id="rId121" Type="http://schemas.openxmlformats.org/officeDocument/2006/relationships/hyperlink" Target="http://www.sec.gov/Archives/edgar/data/1439725/000119312520275630/d937421dex105.htm" TargetMode="External"/><Relationship Id="rId122" Type="http://schemas.openxmlformats.org/officeDocument/2006/relationships/hyperlink" Target="http://www.sec.gov/Archives/edgar/data/1439725/000119312520275630/d937421dex106.htm" TargetMode="External"/><Relationship Id="rId123" Type="http://schemas.openxmlformats.org/officeDocument/2006/relationships/hyperlink" Target="http://www.sec.gov/Archives/edgar/data/1439725/000119312520268763/d937421dex107.htm" TargetMode="External"/><Relationship Id="rId124" Type="http://schemas.openxmlformats.org/officeDocument/2006/relationships/hyperlink" Target="http://www.sec.gov/Archives/edgar/data/1439725/000119312520262422/d937421dex1011.htm" TargetMode="External"/><Relationship Id="rId125" Type="http://schemas.openxmlformats.org/officeDocument/2006/relationships/hyperlink" Target="http://www.sec.gov/Archives/edgar/data/1439725/000119312520262422/d937421dex1028.htm" TargetMode="External"/><Relationship Id="rId126" Type="http://schemas.openxmlformats.org/officeDocument/2006/relationships/hyperlink" Target="http://www.sec.gov/Archives/edgar/data/1439725/000119312520262422/d937421dex1029.htm" TargetMode="External"/><Relationship Id="rId127" Type="http://schemas.openxmlformats.org/officeDocument/2006/relationships/hyperlink" Target="http://www.sec.gov/Archives/edgar/data/1439725/000119312520273369/d937421dex1033.htm" TargetMode="External"/><Relationship Id="rId128" Type="http://schemas.openxmlformats.org/officeDocument/2006/relationships/hyperlink" Target="http://www.sec.gov/Archives/edgar/data/1439725/000119312520273369/d937421dex10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2020-12-10T15:36:08Z</dcterms:created>
  <dcterms:modified xsi:type="dcterms:W3CDTF">2020-12-10T15:36:08Z</dcterms:modified>
</cp:coreProperties>
</file>