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24, 2024.</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Amendment No. 1</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to</w:t>
      </w:r>
    </w:p>
    <w:p>
      <w:pPr>
        <w:jc w:val="center"/>
        <w:ind w:right="-119"/>
        <w:spacing w:after="0" w:line="236" w:lineRule="auto"/>
        <w:rPr>
          <w:sz w:val="20"/>
          <w:szCs w:val="20"/>
          <w:color w:val="auto"/>
        </w:rPr>
      </w:pPr>
      <w:r>
        <w:rPr>
          <w:rFonts w:ascii="Times New Roman" w:cs="Times New Roman" w:eastAsia="Times New Roman" w:hAnsi="Times New Roman"/>
          <w:sz w:val="31"/>
          <w:szCs w:val="31"/>
          <w:b w:val="1"/>
          <w:bCs w:val="1"/>
          <w:color w:val="auto"/>
        </w:rPr>
        <w:t>FORM S-1</w:t>
      </w:r>
    </w:p>
    <w:p>
      <w:pPr>
        <w:jc w:val="center"/>
        <w:ind w:right="-119"/>
        <w:spacing w:after="0" w:line="237"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8071</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20-3986492</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Biodesix, Inc.</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919 West Dillon Rd.</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Louisville, Colorado 80027</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(303) 417-0500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Scott Hutton</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Biodesix,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919 West Dillon Rd.</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Louisville, Colorado 80027</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(303) 417-0500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Frank F. Rahmani, Esq.</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Samir A. Gandhi, Esq.</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Sidley Austin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555 California Street, Suite 2000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San Francisco, California 94104</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(415) 772-1200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Facsimile: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w:t>
      </w:r>
    </w:p>
    <w:p>
      <w:pPr>
        <w:spacing w:after="0" w:line="75" w:lineRule="exact"/>
        <w:rPr>
          <w:sz w:val="24"/>
          <w:szCs w:val="24"/>
          <w:color w:val="auto"/>
        </w:rPr>
      </w:pPr>
    </w:p>
    <w:p>
      <w:pPr>
        <w:ind w:left="120" w:right="3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2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3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Rule 462(d)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120" w:right="100" w:firstLine="4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left="120"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8" w:lineRule="exact"/>
        <w:rPr>
          <w:sz w:val="24"/>
          <w:szCs w:val="24"/>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29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1 is being filed for the purpose of amending the Plan of Distribution section and filing Exhibit 5.1 to the Registration Statement (Commission File No. 333-278881) as indicated in Item 16 of Part II of the Registration Statement. No other changes or additions are being made hereby to the Prospectus constituting Part I of the Registration Statement or to Items 14, 15 or 17 of Part II of the Registration Statement.</w:t>
      </w:r>
    </w:p>
    <w:p>
      <w:pPr>
        <w:sectPr>
          <w:pgSz w:w="11900" w:h="16838" w:orient="portrait"/>
          <w:cols w:equalWidth="0" w:num="1">
            <w:col w:w="10940"/>
          </w:cols>
          <w:pgMar w:left="320" w:top="455" w:right="6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FF4338"/>
        </w:rPr>
        <w:t xml:space="preserve">The information in this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w:t>
      </w:r>
      <w:r>
        <w:rPr>
          <w:rFonts w:ascii="Times New Roman" w:cs="Times New Roman" w:eastAsia="Times New Roman" w:hAnsi="Times New Roman"/>
          <w:sz w:val="18"/>
          <w:szCs w:val="18"/>
          <w:b w:val="1"/>
          <w:bCs w:val="1"/>
          <w:u w:val="single" w:color="auto"/>
          <w:color w:val="FF4338"/>
        </w:rPr>
        <w:t>offers</w:t>
      </w:r>
      <w:r>
        <w:rPr>
          <w:rFonts w:ascii="Times New Roman" w:cs="Times New Roman" w:eastAsia="Times New Roman" w:hAnsi="Times New Roman"/>
          <w:sz w:val="18"/>
          <w:szCs w:val="18"/>
          <w:b w:val="1"/>
          <w:bCs w:val="1"/>
          <w:color w:val="FF4338"/>
        </w:rPr>
        <w:t xml:space="preserve"> to buy these securities in any state or jurisdiction where such offer or sale is not permitted.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May 24, 2024</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83185</wp:posOffset>
            </wp:positionV>
            <wp:extent cx="195453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45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13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30,434,280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in this prospectus of up to 30,434,280 shares of Common Stock (the “Private Placement Conversion Shares”) issuable upon the conversion of 760,857 shares (the “Private Placement Preferred Shares”) of Series A Non-Voting Convertible Preferred Stock, par value $0.001 (the “Series A Preferred Stock”). Subject to receiving the requisite stockholder approval and certain beneficial ownership limitations set by each preferred stockholder, each share of Series A Preferred Stock will automatically convert following the requisite stockholder approval into an aggregate of 40 shares of Common Stock. The shares of Common Stock registered by this prospectus are referred to herein as the “Resale Shares.”</w:t>
      </w:r>
    </w:p>
    <w:p>
      <w:pPr>
        <w:spacing w:after="0" w:line="7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Private Placement Preferred Shares were issued and sold to various investors, including certain members of management, certain of our directors and funds affiliated with these directors in a private placement (the “Concurrent Private Placement”), which closed on April 9, 2024. We are not selling any Resale Shares under this prospectus and will not receive any of the proceeds from the sale or other disposition of Resale Shares by the participants in the Concurrent Private Placement (the “Selling Stockholders”).</w:t>
      </w:r>
    </w:p>
    <w:p>
      <w:pPr>
        <w:spacing w:after="0" w:line="7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75"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3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 On May 23, 2024, the last reported sale price of our Common Stock was $1.41.</w:t>
      </w:r>
    </w:p>
    <w:p>
      <w:pPr>
        <w:spacing w:after="0" w:line="5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2" w:lineRule="exact"/>
        <w:rPr>
          <w:sz w:val="20"/>
          <w:szCs w:val="20"/>
          <w:color w:val="auto"/>
        </w:rPr>
      </w:pPr>
    </w:p>
    <w:p>
      <w:pPr>
        <w:ind w:left="120" w:right="2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10 of this prospectus</w:t>
      </w:r>
      <w:r>
        <w:rPr>
          <w:rFonts w:ascii="Times New Roman" w:cs="Times New Roman" w:eastAsia="Times New Roman" w:hAnsi="Times New Roman"/>
          <w:sz w:val="22"/>
          <w:szCs w:val="22"/>
          <w:b w:val="1"/>
          <w:bCs w:val="1"/>
          <w:i w:val="1"/>
          <w:iCs w:val="1"/>
          <w:color w:val="auto"/>
        </w:rPr>
        <w:t>.</w:t>
      </w:r>
    </w:p>
    <w:p>
      <w:pPr>
        <w:spacing w:after="0" w:line="7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5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6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1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17"/>
                <w:szCs w:val="17"/>
                <w:color w:val="auto"/>
              </w:rPr>
            </w:pPr>
          </w:p>
        </w:tc>
        <w:tc>
          <w:tcPr>
            <w:tcW w:w="838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 SUMMARY</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21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36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88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2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940" w:type="dxa"/>
            <w:vAlign w:val="bottom"/>
            <w:tcBorders>
              <w:top w:val="single" w:sz="8" w:color="0000EE"/>
            </w:tcBorders>
            <w:gridSpan w:val="2"/>
          </w:tcPr>
          <w:p>
            <w:pPr>
              <w:spacing w:after="0"/>
              <w:rPr>
                <w:sz w:val="17"/>
                <w:szCs w:val="17"/>
                <w:color w:val="auto"/>
              </w:rPr>
            </w:pPr>
          </w:p>
        </w:tc>
        <w:tc>
          <w:tcPr>
            <w:tcW w:w="13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16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02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120" w:type="dxa"/>
            <w:vAlign w:val="bottom"/>
          </w:tcPr>
          <w:p>
            <w:pPr>
              <w:spacing w:after="0"/>
              <w:rPr>
                <w:sz w:val="17"/>
                <w:szCs w:val="17"/>
                <w:color w:val="auto"/>
              </w:rPr>
            </w:pPr>
          </w:p>
        </w:tc>
        <w:tc>
          <w:tcPr>
            <w:tcW w:w="102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196"/>
        </w:trPr>
        <w:tc>
          <w:tcPr>
            <w:tcW w:w="120" w:type="dxa"/>
            <w:vAlign w:val="bottom"/>
          </w:tcPr>
          <w:p>
            <w:pPr>
              <w:spacing w:after="0"/>
              <w:rPr>
                <w:sz w:val="17"/>
                <w:szCs w:val="17"/>
                <w:color w:val="auto"/>
              </w:rPr>
            </w:pPr>
          </w:p>
        </w:tc>
        <w:tc>
          <w:tcPr>
            <w:tcW w:w="54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0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24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1400" w:type="dxa"/>
            <w:vAlign w:val="bottom"/>
            <w:tcBorders>
              <w:top w:val="single" w:sz="8" w:color="0000EE"/>
            </w:tcBorders>
            <w:gridSpan w:val="7"/>
          </w:tcPr>
          <w:p>
            <w:pPr>
              <w:spacing w:after="0"/>
              <w:rPr>
                <w:sz w:val="17"/>
                <w:szCs w:val="17"/>
                <w:color w:val="auto"/>
              </w:rPr>
            </w:pPr>
          </w:p>
        </w:tc>
        <w:tc>
          <w:tcPr>
            <w:tcW w:w="760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28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INFORMATION NOT REQUIRED IN PROSPECTUS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the Selling Stockholders may, from time to time, sell the securities described in this prospectus in one or more offerings.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time we or the Selling Stockholders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“Incorporation of Certain Information by Reference.”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different information or to make any representation other than those contained in this prospectus.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The Selling Stockholders are not offering to sell, or seeking offers to buy, the securities in any jurisdiction where the offer or sale is not permitted.</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“Plan of Distribution”.</w:t>
      </w:r>
    </w:p>
    <w:p>
      <w:pPr>
        <w:spacing w:after="0" w:line="180"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14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 xml:space="preserve">The terms “Biodesix,” the “Company,” “our,” “us” and “we,” as used in this prospectus, refer to Biodesix, Inc., unless we state otherwise or the context indicates otherwise. This prospectus contains trade names, trademarks and service marks of others, which are the property of their respective owners.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w:t>
      </w: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7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Coronavirus Disease 2019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Food and Drug Administration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and the documents incorporated by reference herein and therein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herein and therein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is not complete and does not contain all of the information that you should consider before deciding whether to invest in the securities covered by this prospectus. For a more complete understanding, we encourage you to read and consider carefully the more detailed information in this prospectus, including the information referred to under the headings “Risk Factors,” “Management’s Discussion and Analysis of Financial Condition and Results of Operations,” and our consolidated financial statements and the related notes thereto.</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92"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artificial intelligence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0"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five diagnostic blood-based lung cancer tests across the lung cancer continuum of care.</w:t>
      </w:r>
    </w:p>
    <w:p>
      <w:pPr>
        <w:spacing w:after="0" w:line="3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33" w:lineRule="exact"/>
        <w:rPr>
          <w:sz w:val="20"/>
          <w:szCs w:val="20"/>
          <w:color w:val="auto"/>
        </w:rPr>
      </w:pPr>
    </w:p>
    <w:p>
      <w:pPr>
        <w:ind w:left="1640" w:right="80" w:hanging="289"/>
        <w:spacing w:after="0" w:line="233" w:lineRule="auto"/>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together marketed as our Nodify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31" w:lineRule="exact"/>
        <w:rPr>
          <w:sz w:val="20"/>
          <w:szCs w:val="20"/>
          <w:color w:val="auto"/>
        </w:rPr>
      </w:pPr>
    </w:p>
    <w:p>
      <w:pPr>
        <w:ind w:left="1640" w:right="120" w:hanging="289"/>
        <w:spacing w:after="0" w:line="224"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ddPCR, </w:t>
      </w:r>
      <w:r>
        <w:rPr>
          <w:rFonts w:ascii="Times New Roman" w:cs="Times New Roman" w:eastAsia="Times New Roman" w:hAnsi="Times New Roman"/>
          <w:sz w:val="18"/>
          <w:szCs w:val="18"/>
          <w:i w:val="1"/>
          <w:iCs w:val="1"/>
          <w:color w:val="auto"/>
        </w:rPr>
        <w:t>GeneStratNGS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testing strategy, are used following diagnosis of lung cancer to detect the presence of mutations in the tumor and the state of the patient’s immune system to help guide treatment decisions. The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40"/>
        <w:spacing w:after="0" w:line="254" w:lineRule="auto"/>
        <w:rPr>
          <w:sz w:val="20"/>
          <w:szCs w:val="20"/>
          <w:color w:val="auto"/>
        </w:rPr>
      </w:pPr>
      <w:r>
        <w:rPr>
          <w:rFonts w:ascii="Times New Roman" w:cs="Times New Roman" w:eastAsia="Times New Roman" w:hAnsi="Times New Roman"/>
          <w:sz w:val="18"/>
          <w:szCs w:val="18"/>
          <w:color w:val="auto"/>
        </w:rPr>
        <w:t>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0"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27" w:lineRule="exact"/>
        <w:rPr>
          <w:sz w:val="20"/>
          <w:szCs w:val="20"/>
          <w:color w:val="auto"/>
        </w:rPr>
      </w:pPr>
    </w:p>
    <w:p>
      <w:pPr>
        <w:ind w:left="300" w:right="480"/>
        <w:spacing w:after="0" w:line="277" w:lineRule="auto"/>
        <w:rPr>
          <w:sz w:val="20"/>
          <w:szCs w:val="20"/>
          <w:color w:val="auto"/>
        </w:rPr>
      </w:pPr>
      <w:r>
        <w:rPr>
          <w:rFonts w:ascii="Times New Roman" w:cs="Times New Roman" w:eastAsia="Times New Roman" w:hAnsi="Times New Roman"/>
          <w:sz w:val="17"/>
          <w:szCs w:val="17"/>
          <w:color w:val="auto"/>
        </w:rPr>
        <w:t>$1.24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w:t>
      </w:r>
    </w:p>
    <w:p>
      <w:pPr>
        <w:spacing w:after="0" w:line="169"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40"/>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Our principal executive offices are located at 919 West Dillon Rd., Louisville, Colorado 80027, and our telephone number is (303) 417-0500. On June 20, 2006, we changed our name to Biodesix, Inc.</w:t>
      </w:r>
    </w:p>
    <w:p>
      <w:pPr>
        <w:spacing w:after="0" w:line="162" w:lineRule="exact"/>
        <w:rPr>
          <w:sz w:val="20"/>
          <w:szCs w:val="20"/>
          <w:color w:val="auto"/>
        </w:rPr>
      </w:pPr>
    </w:p>
    <w:p>
      <w:pPr>
        <w:jc w:val="both"/>
        <w:ind w:left="300" w:right="380"/>
        <w:spacing w:after="0" w:line="266"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Common Stock.</w:t>
      </w:r>
    </w:p>
    <w:p>
      <w:pPr>
        <w:spacing w:after="0" w:line="176"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Our filings with the SEC are posted on our website at www.biodesix.com. Other than the specifically incorporated SEC filings, the information found on or accessible through our website is not part of this prospectus or any other report we file with or furnish to the SEC. The public can also obtain copies of these filings by accessing the SEC’s website at http://www.sec.gov.</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April 2024 Underwritten Offering</w:t>
      </w:r>
    </w:p>
    <w:p>
      <w:pPr>
        <w:spacing w:after="0" w:line="11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On April 5, 2024, we entered into an underwriting agreement (the “Underwriting Agreement”) with TD Securities (USA) LLC, William Blair &amp; Company, LLC and Canaccord Genuity LLC, as representatives of the underwriters, for the sale and issuance of an aggregate 17,391,832 shares of Common Stock for aggregate gross proceeds of $18.4 million (the “Underwritten Offering”). The Underwritten Offering was conducted pursuant to a shelf registration statement on Form S-3. Pursuant to the Underwriting Agreement, we agreed to issue and sell our Common Stock at a price of $1.15 per share.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April 2024 Concurrent Private Placement</w:t>
      </w:r>
    </w:p>
    <w:p>
      <w:pPr>
        <w:spacing w:after="0" w:line="119"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On April 5, 2024, we entered into definitive agreements (the “April 2024 SPAs”) for the Concurrent Private Placement (together with the Underwritten Offering, the “April 2024 Transactions”) with various investors, including certain members of management, certain of our directors and funds affiliated with these directors, for 760,857 shares of Series A Preferred Stock (convertible on a 40 to 1 basis) at a price of $46.00 per share. Following receipt of stockholder approval of the conversion of Series A Preferred Stock, each share of Series A Preferred Stock will automatically convert into 40 shares of Common Stock, subject to certain beneficial ownership limitations set by each holder. Except as otherwise required by law, the Series A Preferred Stock does not have voting rights.</w:t>
      </w:r>
    </w:p>
    <w:p>
      <w:pPr>
        <w:spacing w:after="0" w:line="187"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Concurrently and in connection with the execution of the Underwriting Agreement, certain of Biodesix’s directors and officers entered into lockup agreements with Biodesix, pursuant to which each such stockholder was subject to a 90-day lockup on the sale or transfer of shares of Common Stock held by each such stockholder at the pricing of the April 2024 Transactions, including those shares received by such stockholders in the Concurrent Private Placement.</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79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30,434,280 shares of Common Stock issuable upon the conversion of 760,857 shares of Series A Preferred Stock.</w:t>
      </w:r>
    </w:p>
    <w:p>
      <w:pPr>
        <w:spacing w:after="0" w:line="185"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issuable upon conversion of Series A Preferred Stock registered under this prospectus for resale.</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Shares Outstanding</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As of April 9, 2024, the closing date of the April 2024 Transactions, there were 114,685,542 shares of our Common Stock and 760,857 shares of Series A Preferred Stock outstanding.</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“BDSX.”</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10 of this prospectus and the other information included in, or incorporated by reference into, this prospectus supplement for a discussion of certain factors that you should carefully consider before deciding to invest in shares of our Common Stock.</w:t>
      </w:r>
    </w:p>
    <w:p>
      <w:pPr>
        <w:spacing w:after="0" w:line="18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right="5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shown above to be outstanding is based on 114,685,542 shares outstanding as of April 9, 2024 and excludes:</w:t>
      </w:r>
    </w:p>
    <w:p>
      <w:pPr>
        <w:spacing w:after="0" w:line="67"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1,590,196 shares of Common Stock reserved for future issuance under our 2020 Equity Incentive Plan (the “2020 Incentive Plan”);</w:t>
      </w:r>
    </w:p>
    <w:p>
      <w:pPr>
        <w:spacing w:after="0" w:line="142" w:lineRule="exact"/>
        <w:rPr>
          <w:rFonts w:ascii="Times New Roman" w:cs="Times New Roman" w:eastAsia="Times New Roman" w:hAnsi="Times New Roman"/>
          <w:sz w:val="17"/>
          <w:szCs w:val="17"/>
          <w:color w:val="auto"/>
        </w:rPr>
      </w:pPr>
    </w:p>
    <w:p>
      <w:pPr>
        <w:ind w:left="1240" w:right="3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430,612 shares of Common Stock reserved for issuance pursuant to future awards under our 2020 Employee Stock Purchase Plan (“ESPP”); and</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30,434,280 shares of Common Stock issuable upon the conversion of the Series A Preferred Stock issued in the Concurrent Private Placement.</w:t>
      </w:r>
    </w:p>
    <w:p>
      <w:pPr>
        <w:spacing w:after="0" w:line="162" w:lineRule="exact"/>
        <w:rPr>
          <w:sz w:val="20"/>
          <w:szCs w:val="20"/>
          <w:color w:val="auto"/>
        </w:rPr>
      </w:pPr>
    </w:p>
    <w:p>
      <w:pPr>
        <w:ind w:left="300" w:right="220"/>
        <w:spacing w:after="0" w:line="282" w:lineRule="auto"/>
        <w:rPr>
          <w:sz w:val="20"/>
          <w:szCs w:val="20"/>
          <w:color w:val="auto"/>
        </w:rPr>
      </w:pPr>
      <w:r>
        <w:rPr>
          <w:rFonts w:ascii="Times New Roman" w:cs="Times New Roman" w:eastAsia="Times New Roman" w:hAnsi="Times New Roman"/>
          <w:sz w:val="18"/>
          <w:szCs w:val="18"/>
          <w:color w:val="auto"/>
        </w:rPr>
        <w:t>Unless we specifically state otherwise, this prospectus reflects and assumes no exercise of outstanding options, warrants or restricted stock units (“RSUs”).</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90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the section titled “Risk Factors.”</w:t>
      </w:r>
    </w:p>
    <w:p>
      <w:pPr>
        <w:spacing w:after="0" w:line="81" w:lineRule="exact"/>
        <w:rPr>
          <w:sz w:val="20"/>
          <w:szCs w:val="20"/>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which are subject to a number of risks and uncertainty;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or other similar events may significantly disrupt our business, and negatively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 and</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that could adversely affect our business, financial condition, results of operations and cash flows. All of the risks described below should be carefully considered together with the other information contained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reported net losses of $52.1 million and $65.4 million the years ended December 31, 2023 and 2022, respectively. As a result of these losses, as of December 31, 2023, we had an accumulated deficit of approximately $419.6 million.</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2"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such, we have incurred significant losses since inception and have yet to generate positive cash flows from operations. Our ability to meet our obligations as they come due may be impacted by our ability to remain compliant with financial covenants in our Perceptive Term Loan Facility and may result in our inability to continue as a going concern. Any such impacts could have a material and adverse effect on the price of our Common Stock.</w:t>
      </w:r>
    </w:p>
    <w:p>
      <w:pPr>
        <w:spacing w:after="0" w:line="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financial statements as of and for the period ended December 31, 2023 were prepared on the assumption that we would continue as a going concern. These financial statements did not include any adjustments that might result from the outcome of this uncertainty. As of December 31, 2023, we maintained cash and cash equivalents of $26.3 million and we have $40.0 million in principal balance outstanding on our Perceptive Term Loan (as defined below). We have incurred significant losses since inception and, as a result, we have funded our operations to date primarily through the sale of Common Stock in both underwritten public offerings and private placements, the issuance of notes payable, and from our two primary revenue sources:</w:t>
      </w:r>
    </w:p>
    <w:p>
      <w:pPr>
        <w:spacing w:after="0" w:line="3" w:lineRule="exact"/>
        <w:rPr>
          <w:sz w:val="20"/>
          <w:szCs w:val="20"/>
          <w:color w:val="auto"/>
        </w:rPr>
      </w:pPr>
    </w:p>
    <w:p>
      <w:pPr>
        <w:ind w:left="120" w:right="180" w:hanging="4"/>
        <w:spacing w:after="0" w:line="253"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testing, which includes lung diagnostic testing and, prior to May 11, 2023, COVID-19 testing, and (ii) providing biopharmaceutical companies with development and testing services and licensing our technology. Our ability to meet our obligations as they come due may be impacted by our ability to remain compliant with financial covenants in the Perceptive Term Loan Facility or to obtain waivers or amendments that impact the related covenants.</w:t>
      </w:r>
    </w:p>
    <w:p>
      <w:pPr>
        <w:spacing w:after="0" w:line="189"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As a result, our management has determined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that there is a substantial doubt about our ability to continue as a going concern over the next twelve months from the date these financial statements were issued. Although we have taken steps to improve our liquidity, including through raising debt and equity capital, and have also undertaken several proactive measures including, among other things, the reduction of planned capital expenditures and certain operating expenses, we do not expect that these actions alone will be sufficient to maintain our financial covenants. In addition, if we are not able to improve our operating results, we may need to limit our operations substantially. We will need to raise additional capital in the form of debt or equity to increase our liquidity but there is no assurance that we will be able to secure any such funding in a sufficient amount or on terms that are acceptable to us.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or conformity assessment bodies;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regulatory authorities or conformity assessment bodies.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217 full and part-time employees. Over the next several years, we expect to continue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business, financial condition, and results of operations.</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put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8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28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80"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variety of factors, many of which are outside our control and, as a result, may not fully reflect the underlying performance of our business. These fluctuations may occur due to a variety of factors, including, but not limited to:</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diagnostic tests, which may vary significantly;</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conformity certifications or clearances for planned or future improvements or enhancements to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in the status of regulatory approvals or applications or conformity certifications;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has resulted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diagnostic tests, including the Nodify XL2 and Nodify CDT tests, and the GeneStrat and VeriStrat tests to achieve our profitability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single source suppliers, making us vulnerable to supply problems and price fluctuations.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Oncimmune is also the sole source supplier for our Nodify CDT tests but there are known secondary suppliers for these materials. While we have initiated the second source qualification process for the majority of these critical components, we may not be successful in securing second sourcing for all of them at all or on a timely basis.</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Many of our suppliers are not obligated to perform services or supply diagnostic testing materials for any specific period, in any specific quantity or at any specific price, except as may be provided in a particular purchase order. We depend on our suppliers and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These suppliers may cease producing the components we purchase from them or otherwise decide to cease doing business with us. Further, we maintain limited volumes of inventory from most of our suppliers. If we inaccurately forecast demand for finished goods, we may be unable to meet customer demand which could harm our competitive position and reputation. In addition, if we fail to effectively manage our relationships, we may be required to change suppliers.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For more information regarding this license and supply agreement and the permission granted to us by Bio-Rad with respect to such tests, please see “Business—Material Agreements—Agreements with Bio-Rad” previously filed with our Form S-1 on October 23, 2020 and “First Amendment to the Non-Exclusive License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between Bio-Rad Laboratories, Inc., and Biodesix, Inc., dated May 24, 2021” previously filed with our Form 10-Q on August 10, 2021.</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1" w:lineRule="exact"/>
        <w:rPr>
          <w:sz w:val="20"/>
          <w:szCs w:val="20"/>
          <w:color w:val="auto"/>
        </w:rPr>
      </w:pPr>
    </w:p>
    <w:p>
      <w:pPr>
        <w:ind w:left="120" w:right="200"/>
        <w:spacing w:after="0" w:line="274" w:lineRule="auto"/>
        <w:rPr>
          <w:sz w:val="20"/>
          <w:szCs w:val="20"/>
          <w:color w:val="auto"/>
        </w:rPr>
      </w:pPr>
      <w:r>
        <w:rPr>
          <w:rFonts w:ascii="Times New Roman" w:cs="Times New Roman" w:eastAsia="Times New Roman" w:hAnsi="Times New Roman"/>
          <w:sz w:val="17"/>
          <w:szCs w:val="17"/>
          <w:color w:val="auto"/>
        </w:rPr>
        <w:t>We partner with suppliers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27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a future outbreak of the novel strain of coronavirus disease, COVID-19, and its variants could adversely affect our business.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For much of 2020 and 2021, COVID-19 spread throughout the United States and to most countries globally, creating significant uncertainty and economic disruption. Numerous U.S. state and local jurisdictions chose to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Disruptions or potential disruptions due to the orders and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9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COVID-19 pandemic also negatively affected our non-COVID-19 testing-related revenue and our clinical studies. For example, cancer patients had more limited access to hospitals, healthcare providers and medical resources as they took steps to control the spread of COVID-19. Our biopharmaceutical customers have faced challenges in recruiting patients and in conducting clinical trials to advance their pipelines, for which our tests could be utilized.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extent to which the a future pandemic or epidemic, including a future outbreak of the COVID-19 virus, impacts our business will depend on future developments, which are highly uncertain and cannot be predicted, including new information which may emerge concerning the resurgence of COVID-19 or any other virus and the actions to contain or treat its impact, among others.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a pandemic adversely affects our business and financial results, it may also have the effect of heightening many of the other risks described in this “Risk Factors” section.</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Louisville,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8" w:lineRule="exact"/>
        <w:rPr>
          <w:sz w:val="20"/>
          <w:szCs w:val="20"/>
          <w:color w:val="auto"/>
        </w:rPr>
      </w:pPr>
    </w:p>
    <w:p>
      <w:pPr>
        <w:ind w:left="120"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2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(“HIPAA”), and the Health Information Technology for Economic and Clinical Health (“HITECH”) Act and laws in other jurisdictions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92"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w:t>
      </w:r>
    </w:p>
    <w:p>
      <w:pPr>
        <w:spacing w:after="0" w:line="2"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Medicare reimbursed 43% of our diagnostic test revenue to us and one customer accounted for 10% of our total revenue. For the year ended December 31, 2022, Medicare reimbursed 37% of our diagnostic test revenue to us and one customer accounted for 10% of our total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29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80"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and costs may continue to rise.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or certification for diagnostic tests;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28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Louisville,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1" w:lineRule="exact"/>
        <w:rPr>
          <w:sz w:val="20"/>
          <w:szCs w:val="20"/>
          <w:color w:val="auto"/>
        </w:rPr>
      </w:pPr>
    </w:p>
    <w:p>
      <w:pPr>
        <w:jc w:val="both"/>
        <w:ind w:left="120"/>
        <w:spacing w:after="0" w:line="274" w:lineRule="auto"/>
        <w:rPr>
          <w:sz w:val="20"/>
          <w:szCs w:val="20"/>
          <w:color w:val="auto"/>
        </w:rPr>
      </w:pPr>
      <w:r>
        <w:rPr>
          <w:rFonts w:ascii="Times New Roman" w:cs="Times New Roman" w:eastAsia="Times New Roman" w:hAnsi="Times New Roman"/>
          <w:sz w:val="17"/>
          <w:szCs w:val="17"/>
          <w:color w:val="auto"/>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7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Pricing and reimbursement of medical devices is not harmonized at the European level, but is the exclusive competence of the European Union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reputation and brand image, undermine our customers’ confidence and reduce long-term demand for our diagnostic tests and services, even if the regulatory or legal action is unfounded or not material to our operations.</w:t>
      </w:r>
    </w:p>
    <w:p>
      <w:pPr>
        <w:spacing w:after="0" w:line="162"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events in the United States or foreign markets, such as the United Kingdom’s exit from the European Union, the worldwide effects from the spread of COVID-19, Russia’s invasion of Ukraine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 Oncology.</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76"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exercised our right to opt-out of co-development, we would equally share in any income received from licensing rights to ficlatuzumab to any third parties. In September 2020, we exercised our opt-out right for the payment of half of the development and regulatory costs for ficlatuzumab. This opt-out was effective as of December 2, 2020 with remaining obligations estimated to be $0.1 million. Following the effective date, we will be entitled to a 10% royalty of net sales of ficlatuzumab and 25% of license income generated from the licensing of ficlatuzumab. Ficlatuzumab is currently being evaluated in squamous cell carcinoma of the head and neck, metastatic pancreatic ductal cancer, and acute myeloid leukemia.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2018, we purchased select assets and liabilities from Integrated Diagnostics, Inc. and IND Funding, LLC (collectively, the “Seller” or “Indi”) which included the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us to the Seller based on the milestone of the attainment of a three consecutive month gross margin target of $2 million within a seven-year period. Under the terms of the original agreement, when the gross margin target was achieved, the Company was required to issue 2,520,108 shares of Common Stock. For the six months following the achievement of the milestone, Indi had the option to require the Company to redeem the common shares for $37.0 million in cash over eight equal installments. If Indi elected not to exercise this option, we had 12 months to repurchase the Common Stock in two equal quarterly cash installments totaling $37 million.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original agreement in which all parties agreed to forgo the issuance of Common Stock and agreed that the Company would instead make six quarterly installments of approximately $4.6 million each, which began in January 2022, and final payment of approximately $9.3 million in July 2023 for a total of $37.0 million (together, the “Milestone Payments”). The aggregate amount of payments owed by the Company under this amendment is the same as if Indi had exercised the put right or the Company had exercised the call right provided for in the original agreement.</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will make one installment of $5.0 million in April 2024, and will make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189" w:lineRule="exact"/>
        <w:rPr>
          <w:sz w:val="20"/>
          <w:szCs w:val="20"/>
          <w:color w:val="auto"/>
        </w:rPr>
      </w:pPr>
    </w:p>
    <w:p>
      <w:pPr>
        <w:ind w:left="120" w:right="60"/>
        <w:spacing w:after="0" w:line="230" w:lineRule="auto"/>
        <w:rPr>
          <w:sz w:val="20"/>
          <w:szCs w:val="20"/>
          <w:color w:val="auto"/>
        </w:rPr>
      </w:pPr>
      <w:r>
        <w:rPr>
          <w:rFonts w:ascii="Times New Roman" w:cs="Times New Roman" w:eastAsia="Times New Roman" w:hAnsi="Times New Roman"/>
          <w:sz w:val="18"/>
          <w:szCs w:val="18"/>
          <w:color w:val="auto"/>
        </w:rPr>
        <w:t>In addition, on October 31, 2019 we completed an acquisition of Freenome’s United States operations (formerly “Oncimmune USA” or “Oncimmune”) including its CLIA lab in De Soto, Kansas and its incidental pulmonary nodule (“IPN”) malignancy test, then marketed in the United States as the EarlyCDT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We renamed and relaunched the test on February 28, 2020 as the Nodify CDT test and the De Soto, Kansas lab is the sole United States provider of the Nodify CDT test.</w:t>
      </w:r>
    </w:p>
    <w:p>
      <w:pPr>
        <w:spacing w:after="0" w:line="19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agreed to a revenue share payment of 8% of recognized revenue for non-screening tests up to an annual minimum volume and 5% thereafter, with an escalating minimum through the first four years of sales. Royalty expenses were $1.0 million and $0.9 million for the years ended December 31, 2023 and 2022, respectively.</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acquisitions may require us to incur non-recurring and other charges, increase our near and long-term expenditures,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84"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291"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programs and laboratory operations depend on our ability to attract and retain highly skilled scientists and technicians.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not be able to attract or retain qualified scientists and technicians in the future due to the competition for qualified personnel among life science businesses, particularly near our headquarters in Louisville,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96"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November 16, 2022 (the “Closing Date”),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 to refinance long-term debt. The Perceptive Term Loan Facility provides for an “interest-only” period during the term of the loan with principal due at the maturity date, which will be November 21, 2027.</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Perceptive Term Loan Facility may be prepaid at any time, subject to a prepayment premium equal to 2% to 10% of the aggregate outstanding principal amount being prepaid, depending on the date of prepayment. 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which are equity classified at a per share exercise price equal to $1.6254.</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defined in the Credit Agreement) was amended to reduce the relevant threshold as of the last day of each fiscal quarter commencing with the fiscal quarter ending June 30, 2024 through and including the fiscal quarter ending December 31, 2025.</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contains certain covenants limiting our ability to, among other things, engage in certain corporate changes, make certain restricted payments, repay other certain indebtedness or enter into, amend or terminate any other agreements that have the impact of restricting our ability to make loan repayments.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platform, commercialize new diagnostic tests or expand our operations.</w:t>
      </w:r>
    </w:p>
    <w:p>
      <w:pPr>
        <w:spacing w:after="0" w:line="51"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We may need to raise additional capital in the future to expand our business, to pursue strategic investments, to take advantage of financing opportunities or for other reasons, including to:</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&amp;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In Europe, pricing and reimbursement of medical devices is the exclusive competence of the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Biden administration.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Biden administration and Congress may continue to pursue significant changes to the current healthcare laws, and the Biden administration has indicated its intent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8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are subject to the Foreign Corrupt Practices Act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engaged in such practices, we could suffer severe penalties and other consequences that may have an adverse effect on our business, financial condition and results of operations.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Organisation for Economic Co-operation and Development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8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40" w:hanging="424"/>
        <w:spacing w:after="0" w:line="25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89"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reputation and adversely affect important business relationships with third parties, including managed care organizations, and other private third-party payers.</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FDA were to determine that our tests are not within the current enforcement discretion policy for Laboratory Developed Tests, or LDTs for any reason, or if FDA finalizes its proposed rule to end enforcement discretion or issues new rules, policies, or guidance, due to new legislation or on its own accord, our tests may become subject to FDA requirements, including pre-market review. If this were to happen, it may impact our marketing practices relating to the relevant tests, which in turn may have an adverse impact on our business, financial condition and results of operations.</w:t>
      </w:r>
    </w:p>
    <w:p>
      <w:pPr>
        <w:spacing w:after="0" w:line="284"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Tests without 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19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regulation, although certain components provided by 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w:t>
      </w:r>
    </w:p>
    <w:p>
      <w:pPr>
        <w:spacing w:after="0" w:line="29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diagnostic tests is covered under CLIA and CMS, but the FDA may end its general policy of enforcement discretion and regulate laboratory developed tests as medical devices. Changes in the way that the FDA regulates tests performed by laboratories like ours could result in delay or additional expense in offering our tests and tests that we may develop in the future.</w:t>
      </w:r>
    </w:p>
    <w:p>
      <w:pPr>
        <w:spacing w:after="0" w:line="67"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Federal Food, Drug, and Cosmetic Act (the “FDCA”), the FDA has jurisdiction over medical devices, including in vitro diagnostics and, therefore, potentially our clinical laboratory tests.</w:t>
      </w:r>
    </w:p>
    <w:p>
      <w:pPr>
        <w:spacing w:after="0" w:line="15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recent years, the FDA has publicly announced its intention to regulate certain LDTs and has set forth various proposals for a phased-in risk-based regulatory framework that would apply varying levels of FDA oversight to LDTs. Until recently, the FDA has articulated such policies through guidance documents, compliance manuals, website statements, and other informal issuances, but not through notice-and-comment rulemaking. On September 29, 2023, the FDA announced a proposed rule to amend its regulations to explicitly regulate LDTs as IVD tests in accordance with the agency’s regulatory authority over medical devices. If this rule is finalized, our tests that are currently offered as LDTs would become subject to statutory and regulatory provisions that are applicable to medical devices, including but not limited to, medical device reporting and correction and removal reporting requirements, quality systems regulations, registration and listing requirements, and premarket review requirements.</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Even if the proposed rule is not finalized,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5540" w:right="156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 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premarket submission process for medical devices can be expensive, lengthy and unpredictable. The FDA can delay, limit, or deny clearance or approval of a device for many reasons, including: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conformity assessment body that the diagnostic tests are safe or effective for their proposed intended uses;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warning letters, untitled letters, it has come to our attention letters, fines, injunctions, consent decrees and civil penalties;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which are subject to state licensing requirements and federal regulation by CMS under CLIA, although our COVID-19 testing program and select partnerships we may enter may cause us to be subject to additional FDA regulations discussed above.</w:t>
      </w:r>
    </w:p>
    <w:p>
      <w:pPr>
        <w:spacing w:after="0" w:line="176"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premarket submission and other FDA requirements, we would need to comply with the applicable regulations or face significant civil and criminal penalties. In addition, IVDs and Companion Diagnostics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w:t>
      </w:r>
    </w:p>
    <w:p>
      <w:pPr>
        <w:spacing w:after="0" w:line="7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or certifications for new diagnostic tests or enhancements to existing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76"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De Novo authorizations, or PMA approvals, or may require us to cease marketing or recall the modified tests until clearances or approvals are obtained.</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6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284"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QSR (QSR codified at 21 C.F.R. § 820) for medical devices and International Organization for Standardization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100"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De Novo authorization, or premarket approval of new diagnostic tests or modified versions of current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De Novo authorization, or PMA approvals that have already been granted;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Emergency Use Authorizations (“EUAs”) that have been authorized previously;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may not currently be or may not continue to be in compliance with all applicable regulatory requirements which could result in our failure to produce our diagnostic tests on a timely basis and in the required quantities, if at all.</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29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51" w:lineRule="exact"/>
        <w:rPr>
          <w:sz w:val="20"/>
          <w:szCs w:val="20"/>
          <w:color w:val="auto"/>
        </w:rPr>
      </w:pPr>
    </w:p>
    <w:p>
      <w:pPr>
        <w:jc w:val="both"/>
        <w:ind w:left="120" w:right="300"/>
        <w:spacing w:after="0" w:line="281"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6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For example, FDA announced a proposed rule in September 2023 to phase out its enforcement discretion over LDTs and regulate such diagnostic tests as medical devices.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92"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293"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6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w:t>
      </w:r>
    </w:p>
    <w:p>
      <w:pPr>
        <w:spacing w:after="0" w:line="190"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adopted by voters in November 2020, known as the California Privacy Rights Act, or CPRA. The CPRA imposes additional data protection obligations on companies doing business in California, including additional consumer rights, including regarding certain uses of sensitive data. It also creates a new California data protection agency—the California Privacy Protection Agency— 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significant changes to our operations or even prevent us from providing certain offerings in jurisdictions in which we currently operate and in which we may operate in the future.</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(“CE”), and the business associates (“BA”) with whom such covered entities contract for services. We are a CE under HIPAA when we are conducting our clinical trials. We are a CE with regard to our observational studies and clinical trials, and also a BA under HIPAA for certain other business activities, and we execute BA agreements with our clients.</w:t>
      </w:r>
    </w:p>
    <w:p>
      <w:pPr>
        <w:spacing w:after="0" w:line="187"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HIPAA requires CEs and BAs,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CEs and BAs. With regard to BAs,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BAs reputation.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HIPAA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9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including data privacy laws, may in some cases be more stringent than the requirements in the United States. For example, EU and United Kingdom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Certain of our processing activities are subject to the GDPR and the UK General Data Protection Regulation—including, those involving pseudonymised / key-coded data—as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 engaged to process personal data on the instructions of the controller, and (vii) apply enhanced protections to health data and other special categories of personal data.</w:t>
      </w:r>
    </w:p>
    <w:p>
      <w:pPr>
        <w:spacing w:after="0" w:line="18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business and financial condition. Currently, the GDPR is only applicable to us as a processor, but as we continue to expand into the European market, the GDPR will have direct applicability to us as a controller.</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GDPR also prohibits the transfer of personal data from the European Economic Area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Following an executive order on trans-Atlantic data flows issued by President Biden in October 2022, the European Commission in December 2022 announced that it had initiated the process of drafting a new adequacy decision based on a modified data transfer framework that would replace the Privacy Shield, which it completed in July 2023. Though adoption of a new adequacy decision may have the effect of making data transfers to the United States easier, it is widely expected that the updated transfer framework and the adequacy decision will also be reviewed by the CJEU. The CJEU also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92"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could result in penalties, a loss of business from third parties, and severe reputational harm.</w:t>
      </w:r>
    </w:p>
    <w:p>
      <w:pPr>
        <w:spacing w:after="0" w:line="18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92"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7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8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the GeneStrat NGS test,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The VeriStrat, Nodify XL2, and Nodify CDT tests have test specific CPT codes, but the GeneStrat NGS test does not at this time.</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8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87"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6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312" w:lineRule="auto"/>
        <w:rPr>
          <w:sz w:val="20"/>
          <w:szCs w:val="20"/>
          <w:color w:val="auto"/>
        </w:rPr>
      </w:pPr>
      <w:r>
        <w:rPr>
          <w:rFonts w:ascii="Times New Roman" w:cs="Times New Roman" w:eastAsia="Times New Roman" w:hAnsi="Times New Roman"/>
          <w:sz w:val="17"/>
          <w:szCs w:val="17"/>
          <w:color w:val="auto"/>
        </w:rPr>
        <w:t>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85" w:lineRule="exact"/>
        <w:rPr>
          <w:sz w:val="20"/>
          <w:szCs w:val="20"/>
          <w:color w:val="auto"/>
        </w:rPr>
      </w:pPr>
    </w:p>
    <w:p>
      <w:pPr>
        <w:ind w:left="1080" w:right="5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Nodify XL2, Nodify CDT, GeneStrat and VeriStrat tests;</w:t>
      </w:r>
    </w:p>
    <w:p>
      <w:pPr>
        <w:spacing w:after="0" w:line="67"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96"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9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91"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9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either of the Nodify XL2 and Nodify CDT tests, or the VeriStrat and GeneStrat tests.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9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(the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5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8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92"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4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92"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92"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8"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76"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7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9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2"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some of our patents or patent applications, including licensed patents, may be challenged, in courts or patent offices in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United States and abroad,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9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87"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competitive position, business, financial conditions, results of operations and prospects.</w:t>
      </w:r>
    </w:p>
    <w:p>
      <w:pPr>
        <w:spacing w:after="0" w:line="23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87"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(the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80" w:right="2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Nodify XL2, Nodify CDT, GeneStrat or VeriStrat tests or utilize similar technology that is not covered by the claims of our patents or that incorporates certain technology in our Nodify XL2, Nodify CDT, GeneStrat or VeriStrat tests;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 and you may not be able to sell your shares at or above the price you paid for them.</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Nodify XL2, Nodify CDT, GeneStrat ddPCR, GeneStrat NGS, and VeriStrat testing;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or certification for, and market new and enhanced diagnostic tests on a timely basis;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spacing w:after="0" w:line="7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develops is influenced to some extent by the research and reports that industry or financial analysts publish about us and our business. We do not control these analysts. As a small reporting company and emerging growth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293"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IPO).</w:t>
      </w:r>
    </w:p>
    <w:p>
      <w:pPr>
        <w:spacing w:after="0" w:line="180"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0"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6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5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officers, directors and principal stockholders each holding more than 5% of our Common Stock collectively control approximately 67.0% of our outstanding Common Stock as of December 31, 2023.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substantial costs and requires substantial management attention.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being a publicly traded company may adversely affect our business, financial condition and results of operations.</w:t>
      </w:r>
    </w:p>
    <w:p>
      <w:pPr>
        <w:spacing w:after="0" w:line="293"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6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two or more people or by an unauthorized override of the controls. Accordingly, because of the inherent limitations in our control system, misstatements due to error or fraud may occur and not be detected.</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9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162"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5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312"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45" w:lineRule="exact"/>
        <w:rPr>
          <w:rFonts w:ascii="Times New Roman" w:cs="Times New Roman" w:eastAsia="Times New Roman" w:hAnsi="Times New Roman"/>
          <w:sz w:val="17"/>
          <w:szCs w:val="17"/>
          <w:color w:val="auto"/>
        </w:rPr>
      </w:pPr>
    </w:p>
    <w:p>
      <w:pPr>
        <w:ind w:left="1080" w:right="3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our Common Stock by the Selling Stockholders. Any proceeds from the sale by the Selling Stockholders of the Common Stock offered by this prospectus will be received by the Selling Stockholders. See “Selling Stockholders.”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40"/>
          </w:cols>
          <w:pgMar w:left="320" w:top="455"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audited financial statements and related notes thereto included elsewhere in this prospectus.</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prospectus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above. Forward-looking statements are not guarantees of future performance and are subject to risks and uncertainties that could cause actual results and events to differ from those anticipated.</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are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8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other collaborative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commercialized five diagnostic tests for our lung diagnostic business, each of which have Medicare coverage, which are currently available for use by physicians. Our Nodify XL2 and Nodify CDT tests, marketed as Nodify Lung Nodule Risk Assessment testing, assess the risk of lung cancer to help identify the most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appropriate treatment pathway. The Nodify CDT and XL2 tests have an established average turnaround time of one and five business days, respectively, from receipt of the blood sample, providing physicians with timely results to guide diagnostic planning. The Nodify Lung Risk Assessment testing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part of our IQLung testing strategy, are used following diagnosis of lung cancer to detect the presence of mutations in the tumor and the state of the patient’s immune system to help guide treatment decisions. The GeneStrat targeted tumor genomic profiling test and the VeriStrat immune profiling test have an established average turnaround time of two business days. The GeneStrat NGS test is our blood-based NGS test and has an established average turnaround time of three business days.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19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In addition to the five diagnostic tests currently on the market, we perform more than 30 assays for research use as part of our laboratory services that have been used by over 65 biopharmaceutical companies and academic partners. All of our diagnostic and services testing is performed at one of our two accredited, high-complexity clinical laboratories in Louisville, Colorado and De Soto, Kansas.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8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which included three commercialized tests.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technology to qualitatively detect circulating neutralizing antibodies to the receptor binding domain (“RBD”) in the spike protein of SARS-CoV-2 that are produced in response to a previous SARS-CoV-2 infection.</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80" w:right="20" w:hanging="424"/>
        <w:spacing w:after="0" w:line="254"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We evaluate both the volume of our commercial tests, or the number of tests that we perform for patients on behalf of clinicians, as well as tests for biopharmaceutical companies. Our performance depends on our ability to retain and increase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93"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80" w:lineRule="exact"/>
        <w:rPr>
          <w:rFonts w:ascii="Times New Roman" w:cs="Times New Roman" w:eastAsia="Times New Roman" w:hAnsi="Times New Roman"/>
          <w:sz w:val="18"/>
          <w:szCs w:val="18"/>
          <w:color w:val="auto"/>
        </w:rPr>
      </w:pPr>
    </w:p>
    <w:p>
      <w:pPr>
        <w:ind w:left="1100" w:right="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w:t>
      </w:r>
    </w:p>
    <w:p>
      <w:pPr>
        <w:spacing w:after="0" w:line="2" w:lineRule="exact"/>
        <w:rPr>
          <w:rFonts w:ascii="Times New Roman" w:cs="Times New Roman" w:eastAsia="Times New Roman" w:hAnsi="Times New Roman"/>
          <w:sz w:val="18"/>
          <w:szCs w:val="18"/>
          <w:color w:val="auto"/>
        </w:rPr>
      </w:pPr>
    </w:p>
    <w:p>
      <w:pPr>
        <w:ind w:left="110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78" w:lineRule="exact"/>
        <w:rPr>
          <w:rFonts w:ascii="Times New Roman" w:cs="Times New Roman" w:eastAsia="Times New Roman" w:hAnsi="Times New Roman"/>
          <w:sz w:val="18"/>
          <w:szCs w:val="18"/>
          <w:color w:val="auto"/>
        </w:rPr>
      </w:pPr>
    </w:p>
    <w:p>
      <w:pPr>
        <w:ind w:left="110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2022, the Company announced that the U.S. Department of Veterans Affairs (the “VA”), the largest integrated health care system in the United States, awarded a Federal Supply Schedule Contract for the Company’s entire portfolio of lung cancer diagnostic tests. The VA provides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spacing w:after="0" w:line="72"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w:t>
      </w:r>
    </w:p>
    <w:p>
      <w:pPr>
        <w:spacing w:after="0" w:line="72"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On July 6, 2023, the Company announced that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w:t>
      </w:r>
    </w:p>
    <w:p>
      <w:pPr>
        <w:spacing w:after="0" w:line="81" w:lineRule="exact"/>
        <w:rPr>
          <w:sz w:val="20"/>
          <w:szCs w:val="20"/>
          <w:color w:val="auto"/>
        </w:rPr>
      </w:pPr>
    </w:p>
    <w:p>
      <w:pPr>
        <w:ind w:left="1080" w:right="40" w:hanging="424"/>
        <w:spacing w:after="0" w:line="253"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and closed enrollment of 5,000 patients in the INSIGHT study with non-small cell lung cancer.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 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spacing w:after="0" w:line="83" w:lineRule="exact"/>
        <w:rPr>
          <w:rFonts w:ascii="Times New Roman" w:cs="Times New Roman" w:eastAsia="Times New Roman" w:hAnsi="Times New Roman"/>
          <w:sz w:val="18"/>
          <w:szCs w:val="18"/>
          <w:color w:val="auto"/>
        </w:rPr>
      </w:pPr>
    </w:p>
    <w:p>
      <w:pPr>
        <w:ind w:left="11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90"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8"/>
          <w:szCs w:val="18"/>
          <w:color w:val="auto"/>
        </w:rPr>
        <w:t>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5" w:lineRule="exact"/>
        <w:rPr>
          <w:sz w:val="20"/>
          <w:szCs w:val="20"/>
          <w:color w:val="auto"/>
        </w:rPr>
      </w:pPr>
    </w:p>
    <w:p>
      <w:pPr>
        <w:ind w:left="1100" w:right="80"/>
        <w:spacing w:after="0" w:line="255" w:lineRule="auto"/>
        <w:rPr>
          <w:sz w:val="20"/>
          <w:szCs w:val="20"/>
          <w:color w:val="auto"/>
        </w:rPr>
      </w:pPr>
      <w:r>
        <w:rPr>
          <w:rFonts w:ascii="Times New Roman" w:cs="Times New Roman" w:eastAsia="Times New Roman" w:hAnsi="Times New Roman"/>
          <w:sz w:val="18"/>
          <w:szCs w:val="18"/>
          <w:color w:val="auto"/>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data—along with the radiologic and patient history data currently used to determine treatment decisions—can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spacing w:after="0" w:line="90" w:lineRule="exact"/>
        <w:rPr>
          <w:sz w:val="20"/>
          <w:szCs w:val="20"/>
          <w:color w:val="auto"/>
        </w:rPr>
      </w:pPr>
    </w:p>
    <w:p>
      <w:pPr>
        <w:ind w:left="1080" w:right="40" w:hanging="424"/>
        <w:spacing w:after="0" w:line="259"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the section entitled “Risk Factors” for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COVID-19 pandemic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18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See the section entitled “Risk Factors” for a description of how the COVID-19 pandemic may adversely affect our business, financial condition and results of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Fourth Quarter and Full Year 2023 Financial and Operational Highlights</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following were significant developments affecting our business, capital structure and liquidity during the year ended December 31, 2023 as compared to the same period in 2022 unless otherwise noted:</w:t>
      </w:r>
    </w:p>
    <w:p>
      <w:pPr>
        <w:spacing w:after="0" w:line="67" w:lineRule="exact"/>
        <w:rPr>
          <w:sz w:val="20"/>
          <w:szCs w:val="20"/>
          <w:color w:val="auto"/>
        </w:rPr>
      </w:pPr>
    </w:p>
    <w:p>
      <w:pPr>
        <w:ind w:left="1080" w:right="1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$14.7 million and $49.1 million for the fourth quarter and fiscal 2023, respectively, an increase of 52% and 49% over the respective prior year comparable periods excluding COVID testing revenues, and an increase of 53% and 28% over the respective prior year comparable periods including COVID testing revenues;</w:t>
      </w:r>
    </w:p>
    <w:p>
      <w:pPr>
        <w:spacing w:after="0" w:line="79" w:lineRule="exact"/>
        <w:rPr>
          <w:rFonts w:ascii="Times New Roman" w:cs="Times New Roman" w:eastAsia="Times New Roman" w:hAnsi="Times New Roman"/>
          <w:sz w:val="18"/>
          <w:szCs w:val="18"/>
          <w:color w:val="auto"/>
        </w:rPr>
      </w:pPr>
    </w:p>
    <w:p>
      <w:pPr>
        <w:ind w:left="1540" w:right="120" w:hanging="331"/>
        <w:spacing w:after="0" w:line="22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Lung Diagnostic revenue of $12.8 million and $45.1 million for the fourth quarter and fiscal 2023, respectively, an increase of 55% and 54% over the respective prior year comparable periods, primarily driven by the continued adoption of Nodify Lung</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Nodule Risk Assessment tests;</w:t>
      </w:r>
    </w:p>
    <w:p>
      <w:pPr>
        <w:spacing w:after="0" w:line="104" w:lineRule="exact"/>
        <w:rPr>
          <w:rFonts w:ascii="Times New Roman" w:cs="Times New Roman" w:eastAsia="Times New Roman" w:hAnsi="Times New Roman"/>
          <w:sz w:val="18"/>
          <w:szCs w:val="18"/>
          <w:color w:val="auto"/>
        </w:rPr>
      </w:pPr>
    </w:p>
    <w:p>
      <w:pPr>
        <w:ind w:left="1540" w:right="140" w:hanging="331"/>
        <w:spacing w:after="0" w:line="267"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Biopharma Services and other revenue of $1.9 million and $3.9 million for the fourth quarter and fiscal 2023, respectively, an increase of 38% and 6% over the respective prior year comparable periods, a result of both delivering against our expanding book of business and securing new agreements;</w:t>
      </w:r>
    </w:p>
    <w:p>
      <w:pPr>
        <w:spacing w:after="0" w:line="80"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$11.3 million or 77% and $36.1 million or 73% for the fourth quarter and fiscal 2023, respectively, as a percentage of revenue compared to 66% and 63% in the prior year comparable periods, primarily driven by growth in Lung Diagnostic testing and optimization of testing workflows that resulted in improvements in costs per test, the ongoing recovery of our Biopharma Services business, and the commercial discontinuation of lower-margin COVID-19 testing;</w:t>
      </w:r>
    </w:p>
    <w:p>
      <w:pPr>
        <w:spacing w:after="0" w:line="8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direct costs and expenses) of $18.2 million and $77.4 million for the fourth quarter and fiscal 2023, a decrease of 10% and increase of 4% over the respective prior year comparable periods;</w:t>
      </w:r>
    </w:p>
    <w:p>
      <w:pPr>
        <w:spacing w:after="0" w:line="65"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Decrease in fourth quarter 2023 is primarily attributable to a decrease in research and development costs, partially offset by increased sales and marketing costs to support Lung Diagnostic sales growth, enhance product awareness and drive adoption, while the full year </w:t>
      </w:r>
      <w:r>
        <w:rPr>
          <w:rFonts w:ascii="Times New Roman" w:cs="Times New Roman" w:eastAsia="Times New Roman" w:hAnsi="Times New Roman"/>
          <w:sz w:val="18"/>
          <w:szCs w:val="18"/>
          <w:color w:val="auto"/>
        </w:rPr>
        <w:t>increase in operating expenses was driven by an increase in sales and marketing costs, partially offset by a reduction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costs;</w:t>
      </w:r>
    </w:p>
    <w:p>
      <w:pPr>
        <w:spacing w:after="0" w:line="85"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non-cash stock compensation expense of $1.1 million and $5.4 million during fourth quarter and fiscal 2023, respectively, a decrease of 48% and 10% over the respective prior year comparable periods;</w:t>
      </w:r>
    </w:p>
    <w:p>
      <w:pPr>
        <w:spacing w:after="0" w:line="6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$9.1 million and $52.1 million for the fourth quarter and fiscal 2023, respectively, an improvement of 55% and 20% over the respective prior year comparable periods;</w:t>
      </w:r>
    </w:p>
    <w:p>
      <w:pPr>
        <w:spacing w:after="0" w:line="65" w:lineRule="exact"/>
        <w:rPr>
          <w:rFonts w:ascii="Times New Roman" w:cs="Times New Roman" w:eastAsia="Times New Roman" w:hAnsi="Times New Roman"/>
          <w:sz w:val="18"/>
          <w:szCs w:val="18"/>
          <w:color w:val="auto"/>
        </w:rPr>
      </w:pPr>
    </w:p>
    <w:p>
      <w:pPr>
        <w:ind w:left="1540" w:right="40" w:hanging="331"/>
        <w:spacing w:after="0" w:line="28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and fiscal 2023 included a gain of $0.1 million and loss of $1.3 million, respectively, from the change in fair value of warrant liabilities associated with our term loan facility with Perceptive Advisors (Perceptive);</w:t>
      </w:r>
    </w:p>
    <w:p>
      <w:pPr>
        <w:spacing w:after="0" w:line="6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and fiscal 2022 included loss on debt extinguishment and modification of $4.0 million and $7.0 million, respectively;</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$26.3 million as of December 31, 2023;</w:t>
      </w:r>
    </w:p>
    <w:p>
      <w:pPr>
        <w:spacing w:after="0" w:line="128" w:lineRule="exact"/>
        <w:rPr>
          <w:rFonts w:ascii="Times New Roman" w:cs="Times New Roman" w:eastAsia="Times New Roman" w:hAnsi="Times New Roman"/>
          <w:sz w:val="18"/>
          <w:szCs w:val="18"/>
          <w:color w:val="auto"/>
        </w:rPr>
      </w:pPr>
    </w:p>
    <w:p>
      <w:pPr>
        <w:ind w:left="1540" w:right="20" w:hanging="331"/>
        <w:spacing w:after="0" w:line="28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 successfully drew down the second tranche of $10 million from its $50 million term loan facility with Perceptive in the fourth quarter of 2023;</w:t>
      </w:r>
    </w:p>
    <w:p>
      <w:pPr>
        <w:spacing w:after="0" w:line="6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balance includes the remaining $12.2 million of the $27.5 million private placement announced in August 2023.</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lung diagnostic testing and (ii) COVID-19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Biopharma Services and other</w:t>
      </w:r>
    </w:p>
    <w:p>
      <w:pPr>
        <w:spacing w:after="0" w:line="119" w:lineRule="exact"/>
        <w:rPr>
          <w:sz w:val="20"/>
          <w:szCs w:val="20"/>
          <w:color w:val="auto"/>
        </w:rPr>
      </w:pPr>
    </w:p>
    <w:p>
      <w:pPr>
        <w:ind w:left="120" w:right="220"/>
        <w:spacing w:after="0" w:line="273" w:lineRule="auto"/>
        <w:rPr>
          <w:sz w:val="20"/>
          <w:szCs w:val="20"/>
          <w:color w:val="auto"/>
        </w:rPr>
      </w:pPr>
      <w:r>
        <w:rPr>
          <w:rFonts w:ascii="Times New Roman" w:cs="Times New Roman" w:eastAsia="Times New Roman" w:hAnsi="Times New Roman"/>
          <w:sz w:val="17"/>
          <w:szCs w:val="17"/>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spacing w:after="0" w:line="17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in the long term, though it may fluctuate as a percentage of our revenues from period to period due to the timing and extent of these expenses.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17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interest expense consists of cash and non-cash interest from the Perceptive Term Loan Facility and changes in the value of our contingent consideration associated with the passage of time subsequent to the achievement of the gross margin target in the second quarter 2021. For the year ended December 31, 2022, interest expense primarily consists of cash and non-cash interest from the secured promissory note with Streeterville, the 2021 Term Loan, the Perceptive Term Loan, and changes in the value of our contingent consideration. Interest income, which is included in ‘Other income, net’ in the statements of operations consists of income earned on our cash and cash equivalents.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$10,875</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14,154</w:t>
            </w: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13,102</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(3,114)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67,387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61,462</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5,925</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88,799</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1,630</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(41,342)</w:t>
            </w: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(50,587)</w:t>
            </w:r>
          </w:p>
        </w:tc>
        <w:tc>
          <w:tcPr>
            <w:tcW w:w="2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480" w:type="dxa"/>
            <w:vAlign w:val="bottom"/>
            <w:vMerge w:val="continue"/>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(8,072)</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(1,464)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liabilities,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(6,981)</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6,981</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(1,358)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(10,804)</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(14,860)</w:t>
            </w:r>
          </w:p>
        </w:tc>
        <w:tc>
          <w:tcPr>
            <w:tcW w:w="2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48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(65,447)</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13,301</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6"/>
                <w:szCs w:val="26"/>
                <w:color w:val="auto"/>
                <w:vertAlign w:val="superscript"/>
              </w:rPr>
              <w:t>(1)</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(588)</w:t>
            </w: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share-based compensation expense reported in the Company’s results of operations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generate revenue by providing laboratory testing of our diagnostic tests and services. Our revenues for the periods indicated were as follows (in thousands, except percentages):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Lung Diagnostic</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$45,135</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$29,298</w:t>
            </w: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$15,837</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COVID-19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(5,183)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Diagnostic Testing revenue</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500" w:type="dxa"/>
            <w:vAlign w:val="bottom"/>
            <w:vMerge w:val="continue"/>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Biopharma Services and other revenue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49,087</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38,212</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10,875</w:t>
            </w:r>
          </w:p>
        </w:tc>
        <w:tc>
          <w:tcPr>
            <w:tcW w:w="500" w:type="dxa"/>
            <w:vAlign w:val="bottom"/>
            <w:vMerge w:val="continue"/>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revenue increased $10.9 million or 28% for the year ended December 31, 2023 compared to the year ended December 31, 2022.</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$10.7 million or 31% for the year ended December 31, 2023 compared to the same period in 2022. The increase for the year ended December 31, 2023 compared to the same period in 2022 is due to an increase in our lung diagnostic testing revenue of $15.8 million, driven by an increase in our Nodify XL2 and CDT diagnostic tests delivered. The Company’s lung diagnostic sales efforts continued to gain</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00"/>
          </w:cols>
          <w:pgMar w:left="320" w:top="455" w:right="6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momentum during the year ended December 31, 2023 as the number of tests delivered reached the highest in Company history for four consecutive quarters. Partially offsetting this increase was a $5.2 million reduction in COVID-19 testing revenue for the year ended December 31, 2023, resulting from the expiration of significant COVID-19 testing contracts and the recession of the COVID-19 pandemic. Additionally,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COVID-19 diagnostic testing services commercially.</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Biopharma Services and other revenue increased $0.2 million or 6% for the year ended December 31, 2023 compared to the same period in 2022. The increase in revenue for the year ended December 31, 2023 was primarily due to recovery in testing volumes from clinical studies and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Direct costs and expenses related to revenue decreased $1.1 million or 8% for the year ended December 31, 2023 compared to the year ended December 31, 2022. The decrease in costs for the year ended December 31, 2023 was driven primarily by the overall decline in COVID-19 testing volume and reductions in inventory obsolescence as the Company began exiting our commercial COVID-19 testing services in the latter half of 2022. This was partially offset by an increase in direct costs and expenses associated with increased lung diagnostic and services testing volume.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$3.1 million or 24% for the year ended December 31, 2023 compared to the year ended December 31, 2022. The decrease in cost was due primarily to a decrease in internal expenses associated with compensation and benefit costs as well as clinical trial and other external costs associated with contracted services and laboratory costs.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costs for the years ended December 31, 2023 and 2022 (in thousands, except percentages):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External expenses:</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$1,663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2,551</w:t>
            </w:r>
          </w:p>
        </w:tc>
        <w:tc>
          <w:tcPr>
            <w:tcW w:w="10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  (888)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external costs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3,625</w:t>
            </w:r>
          </w:p>
        </w:tc>
        <w:tc>
          <w:tcPr>
            <w:tcW w:w="10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(803)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external costs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6,176</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5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6,926</w:t>
            </w:r>
          </w:p>
        </w:tc>
        <w:tc>
          <w:tcPr>
            <w:tcW w:w="10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(1,423)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9,988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13,102</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(3,114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Sales, marketing, general and administrative expenses increased $5.9 million or 10% for the year ended December 31, 2023 compared to the year ended December 31, 2022. This increase was driven primarily by increases in employee compensation and benefits associated with an increase in sales team headcount and variable compensation as well as increases in non-employee costs associated with increased spending on various sales meetings, training, and campaigns during 2023 as compared to 2022. During the year ended December 31, 2022, the Company’s sales efforts continued to be impacted by the COVID-19 pandemic due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surges associated with multiple variants, restricting and delaying the Company’s ability to execute our lung diagnostic sales strategy, resulting in lower sales and marketing costs in the first half of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Interest expense increased $1.5 million or 18% for the year ended December 31, 2023 compared to the year ended December 31, 2022. The interest expense for the year ended December 31, 2023 is primarily related to interest associated with the Perceptive Term Loan Facility of $5.5 million and interest associated with the contingent consideration of $3.9 million. The interest expense for the year ended December 31, 2022 is primarily related to interest associated with the contingent consideration of $3.3 million, Perceptive Term Loan Facility of $0.5 million, the 2021 Term Loan with Silicon Valley Bank of $2.4 million, and securities purchase agreement with Streeterville Capital, LLC of $1.8 million in 2022.</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extinguishment of liabilities, net</w:t>
      </w:r>
    </w:p>
    <w:p>
      <w:pPr>
        <w:spacing w:after="0" w:line="119" w:lineRule="exact"/>
        <w:rPr>
          <w:sz w:val="20"/>
          <w:szCs w:val="20"/>
          <w:color w:val="auto"/>
        </w:rPr>
      </w:pPr>
    </w:p>
    <w:p>
      <w:pPr>
        <w:ind w:left="120" w:right="140"/>
        <w:spacing w:after="0" w:line="273" w:lineRule="auto"/>
        <w:rPr>
          <w:sz w:val="20"/>
          <w:szCs w:val="20"/>
          <w:color w:val="auto"/>
        </w:rPr>
      </w:pPr>
      <w:r>
        <w:rPr>
          <w:rFonts w:ascii="Times New Roman" w:cs="Times New Roman" w:eastAsia="Times New Roman" w:hAnsi="Times New Roman"/>
          <w:sz w:val="17"/>
          <w:szCs w:val="17"/>
          <w:color w:val="auto"/>
        </w:rPr>
        <w:t>The Company recorded a loss on extinguishment of liabilities of zero and $7.0 million for the years ended December 31, 2023 and 2022, respectively. 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$2.9 million. Additionally, as a result of the extinguishment of Promissory Note One and the 2021 Term Loan, the Company recorded a loss on debt extinguishment of $3.6 million and $0.5 million, respectively, associated with the prepayment premium and the write-off of unamortized original issue discount (“OID”) and debt issuance costs.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has the ability to exercise its right to borrow the remaining availability under the Perceptive Term Loan, additional warrants will become exercisable into 1,000,000 shares of Common Stock concurrently with the borrowing of the Tranche B Loan (the “Tranche B Warrants”), and additional warrants will become exercisable into 1,000,000 shares of Common Stock concurrently with the borrowing of the Tranche C Loan (the “Tranche C Warrants”). The Company initially accounted for the Tranche B and C Warrants as liabilities as the Tranche B and C Warrants did not meet the criteria for equity classification. During the year ended December 31, 2023, the Company recorded a $1.3 million net loss as a change in fair value through the statement of operations due to changes in unobservable inputs. This is a result of changes in the probability of our ability to draw on Tranche B and C loans. On December 15, 2023 (the “Tranche B Borrowing Date”), the Company exercised its ability to draw the Tranche B loan. In connection with the Tranche B draw, the Company remeasured the Tranche B Warrants through the Tranche B Borrowing Date and recorded the change in fair value through the statement of operations and, subsequently, reclassified the fair value to additional paid-in capital. As of December 31, 2023, the Tranche C Warrants remain classified as a liability.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as described below.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March 7, 2022 (the “LPC Effective Date”), we entered into a purchase agreement with Lincoln Park Capital Fund, LLC (the “Purchase Agreement”), pursuant to which Lincoln Park has committed to purchase up to $50.0 million of our Common Stock (the “LPC Facility”).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LPC Effective Date. As consideration for Lincoln Park’s irrevocable commitment to purchase our Common Stock upon the terms of and subject to satisfaction of the conditions set forth in the Purchase Agreement, on the LPC Effective Date, we issued 184,275 shares of Common Stock to Lincoln Park as a commitment fee valued at $600,000 for which no consideration was received.</w:t>
      </w:r>
    </w:p>
    <w:p>
      <w:pPr>
        <w:spacing w:after="0" w:line="19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On April 7, 2022, we entered into subscription agreements with various investors, including three members of our Board of Directors and other existing shareholders of the Company, for the issuance and sale by the Company of an aggregate of 6,508,376 shares of our Common Stock in an offering for an aggregate purchase price of approximately $11.7 million.</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May 9, 2022, the Company entered into a securities purchase agreement with Streeterville, pursuant to which, among other things, Streeterville purchased Promissory Note One in the aggregate principal amount totaling $16.0 million in exchange for $15.0 million less certain expenses. Promissory Note One could, at the Company’s option, be settled in cash or shares of Common Stock of the Company, upon the terms and subject to the limitations and conditions. On May 9, 2022, the Company closed on Promissory Note One for gross proceeds of $15.0 million (approximately $12.8 million, net, after deducting debt issuance costs and OID).</w:t>
      </w:r>
    </w:p>
    <w:p>
      <w:pPr>
        <w:spacing w:after="0" w:line="183"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On November 21, 2022, the Company funded and/or closed various financing transactions, including: (i) a term loan facility with Perceptive Advisors, LLC (Perceptive) for up to $50.0 million, with funding of $30.0 million on November 21, 2022, and two additional contingently issuable tranches of $10.0 million each subject to certain terms and conditions, including revenue milestones, (ii) a follow-on equity offering of Common Stock for</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$40.4 million in gross proceeds and (iii) a subscription agreement for the issuance of Common Stock to certain members of the Company’s management team for $0.3 million. Collectively, the Company raised gross proceeds of approximately $70.7 million ($65.7 million after deducting commissions, fees and expenses payable). Approximately $23.9 million of the net proceeds were used to retire Promissory Note One with Streeterville and the 2021 Term Loan with Silicon Valley Bank. The remaining proceeds of approximately $42.0 million were used for commercial expansion of sales, supporting the Company’s product pipeline, research and development and for general corporate purposes.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Perceptive Term Loan Facility contains certain representations and warranties, affirmative covenants, negative covenants, financial covenants, and conditions that are customarily required for similar financings. The Company must (i) at all times prior to the Maturity Date maintain a minimum cash balance of $2.5 million; and (ii) as of the last day of each fiscal quarter commencing with the fiscal quarter ending March 31, 2023, recognize revenue in amounts agreed to between the Company and Perceptive.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April 7, 2023, the Company entered into a limited waiver under which Perceptive agreed to waive the minimum revenue requirement for the three months ended March 31, 2023 (“Limited Waiver”). In addition, on May 10, 2023, the Company entered into the First Amendment to the Perceptive Term Loan Facility (the “First Amendment”) with Perceptive, whereby subject to the terms and conditions of the First Amendment, the minimum net revenue covenant was modified to reduce the threshold through the twelve month period ended March 31, 2024.</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were issued during the three months ended December 31, 2023.</w:t>
      </w:r>
    </w:p>
    <w:p>
      <w:pPr>
        <w:spacing w:after="0" w:line="187"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Perceptive Term Loan Facility (the “Second Amendment”) with Perceptive, whereby subject to the terms and conditions of the Second Amendment, the minimum net revenue covenant was amended to reduce the relevant threshold as of the last day of each fiscal quarter commencing on the fiscal quarter ending June 30, 2024 through and including the fiscal quarter ending December 31, 2025.</w:t>
      </w:r>
    </w:p>
    <w:p>
      <w:pPr>
        <w:spacing w:after="0" w:line="180"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Pursuant to the original terms of the agreement with Perceptive, the Perceptive Term Loan Facility includes an additional Tranche B Loan, in an aggregate amount of up to $10.0 million, which was accessible by the Company so long as the Company satisfied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December 31, 2023, the Company met the conditions precedent associated with the Tranche B Loan and, on December 15, 2023, the Company exercised its ability to draw the Tranche B Loan for $10.0 million.</w:t>
      </w:r>
    </w:p>
    <w:p>
      <w:pPr>
        <w:spacing w:after="0" w:line="17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raised approximately $0.6 million ($0.6 million after deducting underwriting discounts and commissions and offering expenses payable), in gross proceeds from the sale of 376,456 common shares at a weighted average price per share of $1.66 under the ATM facility. As of December 31, 2023, the Company had remaining available capacity for share issuances of approximately $28.9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2023, we maintained cash and cash equivalents of $26.3 million and we have $40.0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Statements—Going Concern: Disclosure of Uncertainties about an Entity’s Ability to 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 Going Concern</w:t>
      </w:r>
      <w:r>
        <w:rPr>
          <w:rFonts w:ascii="Times New Roman" w:cs="Times New Roman" w:eastAsia="Times New Roman" w:hAnsi="Times New Roman"/>
          <w:sz w:val="18"/>
          <w:szCs w:val="18"/>
          <w:color w:val="auto"/>
        </w:rPr>
        <w:t>, the Company is required to evaluate whether there is substantial doubt about its ability to continue as a going concern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projections of future cash flows, current financial condition, sources of liquidity and debt obligations for at least one year from the date of issuance of the Form 10-K in considering whether it has the ability to meet its obligations.</w:t>
      </w:r>
    </w:p>
    <w:p>
      <w:pPr>
        <w:spacing w:after="0" w:line="16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Our ability to meet our obligations as they come due may be impacted by our ability to remain compliant with financial covenants in our loan agreement or to obtain waivers or amendments that impact the related covenants. As of December 31, 2023, the Company was in compliance with all restrictive covenants associated with its borrowing and entered into a limited waiver on February 14, 2024 to the Perceptive Term Loan Facility (the “Second Limited Waiver”). Subject to the terms and conditions of the Second Limited Waiver, Perceptive agreed to (i) waive compliance with the December 31, 2023 Minimum Net Revenue covenant and (ii) waive the requirement that the Annual Report on Form 10-K for the year-ended December 31, 2023 and auditor’s opinion on the financial statements thereto shall not be subject to any going concern or like qualification or exception audit.</w:t>
      </w:r>
    </w:p>
    <w:p>
      <w:pPr>
        <w:spacing w:after="0" w:line="17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of the outstanding balances. We have taken steps to improve our liquidity through raising debt and equity capital and have also undertaken several proactive measures including, among other things, the reduction of planned capital expenditures and certain operating expenses but we do not expect that these actions alone will be sufficient to maintain our financial covenants.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 third amendment to the Perceptive Term Loan Facility (the “Third Amendment”),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To maintain an adequate amount of available liquidity and execute our current operating plan, we will need to continue to raise additional funds from external sources, such as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18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December 31, 2023 financial statements are issued. Our audited financial statements have been prepared assuming we will continue as a going concern and do not include any adjustments that might be necessary should we be unable to continue as a going concern.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flows (used in) provided by:</w:t>
            </w: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$(22,870)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$(44,972)</w:t>
            </w: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(23,062)</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(3,534)</w:t>
            </w: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58,882</w:t>
            </w:r>
          </w:p>
        </w:tc>
      </w:tr>
      <w:tr>
        <w:trPr>
          <w:trHeight w:val="27"/>
        </w:trPr>
        <w:tc>
          <w:tcPr>
            <w:tcW w:w="5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(16,803)</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$ 10,376</w:t>
            </w:r>
          </w:p>
        </w:tc>
      </w:tr>
      <w:tr>
        <w:trPr>
          <w:trHeight w:val="20"/>
        </w:trPr>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cash flows resulted in a net decrease in cash and cash equivalents and restricted cash of $16.8 million during the year ended December 31, 2023 as compared to the net increase in cash of $10.4 million for the year ended December 31, 2022. For the year ended December 31, 2023, net cash used in operating activities decreased by approximately $22.1 million primarily due to the $18.3 million in tenant improvement allowances received for capital expenditures and leasehold improvements related to the Centennial Valley Properties (“CVP”) Lease which have been reimbursed from the CVP landlord (see cash used in investing activities below). Partially offsetting the CVP tenant improvement allowances is $2.5 million of the contingent consideration payment made during the three months ended December 31, 2023 which is now classified as a cash outflow from operating activities due to the applicable US GAAP requirements. Additionally, the Company had favorable changes in working capital that contributed to the changes in net cash used in operating activities compared to the same period in 2022. During the year ended December 31, 2022, our $5.0 million cash collateralized letter of credit under the operating lease agreement with CVP was released and the funds were subsequently transferred to the landlord as a refundable deposit to secure the performance of the Company’s obligations.</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totaled $23.1 million, an increase of $19.5 million compared to the same period in 2022.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totaled $29.1 million, a decrease of $29.8 million compared to the same period in 2022. The net cash provided by financing activities for the year ended December 31, 2023 primarily resulted from $28.0 million net proceeds from the issuance of Common Stock, $10.0 million net proceeds from the issuance of Tranche B under the Perceptive Term Loan Facility, and $0.7 million in proceeds from the issuance of Common Stock under the ESPP and exercise of stock options. These proceeds were partially offset by milestone payments to Indi of $8.6 million. The net cash provided by financing activities for the year ended December 31, 2022 primarily resulted from $56.3 million net proceeds from the issuance of Common Stock, $41.4 million net proceeds from the issuance of Promissory Note One and the Perceptive Term Loan, and $0.6 million in proceeds from the issuance of Common Stock under the ESPP and exercise of stock options. These proceeds were partially offset by the repayment of Promissory Note One and the 2021 Term Loan of $28.6 million, and milestone payments to Indi of $10.8 million.</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40"/>
          </w:cols>
          <w:pgMar w:left="320" w:top="455" w:right="5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non-cancelable contractual obligations and commitments as of December 31, 2023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period</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7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4 to 5</w:t>
            </w:r>
          </w:p>
        </w:tc>
        <w:tc>
          <w:tcPr>
            <w:tcW w:w="12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Borrowings and interest</w:t>
            </w:r>
            <w:r>
              <w:rPr>
                <w:rFonts w:ascii="Times New Roman" w:cs="Times New Roman" w:eastAsia="Times New Roman" w:hAnsi="Times New Roman"/>
                <w:sz w:val="24"/>
                <w:szCs w:val="24"/>
                <w:color w:val="auto"/>
                <w:vertAlign w:val="superscript"/>
              </w:rPr>
              <w:t>(2)</w:t>
            </w: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$11,677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$ 45,329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23,403</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2,406</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8,176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28,113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133,984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32,062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20,266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53,543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28,113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that we may owe are not included as the amount and timing of such payments is uncertain.</w:t>
      </w:r>
    </w:p>
    <w:p>
      <w:pPr>
        <w:spacing w:after="0" w:line="27"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Perceptive Term Loan payments of principal and interest. Interest amounts associated with the Perceptive Term Loan are variable and estimated based on the interest rate in effect at December 31, 2023.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we have not entered into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financial statements in Item 8 of the Annual Report on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(Biopharma Services and other revenue).</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also provides services to patients with whom the Company does not have contracts as defined in Financial Accounting Standards Board (“FASB”) Accounting Standards Codification 606 (ASC 606).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0"/>
          </w:cols>
          <w:pgMar w:left="320" w:top="455" w:right="6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380"/>
          </w:cols>
          <w:pgMar w:left="320" w:top="455" w:right="11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including our outstanding Perceptive Term Loan. As of December 31, 2023,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Periodically throughout the year, we have maintained balances in various operating accounts in excess of federally insured limits. Our cash and cash equivalents are funds held in checking and bank savings accounts, primarily at one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of December 31, 2023, a hypothetical 100 basis point increase in interest rates would have an estimated $0.4 million impact per year on our financial position and results of operations, based on the current Perceptive Term Loan principal remaining outstanding through maturity.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w:t>
      </w:r>
      <w:r>
        <w:rPr>
          <w:rFonts w:ascii="Times New Roman" w:cs="Times New Roman" w:eastAsia="Times New Roman" w:hAnsi="Times New Roman"/>
          <w:sz w:val="18"/>
          <w:szCs w:val="18"/>
          <w:color w:val="auto"/>
        </w:rPr>
        <w:t xml:space="preserve"> is to unite biopharma, physicians, and patients to transform the standard of care and improve outcomes with personalized diagnostics.</w:t>
      </w:r>
    </w:p>
    <w:p>
      <w:pPr>
        <w:spacing w:after="0" w:line="225" w:lineRule="exact"/>
        <w:rPr>
          <w:sz w:val="20"/>
          <w:szCs w:val="20"/>
          <w:color w:val="auto"/>
        </w:rPr>
      </w:pPr>
    </w:p>
    <w:p>
      <w:pPr>
        <w:jc w:val="center"/>
        <w:ind w:left="440" w:right="260"/>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vision</w:t>
      </w:r>
      <w:r>
        <w:rPr>
          <w:rFonts w:ascii="Times New Roman" w:cs="Times New Roman" w:eastAsia="Times New Roman" w:hAnsi="Times New Roman"/>
          <w:sz w:val="18"/>
          <w:szCs w:val="18"/>
          <w:color w:val="auto"/>
        </w:rPr>
        <w:t xml:space="preserve"> is a world where all critical diseases are diagnosed early and treated quickly with the guidance of personalized diagnostic solutions, so humanity can thrive without the burden of disease.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0"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operate in a single segment and derive our revenue from two sources: (i) providing diagnostic testing services associated with (a) blood-based lung tests and (b) prior to May 11, 2023,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 During fiscal years 2023 and 2022, we derived 92% and 90%, respectively, of our total revenues from our diagnostic testing business.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Since our inception, we have performed over 600,000 tests and continue to generate a large and growing body of clinical evidence. We have participated in 27 clinical studies, three of which are ongoing, and have published over 300 clinical and scientific peer-reviewed publications, presentations, and abstracts. We have curated a biobank encompassing thousands of biological specimens with associated clinical data, including tumor genomic profiles and immune profiles, which are used for both internal and external research and development initiatives.</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Blood-Based Lung Tests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have five diagnostic blood-based tests across the lung cancer continuum of care, which generated $45.1 million and $29.3 million in revenue for fiscal year 2023 and 2022, respectively, an annual growth rate of 54%.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17" w:lineRule="exact"/>
        <w:rPr>
          <w:sz w:val="20"/>
          <w:szCs w:val="20"/>
          <w:color w:val="auto"/>
        </w:rPr>
      </w:pPr>
    </w:p>
    <w:p>
      <w:pPr>
        <w:ind w:left="120" w:right="8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XL2</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tests, together marketed as our Nodify Lung</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29" w:lineRule="exact"/>
        <w:rPr>
          <w:sz w:val="20"/>
          <w:szCs w:val="20"/>
          <w:color w:val="auto"/>
        </w:rPr>
      </w:pPr>
    </w:p>
    <w:p>
      <w:pPr>
        <w:ind w:left="120" w:right="20"/>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ddPCR, GeneStrat NGS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VeriStrat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We generated $0.1 million and $5.2 million in revenue from COVID-19 testing during fiscal year 2023 and 2022, respectively.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Our scientific diagnostic expertise, technologies, and existing commercial infrastructure enabled us to rapidly commercialize two FDA EUA-authorized tests, a part of our customizable WorkSafe program. Both diagnostic tests are owned and were developed by Bio-Rad and Bio-Rad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(as defined below) technology to qualitatively detect circulating neutralizing antibodies to the RBD in the spike protein of SARS-CoV-2.</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COVID-19 pandemic disrupted, and in the future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“Risk Factors” for a description of how the COVID-19 pandemic may adversely affect our business, financial condition and results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Full Year Results for 2023</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December 31, 2023, compared to the prior year:</w:t>
      </w:r>
    </w:p>
    <w:p>
      <w:pPr>
        <w:spacing w:after="0" w:line="12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was $49.1 million, an increase of 28% primarily driven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Lung Diagnostic Revenue of $45.1 million, an increase of 54%;</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Biopharma Services and other revenue of $3.9 million, an increase of 6%;</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COVID-19 Revenue of $0.1 million, a decrease of 99%;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$36.1 million, resulting in a 73% overall gross margin percentage as compared to 63% in the prior year;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Direct costs and expenses, </w:t>
      </w:r>
      <w:r>
        <w:rPr>
          <w:rFonts w:ascii="Times New Roman" w:cs="Times New Roman" w:eastAsia="Times New Roman" w:hAnsi="Times New Roman"/>
          <w:sz w:val="18"/>
          <w:szCs w:val="18"/>
          <w:color w:val="auto"/>
        </w:rPr>
        <w:t>were $77.4 million, an increase of 4% and including non-cash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of $5.4 million as compared to $6.0 million in the prior year;</w:t>
      </w:r>
    </w:p>
    <w:p>
      <w:pPr>
        <w:spacing w:after="0" w:line="63"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was $52.1 million and decreased 20%, due primarily to an overall increase in total revenues of $10.9 million and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expenses of $4.1 million;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$0.64;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by Operating Activities </w:t>
      </w:r>
      <w:r>
        <w:rPr>
          <w:rFonts w:ascii="Times New Roman" w:cs="Times New Roman" w:eastAsia="Times New Roman" w:hAnsi="Times New Roman"/>
          <w:sz w:val="18"/>
          <w:szCs w:val="18"/>
          <w:color w:val="auto"/>
        </w:rPr>
        <w:t>was $22.9 million, compared to $45.0 million used in the prior year;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$26.3 million as of December 31,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 Market Size and Opportunity</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Despite significant advances over the last decade, lung cancer is still the deadliest type of cancer in both men and women in the United States. While diagnostic testing has become routinely used at certain points in the lung cancer continuum of care (diagnosis, treatment and monitoring), we believe there is substantial need for novel, advanced testing to improve on the current standard of care. We estimate that in the United States, the lung</w:t>
      </w:r>
    </w:p>
    <w:p>
      <w:pPr>
        <w:spacing w:after="0" w:line="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40"/>
          </w:cols>
          <w:pgMar w:left="320" w:top="455" w:right="6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cancer continuum of care represents over 10 million annual testing opportunities and is over a $27 billion market annually for testing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171450</wp:posOffset>
            </wp:positionV>
            <wp:extent cx="4834890" cy="1525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3489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15% of oncology trials involving the use of biomarker testing in 2000, compared to 55% in 2018. We believe the field of biomarker discovery and companion diagnostic development for biopharmaceutical therapeutics is set to continue growing as biopharmaceutical companies seek to de-risk their research and development pipelines and increase chances of drug development success. We estimate that biopharmaceutical partnering and research opportunities represent over a $2 billion market annually.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Lung Cancer Continuum of Care—Clinical Unmet Needs</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81" w:lineRule="exact"/>
        <w:rPr>
          <w:sz w:val="20"/>
          <w:szCs w:val="20"/>
          <w:color w:val="auto"/>
        </w:rPr>
      </w:pPr>
    </w:p>
    <w:p>
      <w:pPr>
        <w:ind w:left="1080" w:right="20" w:hanging="424"/>
        <w:spacing w:after="0" w:line="253"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estimate approximately 1.6 million new incidental lung nodules and potentially 4 million lung nodules from the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Times New Roman" w:cs="Times New Roman" w:eastAsia="Times New Roman" w:hAnsi="Times New Roman"/>
          <w:sz w:val="18"/>
          <w:szCs w:val="18"/>
          <w:i w:val="1"/>
          <w:iCs w:val="1"/>
          <w:color w:val="auto"/>
        </w:rPr>
        <w:t xml:space="preserve">overtreatment </w:t>
      </w:r>
      <w:r>
        <w:rPr>
          <w:rFonts w:ascii="Times New Roman" w:cs="Times New Roman" w:eastAsia="Times New Roman" w:hAnsi="Times New Roman"/>
          <w:sz w:val="18"/>
          <w:szCs w:val="18"/>
          <w:color w:val="auto"/>
        </w:rPr>
        <w:t>of patients with benign nodules or</w:t>
      </w:r>
      <w:r>
        <w:rPr>
          <w:rFonts w:ascii="Times New Roman" w:cs="Times New Roman" w:eastAsia="Times New Roman" w:hAnsi="Times New Roman"/>
          <w:sz w:val="18"/>
          <w:szCs w:val="18"/>
          <w:i w:val="1"/>
          <w:iCs w:val="1"/>
          <w:color w:val="auto"/>
        </w:rPr>
        <w:t xml:space="preserve"> undertreatment </w:t>
      </w:r>
      <w:r>
        <w:rPr>
          <w:rFonts w:ascii="Times New Roman" w:cs="Times New Roman" w:eastAsia="Times New Roman" w:hAnsi="Times New Roman"/>
          <w:sz w:val="18"/>
          <w:szCs w:val="18"/>
          <w:color w:val="auto"/>
        </w:rPr>
        <w:t>in patients with cancer. An estimated 17% of patients initially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watchful waiting, or follow-up CT scans in intervals up to a year, are later diagnosed with malignant nodules,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95"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Guidance—Early Stage</w:t>
      </w:r>
      <w:r>
        <w:rPr>
          <w:rFonts w:ascii="Times New Roman" w:cs="Times New Roman" w:eastAsia="Times New Roman" w:hAnsi="Times New Roman"/>
          <w:sz w:val="18"/>
          <w:szCs w:val="18"/>
          <w:color w:val="auto"/>
        </w:rPr>
        <w:t>: We estimate that there are over 700 thousand testing opportunities annually in the United States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early-stage lung cancer to assess a patient’s risk of recurrence following curative-intent surgery, and to detect potential target mutations for therapeutics.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4" w:lineRule="auto"/>
        <w:rPr>
          <w:sz w:val="20"/>
          <w:szCs w:val="20"/>
          <w:color w:val="auto"/>
        </w:rPr>
      </w:pPr>
      <w:r>
        <w:rPr>
          <w:rFonts w:ascii="Times New Roman" w:cs="Times New Roman" w:eastAsia="Times New Roman" w:hAnsi="Times New Roman"/>
          <w:sz w:val="18"/>
          <w:szCs w:val="18"/>
          <w:color w:val="auto"/>
        </w:rPr>
        <w:t>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who may benefit from a less intensive treatment protocol. There 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w:t>
      </w:r>
    </w:p>
    <w:p>
      <w:pPr>
        <w:spacing w:after="0" w:line="90" w:lineRule="exact"/>
        <w:rPr>
          <w:sz w:val="20"/>
          <w:szCs w:val="20"/>
          <w:color w:val="auto"/>
        </w:rPr>
      </w:pPr>
    </w:p>
    <w:p>
      <w:pPr>
        <w:ind w:left="1080" w:hanging="424"/>
        <w:spacing w:after="0" w:line="25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Guidance—Advanced Stage: </w:t>
      </w:r>
      <w:r>
        <w:rPr>
          <w:rFonts w:ascii="Times New Roman" w:cs="Times New Roman" w:eastAsia="Times New Roman" w:hAnsi="Times New Roman"/>
          <w:sz w:val="18"/>
          <w:szCs w:val="18"/>
          <w:color w:val="auto"/>
        </w:rPr>
        <w:t>We estimate that there are over 3 million diagnostic testing opportunities annually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to guide advanced stage lung cancer treatment decisions. With nearly 60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Physicians are often left with a dilemma to either make treatment decisions prior to receiving critical diagnostic test results, or delay treatment initiation while waiting for the test results. Therefore, we believe there is an imminent need for a blood-based testing solution that measures tumor mutations and the patient’s immune profile, to provide physicians with more comprehensive and timely information to initiate personalized treatment as quickly as possible.</w:t>
      </w:r>
    </w:p>
    <w:p>
      <w:pPr>
        <w:spacing w:after="0" w:line="9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estimate that there are over 800 thousand testing opportunities in the United States for blood-based tumor genomic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Limitations in Biomarker Discovery and Companion Diagnostics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estimate that the biopharmaceutical biomarker testing and companion diagnostic market opportunity represents a $2 billion market annually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Over the last two decades, the use of biomarker testing in clinical trials has increased, with 15% of oncology trials involving the use of biomarker testing in 2000 compared to 55% in 2018.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Biomarker Discovery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many limitations with biomarker discovery in biopharmaceutical drug development, including:</w:t>
      </w:r>
    </w:p>
    <w:p>
      <w:pPr>
        <w:spacing w:after="0" w:line="135" w:lineRule="exact"/>
        <w:rPr>
          <w:sz w:val="20"/>
          <w:szCs w:val="20"/>
          <w:color w:val="auto"/>
        </w:rPr>
      </w:pPr>
    </w:p>
    <w:p>
      <w:pPr>
        <w:ind w:left="5540" w:right="3360" w:hanging="4884"/>
        <w:spacing w:after="0" w:line="454" w:lineRule="auto"/>
        <w:tabs>
          <w:tab w:leader="none" w:pos="10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with clinical utility are difficult to discover and validate in independent datasets; 92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Classical statistical approaches to biomarker discovery are limited. Single-omic tests fail to see the whole biological picture;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biopsies are limited by the amount of a sample that can be collected: longitudinal testing is difficult and the information gathered is only from the tumor being sampled, this does not account for tumor heterogeneity or the host’s immune response;</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and take years to complete. It is often difficult to meet clinical trial enrollment goals with long diagnostic testing turnaround times.</w:t>
      </w:r>
    </w:p>
    <w:p>
      <w:pPr>
        <w:spacing w:after="0" w:line="158" w:lineRule="exact"/>
        <w:rPr>
          <w:sz w:val="20"/>
          <w:szCs w:val="20"/>
          <w:color w:val="auto"/>
        </w:rPr>
      </w:pPr>
    </w:p>
    <w:p>
      <w:pPr>
        <w:ind w:left="120" w:right="1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Companion Diagnostics (“CDx”): </w:t>
      </w:r>
      <w:r>
        <w:rPr>
          <w:rFonts w:ascii="Times New Roman" w:cs="Times New Roman" w:eastAsia="Times New Roman" w:hAnsi="Times New Roman"/>
          <w:sz w:val="17"/>
          <w:szCs w:val="17"/>
          <w:color w:val="auto"/>
        </w:rPr>
        <w:t>While developing CDx is critical to precision medicine, the promise of CDx has not been fully realized and there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multiple limitations that still need resolution. The path to co-develop a successful CDx with a corresponding drug has several challenges, including:</w:t>
      </w:r>
    </w:p>
    <w:p>
      <w:pPr>
        <w:spacing w:after="0" w:line="41" w:lineRule="exact"/>
        <w:rPr>
          <w:sz w:val="20"/>
          <w:szCs w:val="20"/>
          <w:color w:val="auto"/>
        </w:rPr>
      </w:pPr>
    </w:p>
    <w:p>
      <w:pPr>
        <w:ind w:left="1080" w:right="7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CDx agreements may fail to realize the full value of a testing opportunity, leading to difficulty in funding appropriate commercialization;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complex and costly process. There can be a financial impact to a pharmaceutical company to have a drug selected by a test;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diagnostic reimbursement policies may not always support the coverage and payment of new CDx;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continue to work on defining the co-development process, but the environment is continually changing.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Diagnostic Test Discovery and Development at Biodesix</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to discover innovative diagnostic tests for potential clinical use. We focus on the use of technologies that are capable of single and multi-omic tests in our research and development. We continuously evolve and improve our test discovery and development process. All of the technologies that we employ have been chosen and developed to provide high-quality data to enable our clinical test discovery and development. We feel that this level of data integrity is crucial for the development of diagnostic tests.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other collaborative partnerships, into our platform. Our curated biobank encompasses thousands of biological specimens with associated clinical data, including tumor genomic profiles and immune profiles, which are used for both internal and external research and development initiatives. With our multi-omic approach we are able to discover diagnostic tests that answer critical clinical questions faced by physicians, researchers, and biopharmaceutical companies.</w:t>
      </w:r>
    </w:p>
    <w:p>
      <w:pPr>
        <w:spacing w:after="0" w:line="189" w:lineRule="exact"/>
        <w:rPr>
          <w:sz w:val="20"/>
          <w:szCs w:val="20"/>
          <w:color w:val="auto"/>
        </w:rPr>
      </w:pPr>
    </w:p>
    <w:p>
      <w:pPr>
        <w:ind w:left="120" w:right="20"/>
        <w:spacing w:after="0" w:line="239" w:lineRule="auto"/>
        <w:rPr>
          <w:sz w:val="20"/>
          <w:szCs w:val="20"/>
          <w:color w:val="auto"/>
        </w:rPr>
      </w:pPr>
      <w:r>
        <w:rPr>
          <w:rFonts w:ascii="Times New Roman" w:cs="Times New Roman" w:eastAsia="Times New Roman" w:hAnsi="Times New Roman"/>
          <w:sz w:val="18"/>
          <w:szCs w:val="18"/>
          <w:color w:val="auto"/>
        </w:rPr>
        <w:t>To achieve our discovery and development objectives, we utilize different technologies, including ddPCR, NGS, LC-MS, ELISA, single cell analyses, and our proprietary DeepMALDI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mass spectrometry platform for the blood-based molecular analysis of the tumor, immune system, and host-status of each patient and/or clinical dataset. We continuously revisit our technology strategy and roadmap to integrate new technologies into our evolving platform, which ultimately support the addition of new service and product revenue offerings. 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multi-omic approach to solving diagnostic challenges. Because of this approach, we believe we are unique in the diagnostics market, allowing for a broader and more holistic understanding of each patient’s disease state.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For over 15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suite of technologies that assist us in discovery, development and commercialization of novel diagnostic tests includes: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DeepMALDI Mass Spectrometry</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developed DeepMALDI, a proprietary high-density matrix-assisted laser desorption/ionization time-of-flight (“MALDI-ToF”) mass spectrometry (“MS”) technology, to discover potential tests for disease diagnosis, and monitoring for disease progression or recurrence in lung and other disease states. DeepMALDI technology overcomes the limitations of conventional MALDI and other mass spectrometry methods to produce highly sensitive, stable, and reproducible data. This method yields substantially higher quality data content and is thereby well suited for the discovery of biomarkers with clinical utility. We intend to maintain our leadership role in the discovery of proteomics-based diagnostic tests. We utilize our DeepMALDI and MALDI-ToF technologies in our discovery and development efforts and as part of our collaborations with our biopharmaceutical customers and other collaborative partners.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 Chromatography (“LC”) Mass Spectrometry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use Multiple Reaction Monitoring (“MRM”) MS with triple quadrupole mass spectrometers and up-front liquid chromatography (LC) sample injection in the Nodify XL2 test and as part of our collaborations with our biopharmaceutical customers and other collaborative partners.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Enzyme-Linked Immunosorbent Assay (“ELISA”)</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as part of our collaborations with our biopharmaceutical customers and other collaborative partners.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Droplet Digital Polymerase Chain Reaction Technology (“ddPCR”)</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use the ddPCR technology for multiplexed, semi-automated nucleic acid detection. This allows high sensitivity, fast turn-around times, flexibility in our laboratory workflows, rapid scaling from low to moderate anolyte complexity, and high-volume scalability. ddPCR is an absolute quantitation method based on the partitioning of circulating nucleic acids into up to 20,000 droplets per reaction and is used for the GeneStrat ddPCR test. Our strategy with ddPCR relies on a menu of off-the-shelf and custom research use assays, including early access and beta evaluation, which we develop and make available as a part of our commercial pipeline, biopharmaceutical and collaborative test services. We have included the ddPCR technologies for research and development both internally and externally with our biopharmaceutical customers and other collaborative partners.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Sequencing Technology (“NGS”)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use NGS technology for broad genomic sequencing of clinical specimens. Our strategy with NGS relies on a menu of off-the-shelf and custom research use assays, including early access and beta evaluation, which we develop and make available as a part of our commercial pipeline, biopharmaceutical and collaborative test services. The NGS technology integrates automated systems to yield high sensitivity results with a rapid turnaround time. Since adoption of this technology, we have included the NGS technologies for research and product development both internally and externally with our biopharmaceutical customers and other collaborative partners.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five blood-based diagnostic tests across the lung cancer continuum of care to help address clinical unmet needs by physicians.</w:t>
      </w:r>
    </w:p>
    <w:p>
      <w:pPr>
        <w:spacing w:after="0" w:line="127" w:lineRule="exact"/>
        <w:rPr>
          <w:sz w:val="20"/>
          <w:szCs w:val="20"/>
          <w:color w:val="auto"/>
        </w:rPr>
      </w:pPr>
    </w:p>
    <w:p>
      <w:pPr>
        <w:ind w:left="1080" w:right="60" w:hanging="424"/>
        <w:spacing w:after="0" w:line="257"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believe there is a clinical need to help physicians reclassify risk of malignancy in patients presenting with suspicious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We offer blood-based Nodify Lung Nodule Risk Assessment testing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 The Nodify CDT and XL2 tests have established average turnaround times of one business day and five business days from receipt of the blood sample, respectively, providing physicians with timely results to guide diagnostic planning</w:t>
      </w:r>
    </w:p>
    <w:p>
      <w:pPr>
        <w:spacing w:after="0" w:line="87"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w:t>
      </w:r>
      <w:r>
        <w:rPr>
          <w:rFonts w:ascii="Times New Roman" w:cs="Times New Roman" w:eastAsia="Times New Roman" w:hAnsi="Times New Roman"/>
          <w:sz w:val="18"/>
          <w:szCs w:val="18"/>
          <w:color w:val="auto"/>
        </w:rPr>
        <w:t>: We believe there is an ongoing need for a blood-based testing solution that measures tumor-specific mutations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patient’s immune profile to provide physicians with more comprehensive information to personalize treatment plans. We offer the blood-based IQLung testing strategy, which consists of the GeneStrat ddPCR and GeneStrat NGS tumor profiling tests and the VeriStrat immune profiling test for patients diagnosed with NSCLC. With an established average turnaround time of three business days, we are able to quickly provide critical diagnostic information to physicians to facilitate personalized treatment decisions for their patients.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believe longitudinally monitoring advanced NSCLC patients for the dynamic evolution of their tumor and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profile while on treatment can provide an earlier indication of treatment resistance and/or disease progression. We offer the IQLung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139700</wp:posOffset>
            </wp:positionV>
            <wp:extent cx="4697730" cy="1637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9773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testing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Nodify CDT test is used to help identify lung nodules that are likely malignant and the Nodify XL2 test helps identify lung nodules that are likely benign. Nodify Lung testing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the Nodify CDT test, then the Nodify XL2 test is performed to help determine if the patient’s nodule is likely benign or has a reduced risk of lung cancer and may be a candidate for CT imaging surveillance. Nodify Lung Risk Assessment testing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150495</wp:posOffset>
            </wp:positionV>
            <wp:extent cx="5014595" cy="2048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1459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We launched the Nodify Lung combined offering of the Nodify CDT and Nodify XL2 tests in March 2020. However, the Nodify XL2 test has been available to all physicians since September 2019 and has been available to a select group of physicians since October 2018. We acquired the Nodify XL2 test from Indi in July 2018 and acquired the Nodify CDT test from Oncimmune USA in October 2019.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Nodify CDT Test</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goal of diagnosing cancer earlier. The Nodify CDT test enhances lung nodule risk assessment to facilitate compliance with clinical treatment guidelines such as those of the American College of Chest Physicians (“ACCP”). The Nodify CDT test is validated for use in patients who are 40 years or older, have no history of cancer except non-melanomatous skin cancer, have nodules between 8 and 30mm, and pre-test risk of lung cancer of less than 65%.</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to the test result of High Level, Moderate Level, or NSLAD, each test report includes the patient’s pre-test risk of malignancy as calculated by the Solitary Pulmonary Nodule (“SPN”) Risk Assessment calculator, and their post-test risk of cancer incorporating the result of the test. The SPN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Nodify CDT test has an established average turnaround time of one business day from receipt of the blood sample, providing physicians with timely results to guide diagnostic planning. The Nodify CDT test has been studied in 17 peer-reviewed published studies and presentations.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Nodify XL2 Test</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 history of lung cancer or other recent cancer diagnoses, have nodules between 8 and 30mm, and have a pre-test risk of lung cancer of less than or equal to 50%.</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Nodify XL2 test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lung cancer. The clinical factors are patient age and smoking status, and radiological factors are nodule size, location, and edge characteristics.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addition to the test result of Likely Benign, Reduced Risk, or Indeterminate, each test report includes the patient’s pre-test risk of lung cancer as calculated by the SPN Risk Assessment calculator, and their post-Nodify XL2 risk of malignancy incorporating the result of the test. Incorporating the peptide levels with the risk model provides physicians with a revised assessment of risk incorporating the patient’s biology. The Nodify XL2 test has an established average turnaround time of five business days from receipt of the blood sample, providing physicians with timely results to guide diagnostic planning.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Nodify Lung Risk Assessment Testing</w:t>
      </w:r>
    </w:p>
    <w:p>
      <w:pPr>
        <w:spacing w:after="0" w:line="11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In summary, the inclusion of Nodify Lung Risk Assessment testing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Blood samples for the Nodify XL2 and Nodify CDT tests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83" w:lineRule="exact"/>
        <w:rPr>
          <w:sz w:val="20"/>
          <w:szCs w:val="20"/>
          <w:color w:val="auto"/>
        </w:rPr>
      </w:pPr>
    </w:p>
    <w:p>
      <w:pPr>
        <w:ind w:left="120" w:right="80"/>
        <w:spacing w:after="0" w:line="239" w:lineRule="auto"/>
        <w:rPr>
          <w:sz w:val="20"/>
          <w:szCs w:val="20"/>
          <w:color w:val="auto"/>
        </w:rPr>
      </w:pPr>
      <w:r>
        <w:rPr>
          <w:rFonts w:ascii="Times New Roman" w:cs="Times New Roman" w:eastAsia="Times New Roman" w:hAnsi="Times New Roman"/>
          <w:sz w:val="18"/>
          <w:szCs w:val="18"/>
          <w:color w:val="auto"/>
        </w:rPr>
        <w:t>In addition, on November 14, 2023, the Company announced the validation and launch of a new method of collecting blood specimens for Nodify Lung Nodule Risk Assessment testing. The method uses the FDA-cleared Tasso+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(“NYS-CLEP”) to use the Tasso+ device as a specimen collection method in support of Nodify Lung testing after entering into a supply agreement with Tasso, Inc. The device is now available for clinical use to collect specimens for Nodify Lung testing.</w:t>
      </w:r>
    </w:p>
    <w:p>
      <w:pPr>
        <w:spacing w:after="0" w:line="20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Both tests require a single blood sample shipped at ambient temperature to our certified, high-complexity clinical laboratory in De Soto, Kansas. Nodify CDT testing requires whole blood and Nodify XL2 testing requires a whole blood K2EDTA tube. Results for the Nodify CDT test alone are typically available within one day. If both tests are ordered for the patient and Nodify CDT returns a result of NSLAD, then both test results are typically available within four to five business days. All results are available through secure communication methods, including a portal, fax, hard copy, or mobile device.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Profiling the tumor through blood-based genomic testing can help identify mutations in genes that may be driving growth of the tumor and may be targets for therapeutics. However, tumors also have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GeneStrat ddPCR and GeneStrat NGS tumor profiling tests and the VeriStrat immune profiling test, which can be ordered together or separately for patients with NSCLC. Together, the tests have an established average turnaround time of three business days, providing physicians with timely results to facilitate treatment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147955</wp:posOffset>
            </wp:positionV>
            <wp:extent cx="4894580" cy="2254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9458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GeneStrat ddPCR Test</w:t>
      </w:r>
    </w:p>
    <w:p>
      <w:pPr>
        <w:spacing w:after="0" w:line="11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The GeneStrat test is a blood-based tumor profiling test that detects the guideline recommended, actionable mutations in lung cancer: </w:t>
      </w:r>
      <w:r>
        <w:rPr>
          <w:rFonts w:ascii="Times New Roman" w:cs="Times New Roman" w:eastAsia="Times New Roman" w:hAnsi="Times New Roman"/>
          <w:sz w:val="18"/>
          <w:szCs w:val="18"/>
          <w:i w:val="1"/>
          <w:iCs w:val="1"/>
          <w:color w:val="auto"/>
        </w:rPr>
        <w:t>EGFR, 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BRAF, EML4-ALK, ROS-1,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RET. </w:t>
      </w:r>
      <w:r>
        <w:rPr>
          <w:rFonts w:ascii="Times New Roman" w:cs="Times New Roman" w:eastAsia="Times New Roman" w:hAnsi="Times New Roman"/>
          <w:sz w:val="18"/>
          <w:szCs w:val="18"/>
          <w:color w:val="auto"/>
        </w:rPr>
        <w:t>Physicians can order one or any combination of the gene tests, whichever they deem medically necessary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patient. The presence of a mutation in one of the genes could indicate the patient is a candidate for the associated guideline-recommended targeted therapy. The GeneStrat test performance and potential clinical utility have been published in multiple peer reviewed studies.</w:t>
      </w:r>
    </w:p>
    <w:p>
      <w:pPr>
        <w:spacing w:after="0" w:line="18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GeneStrat test results have an established average turnaround time of two business days from the start of processing the sample in our Louisville,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testing at the institution, 72% of patients had molecular test results available. Testing with the GeneStrat test can help physicians identify driver mutations quickly to help speed up time to treatment.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GeneStrat NGS Test</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multiple published studies.</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GeneStrat NGS test results have an established average turnaround time of three business days from the start of processing the sample in our Louisville, Colorado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568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8604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believe that rapid, blood-based tumor profiling with the GeneStrat ddPCR and GeneStrat NGS tests can be complementary to both targeted tissue-based testing (including PD-L1) and tissue-based broad genomic sequencing. Testing with GeneStrat ddPCR and GeneStrat NGS tests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VeriStrat Test</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VeriStrat test is a blood-based proteomic test that provides a personalized view of each patient’s immune response to their lung cancer. Results help inform physicians whether their patient has a more aggressive cancer and can help with treatment planning. The VeriStrat test profiles the patient’s immune system by measuring eight protein features measured by mass spectrometry and interpreted by a proprietary machine learning-based algorithm to produce either a VeriStrat Good or VeriStrat Poor test result.</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immune response to lung cancer to help guide treatment decisions.</w:t>
      </w:r>
    </w:p>
    <w:p>
      <w:pPr>
        <w:spacing w:after="0" w:line="19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GeneStrat ddPCR testing is performed using digital PCR technology, GeneStrat NGS testing is performed using NGS technology, and the protein features in VeriStrat are measured using MALDI-ToF mass spectrometry. Results have an established average turnaround time of three business days through secure communication methods, including a portal, fax, hard copy, or mobile device.</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GeneStrat ddPCR and GeneStrat NGS tests require cell-free (“cf”) whole blood specimen collection tubes, and VeriStrat requires a whole blood sample spotted onto our proprietary BCD. Both sample types are shipped at ambient temperature and testing is performed in our certified, high-complexity clinical laboratory in Louisville, Colorado.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Diagnostic Discovery, Development and Testing Services Business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believe our leadership in clinical proteomics and our multi-omic approach to probe the cancer disease state provides our customers with a clear and distinct advantage over other diagnostic service providers who solely focus on either genomics or proteomics. We recognize each clinical development program is complex, which is why we offer end-to-end diagnostic solutions, including: initial biomarker discovery, assay design and validation, testing of clinical trial samples, and commercialization of Companion Diagnostics.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our core, we hold the belief that no single technology can address all diagnostic research questions. We have embraced a multi-omic approach, harnessing the combined power of genomics and proteomics and with our broad technology and service offerings, we are able to provide the depth and breadth of biomarker tools and diagnostic services required by our biopharmaceutical partners. Our capabilities and expertise allow us to unlock the potential detection of critical disease drivers and resistance mutations, early disease detection, monitoring of treatment responses and resistance, deeper insights into the underlying biology of disease, and the tracking of protein changes and degradation for a comprehensive view of treatment response. We specialize in developing state-of-the-art diagnostics solutions that play a crucial role in personalizing treatment decisions. Our team of scientists are dedicated to creating innovative and reliable diagnostic tools that can contribute to the success of drug development and patient care. Key aspects of our expertise include:</w:t>
      </w:r>
    </w:p>
    <w:p>
      <w:pPr>
        <w:spacing w:after="0" w:line="93" w:lineRule="exact"/>
        <w:rPr>
          <w:sz w:val="20"/>
          <w:szCs w:val="20"/>
          <w:color w:val="auto"/>
        </w:rPr>
      </w:pPr>
    </w:p>
    <w:p>
      <w:pPr>
        <w:ind w:left="1080" w:right="360" w:hanging="424"/>
        <w:spacing w:after="0" w:line="28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Customized CDx Development: </w:t>
      </w:r>
      <w:r>
        <w:rPr>
          <w:rFonts w:ascii="Times New Roman" w:cs="Times New Roman" w:eastAsia="Times New Roman" w:hAnsi="Times New Roman"/>
          <w:sz w:val="18"/>
          <w:szCs w:val="18"/>
          <w:color w:val="auto"/>
        </w:rPr>
        <w:t>We have a proven track record of developing custom-made diagnostic assays to support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of any given drug development program.</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080" w:right="100" w:hanging="424"/>
        <w:spacing w:after="0" w:line="26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Cutting-Edge Technology: </w:t>
      </w:r>
      <w:r>
        <w:rPr>
          <w:rFonts w:ascii="Times New Roman" w:cs="Times New Roman" w:eastAsia="Times New Roman" w:hAnsi="Times New Roman"/>
          <w:sz w:val="18"/>
          <w:szCs w:val="18"/>
          <w:color w:val="auto"/>
        </w:rPr>
        <w:t>We have expertise in genomics (ddPCR and NGS) and proteomics (LC-MS/MS and ELISA). Our diagnostics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based on the latest advancements in technology, ensuring accuracy, sensitivity, and reproducibility. We have expertise in liquid biopsy and tissue-based assays.</w:t>
      </w:r>
    </w:p>
    <w:p>
      <w:pPr>
        <w:spacing w:after="0" w:line="76" w:lineRule="exact"/>
        <w:rPr>
          <w:rFonts w:ascii="Times New Roman" w:cs="Times New Roman" w:eastAsia="Times New Roman" w:hAnsi="Times New Roman"/>
          <w:sz w:val="18"/>
          <w:szCs w:val="18"/>
          <w:color w:val="auto"/>
        </w:rPr>
      </w:pPr>
    </w:p>
    <w:p>
      <w:pPr>
        <w:ind w:left="1080" w:right="200" w:hanging="424"/>
        <w:spacing w:after="0" w:line="25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Compliance: </w:t>
      </w:r>
      <w:r>
        <w:rPr>
          <w:rFonts w:ascii="Times New Roman" w:cs="Times New Roman" w:eastAsia="Times New Roman" w:hAnsi="Times New Roman"/>
          <w:sz w:val="18"/>
          <w:szCs w:val="18"/>
          <w:color w:val="auto"/>
        </w:rPr>
        <w:t>We have a deep understanding of the regulatory landscape and work closely with regulatory authorities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that our diagnostics meet all necessary compliance standards. Additionally, we have a phase gated product development process pursuant to the FDA and In Vitro Medical Devices Regulation’s (“IVDR”) design control elements. Our quality management system (“QMS”) infrastructure is highly certified in local, US governmental and international standards and regulations and scalable to support global expansion as evidenced by multiple CE marked products under the IVDR and international registrations and commercial markets. The Biodesix QMS is currently under the purview of CLIA, CAP, NYS-CLEP, and ISO13485.</w:t>
      </w:r>
    </w:p>
    <w:p>
      <w:pPr>
        <w:spacing w:after="0" w:line="87"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We believe in fostering a collaborative and transparent relationship with our partners, working hand-in-hand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 shared objectives and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129540</wp:posOffset>
            </wp:positionV>
            <wp:extent cx="5023485" cy="2160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2348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We have the ability to access and leverage our sample and data biobank for our partners’ data mining needs, including new test discovery. Additionally, we can leverage our FDA approved, Good Manufacturing Practices conforming manufacturing facility to design, build and supply clinical trial sites with sample collection kits.</w:t>
      </w:r>
    </w:p>
    <w:p>
      <w:pPr>
        <w:spacing w:after="0" w:line="187"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continues to be powered through these biomarker analyses. Additionally, our anonymized sample and data biobank continue to grow and can be further leveraged for internal test development and external partnering. Importantly, we look to supplement our product development efforts with companion diagnostics as they are developed.</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To date, we have over 65 biopharmaceutical customers and academic partners who have utilized our diagnostic tests and services. The following are a few case studies of early-stage biomarker discovery and development with our biopharmaceutical customers.</w:t>
      </w:r>
    </w:p>
    <w:p>
      <w:pPr>
        <w:spacing w:after="0" w:line="63" w:lineRule="exact"/>
        <w:rPr>
          <w:sz w:val="20"/>
          <w:szCs w:val="20"/>
          <w:color w:val="auto"/>
        </w:rPr>
      </w:pPr>
    </w:p>
    <w:p>
      <w:pPr>
        <w:ind w:left="1080" w:right="20" w:hanging="424"/>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AstraZeneca: </w:t>
      </w:r>
      <w:r>
        <w:rPr>
          <w:rFonts w:ascii="Times New Roman" w:cs="Times New Roman" w:eastAsia="Times New Roman" w:hAnsi="Times New Roman"/>
          <w:sz w:val="18"/>
          <w:szCs w:val="18"/>
          <w:color w:val="auto"/>
        </w:rPr>
        <w:t>We provided services to AstraZeneca to retrospectively analyze samples from the FLAURA clinical trial (NCT02296125).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three months (median) in advance of standard imaging. We have used our ddPCR assay to monitor EGFR sensitizing and resistance mutations in clinical trial samples from seven different clinical trials for Tagrisso.</w:t>
      </w:r>
    </w:p>
    <w:p>
      <w:pPr>
        <w:spacing w:after="0" w:line="8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Genentech: </w:t>
      </w:r>
      <w:r>
        <w:rPr>
          <w:rFonts w:ascii="Times New Roman" w:cs="Times New Roman" w:eastAsia="Times New Roman" w:hAnsi="Times New Roman"/>
          <w:sz w:val="18"/>
          <w:szCs w:val="18"/>
          <w:color w:val="auto"/>
        </w:rPr>
        <w:t>We partnered with Genentech to discover a novel proteomic classifier for advanced NSCLC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atezolizumab. 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We published additional work on the Genentech classifier with three posters presented at the Society of Immunotherapy Conference. This data reinforces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93"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HiberCell: </w:t>
      </w:r>
      <w:r>
        <w:rPr>
          <w:rFonts w:ascii="Times New Roman" w:cs="Times New Roman" w:eastAsia="Times New Roman" w:hAnsi="Times New Roman"/>
          <w:sz w:val="18"/>
          <w:szCs w:val="18"/>
          <w:color w:val="auto"/>
        </w:rPr>
        <w:t>In January 2021, we announced a broad collaboration with HiberCell for CDx discovery, development and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initially focuses on the further development of an ELISA as a CDx in future registrational trials for Imprime PGG programs.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27" w:lineRule="exact"/>
        <w:rPr>
          <w:sz w:val="20"/>
          <w:szCs w:val="20"/>
          <w:color w:val="auto"/>
        </w:rPr>
      </w:pPr>
    </w:p>
    <w:p>
      <w:pPr>
        <w:ind w:left="1080" w:right="160" w:hanging="424"/>
        <w:spacing w:after="0" w:line="259"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extensively validated deep learning platform, which is tailored to discover diagnostic tests that address clinical unmet needs. </w:t>
      </w:r>
      <w:r>
        <w:rPr>
          <w:rFonts w:ascii="Times New Roman" w:cs="Times New Roman" w:eastAsia="Times New Roman" w:hAnsi="Times New Roman"/>
          <w:sz w:val="18"/>
          <w:szCs w:val="18"/>
          <w:color w:val="auto"/>
        </w:rPr>
        <w:t>Our platform is an extensively validated deep learning platform optimized for discovery of diagnostic tests. By combining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multi-omic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driven approach to precision medicine combined with our diverse technology platforms, partnership and biobank enable us to accelerate development of new tests. </w:t>
      </w:r>
      <w:r>
        <w:rPr>
          <w:rFonts w:ascii="Times New Roman" w:cs="Times New Roman" w:eastAsia="Times New Roman" w:hAnsi="Times New Roman"/>
          <w:sz w:val="18"/>
          <w:szCs w:val="18"/>
          <w:color w:val="auto"/>
        </w:rPr>
        <w:t>We have a variety of samples with associated data in our biobank, including tumor profiles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profiles, which are used for both internal and external research and development initiatives. Our biobank, clinical trials, commercial testing and other partnerships provide an ongoing source of new data that can further enhance our test discovery platform. We are continuously identifying and incorporating new market insights and input from our customers, key opinion leaders, and scientific experts to leverage this data in developing our diagnostic tests.</w:t>
      </w:r>
    </w:p>
    <w:p>
      <w:pPr>
        <w:spacing w:after="0" w:line="87"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leadership in clinical proteomics, demonstrated research, development, and scientific expertise, combined with our intellectual property portfolio. </w:t>
      </w:r>
      <w:r>
        <w:rPr>
          <w:rFonts w:ascii="Times New Roman" w:cs="Times New Roman" w:eastAsia="Times New Roman" w:hAnsi="Times New Roman"/>
          <w:sz w:val="18"/>
          <w:szCs w:val="18"/>
          <w:color w:val="auto"/>
        </w:rPr>
        <w:t>Our leadership in clinical proteomics and our multi-omic approach, we believe provides us with a distinct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our competitors, who focus on any single technology, such as genomics or proteomics. Our certified, high-complexity laboratories offer significant advantages in development of commercial tests.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160" w:hanging="424"/>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technologies and processes are protected by a portfolio of approximately 116 issued patents in the United States and internationally, and 18 uniquely registered United States trademarks. </w:t>
      </w:r>
      <w:r>
        <w:rPr>
          <w:rFonts w:ascii="Times New Roman" w:cs="Times New Roman" w:eastAsia="Times New Roman" w:hAnsi="Times New Roman"/>
          <w:sz w:val="18"/>
          <w:szCs w:val="18"/>
          <w:color w:val="auto"/>
        </w:rPr>
        <w:t>We take efforts to protect our proprietary position using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demonstrated success commercializing diagnostic tests in lung disease as well as unprecedented turnaround times. </w:t>
      </w:r>
      <w:r>
        <w:rPr>
          <w:rFonts w:ascii="Times New Roman" w:cs="Times New Roman" w:eastAsia="Times New Roman" w:hAnsi="Times New Roman"/>
          <w:sz w:val="18"/>
          <w:szCs w:val="18"/>
          <w:color w:val="auto"/>
        </w:rPr>
        <w:t>With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diagnostic tests launched and multiple improvements and several tests currently in 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For example, the blood-based IQLung strategy for lung cancer patients integrates the GeneStrat ddPCR test, the GeneStrat NGS test and the VeriStrat test to support treatment decisions across all stages of lung cancer with results in an unprecedented two to three business days, expediting time to treatment.</w:t>
      </w:r>
    </w:p>
    <w:p>
      <w:pPr>
        <w:spacing w:after="0" w:line="88"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depth and breadth of point of care access to physicians allows us to drive adoption of our diagnostic tests while incorporating real-life feedback to inform new product development. </w:t>
      </w:r>
      <w:r>
        <w:rPr>
          <w:rFonts w:ascii="Times New Roman" w:cs="Times New Roman" w:eastAsia="Times New Roman" w:hAnsi="Times New Roman"/>
          <w:sz w:val="18"/>
          <w:szCs w:val="18"/>
          <w:color w:val="auto"/>
        </w:rPr>
        <w:t>Our commercial team’s primary focus is to articulate the scientific and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84"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Times New Roman" w:cs="Times New Roman" w:eastAsia="Times New Roman" w:hAnsi="Times New Roman"/>
          <w:sz w:val="18"/>
          <w:szCs w:val="18"/>
          <w:color w:val="auto"/>
        </w:rPr>
        <w:t>We believe our commitment to commercial excellence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helps 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3"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Drive increased awareness, adoption, and reimbursement coverage of our diagnostic tests by:</w:t>
      </w:r>
    </w:p>
    <w:p>
      <w:pPr>
        <w:spacing w:after="0" w:line="134" w:lineRule="exact"/>
        <w:rPr>
          <w:rFonts w:ascii="Times New Roman" w:cs="Times New Roman" w:eastAsia="Times New Roman" w:hAnsi="Times New Roman"/>
          <w:sz w:val="18"/>
          <w:szCs w:val="18"/>
          <w:b w:val="1"/>
          <w:bCs w:val="1"/>
          <w:color w:val="auto"/>
        </w:rPr>
      </w:pPr>
    </w:p>
    <w:p>
      <w:pPr>
        <w:ind w:left="1540" w:right="360" w:hanging="331"/>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67" w:lineRule="exact"/>
        <w:rPr>
          <w:rFonts w:ascii="Times New Roman" w:cs="Times New Roman" w:eastAsia="Times New Roman" w:hAnsi="Times New Roman"/>
          <w:sz w:val="18"/>
          <w:szCs w:val="18"/>
          <w:color w:val="auto"/>
        </w:rPr>
      </w:pPr>
    </w:p>
    <w:p>
      <w:pPr>
        <w:ind w:left="1540" w:hanging="331"/>
        <w:spacing w:after="0" w:line="312" w:lineRule="auto"/>
        <w:tabs>
          <w:tab w:leader="none" w:pos="15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our pulmonology focused sales force and commercial reach with targeted awareness campaigns to employ highly targeted sales and marketing tactics in pulmonology clinics specializing in the management of lung nodules and the diagnosis of lung cancer;</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the expansion of our sales force and commercial support team;</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our testing services into diagnostic pathways and protocols via a top-down strategy that introduces our diagnostic tests to the largest United States health systems;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clinical data to gain broad coverage from public and private payers for our tests.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Deepen our relationships with current biopharmaceutical customers and establish new customer opportunities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our complete offering of tests and services to biopharmaceutical companies in the United States and internationally;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projects and relationships to expand sales with our current biopharmaceutical customers; and</w:t>
      </w:r>
    </w:p>
    <w:p>
      <w:pPr>
        <w:spacing w:after="0" w:line="130"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companies developing novel CDx strategies and drug development projects best suited to our platform for new test discovery, development and commercialization.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demonstrate the clinical utility and health economic benefits of our diagnostic tests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commercial clinical testing, research studies and clinical trials to further demonstrate the clinical utility of our tests;</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rapid, actionable, and holistic diagnostic information to help inform physicians on the next steps in a patient’s care plan;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timely and actionable clinical information to help improve overall patient outcomes and lower the overall healthcare cost.</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Introduce new diagnostic tests in lung disease by:</w:t>
      </w:r>
    </w:p>
    <w:p>
      <w:pPr>
        <w:spacing w:after="0" w:line="134" w:lineRule="exact"/>
        <w:rPr>
          <w:rFonts w:ascii="Times New Roman" w:cs="Times New Roman" w:eastAsia="Times New Roman" w:hAnsi="Times New Roman"/>
          <w:sz w:val="18"/>
          <w:szCs w:val="18"/>
          <w:b w:val="1"/>
          <w:bCs w:val="1"/>
          <w:color w:val="auto"/>
        </w:rPr>
      </w:pPr>
    </w:p>
    <w:p>
      <w:pPr>
        <w:ind w:left="1540" w:right="48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customers, key opinion leaders, leading academic centers, and scientific experts to stay ahead of the rapidly evolving diagnostic and therapeutic landscape and to identify additional clinical unmet needs;</w:t>
      </w:r>
    </w:p>
    <w:p>
      <w:pPr>
        <w:spacing w:after="0" w:line="67"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with biopharmaceutical companies, academic research organizations, technology providers, and other diagnostic companies;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CDx tests to support the therapeutics’ regulatory approval and adoption process for our biopharmaceutical customers.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Enhance our proprietary AI platform and expand our technology portfolio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research and development capabilities to foster innovation in test discovery and development;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acquiring technologies, and integrating new data types into our proprietary AI platform;</w:t>
      </w:r>
    </w:p>
    <w:p>
      <w:pPr>
        <w:spacing w:after="0" w:line="130"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across our commercial product portfolio and product development efforts in order to further our development capabilities, accelerate launch of commercial products, or expand our service offering; and</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“Explainable AI” by developing and incorporating computational tools that determine how the Diagnostic Cortex platform makes decisions for patient classification and outcome prediction.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 to expand and leverage our biobank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the robustness of our samples and the data set, including through our collaborations and partnerships;</w:t>
      </w:r>
    </w:p>
    <w:p>
      <w:pPr>
        <w:spacing w:after="0" w:line="130"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commercial opportunities with companies and researchers who are interested in utilizing our biobank for their own discovery and development efforts;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monetizing these commercial opportunities.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Diagnostic Tests in Development</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With the goal of finding solutions for clinical unmet needs related to diagnosis, treatment and monitoring in lung disease, our diagnostic tests in development include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Early-Stage NSCLC-Risk of Recurrence (“ROR”)</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Currently, surgical resection of the tumor without systemic or radiation therapy is the standard of care for stage I NSCLC patients. However, 20 to 40% of surgically treated patients will suffer a recurrence within five years after surgery. From market research with pulmonologists, thoracic surgeons, and medical oncologists, we identified a significant clinical unmet need for a blood-based test to help identify stage I NSCLC patients who are at a higher risk of recurrence and may benefit from a more aggressive surgical procedure, or from neoadjuvant or adjuvant systemic treatment. Based on this unmet diagnostic need, we discovered the ROR test, which is a pre-surgery blood-based proteomic test, designed with the Diagnostic Cortex platform to predict whether a stage I NSCLC patient has a higher risk of recurrence post-surgical resection. Knowing this information early and before surgery may change the surgical plan and/or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Late-Stage NSCLC—Immunotherapy Treatment Guidance</w:t>
      </w:r>
    </w:p>
    <w:p>
      <w:pPr>
        <w:spacing w:after="0" w:line="119"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w:t>
      </w:r>
    </w:p>
    <w:p>
      <w:pPr>
        <w:spacing w:after="0" w:line="15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potential to mount an immune response to their cancer and predict those patients likely to respond to ICI monotherapy treatment, ICI + chemotherapy combination treatment, or who would be highly resistant to ICI therapy. Our PIR test has been validated in multiple independent sample sets for advanced stage NSCLC patients treated with single agent ICI, and we are currently working with major academic institutions across the United States to further validate the test.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Monitoring—Progression &amp; Resistance</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ddPCR test as an example in all three of these indications. The test can identify disease progression up to three months (median) in advance of standard imaging. Using ddPCR for longitudinal blood-based monitoring of EGFR cell-free DNA mutations is a cost-effective testing method while patients are being treated with targeted therapies. Additional utility for ddPCR may exist in early stage MRD given the sensitivity of this technology.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three of which are ongoing, and have published over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300 peer-reviewed publications and presentations. The following are our ongoing clinical studies for our diagnostic testing solutions.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ORACLE Registry Study (NCT03766958)</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ORACLE registry study was designed to develop real-world clinical utility data for the Nodify XL2 test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Study enrollment was closed on May 12, 2022, with 494 prospective registry patients enrolled and 348 retrospective chart review patients accrued. As of February 1, 2024 all ORACLE participants have completed the study, site closeout visits are being conducted on the last three open sites and the study will be officially closed by the March 31, 2024.</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July 12, 2023, we announced the prospective, real-world ORACLE study (An Observational Registry Study to Evaluate the Performance of the Nodify XL2 Test) achieved the primary endpoint of a statistically significant change in the proportion of benign lung nodules managed by the Nodify XL2 test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ALTITUDE Clinical Utility Study (NCT04171492)</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ALTITUDE clinical utility study is designed to evaluate the performance of Nodify Lung testing (Nodify XL2 and Nodify CDT tests) in a randomized controlled study (“RCT”). The study is titled “A Multicenter, Randomized Controlled Trial, Prospectively Evaluating the Clinical Utility of the Nodify XL2 Proteomic Test in Incidentally Discovered Low to Moderate Risk Lung Nodules”. We received central institutional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the Nodify XL2 test. The study launched in December of 2020. Phase 1 of the study with only the Nodify XL2 test is expected to enroll 500 patients. Phase 2 of the adaptive study design will include an open-label arm for the Nodify CDT test, which is aligned with our commercial testing algorithm.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INSIGHT Observational Study (NCT03289780)</w:t>
      </w:r>
    </w:p>
    <w:p>
      <w:pPr>
        <w:spacing w:after="0" w:line="11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INSIGHT observational study is designed to evaluate the real-world clinical utility and performance of the IQLung (GeneStrat ddPCR, GeneStrat NGS and VeriStrat tests) testing strategy. The title is “Observational Study Assessing the Clinical Effectiveness of VeriStrat and Validating Immunotherapy Tests in Subjects with Non-Small Cell Lung Cancer (INSIGHT)” and the first patient enrolled on May 11, 2016. On June 27, 2023, we completed enrollment of 5,000 patients with non-small cell lung cancer. Final analysis with 3-year follow-up is estimated to be completed by 2026. Results of an interim analysis were presented most recently at the World Conference on Lung Cancer 2023. Additionally, data on the first 2,000 patients with 1-year follow-up data was published in the Journal for ImmunoTherapy of Cancer in September 2021. The study rationale is to guide the adoption of the VeriStrat test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Patients with pulmonary nodules are concentrated in the pulmonology sub-specialty, where additional resources such as lung cancer screening and nodule management clinics may exist to provide an increased level of care. We are also engaging large hospital systems in a “top-down” approach, with a goal of incorporating our tests into system-wide pathways and protocols.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After a physician orders our tests, blood is collected either in the physician office or laboratory, third-party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76" w:lineRule="exact"/>
        <w:rPr>
          <w:sz w:val="20"/>
          <w:szCs w:val="20"/>
          <w:color w:val="auto"/>
        </w:rPr>
      </w:pPr>
    </w:p>
    <w:p>
      <w:pPr>
        <w:ind w:left="120" w:right="60"/>
        <w:spacing w:after="0" w:line="239" w:lineRule="auto"/>
        <w:rPr>
          <w:sz w:val="20"/>
          <w:szCs w:val="20"/>
          <w:color w:val="auto"/>
        </w:rPr>
      </w:pPr>
      <w:r>
        <w:rPr>
          <w:rFonts w:ascii="Times New Roman" w:cs="Times New Roman" w:eastAsia="Times New Roman" w:hAnsi="Times New Roman"/>
          <w:sz w:val="18"/>
          <w:szCs w:val="18"/>
          <w:color w:val="auto"/>
        </w:rPr>
        <w:t>In addition, on November 14, 2023, the Company announced the validation and launch of a new method of collecting blood specimens for Nodify Lung Nodule Risk Assessment testing. The method uses the FDA-cleared Tasso+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to use the Tasso+ device as a specimen collection method in support of Nodify Lung testing after entering into a supply agreement with Tasso, Inc. The device is now available for clinical use to collect specimens for Nodify Lung testing.</w:t>
      </w:r>
    </w:p>
    <w:p>
      <w:pPr>
        <w:spacing w:after="0" w:line="20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Section 1862(a)(1)(A) of the Social Security Act (“SSA”). For single-source laboratory tests, this determination is typically made by the Medicare Administrative Contractor (“MAC”) with jurisdiction over the laboratory where the test is performed. Our Louisville, Colorado laboratory is currently under the jurisdiction of Novitas Solutions, Inc. Our De Soto, Kansas laboratory is under the jurisdiction of Wisconsin Physicians Service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Insurance Corporation (“WPS”), which participates in the MolDX program (administered by another MAC, Palmetto GBA) to set coverage policy for molecular diagnostic tests.</w:t>
      </w:r>
    </w:p>
    <w:p>
      <w:pPr>
        <w:spacing w:after="0" w:line="162" w:lineRule="exact"/>
        <w:rPr>
          <w:sz w:val="20"/>
          <w:szCs w:val="20"/>
          <w:color w:val="auto"/>
        </w:rPr>
      </w:pPr>
    </w:p>
    <w:p>
      <w:pPr>
        <w:ind w:left="120" w:right="420"/>
        <w:spacing w:after="0" w:line="289" w:lineRule="auto"/>
        <w:rPr>
          <w:sz w:val="20"/>
          <w:szCs w:val="20"/>
          <w:color w:val="auto"/>
        </w:rPr>
      </w:pPr>
      <w:r>
        <w:rPr>
          <w:rFonts w:ascii="Times New Roman" w:cs="Times New Roman" w:eastAsia="Times New Roman" w:hAnsi="Times New Roman"/>
          <w:sz w:val="17"/>
          <w:szCs w:val="17"/>
          <w:color w:val="auto"/>
        </w:rPr>
        <w:t>Medicare pays for clinical diagnostic laboratory tests (“CDLTs”), on the Clinical Laboratory Fee Schedule (“CLFS”). Section 216(a) of the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15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July 6, 2023, the Company announced that the CMS has designated the Nodify CDT Test as an ADLT effective June 30, 2023. Obtaining ADLT status is a recognition that the Nodify CDT test meets the stringent criteria established under the Protecting Access to Medicare Act of 2014. ADLT status is reserved for innovative tests with Medicare coverage that are offered and furnished by a single laboratory and provide new clinical diagnostic information that cannot be obtained from any other test or combination of tests. The Nodify XL2 test was previously awarded ADLT status on May 17, 2019.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Compliance with applicable laws and regulations, as well as internal compliance policies and procedures adds complexity to the billing process.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CPT codes, as defined by the AMA. For some of the tests we conduct, there may not be a specific CPT or HCPCS code, in which case the test may be billed under a miscellaneous code for an unlisted molecular pathology procedure or unlisted multiple anolyte test with algorithmic analysis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Monitoring—NSCLC</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or following treatment for recurrence or progression of lung cancer.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Diagnostic Discovery, Development &amp; Testing Services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Laboratory Operations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Throughout 2023, we performed the VeriStrat, GeneStrat ddPCR, and GeneStrat NGS tests in our Boulder, Colorado high-complexity CLIA certified clinical laboratory. The laboratory was College of American Pathology (“CAP”) accredited, New York State Department of Health (“NYSDOH”)-permitted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were performed in the Boulder, Colorado facility. The proprietary testing methods use semi-automated workflows that facilitate the successful delivery of greater than 90% of our tests within three days, and we believe our existing workflows will continue to successfully deliver our tests within this timeframe.</w:t>
      </w:r>
    </w:p>
    <w:p>
      <w:pPr>
        <w:spacing w:after="0" w:line="18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January 2024, we relocated our Boulder, Colorado clinical laboratory to Louisville, Colorado. Throughout this transition, we have ensured the maintenance and updating of all relevant certifications and licenses to accurately reflect our new location, guaranteeing our commitment to upholding the highest standards of quality and compliance. As a result, our laboratory operations continued seamlessly without delaying testing.</w:t>
      </w:r>
    </w:p>
    <w:p>
      <w:pPr>
        <w:spacing w:after="0" w:line="176"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The Nodify XL2 and Nodify CDT tests are performed in our De Soto, Kansas high-complexity CLIA certified clinical laboratory. This clinical laboratory is also CAP-accredited, NYSDOH-permitted and licensed, ISO 13485:2016 Quality Management Systems-Requirements for Regulatory Purposes for Medical Devices certified and licensed by California, Maryland, Pennsylvania, and Rhode Island. Receipt of requisitions and testing is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performed in our De Soto, Kansas clinical laboratory. Delivery of the test results is performed by personnel from our Louisville, Colorado headquarters. The proprietary testing methods use semi-automated workflows that facilitate the successful delivery of greater than 90% of our tests within five days, and we believe our existing workflows will continue to successfully deliver our tests within this timeframe.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Personnel in both facilities are responsible for quality assurance oversight, licensing, and regulation compliance and maintenance to ensure data integrity and consistent, validated processes.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Oncimmune is also the sole source supplier for our Nodify CDT tests but there are known secondary suppliers for these materials.</w:t>
      </w:r>
    </w:p>
    <w:p>
      <w:pPr>
        <w:spacing w:after="0" w:line="176"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could be validated.</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All materials for our VeriStrat test and Nodify XL2 test have alternative suppliers readily available, and a disruption in any single supplier would not materially impact our ability to deliver the test.</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have initiated the second source qualification process for the majority of these critical components, however, we may not be successful in securing second sourcing for all of them at all or on a timely basis. A disruption to this supply would negatively impact our ability to perform these tests until an alternative supplier could be validated.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89" w:lineRule="exact"/>
        <w:rPr>
          <w:sz w:val="20"/>
          <w:szCs w:val="20"/>
          <w:color w:val="auto"/>
        </w:rPr>
      </w:pPr>
    </w:p>
    <w:p>
      <w:pPr>
        <w:ind w:left="120" w:right="60"/>
        <w:spacing w:after="0" w:line="227" w:lineRule="auto"/>
        <w:rPr>
          <w:sz w:val="20"/>
          <w:szCs w:val="20"/>
          <w:color w:val="auto"/>
        </w:rPr>
      </w:pPr>
      <w:r>
        <w:rPr>
          <w:rFonts w:ascii="Times New Roman" w:cs="Times New Roman" w:eastAsia="Times New Roman" w:hAnsi="Times New Roman"/>
          <w:sz w:val="18"/>
          <w:szCs w:val="18"/>
          <w:color w:val="auto"/>
        </w:rPr>
        <w:t>We have invested heavily in the protection of our key assets, namely the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GeneStrat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and we acquired a patent portfolio relating to the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in our acquisitions of Indi in June 2018, and of Oncimmune USA in October 2019 from Oncimmune Limited.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developed by Bio-Rad and which we employ in our GeneStrat test.</w:t>
      </w:r>
    </w:p>
    <w:p>
      <w:pPr>
        <w:spacing w:after="0" w:line="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patent strategy has focused on creating and acquiring protection for our VeriStrat and Nodify XL2 proteomic tests, while utilizing trade secret and some methods patent protection for our genomic test (the GeneStrat ddPCR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8"/>
          <w:szCs w:val="18"/>
          <w:color w:val="auto"/>
        </w:rPr>
        <w:t>and GeneStrat 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 platform and our approaches to using MALDI-ToF technology (DeepMALDI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techniques). Additionally, our first device patent was issued in 2019 for our internally designed blood collection device.</w:t>
      </w:r>
    </w:p>
    <w:p>
      <w:pPr>
        <w:spacing w:after="0" w:line="198"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of December 31, 2023, our patent portfolio includes 52 issued United States patents, 64 issued foreign patents, and 33 pending applications (including 19 foreign patent applications). With regard to our product development efforts, new applications have been filed around developments relating to COVID/micro-organisms diagnostics, new analytic methodologies using Shapley values and semi-quantitative spectra analysis in MALDI, and national stage applications are now in active prosecution to protect our pipeline ROR and PIR tests.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patent portfolio can be broken down into five major categories:</w:t>
      </w:r>
    </w:p>
    <w:p>
      <w:pPr>
        <w:spacing w:after="0" w:line="131"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the VeriStrat and Nodify tests and uses of these tests;</w:t>
      </w:r>
    </w:p>
    <w:p>
      <w:pPr>
        <w:spacing w:after="0" w:line="130"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methods for developing classifiers, including using the Diagnostic Cortex and DeepMALDI technologies;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currently in development;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our novel blood collection device;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developed for our third-party partners.</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3"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We currently have three pending Patent Cooperation Treaty (“PCT”) applications.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80"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8"/>
          <w:szCs w:val="18"/>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 name (Biodesix), the names of five of our commercial tests (namely the VeriStrat, GeneStrat ddPCR, GeneStrat NGS, Nodify XL2 and Nodify CDT tests), and a suite of research tests (ImmunoStrat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as well as having trademark protection for our core development and methodological platforms, such as our Diagnostic Cortex and DeepMALDI technologies. In all, as of December 31, 2023, we have 18 uniquely registered United States trademarks, 8 of which (including Biodesix, VeriStrat, and GeneStrat) have received foreign issuances as well, with four trademarks pending approval from the USPTO. We will continue to pursue protection in the United States and abroad for our branded assets and will continue to use branding to protect products currently in development, key Biodesix developments and non-trade secret methodologies.</w:t>
      </w:r>
    </w:p>
    <w:p>
      <w:pPr>
        <w:spacing w:after="0" w:line="20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9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trade secrets and other confidential information by maintaining physical security of our premises and physical and electronic security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Clinical laboratory tests like our diagnostic tests are regulated under CLIA and state law. The FDA regulates medical devices pursuant to the FDCA, including many diagnostic test kits, such as in vitro diagnostic tests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IVDs that are intended for clinical use and developed, validated, and offered within a single laboratory for use only in that laboratory.</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162"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cannot predict the likelihood that Congress will pass legislation or the extent to which such legislation may affect the FDA’s plans to regulate certain LDTs as medical devices or pursuant to a new framework. It is also unclear at this time whether the FDA will finalize its plans to end enforcement discretion in the absence of legislation, via notice and comment rulemaking or otherwise. Until legislation is passed reforming the federal government’s regulation of LDTs or until the FDA finalizes its proposed rulemaking to end enforcement discretion, it is unknown how the FDA may regulate our tests in the future and what testing and data may be required to support any required clearance or approval. Even if a new framework is not established via legislative or administrative action, the FDA may attempt to regulate and enforce against certain LDTs on a case-by-case basis at any time.</w:t>
      </w:r>
    </w:p>
    <w:p>
      <w:pPr>
        <w:spacing w:after="0" w:line="17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September 29, 2023, FDA announced a proposed rule to amend its regulations to explicitly regulate LDTs as IVD tests in accordance with the agency’s regulatory authority over medical devices and to phase out its enforcement discretion policy for LDTs. If this rule is finalized, our tests that are currently offered as LDTs would become subject to statutory and regulatory provisions that are applicable to medical devices, including but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not limited to, medical device reporting and correction and removal reporting requirements, quality systems regulations, registration and listing requirements, and premarket review requirements.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the FDA finalizes its proposed rule and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we are monitoring developments and anticipate that our products will be able to comply with requirements that may be imposed by the FDA. In the meantime, we maintain our CLIA accreditation, which permits the use of LDTs for diagnostics purposes.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and State Laboratory Licensing Requirements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Biodesix Boulder, Colorado clinical laboratory was a CAP-accredited clinical laboratory regulated by CMS pursuant to CLIA. CMS has granted CAP deeming authority under CLIA, which allows CAP to inspect laboratories in lieu of CMS. In addition to holding a CLIA Certificate and CAP laboratory accreditation, Biodesix’s QMS holds an ISO 13485:2016 certificate (successfully passed surveillance audit in March 2023). The Biodesix Boulder, Colorado clinical laboratory received approval from the NYSDOH, NYS CLEP in Soluble Tumor Markers, and Molecular and Cellular Tumor Markers and Virology as well as held state permits and licenses in California, Maryland, New York, Pennsylvania, and Rhode Island.</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was inspected biennially as part of its ongoing certification under CLIA certificate of accreditation by CAP. The Boulder, Colorado clinical laboratory most recently passed its CAP inspection in February April 2023. In January 2024, we relocated our Boulder, Colorado clinical laboratory to Louisville, Colorado. All certifications and licenses have been successfully updated to accurately reflect our new location. All laboratory operations continued seamlessly without delaying testing.</w:t>
      </w:r>
    </w:p>
    <w:p>
      <w:pPr>
        <w:spacing w:after="0" w:line="187"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Biodesix De Soto, Kansas clinical laboratory is a CAP-accredited clinical laboratory regulated by CMS pursuant to CLIA. CMS has granted CAP deeming authority under CLIA, which allows CAP to inspect laboratories in lieu of CMS. In addition to holding a CLIA Certificate and CAP laboratory accreditation, the De Soto, Kansas clinical laboratory passed its CAP inspection in May 2023. Biodesix’s QMS holds an ISO 13485:2016 certificate (recently passed surveillance audit in January 2024). The De Soto, Kansas clinical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laboratory has received approval from the NYSDOH, NYS CLEP in Soluble Tumor Markers and Diagnostic Immunology as well as holding state permits and licenses in California, Maryland, New York, Pennsylvania, and Rhode Island.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ISO is an independent, non-governmental international organization that defines world-class specifications for products, services and systems,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ensure quality, safety and efficiency. ISO 13485:2016 is a harmonized, international regulatory benchmark for quality management systems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addresses most or all of the QMS requirements in markets including the United States, European Union, Australia, Japan and Canada. The ISO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13485:2016 certificate confirms that an organization operates a QMS that conforms to the standards established by ISO. On January 31, 2024, the FDA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 final rule to harmonize and modernize its Quality System Regulation (“QSR”), which would supplant the existing requirements with ISO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13485:2016. The rule amends the current good manufacturing practice requirements of the QSR in 21 CFR 820. The QMSR rule emphasizes risk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activities and risk-based decision making and aims to reduce regulatory burdens on device manufacturers and importers by harmonizing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domestic and international requirements. Device manufacturers and importers will have two years to modify their quality systems to meet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the QMSR rule by February 2, 2026.</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7"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Because our Louisville,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Louisville,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87" w:lineRule="exact"/>
        <w:rPr>
          <w:sz w:val="20"/>
          <w:szCs w:val="20"/>
          <w:color w:val="auto"/>
        </w:rPr>
      </w:pPr>
    </w:p>
    <w:p>
      <w:pPr>
        <w:jc w:val="both"/>
        <w:ind w:left="120" w:right="200"/>
        <w:spacing w:after="0" w:line="289" w:lineRule="auto"/>
        <w:rPr>
          <w:sz w:val="20"/>
          <w:szCs w:val="20"/>
          <w:color w:val="auto"/>
        </w:rPr>
      </w:pPr>
      <w:r>
        <w:rPr>
          <w:rFonts w:ascii="Times New Roman" w:cs="Times New Roman" w:eastAsia="Times New Roman" w:hAnsi="Times New Roman"/>
          <w:sz w:val="17"/>
          <w:szCs w:val="17"/>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5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6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certified and adhere to the NYS CLEP, based on New York State Public Health Law, Article 5 Title 5. NYS CLEP is exempt from CLIA and establishes their own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Due to the pandemic, NYSDOH CLEP routine re-inspections were delayed by multiple years. Most recently the Boulder, Colorado laboratory successfully passed the NYS CLEP audit in October 2023. The De Soto, Kansas laboratory passed NYS CLEP inspection in May 2019 and still pending new audit assignment.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Framework for Medical Devices in the United States and Internationally</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 product import and export.</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83"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Market access, sales and marketing of medical devices in non-U.S. countries are subject to foreign regulatory requirements that vary widely from country to country. For example, in the EEA, a medical device must meet the Medical Devices Directive’s (“MDD”) / In Vitro Medical Devices Directive’s (“IVDD”) Essential Requirements or, applicable on May 26, 2021, the Medical Devices Regulation’s (“MDR”) / applicable on May 26, 2022,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18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Similar requirements apply in the UK. For access to the UK market, manufacturers must obtain a UKCA Certificate and affix a UKCA mark to their medical devices. Initially, the government stated the CE mark will be accepted in the UK until July 1, 2023. However, on July 1, 2023, the government updated their guidance for regulating medical devices stating their intention to extend recognition and acceptance of the CE marking for placing most goods on the market in Great Britain, indefinitely, if the device was placed on the EU market before January 1, 2021.</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Device classification</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January 31, 2024, the FDA’s Center for Devices and Radiological Health (“CDRH”) announced that the Center intends to initiate the reclassification process for most IVD tests that are currently Class III (high risk) into Class II (moderate risk). The majority of these tests are infectious disease and companion diagnostic IVDs. Reclassification would allow manufacturers of certain types of tests to seek marketing clearance through the less burdensome premarket notification (510(k)) pathway rather than the premarket approval pathway, the most stringent type of FDA medical device review.</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 II devices are subject to the General Controls as well as any special controls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Premarket submission process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(“PMA”); or (3) de novo classification and authorization. These processes can be resource intensive, expensive, and lengthy, and require payment of significant user fees.</w:t>
      </w:r>
    </w:p>
    <w:p>
      <w:pPr>
        <w:spacing w:after="0" w:line="180"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Under the 510(k)-clearance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or modification in the intended use of the device, a new clearance, authorization or approval may be required.</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 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FDA’s goal is to review a De Novo request within 150 review days after receiving the petition. As with a 510(k) submission or PMA, the length of the review can be prolonged if the FDA requests additional information from the applicant.</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3"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Companion Diagnostics and the Premarket Process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to be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8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Post-Market FDA Regulation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Even if regulatory clearance, authorization or approval of a device is granted, the FDA may impose limitations on the uses and indications for which the device may be labeled and promoted, and the device remains subject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and State Fraud and Abuse Laws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3"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statute provides for treble damages and mandatory penalties of $13,508 to $27,018 per false claim or statement for penalties assessed after January 30, 2023, with respect to violations occurring after November 2, 2015.</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0"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Anti-Corruption</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66" w:lineRule="auto"/>
        <w:rPr>
          <w:sz w:val="20"/>
          <w:szCs w:val="20"/>
          <w:color w:val="auto"/>
        </w:rPr>
      </w:pPr>
      <w:r>
        <w:rPr>
          <w:rFonts w:ascii="Times New Roman" w:cs="Times New Roman" w:eastAsia="Times New Roman" w:hAnsi="Times New Roman"/>
          <w:sz w:val="18"/>
          <w:szCs w:val="18"/>
          <w:color w:val="auto"/>
        </w:rPr>
        <w:t>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latest FCPA compliance review in 2023 with no findings.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Privacy and Data Protection Laws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as amended by the HITECH Act, govern the collection, dissemination, security, use and confidentiality of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CEs and their authorized business associates (“BAs”). Because we are a health care provider that electronically transmits health care information, and we also provide certain services to CEs and receive PHI from them, we are at times either a CE or a BA, as defined by HIPAA. Our subcontractors that create, receive, maintain, transmit or otherwise process PHI on our behalf are HIPAA BAs and must also comply with HIPAA, as applicable.</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mandates that the Secretary of HHS conduct periodic compliance audits of HIPAA CEs, such as us, and their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spacing w:after="0" w:line="18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Colorado has enacted the Colorado Privacy Act, and Virginia has enacted the Consumer Data Protection Act, both of which also have standards that must be complied with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CCPA became effective on January 1, 2020 and was amended by the passage of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California Privacy Rights Act (“CPRA”) in November of 2020, which amendments came into force on January 1, 2023.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the CPRA imposes additional data protection obligations on companies doing business in California, including additional consumer rights processes and opt outs for certain uses of sensitive data. It also creates a new California data protection agency—the California Privacy Protection Agency—specifically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18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for example, in July 2023, the European Commission completed adoption of a new adequacy decision for data flows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Moreover, data 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 See “Risk Factors” for additional information on our cybersecurity practices.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7" w:lineRule="exact"/>
        <w:rPr>
          <w:sz w:val="20"/>
          <w:szCs w:val="20"/>
          <w:color w:val="auto"/>
        </w:rPr>
      </w:pPr>
    </w:p>
    <w:p>
      <w:pPr>
        <w:ind w:left="120" w:right="260"/>
        <w:spacing w:after="0" w:line="253" w:lineRule="auto"/>
        <w:rPr>
          <w:sz w:val="20"/>
          <w:szCs w:val="20"/>
          <w:color w:val="auto"/>
        </w:rPr>
      </w:pPr>
      <w:r>
        <w:rPr>
          <w:rFonts w:ascii="Times New Roman" w:cs="Times New Roman" w:eastAsia="Times New Roman" w:hAnsi="Times New Roman"/>
          <w:sz w:val="18"/>
          <w:szCs w:val="18"/>
          <w:color w:val="auto"/>
        </w:rPr>
        <w:t>Beginning in 2017, the Trump administration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did not pass comprehensive legislation that would repeal all or part of the ACA, two bills affecting the implementation of certain taxes under the ACA have been signed into law. Specifically,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Beginning in 2021, the Biden administration has signaled its intent to pursue policies strengthening the ACA.</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Congressional action is taken. In 2020, the CARES Act temporarily suspended the 2% cut in Medicare payments from May 1, 2020 through December 31, 2020, and it extended the sequestration reductions through fiscal year 2030 to offset the cost of such temporary suspension. The Consolidated Appropriations Act of 2021 further extended the temporary suspension through March 31, 2021. On April 14, 2021, Congress enacted legislation that further extended the suspension through December 31, 2021. On December 10, 2021, further legislation was enacted to extend the suspension through March 31, 2022, after which a 1.0% sequestration applied for Medicare payments made between April 1, 2022 and June 30, 2022.</w:t>
      </w:r>
    </w:p>
    <w:p>
      <w:pPr>
        <w:spacing w:after="0" w:line="1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American Taxpayer Relief Act of 2012 made other changes, including reduced Medicare payments to several types of providers and increased the statute of limitations period for the government to recover overpayments to providers from three to five years. If federal spending is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Additionally, the Biden administration has already indicated a shift in direction from Trump administration policies by issuing orders and other documents rolling back regulations and Executive Orders from the Trump administration, and as noted, indicating that it will pursue policies strengthening the ACA.</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December 2020, in its enactment of the Consolidated Appropriations Act, Congress enacted the No Surprises Act. This law, which took effect January 1, 2022, bars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HHS to apply this exception to certain advanced tests. Regulations and subregulatory guidance were issued by HHS, the Department of Labor, and the Department of the Treasury in 2021 and 2022, with the first set of regulations was issued as an Interim Final Rule on July 1, 2021, a second set issued as an Interim Final Rule on September 30, 2021, and a third set issued as a Final Rule on August 19, 2022. These regulations and subregulatory guidance have provided additional information on the applicability of the No Surprises Act, the rules governing the independent dispute resolution process, and specific provider requirements (including the obligation to furnish a “good faith estimates” of “expected charges” to uninsured or self-pay patients), as well as areas of temporary enforcement discretion.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potential bloodborne pathogens, hazardous materials and associated wastes. Our operations involve the generation, use, storage and disposal of hazardous materials as well as regulated medical waste, and the risk of injury, contamination or non-compliance with environmental, health and safety laws and regulations or permitting or licensing requirements cannot be eliminated. Compliance with environmental laws and regulations has not had a material effect on our capital expenditures, earning or competitive position. The Boulder, Colorado clinical laboratory passed an on-site inspection from the CDC in June 2021 due to COVID testing, which the Company no longer provides commercially. To date, there has not been a for cause Occupation Safety and Health Administration or Environmental Protection Agency inspection.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Our culture is underpinned by our cultural beliefs including an unwavering commitment to inclusion and diversity. We are committed to fostering a diverse and inclusive workplace that attracts and retains exceptional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talent offering opportunities for our team members to grow and develop in their careers, supported by a competitive suite of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“Biodesix Gives Back” that allows each team member to invest ten hours of paid community service to organizations of their choosing.</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217 full-time and part-time employees, all of whom are located in the United States. The majority of our team member base is located in proximity to our corporate office and testing facilities located in Louisville, Colorado and our laboratory in De Soto, Kansas.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believe that a diverse employee population, including cultural background, gender, ethnicity, sexual orientation and lived experiences, is critical to our success. Our employees are encouraged to leverage their personal strengths and experiences to continually innovate and contribute to the development of new ideas and process improvements that drive better experiences for our partners.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current cultural beliefs to determine if any modifications are needed. During 2021, we updated our cultural beliefs to align with our core values that reflect our current focus on Teamwork, Innovation, Making an Impact and Excel. Additionally, the Company annually celebrates our top sales performers through our President’s Club and other top company performers as nominated by fellow team members through our four</w:t>
      </w:r>
    </w:p>
    <w:p>
      <w:pPr>
        <w:spacing w:after="0" w:line="5" w:lineRule="exact"/>
        <w:rPr>
          <w:sz w:val="20"/>
          <w:szCs w:val="20"/>
          <w:color w:val="auto"/>
        </w:rPr>
      </w:pPr>
    </w:p>
    <w:p>
      <w:pPr>
        <w:ind w:left="120" w:right="20" w:hanging="4"/>
        <w:spacing w:after="0" w:line="260" w:lineRule="auto"/>
        <w:tabs>
          <w:tab w:leader="none" w:pos="3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Excellence Awards that recognize creativity and innovation, an entrepreneurial spirit, a strategic impact on the success of the Company and lastly, embodying the Biodesix cultural beliefs and goes “above and beyond” daily.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invest in our team members’ career growth and provide team members with a wide range of development opportunities, including face-to-face, virtual, and self-directed learning, mentoring, coaching, and external development.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main objective of our compensation program is to provide a compensation package that will attract, retain, motivate, and reward superior team members who operate in a highly competitive and technologically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176"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information provided on our website (or any other website referred to in this report) is not part of this prospectus and is not incorporated by reference.</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40"/>
          </w:cols>
          <w:pgMar w:left="320" w:top="455" w:right="6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II, with a term expiring in 2025, Class III, with a term expiring in 2026 and Class I, with a term expiring in 2024. Each of our directors serve as a director until the election and qualification of his or her successor.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and the brief biographies that follow provide information, as of April 16, 2024, about each director:</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04"/>
        </w:trPr>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Term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680" w:type="dxa"/>
            <w:vAlign w:val="bottom"/>
            <w:gridSpan w:val="2"/>
            <w:vMerge w:val="continue"/>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AC</w:t>
            </w: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CC   NCG</w:t>
            </w: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60" w:type="dxa"/>
            <w:vAlign w:val="bottom"/>
            <w:gridSpan w:val="2"/>
            <w:vMerge w:val="continue"/>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9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Faiz Kayyem, Ph.D.</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Scott Hutton</w:t>
            </w:r>
          </w:p>
        </w:tc>
        <w:tc>
          <w:tcPr>
            <w:tcW w:w="4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President,</w:t>
            </w:r>
          </w:p>
        </w:tc>
        <w:tc>
          <w:tcPr>
            <w:tcW w:w="6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4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7"/>
                <w:szCs w:val="17"/>
                <w:color w:val="auto"/>
              </w:rPr>
            </w:pPr>
          </w:p>
        </w:tc>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7"/>
                <w:szCs w:val="17"/>
                <w:color w:val="auto"/>
              </w:rPr>
            </w:pPr>
          </w:p>
        </w:tc>
        <w:tc>
          <w:tcPr>
            <w:tcW w:w="9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Officer and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7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John Patience</w:t>
            </w:r>
          </w:p>
        </w:tc>
        <w:tc>
          <w:tcPr>
            <w:tcW w:w="40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76</w:t>
            </w:r>
          </w:p>
        </w:tc>
        <w:tc>
          <w:tcPr>
            <w:tcW w:w="1020" w:type="dxa"/>
            <w:vAlign w:val="bottom"/>
            <w:gridSpan w:val="2"/>
            <w:shd w:val="clear" w:color="auto" w:fill="CCEEFF"/>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rPr>
              <w:t>Chairman of</w:t>
            </w:r>
          </w:p>
        </w:tc>
        <w:tc>
          <w:tcPr>
            <w:tcW w:w="68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2008</w:t>
            </w:r>
          </w:p>
        </w:tc>
        <w:tc>
          <w:tcPr>
            <w:tcW w:w="46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2"/>
              </w:rPr>
              <w:t>Yes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center"/>
              <w:ind w:right="430"/>
              <w:spacing w:after="0" w:line="20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the Board</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T. Kennedy, Jr.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2012</w:t>
            </w: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2008</w:t>
            </w: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340" w:hanging="224"/>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w:t>
      </w:r>
      <w:r>
        <w:rPr>
          <w:rFonts w:ascii="Times New Roman" w:cs="Times New Roman" w:eastAsia="Times New Roman" w:hAnsi="Times New Roman"/>
          <w:sz w:val="18"/>
          <w:szCs w:val="18"/>
          <w:color w:val="auto"/>
        </w:rPr>
        <w:t>—Audit Committee;</w:t>
      </w:r>
      <w:r>
        <w:rPr>
          <w:rFonts w:ascii="Times New Roman" w:cs="Times New Roman" w:eastAsia="Times New Roman" w:hAnsi="Times New Roman"/>
          <w:sz w:val="18"/>
          <w:szCs w:val="18"/>
          <w:b w:val="1"/>
          <w:bCs w:val="1"/>
          <w:color w:val="auto"/>
        </w:rPr>
        <w:t xml:space="preserve"> CC</w:t>
      </w:r>
      <w:r>
        <w:rPr>
          <w:rFonts w:ascii="Times New Roman" w:cs="Times New Roman" w:eastAsia="Times New Roman" w:hAnsi="Times New Roman"/>
          <w:sz w:val="18"/>
          <w:szCs w:val="18"/>
          <w:color w:val="auto"/>
        </w:rPr>
        <w:t>—Compensation Committee;</w:t>
      </w:r>
      <w:r>
        <w:rPr>
          <w:rFonts w:ascii="Times New Roman" w:cs="Times New Roman" w:eastAsia="Times New Roman" w:hAnsi="Times New Roman"/>
          <w:sz w:val="18"/>
          <w:szCs w:val="18"/>
          <w:b w:val="1"/>
          <w:bCs w:val="1"/>
          <w:color w:val="auto"/>
        </w:rPr>
        <w:t xml:space="preserve"> NCG</w:t>
      </w:r>
      <w:r>
        <w:rPr>
          <w:rFonts w:ascii="Times New Roman" w:cs="Times New Roman" w:eastAsia="Times New Roman" w:hAnsi="Times New Roman"/>
          <w:sz w:val="18"/>
          <w:szCs w:val="18"/>
          <w:color w:val="auto"/>
        </w:rPr>
        <w:t>—Nominating and Corporate Governance Committee</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Faiz Kayyem, Ph.D. </w:t>
      </w:r>
      <w:r>
        <w:rPr>
          <w:rFonts w:ascii="Times New Roman" w:cs="Times New Roman" w:eastAsia="Times New Roman" w:hAnsi="Times New Roman"/>
          <w:sz w:val="18"/>
          <w:szCs w:val="18"/>
          <w:color w:val="auto"/>
        </w:rPr>
        <w:t>has served as a Director of the Company since December 2021. Dr. Kayyem has over 20 years of experience inventing,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patenting, licensing, developing, and commercializing novel solutions for 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 Inc.</w:t>
      </w:r>
    </w:p>
    <w:p>
      <w:pPr>
        <w:spacing w:after="0" w:line="19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believe that Dr. Kayyem is qualified to serve on our board of directors because of his experience in leadership and management roles in the field of medicine, as well as his experience as a board member and investor in companies in the healthcare industry.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Hutton </w:t>
      </w:r>
      <w:r>
        <w:rPr>
          <w:rFonts w:ascii="Times New Roman" w:cs="Times New Roman" w:eastAsia="Times New Roman" w:hAnsi="Times New Roman"/>
          <w:sz w:val="18"/>
          <w:szCs w:val="18"/>
          <w:color w:val="auto"/>
        </w:rPr>
        <w:t>has served as our President, Chief Executive Officer and Director since January 2020, and previously held the role of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Officer from March 2018 to December 2019. Mr. Hutton also serves 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Medtronic plc </w:t>
      </w:r>
      <w:r>
        <w:rPr>
          <w:rFonts w:ascii="Times New Roman" w:cs="Times New Roman" w:eastAsia="Times New Roman" w:hAnsi="Times New Roman"/>
          <w:sz w:val="18"/>
          <w:szCs w:val="18"/>
          <w:i w:val="1"/>
          <w:iCs w:val="1"/>
          <w:color w:val="auto"/>
        </w:rPr>
        <w:t>Wallin Leadership Award</w:t>
      </w:r>
      <w:r>
        <w:rPr>
          <w:rFonts w:ascii="Times New Roman" w:cs="Times New Roman" w:eastAsia="Times New Roman" w:hAnsi="Times New Roman"/>
          <w:sz w:val="18"/>
          <w:szCs w:val="18"/>
          <w:color w:val="auto"/>
        </w:rPr>
        <w:t xml:space="preserve"> for his focus on talent development, business performance, and his personal and intentional demonstration of leadership.</w:t>
      </w:r>
    </w:p>
    <w:p>
      <w:pPr>
        <w:spacing w:after="0" w:line="19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believe that Mr. Hutton is qualified to serve on our board of directors because of his experience in leadership and management roles at our Company, as well as his experience as a board member in the healthcare and medical device industries.</w:t>
      </w:r>
    </w:p>
    <w:p>
      <w:pPr>
        <w:spacing w:after="0" w:line="158" w:lineRule="exact"/>
        <w:rPr>
          <w:sz w:val="20"/>
          <w:szCs w:val="20"/>
          <w:color w:val="auto"/>
        </w:rPr>
      </w:pPr>
    </w:p>
    <w:p>
      <w:pPr>
        <w:ind w:left="120" w:right="2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Patience </w:t>
      </w:r>
      <w:r>
        <w:rPr>
          <w:rFonts w:ascii="Times New Roman" w:cs="Times New Roman" w:eastAsia="Times New Roman" w:hAnsi="Times New Roman"/>
          <w:sz w:val="17"/>
          <w:szCs w:val="17"/>
          <w:color w:val="auto"/>
        </w:rPr>
        <w:t>has served as a Director of the Company since June 2008 and as Chairman of the Board since September 2020. Mr. Patience currently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serves as a director (since 2012) of Accelerate Diagnostics, Inc.,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diagnostics company (Accelerate Diagnostics). Mr. Patience served as a director of Ventana Medical Systems, Inc. (Ventana), from 1989 and as Vice Chairman from 1999 until Ventana’s acquisition by Roche in 2008.</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Liberal Arts and an L.L.B. from the University of Sydney, Australia, and an M.B.A. from the University of Pennsylvania’s Wharton School of Business.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believe that Mr. Patience is qualified to serve on our board of directors because of his experience in leadership and management roles in the field of medicine, as well as his experience as a board member and investor in companies in the healthcare industry.</w:t>
      </w:r>
    </w:p>
    <w:p>
      <w:pPr>
        <w:spacing w:after="0" w:line="15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Lawrence T. Kennedy, Jr. </w:t>
      </w:r>
      <w:r>
        <w:rPr>
          <w:rFonts w:ascii="Times New Roman" w:cs="Times New Roman" w:eastAsia="Times New Roman" w:hAnsi="Times New Roman"/>
          <w:sz w:val="18"/>
          <w:szCs w:val="18"/>
          <w:color w:val="auto"/>
        </w:rPr>
        <w:t>has served as a Director of the Company since January 2023. Mr. Kennedy brings to Biodesix more than 25 years of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Solutions, Revolution 4.0 and Health Carousel. Mr. Kennedy has received an M.B.A. from Duke University’s Fuqua School of Business and a B.A.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Colgate University.</w:t>
      </w:r>
    </w:p>
    <w:p>
      <w:pPr>
        <w:spacing w:after="0" w:line="20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believe that Mr. Kennedy is qualified to serve on our board of directors because of his experience in leadership and management roles in the field of healthcare, as well as his experience as a board member and investor in companies in the healthcare industry.</w:t>
      </w:r>
    </w:p>
    <w:p>
      <w:pPr>
        <w:spacing w:after="0" w:line="158"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Matthew Strobeck, Ph.D</w:t>
      </w:r>
      <w:r>
        <w:rPr>
          <w:rFonts w:ascii="Times New Roman" w:cs="Times New Roman" w:eastAsia="Times New Roman" w:hAnsi="Times New Roman"/>
          <w:sz w:val="18"/>
          <w:szCs w:val="18"/>
          <w:color w:val="auto"/>
        </w:rPr>
        <w:t>. has served as a Director of the Company since January 2012. Dr. Strobeck is currently the Managing Partner of Birchview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Cincinnati, an M.S. from the Harvard University-MIT Health Sciences and Technology Program, and an M.S. from the MIT Sloan School of Management.</w:t>
      </w:r>
    </w:p>
    <w:p>
      <w:pPr>
        <w:spacing w:after="0" w:line="183"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believe that Dr. Strobeck is qualified to serve on our board of directors because of his experience in leadership and management roles at medical technology companies, as well as his experience as a board member and investor in the medical technology industry.</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Charles Watts, M.D</w:t>
      </w:r>
      <w:r>
        <w:rPr>
          <w:rFonts w:ascii="Times New Roman" w:cs="Times New Roman" w:eastAsia="Times New Roman" w:hAnsi="Times New Roman"/>
          <w:sz w:val="18"/>
          <w:szCs w:val="18"/>
          <w:color w:val="auto"/>
        </w:rPr>
        <w:t>. has served as a Director of the Company since July 2019. Until his retirement, Dr. Watts served as Chief Medical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Northwestern Memorial Hospital and Associate Dean for Clinical Affairs at the Feinberg School of Medicine, Northwestern University (Northwestern) from 2001 to 2011. Prior to his tenure at Northwestern, Dr. Watts served as Chief of Clinical Affairs and Associate Dean at the University of Michigan Medical Center. He also previously served as Executive in Residence for the Health Management Academy and as an active faculty member of a national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chairman of the Institute for Systems Biology board and served as a director of Accelerate Diagnostics until 2023. Dr. Watts received his medical degree from the University of Michigan.</w:t>
      </w:r>
    </w:p>
    <w:p>
      <w:pPr>
        <w:spacing w:after="0" w:line="19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believe that Dr. Watts is qualified to serve on our board of directors because of his experience in leadership and management roles in the field of medicine, as well as his experience as a board member in the healthcare industry.</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M. Franchi </w:t>
      </w:r>
      <w:r>
        <w:rPr>
          <w:rFonts w:ascii="Times New Roman" w:cs="Times New Roman" w:eastAsia="Times New Roman" w:hAnsi="Times New Roman"/>
          <w:sz w:val="18"/>
          <w:szCs w:val="18"/>
          <w:color w:val="auto"/>
        </w:rPr>
        <w:t>has served as a Director of the Company since April 2020. Ms. Franchi is currently Chief Financial Officer of Disc Medicine,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w:t>
      </w:r>
    </w:p>
    <w:p>
      <w:pPr>
        <w:spacing w:after="0" w:line="192"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We believe that Ms. Franchi is qualified to serve on our board of directors because of her experience in leadership and management roles in the healthcare industry as well as her experience holding finance-related roles of increasing responsibility.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Hany Massarany </w:t>
      </w:r>
      <w:r>
        <w:rPr>
          <w:rFonts w:ascii="Times New Roman" w:cs="Times New Roman" w:eastAsia="Times New Roman" w:hAnsi="Times New Roman"/>
          <w:sz w:val="18"/>
          <w:szCs w:val="18"/>
          <w:color w:val="auto"/>
        </w:rPr>
        <w:t>has served as a Director of the Company since July 2020. Mr. Massarany currently serves as both a director (since 2020) and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We believe that Mr. Massarany is qualified to serve on our board of directors because of his experience in leadership and management roles, and experience as a board member, in the healthcare industry.</w:t>
      </w:r>
    </w:p>
    <w:p>
      <w:pPr>
        <w:spacing w:after="0" w:line="158"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Schuler </w:t>
      </w:r>
      <w:r>
        <w:rPr>
          <w:rFonts w:ascii="Times New Roman" w:cs="Times New Roman" w:eastAsia="Times New Roman" w:hAnsi="Times New Roman"/>
          <w:sz w:val="18"/>
          <w:szCs w:val="18"/>
          <w:color w:val="auto"/>
        </w:rPr>
        <w:t>has served as a Director of the Company since June 2008. Mr. Schuler served as a director of Ventana from 1991 and as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from 1995 until Ventana’s acquisition by Roche in 2008. Prior to joining Ventana, Mr. Schuler was President and Chief Operating Officer of Abbott Laboratories, a diversified healthcare company, which he joined in 1972 and where he held a number of management and marketing positions, also serving as a director from April 1985 to August 1989. Mr. Schuler is the co-founder of Crabtree Partners, a private investment partnership based in Lake Forest, Illinois, and the president and co-founder of the Schuler Scholar Program. Additionally, Mr. Schuler has served as a director of Medtronic plc (lead director), Stericycle, Inc. (chairman), Hansen Medical, Inc. and Quidel, and currently serves as a director (since 2012) of Accelerate Diagnostics. Mr. Schuler holds a B.S. in Mechanical Engineering from Tufts University and an M.B.A. from Stanford University Graduate School of Business.</w:t>
      </w:r>
    </w:p>
    <w:p>
      <w:pPr>
        <w:spacing w:after="0" w:line="18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believe that Mr. Schuler is qualified to serve on our board of directors because of his experience in leadership and management roles in the healthcare industry, as well as his experience as a board member in the healthcare and medical device industries.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Patience and Kennedy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“Directors.”</w:t>
      </w:r>
    </w:p>
    <w:p>
      <w:pPr>
        <w:spacing w:after="0" w:line="17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Robin Harper Cowie</w:t>
      </w:r>
      <w:r>
        <w:rPr>
          <w:rFonts w:ascii="Times New Roman" w:cs="Times New Roman" w:eastAsia="Times New Roman" w:hAnsi="Times New Roman"/>
          <w:sz w:val="18"/>
          <w:szCs w:val="18"/>
          <w:color w:val="auto"/>
        </w:rPr>
        <w:t>, age 44. Ms. Harper Cowie has served as our Chief Financial Officer since April 2017. She has been with the Company in multiple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and reimbursement positions since March 2011, serving as Vice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w:t>
      </w:r>
    </w:p>
    <w:p>
      <w:pPr>
        <w:spacing w:after="0" w:line="18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Kieran O’Kane</w:t>
      </w:r>
      <w:r>
        <w:rPr>
          <w:rFonts w:ascii="Times New Roman" w:cs="Times New Roman" w:eastAsia="Times New Roman" w:hAnsi="Times New Roman"/>
          <w:sz w:val="18"/>
          <w:szCs w:val="18"/>
          <w:color w:val="auto"/>
        </w:rPr>
        <w:t>, age 47. Mr. O’Kane has served as our Chief Commercial Officer since March 2020 and has been with the Company in multiple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Chief Executive Officer and our two other most highly compensated executive officers as of December 31, 2023. We refer to these individuals as our “named executive officers.” For 2023, our named executive officers were:</w:t>
      </w:r>
    </w:p>
    <w:p>
      <w:pPr>
        <w:spacing w:after="0" w:line="8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 Harper Cowie, Chief Financial Officer, Secretary and Treasurer;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Kieran O’Kane, Chief Commercial Officer.</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2023, the material elements of our executive compensation program were base salary, annual cash bonus and equity awards in the form of RSUs.</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(if any) depends on our stock price.</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2023, the compensation committee utilized our independent executive compensation consultant to advise us on the elements of our executive compensation program.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2022 and December 31, 2023.</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of January 1, 2023, Mr. Hutton’s annual base salary was $515,000, Ms. Harper Cowie’s annual base salary was $355,000, and Mr. O’Kane’s annual base salary was $335,000. The compensation committee did not increase base salaries for the named executive officers in 2023 as the result of efforts to conserve cash resources.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0"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Generally, our compensation committee establishes a Company-based performance metric as a threshold vesting criterion for any payouts for a particular annual bonus period. For 2023, individual performance goals did not factor into determining payouts for the annual bonus period.</w:t>
      </w:r>
    </w:p>
    <w:p>
      <w:pPr>
        <w:spacing w:after="0" w:line="162"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For 2023, the compensation committee determined that the Company’s short-term incentive compensation would be based on the achievement of three financial objectives, (i) total revenue determined in accordance with U.S. GAAP, (ii) gross margin percentage and (iii) total operating expense (excluding certain non-cash expenses). Actual results were measured at year end against targeted outcomes. Mr. Hutton’s, Ms. Harper Cowie’s and Mr. O’Kane’s 2023 bonus targets as a percentage of annual base salary were 100%, 50% and 60%, respectively. Based on our 2023 performance, our compensation committee determined, and our board of directors approved, a corporate funding percentage under our annual cash bonus program equal to approximately 38.1% of the target bonus opportunity.</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December 31, 2020, our compensation committee adopted the Company’s 2021 Senior Management Bonus to Equity Plan, which permitted eligible executives, including each of our named executive officers, to elect to receive 25%, 50%, 75% or 100% of the annual bonus earned during 2023 in the form of a bonus-to-options award, subject to an individual cap equal to the executive’s target annual bonus or any maximum dollar amount approved by the Company or the executive for such year. Effective as of December 14, 2022, the plan was amended to further provide that the amount of the annual bonus an eligible executive may elect to receive in the form of a bonus-to-options award may also be subject to a maximum percentage approved by the Company for such year. The maximum percentage that applied for 2023 was 50%.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w:t>
      </w:r>
    </w:p>
    <w:p>
      <w:pPr>
        <w:spacing w:after="0" w:line="19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Pursuant to elections made in 2022, each named executive officer also received a portion of their respective annual bonuses earned in 2023 in the form of a bonus-to-options award instead of in cash. For annual bonuses earned in 2023, the number of shares of the Company’s common stock subject to each bonus-to-options award granted in 2024 was determined by multiplying the cash value of the bonus that was elected to be received in the form of an option award by three, and then dividing the product of that calculation by $1.63 (the Company’s average stock price during 2023, calculated based on the daily closing price of our publicly traded common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stock). Accordingly, each of Mr. Hutton, Ms. Harper Cowie and Mr. O’Kane received a payout under the 2023 annual cash bonus program in cash and/or a bonus-to-options award, as illustrated below:</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tbl>
      <w:tblPr>
        <w:tblLayout w:type="fixed"/>
        <w:tblInd w:w="1440" w:type="dxa"/>
        <w:tblCellMar>
          <w:top w:w="0" w:type="dxa"/>
          <w:left w:w="0" w:type="dxa"/>
          <w:bottom w:w="0" w:type="dxa"/>
          <w:right w:w="0" w:type="dxa"/>
        </w:tblCellMar>
      </w:tblPr>
      <w:tr>
        <w:trPr>
          <w:trHeight w:val="117"/>
        </w:trPr>
        <w:tc>
          <w:tcPr>
            <w:tcW w:w="360" w:type="dxa"/>
            <w:vAlign w:val="bottom"/>
            <w:tcBorders>
              <w:top w:val="single" w:sz="8" w:color="auto"/>
            </w:tcBorders>
          </w:tcPr>
          <w:p>
            <w:pPr>
              <w:spacing w:after="0"/>
              <w:rPr>
                <w:sz w:val="10"/>
                <w:szCs w:val="10"/>
                <w:color w:val="auto"/>
              </w:rPr>
            </w:pPr>
          </w:p>
        </w:tc>
        <w:tc>
          <w:tcPr>
            <w:tcW w:w="310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Subject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0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 Bonus-to-Option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Cash Payout</w:t>
            </w:r>
          </w:p>
        </w:tc>
        <w:tc>
          <w:tcPr>
            <w:tcW w:w="12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Scott Hutton</w:t>
            </w: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98,058</w:t>
            </w:r>
          </w:p>
        </w:tc>
        <w:tc>
          <w:tcPr>
            <w:tcW w:w="9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180,926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20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33,797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62,358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20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57,407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35,307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the compensation committee awarded Mr. Hutton, Ms. Harper Cowie and Mr. O’Kane, 751,042 RSUs, 194,141 RSUs and 122,135 RSUs, respectively, which vest ratably on an annual basis for four years from the vesting commencement date, subject to continued service through the applicable vesting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2024, the compensation committee has determined to award a blend of stock options and RSUs to each of our named executive officers.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Option Exchange Program</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the Company’s 2023 Annual Meeting of Stockholders on May 23, 2023, shareholders approved a stock option exchange program. As a result, on June 23, 2023, the Company offered eligible employees the opportunity to participate in a stock option exchange program under which they could tender eligible stock options that were substantially “out-of-the-money” (those with an exercise price greater than $10.00 per share) for exchange and, if accepted, receive a grant of new stock options exercisable for fewer shares of our common stock with an exercise price equal to the closing price of our common stock reported on Nasdaq on the date the new option was granted. The new stock options had different vesting terms than the stock options that were tendered for exchange, as well as a new expiration date. The stock option exchange program closed in accordance with its terms on July 24, 2023 and the new stock options were granted on that date, after the program had closed, with an exercise price of $1.20 per share. Non-employee directors were not eligible to participate in the stock option exchange program.</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Mr. Hutton, Ms. Harper Cowie and Mr. O’Kane tendered eligible stock options in respect of 370,891, 132,963, and 56,654 shares of our common stock, respectively, each with an exercise price of $20.67 per share, in exchange for new stock options in respect of 75,693, 27,138, and 11,564 shares of our common stock, respectively, each with an exercise price of $1.20 per share. The incremental fair value of the new stock options, computed in accordance with FASB ASC Topic 718 on the grant date of the new stock options, was $8,056 for Mr. Hutton, $3,575 for Ms. Harper Cowie and $1,537 for Mr. O’Kane.</w:t>
      </w:r>
    </w:p>
    <w:p>
      <w:pPr>
        <w:spacing w:after="0" w:line="183"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Please see “Outstanding Equity Awards at Fiscal 2023 Year-End” below for a summary of the outstanding equity awards held by each of the named executive officers as of 2023 year-end.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during the years ended December 31, 2023 and 2022.</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gridSpan w:val="2"/>
          </w:tcPr>
          <w:p>
            <w:pPr>
              <w:jc w:val="center"/>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60" w:type="dxa"/>
            <w:vAlign w:val="bottom"/>
            <w:gridSpan w:val="2"/>
          </w:tcPr>
          <w:p>
            <w:pPr>
              <w:jc w:val="center"/>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gridSpan w:val="2"/>
          </w:tcPr>
          <w:p>
            <w:pPr>
              <w:jc w:val="center"/>
              <w:ind w:right="393"/>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(5)</w:t>
            </w:r>
          </w:p>
        </w:tc>
        <w:tc>
          <w:tcPr>
            <w:tcW w:w="26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Scott Hutton</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2023</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515,000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1,442,001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233,622</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98,058</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2"/>
              </w:rPr>
              <w:t>(6)</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2,290,546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515,000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1,441,997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680,532</w:t>
            </w:r>
          </w:p>
        </w:tc>
        <w:tc>
          <w:tcPr>
            <w:tcW w:w="136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114,869</w:t>
            </w:r>
            <w:r>
              <w:rPr>
                <w:rFonts w:ascii="Times New Roman" w:cs="Times New Roman" w:eastAsia="Times New Roman" w:hAnsi="Times New Roman"/>
                <w:sz w:val="26"/>
                <w:szCs w:val="26"/>
                <w:color w:val="auto"/>
                <w:vertAlign w:val="superscript"/>
              </w:rPr>
              <w:t>(7)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2,754,532</w:t>
            </w:r>
          </w:p>
        </w:tc>
        <w:tc>
          <w:tcPr>
            <w:tcW w:w="0" w:type="dxa"/>
            <w:vAlign w:val="bottom"/>
          </w:tcPr>
          <w:p>
            <w:pPr>
              <w:spacing w:after="0"/>
              <w:rPr>
                <w:sz w:val="1"/>
                <w:szCs w:val="1"/>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Robin Harper Cowie</w:t>
            </w:r>
          </w:p>
        </w:tc>
        <w:tc>
          <w:tcPr>
            <w:tcW w:w="88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355,000</w:t>
            </w:r>
          </w:p>
        </w:tc>
        <w:tc>
          <w:tcPr>
            <w:tcW w:w="10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372,751</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81,319</w:t>
            </w:r>
          </w:p>
        </w:tc>
        <w:tc>
          <w:tcPr>
            <w:tcW w:w="1360" w:type="dxa"/>
            <w:vAlign w:val="bottom"/>
            <w:gridSpan w:val="2"/>
          </w:tcPr>
          <w:p>
            <w:pPr>
              <w:jc w:val="right"/>
              <w:ind w:right="233"/>
              <w:spacing w:after="0" w:line="198" w:lineRule="exact"/>
              <w:rPr>
                <w:sz w:val="20"/>
                <w:szCs w:val="20"/>
                <w:color w:val="auto"/>
              </w:rPr>
            </w:pPr>
            <w:r>
              <w:rPr>
                <w:rFonts w:ascii="Times New Roman" w:cs="Times New Roman" w:eastAsia="Times New Roman" w:hAnsi="Times New Roman"/>
                <w:sz w:val="16"/>
                <w:szCs w:val="16"/>
                <w:color w:val="auto"/>
              </w:rPr>
              <w:t>33,797</w:t>
            </w:r>
            <w:r>
              <w:rPr>
                <w:rFonts w:ascii="Times New Roman" w:cs="Times New Roman" w:eastAsia="Times New Roman" w:hAnsi="Times New Roman"/>
                <w:sz w:val="22"/>
                <w:szCs w:val="22"/>
                <w:color w:val="auto"/>
                <w:vertAlign w:val="superscript"/>
              </w:rPr>
              <w:t>(8)</w:t>
            </w:r>
          </w:p>
        </w:tc>
        <w:tc>
          <w:tcPr>
            <w:tcW w:w="11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1,500</w:t>
            </w: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844,367</w:t>
            </w: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350,096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372,749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231,882</w:t>
            </w:r>
          </w:p>
        </w:tc>
        <w:tc>
          <w:tcPr>
            <w:tcW w:w="1360" w:type="dxa"/>
            <w:vAlign w:val="bottom"/>
            <w:gridSpan w:val="2"/>
          </w:tcPr>
          <w:p>
            <w:pPr>
              <w:jc w:val="right"/>
              <w:ind w:right="233"/>
              <w:spacing w:after="0" w:line="235" w:lineRule="exact"/>
              <w:rPr>
                <w:sz w:val="20"/>
                <w:szCs w:val="20"/>
                <w:color w:val="auto"/>
              </w:rPr>
            </w:pPr>
            <w:r>
              <w:rPr>
                <w:rFonts w:ascii="Times New Roman" w:cs="Times New Roman" w:eastAsia="Times New Roman" w:hAnsi="Times New Roman"/>
                <w:sz w:val="18"/>
                <w:szCs w:val="18"/>
                <w:color w:val="auto"/>
              </w:rPr>
              <w:t>39,140</w:t>
            </w:r>
            <w:r>
              <w:rPr>
                <w:rFonts w:ascii="Times New Roman" w:cs="Times New Roman" w:eastAsia="Times New Roman" w:hAnsi="Times New Roman"/>
                <w:sz w:val="26"/>
                <w:szCs w:val="26"/>
                <w:color w:val="auto"/>
                <w:vertAlign w:val="superscript"/>
              </w:rPr>
              <w:t>(9)</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995,500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234,449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45,555</w:t>
            </w:r>
          </w:p>
        </w:tc>
        <w:tc>
          <w:tcPr>
            <w:tcW w:w="136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57,407</w:t>
            </w:r>
            <w:r>
              <w:rPr>
                <w:rFonts w:ascii="Times New Roman" w:cs="Times New Roman" w:eastAsia="Times New Roman" w:hAnsi="Times New Roman"/>
                <w:sz w:val="25"/>
                <w:szCs w:val="25"/>
                <w:color w:val="auto"/>
                <w:vertAlign w:val="superscript"/>
              </w:rPr>
              <w:t>(11)</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672,666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Chief Commercial Officer</w:t>
            </w:r>
            <w:r>
              <w:rPr>
                <w:rFonts w:ascii="Times New Roman" w:cs="Times New Roman" w:eastAsia="Times New Roman" w:hAnsi="Times New Roman"/>
                <w:sz w:val="25"/>
                <w:szCs w:val="25"/>
                <w:color w:val="auto"/>
                <w:vertAlign w:val="superscript"/>
              </w:rPr>
              <w:t>(10)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dollar value of base salary earned by the named executive officer as of December 31 of each applicable fiscal year.</w:t>
      </w:r>
    </w:p>
    <w:p>
      <w:pPr>
        <w:ind w:left="540" w:right="22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These amounts do not correspond to the actual value that may be realized by the named executive officers upon vesting or exercise of the applicable awards.</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awards, including an estimate of the grant date fair value of bonus-to-options awards, as calculated in accordance with FASB ASC Topic 718 as well as the incremental fair value of the new stock options granted to each of the named executive officers on July 24, 2023 as a result of the stock option exchange program described under “Compensation of Named Executive Officers – Equity Awards – Stock Option Exchange Program.”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For the bonus-to-options awards, the estimated grant date fair value was used to correspond to the treatment of such expense under U.S. GAAP in the 2023 Annual Report on Form 10-K, as the service inception period precedes the grant date. These amounts do not correspond to the actual value that may be realized by the named executive officers upon vesting or exercise of the applicable awards.</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2022 and 2023 performance measured against the Company’s achievement of three financial objectives, (i) total revenue determined in accordance with U.S. GAAP, (ii) gross margin percentage, and (iii) total operating expense (excluding certain non-cash expenses), and for 2022 only, one commercial catalyst objective intended to incentivize the advancement of certain major projects and commercial objectives of the Company, our compensation committee determined, and our board of directors approved, payouts under the 2022 and 2023 annual cash bonus program at a 65.5% and 38.1% achievement level, respectively. The Non-Equity Incentive Plan Compensation listed for each named executive officer represents the annual cash bonus award for the 2022 and 2023 fiscal years after taking into consideration the election of each individual to participate in the bonus-to-options program.</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Mr. Hutton was entitled to a payout under the 2023 annual cash bonus program of $196,116. However, Mr. Hutton elected to receive a portion of his 2023 annual cash bonus in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the form of an option award under the bonus-to-options program. In accordance with Mr. Hutton’s election and the terms of the bonus-to-options program, Mr. Hutton received a cash payment of $98,058 in respect of his 2023 annual cash bonus, as reflected in this column, and in place of the remaining amount, received an option award representing the right to purchase 180,926 shares of our common stock, the value of which is reflected in the “Option Awards” column.</w:t>
      </w:r>
    </w:p>
    <w:p>
      <w:pPr>
        <w:spacing w:after="0" w:line="3" w:lineRule="exact"/>
        <w:rPr>
          <w:sz w:val="20"/>
          <w:szCs w:val="20"/>
          <w:color w:val="auto"/>
        </w:rPr>
      </w:pPr>
    </w:p>
    <w:p>
      <w:pPr>
        <w:ind w:left="540" w:right="4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65.5% achievement level, Mr. Hutton was entitled to a payout under the 2022 annual cash bonus program of $337,202. However, Mr. Hutton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Mr. Hutton’s election and the terms of the bonus-to-options program, Mr. Hutton received a cash payment of $114,869 in respect of his 2022 annual cash bonus, as reflected in this column, and in place of the remaining amount, received an option award representing the right to purchase 435,668 shares of our common stock, the value of which is reflected in the “Option Awards” column.</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Ms. Harper Cowie was entitled to a payout under the 2023 annual cash bonus program of $67,593. However,</w:t>
      </w:r>
    </w:p>
    <w:p>
      <w:pPr>
        <w:spacing w:after="0" w:line="9" w:lineRule="exact"/>
        <w:rPr>
          <w:rFonts w:ascii="Times New Roman" w:cs="Times New Roman" w:eastAsia="Times New Roman" w:hAnsi="Times New Roman"/>
          <w:sz w:val="18"/>
          <w:szCs w:val="18"/>
          <w:color w:val="auto"/>
        </w:rPr>
      </w:pPr>
    </w:p>
    <w:p>
      <w:pPr>
        <w:ind w:left="540" w:right="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Harper Cowie elected to receive a portion of her 2023 annual cash bonus in the form of an option award under the bonus-to-options program. In accordance with Ms. Harper Cowie’s election and the terms of the bonus-to-options program, Ms. Harper Cowie received a cash payment of $33,797 in respect of her 2023 annual cash bonus, as reflected in this column, and in place of the remaining amount, received an option award representing the right to purchase 62,358 shares of our common stock, the value of which is reflected in the “Option Awards” column.</w:t>
      </w:r>
    </w:p>
    <w:p>
      <w:pPr>
        <w:ind w:left="540" w:right="2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65.5% achievement level, Ms. Harper Cowie was entitled to a payout under the 2022 annual cash bonus program of $114,897. However, Ms. Harper Cowie elected to receive a portion of her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Ms. Harper Cowie’s election and the terms of the bonus-to-options program, Ms. Harper Cowie received a cash payment of $39,140 in respect of her 2022 annual cash bonus, as reflected in this column, and in place of the remaining amount, received an option award representing the right to purchase 148,448 shares of our common stock, the value of which is reflected in the “Option Awards” column.</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O’Kane was not a named executive officer for the 2022 fiscal year.</w:t>
      </w:r>
    </w:p>
    <w:p>
      <w:pPr>
        <w:spacing w:after="0" w:line="9"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Mr. O’Kane was entitled to a payout under the 2023 annual cash bonus program of $76,542. However, Mr. O’Kane elected to receive a portion of his 2023 annual cash bonus in the form of an option award under the bonus-to-options program. In accordance with Mr. O’Kane’s election and the terms of the bonus-to-options program, Mr. O’Kane received a cash payment of $57,407 in respect of his 2023 annual cash bonus, as reflected in this column, and in place of the remaining amount, received an option award representing the right to purchase 35,307 shares of our common stock, the value of which is reflected in the “Option Awards” column.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2023 Year-End</w:t>
      </w:r>
    </w:p>
    <w:p>
      <w:pPr>
        <w:spacing w:after="0" w:line="121"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The following table presents information regarding the outstanding equity awards held by each of the named executive officers as of December 31, 2023. As of the year ended December 31, 2023, none of the named executive officers held any outstanding stock awards other than options and RSUs.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ind w:left="4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46"/>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26"/>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4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16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860" w:type="dxa"/>
            <w:vAlign w:val="bottom"/>
            <w:gridSpan w:val="2"/>
          </w:tcPr>
          <w:p>
            <w:pPr>
              <w:jc w:val="center"/>
              <w:ind w:left="129"/>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1"/>
                <w:szCs w:val="11"/>
                <w:color w:val="auto"/>
              </w:rPr>
            </w:pPr>
          </w:p>
        </w:tc>
        <w:tc>
          <w:tcPr>
            <w:tcW w:w="960" w:type="dxa"/>
            <w:vAlign w:val="bottom"/>
            <w:gridSpan w:val="2"/>
          </w:tcPr>
          <w:p>
            <w:pPr>
              <w:jc w:val="center"/>
              <w:ind w:left="129"/>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24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9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200" w:type="dxa"/>
            <w:vAlign w:val="bottom"/>
          </w:tcPr>
          <w:p>
            <w:pPr>
              <w:spacing w:after="0"/>
              <w:rPr>
                <w:sz w:val="14"/>
                <w:szCs w:val="14"/>
                <w:color w:val="auto"/>
              </w:rPr>
            </w:pPr>
          </w:p>
        </w:tc>
        <w:tc>
          <w:tcPr>
            <w:tcW w:w="820" w:type="dxa"/>
            <w:vAlign w:val="bottom"/>
            <w:gridSpan w:val="2"/>
          </w:tcPr>
          <w:p>
            <w:pPr>
              <w:jc w:val="right"/>
              <w:ind w:right="126"/>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200" w:type="dxa"/>
            <w:vAlign w:val="bottom"/>
          </w:tcPr>
          <w:p>
            <w:pPr>
              <w:spacing w:after="0"/>
              <w:rPr>
                <w:sz w:val="14"/>
                <w:szCs w:val="14"/>
                <w:color w:val="auto"/>
              </w:rPr>
            </w:pPr>
          </w:p>
        </w:tc>
        <w:tc>
          <w:tcPr>
            <w:tcW w:w="112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700" w:type="dxa"/>
            <w:vAlign w:val="bottom"/>
            <w:gridSpan w:val="2"/>
          </w:tcPr>
          <w:p>
            <w:pPr>
              <w:jc w:val="center"/>
              <w:ind w:left="189"/>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9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48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Scott Hutton</w:t>
            </w:r>
          </w:p>
        </w:tc>
        <w:tc>
          <w:tcPr>
            <w:tcW w:w="2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4/4/2018</w:t>
            </w: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84,231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ind w:left="54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center"/>
              <w:ind w:left="151"/>
              <w:spacing w:after="0" w:line="113" w:lineRule="exact"/>
              <w:rPr>
                <w:sz w:val="20"/>
                <w:szCs w:val="20"/>
                <w:color w:val="auto"/>
              </w:rPr>
            </w:pPr>
            <w:r>
              <w:rPr>
                <w:rFonts w:ascii="Times New Roman" w:cs="Times New Roman" w:eastAsia="Times New Roman" w:hAnsi="Times New Roman"/>
                <w:sz w:val="13"/>
                <w:szCs w:val="13"/>
                <w:color w:val="auto"/>
              </w:rPr>
              <w:t>0.42</w:t>
            </w:r>
          </w:p>
        </w:tc>
        <w:tc>
          <w:tcPr>
            <w:tcW w:w="2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4/3/2028</w:t>
            </w:r>
          </w:p>
        </w:tc>
        <w:tc>
          <w:tcPr>
            <w:tcW w:w="2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41,414</w:t>
            </w:r>
          </w:p>
        </w:tc>
        <w:tc>
          <w:tcPr>
            <w:tcW w:w="1320" w:type="dxa"/>
            <w:vAlign w:val="bottom"/>
            <w:gridSpan w:val="3"/>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701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16,846</w:t>
            </w:r>
            <w:r>
              <w:rPr>
                <w:rFonts w:ascii="Times New Roman" w:cs="Times New Roman" w:eastAsia="Times New Roman" w:hAnsi="Times New Roman"/>
                <w:sz w:val="10"/>
                <w:szCs w:val="10"/>
                <w:color w:val="auto"/>
              </w:rPr>
              <w:t>(4)</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118,769</w:t>
            </w: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32,848</w:t>
            </w:r>
            <w:r>
              <w:rPr>
                <w:rFonts w:ascii="Times New Roman" w:cs="Times New Roman" w:eastAsia="Times New Roman" w:hAnsi="Times New Roman"/>
                <w:sz w:val="10"/>
                <w:szCs w:val="10"/>
                <w:color w:val="auto"/>
              </w:rPr>
              <w:t>(1)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109,908</w:t>
            </w:r>
            <w:r>
              <w:rPr>
                <w:rFonts w:ascii="Times New Roman" w:cs="Times New Roman" w:eastAsia="Times New Roman" w:hAnsi="Times New Roman"/>
                <w:sz w:val="10"/>
                <w:szCs w:val="10"/>
                <w:color w:val="auto"/>
              </w:rPr>
              <w:t>(6)</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202,231</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85,875</w:t>
            </w:r>
            <w:r>
              <w:rPr>
                <w:rFonts w:ascii="Times New Roman" w:cs="Times New Roman" w:eastAsia="Times New Roman" w:hAnsi="Times New Roman"/>
                <w:sz w:val="10"/>
                <w:szCs w:val="10"/>
                <w:color w:val="auto"/>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751,042</w:t>
            </w:r>
            <w:r>
              <w:rPr>
                <w:rFonts w:ascii="Times New Roman" w:cs="Times New Roman" w:eastAsia="Times New Roman" w:hAnsi="Times New Roman"/>
                <w:sz w:val="10"/>
                <w:szCs w:val="10"/>
                <w:color w:val="auto"/>
              </w:rPr>
              <w:t>(3)</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1,381,917</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48,733</w:t>
            </w:r>
            <w:r>
              <w:rPr>
                <w:rFonts w:ascii="Times New Roman" w:cs="Times New Roman" w:eastAsia="Times New Roman" w:hAnsi="Times New Roman"/>
                <w:sz w:val="10"/>
                <w:szCs w:val="10"/>
                <w:color w:val="auto"/>
              </w:rPr>
              <w:t>(8)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26,960</w:t>
            </w:r>
            <w:r>
              <w:rPr>
                <w:rFonts w:ascii="Times New Roman" w:cs="Times New Roman" w:eastAsia="Times New Roman" w:hAnsi="Times New Roman"/>
                <w:sz w:val="10"/>
                <w:szCs w:val="10"/>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Robin Harper Cowie</w:t>
            </w:r>
          </w:p>
        </w:tc>
        <w:tc>
          <w:tcPr>
            <w:tcW w:w="2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2/4/2014</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10,107</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26" w:lineRule="exact"/>
              <w:rPr>
                <w:sz w:val="20"/>
                <w:szCs w:val="20"/>
                <w:color w:val="auto"/>
              </w:rPr>
            </w:pPr>
            <w:r>
              <w:rPr>
                <w:rFonts w:ascii="Times New Roman" w:cs="Times New Roman" w:eastAsia="Times New Roman" w:hAnsi="Times New Roman"/>
                <w:sz w:val="14"/>
                <w:szCs w:val="14"/>
                <w:color w:val="auto"/>
                <w:w w:val="97"/>
              </w:rPr>
              <w:t>4.40</w:t>
            </w:r>
          </w:p>
        </w:tc>
        <w:tc>
          <w:tcPr>
            <w:tcW w:w="94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2/3/2024</w:t>
            </w:r>
          </w:p>
        </w:tc>
        <w:tc>
          <w:tcPr>
            <w:tcW w:w="960" w:type="dxa"/>
            <w:vAlign w:val="bottom"/>
            <w:gridSpan w:val="2"/>
          </w:tcPr>
          <w:p>
            <w:pPr>
              <w:jc w:val="right"/>
              <w:ind w:righ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4/8/2015</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6,738</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4.40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4/7/2025</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4/7/2016</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35,377</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0.84</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4/6/2026</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4/4/2018</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4,209</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0.42</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4/3/2028</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34,788</w:t>
            </w:r>
          </w:p>
        </w:tc>
        <w:tc>
          <w:tcPr>
            <w:tcW w:w="1320" w:type="dxa"/>
            <w:vAlign w:val="bottom"/>
            <w:gridSpan w:val="3"/>
          </w:tcPr>
          <w:p>
            <w:pPr>
              <w:ind w:left="740"/>
              <w:spacing w:after="0" w:line="149" w:lineRule="exact"/>
              <w:rPr>
                <w:sz w:val="20"/>
                <w:szCs w:val="20"/>
                <w:color w:val="auto"/>
              </w:rPr>
            </w:pPr>
            <w:r>
              <w:rPr>
                <w:rFonts w:ascii="Times New Roman" w:cs="Times New Roman" w:eastAsia="Times New Roman" w:hAnsi="Times New Roman"/>
                <w:sz w:val="14"/>
                <w:szCs w:val="14"/>
                <w:color w:val="auto"/>
              </w:rPr>
              <w:t>589</w:t>
            </w:r>
            <w:r>
              <w:rPr>
                <w:rFonts w:ascii="Times New Roman" w:cs="Times New Roman" w:eastAsia="Times New Roman" w:hAnsi="Times New Roman"/>
                <w:sz w:val="10"/>
                <w:szCs w:val="10"/>
                <w:color w:val="auto"/>
              </w:rPr>
              <w:t>(2)</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11,792</w:t>
            </w:r>
            <w:r>
              <w:rPr>
                <w:rFonts w:ascii="Times New Roman" w:cs="Times New Roman" w:eastAsia="Times New Roman" w:hAnsi="Times New Roman"/>
                <w:sz w:val="10"/>
                <w:szCs w:val="10"/>
                <w:color w:val="auto"/>
              </w:rPr>
              <w:t>(4)</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23,758</w:t>
            </w:r>
          </w:p>
        </w:tc>
        <w:tc>
          <w:tcPr>
            <w:tcW w:w="13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6,565</w:t>
            </w:r>
            <w:r>
              <w:rPr>
                <w:rFonts w:ascii="Times New Roman" w:cs="Times New Roman" w:eastAsia="Times New Roman" w:hAnsi="Times New Roman"/>
                <w:sz w:val="10"/>
                <w:szCs w:val="10"/>
                <w:color w:val="auto"/>
              </w:rPr>
              <w:t>(1)</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200" w:type="dxa"/>
            <w:vAlign w:val="bottom"/>
          </w:tcPr>
          <w:p>
            <w:pPr>
              <w:spacing w:after="0"/>
              <w:rPr>
                <w:sz w:val="12"/>
                <w:szCs w:val="12"/>
                <w:color w:val="auto"/>
              </w:rPr>
            </w:pPr>
          </w:p>
        </w:tc>
        <w:tc>
          <w:tcPr>
            <w:tcW w:w="820" w:type="dxa"/>
            <w:vAlign w:val="bottom"/>
            <w:gridSpan w:val="2"/>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28,411</w:t>
            </w:r>
            <w:r>
              <w:rPr>
                <w:rFonts w:ascii="Times New Roman" w:cs="Times New Roman" w:eastAsia="Times New Roman" w:hAnsi="Times New Roman"/>
                <w:sz w:val="10"/>
                <w:szCs w:val="10"/>
                <w:color w:val="auto"/>
              </w:rPr>
              <w:t>(6)</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52,276</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27,758</w:t>
            </w:r>
            <w:r>
              <w:rPr>
                <w:rFonts w:ascii="Times New Roman" w:cs="Times New Roman" w:eastAsia="Times New Roman" w:hAnsi="Times New Roman"/>
                <w:sz w:val="10"/>
                <w:szCs w:val="10"/>
                <w:color w:val="auto"/>
              </w:rPr>
              <w:t>(5)</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200" w:type="dxa"/>
            <w:vAlign w:val="bottom"/>
          </w:tcPr>
          <w:p>
            <w:pPr>
              <w:spacing w:after="0"/>
              <w:rPr>
                <w:sz w:val="12"/>
                <w:szCs w:val="12"/>
                <w:color w:val="auto"/>
              </w:rPr>
            </w:pPr>
          </w:p>
        </w:tc>
        <w:tc>
          <w:tcPr>
            <w:tcW w:w="820" w:type="dxa"/>
            <w:vAlign w:val="bottom"/>
            <w:gridSpan w:val="2"/>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194,141</w:t>
            </w:r>
            <w:r>
              <w:rPr>
                <w:rFonts w:ascii="Times New Roman" w:cs="Times New Roman" w:eastAsia="Times New Roman" w:hAnsi="Times New Roman"/>
                <w:sz w:val="10"/>
                <w:szCs w:val="10"/>
                <w:color w:val="auto"/>
              </w:rPr>
              <w:t>(3)</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357,219</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148,448</w:t>
            </w:r>
            <w:r>
              <w:rPr>
                <w:rFonts w:ascii="Times New Roman" w:cs="Times New Roman" w:eastAsia="Times New Roman" w:hAnsi="Times New Roman"/>
                <w:sz w:val="10"/>
                <w:szCs w:val="10"/>
                <w:color w:val="auto"/>
              </w:rPr>
              <w:t>(5)</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200" w:type="dxa"/>
            <w:vAlign w:val="bottom"/>
          </w:tcPr>
          <w:p>
            <w:pPr>
              <w:spacing w:after="0"/>
              <w:rPr>
                <w:sz w:val="12"/>
                <w:szCs w:val="12"/>
                <w:color w:val="auto"/>
              </w:rPr>
            </w:pPr>
          </w:p>
        </w:tc>
        <w:tc>
          <w:tcPr>
            <w:tcW w:w="820" w:type="dxa"/>
            <w:vAlign w:val="bottom"/>
            <w:gridSpan w:val="2"/>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20,659</w:t>
            </w:r>
            <w:r>
              <w:rPr>
                <w:rFonts w:ascii="Times New Roman" w:cs="Times New Roman" w:eastAsia="Times New Roman" w:hAnsi="Times New Roman"/>
                <w:sz w:val="10"/>
                <w:szCs w:val="10"/>
                <w:color w:val="auto"/>
              </w:rPr>
              <w:t>(8)</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7/24/2023</w:t>
            </w:r>
          </w:p>
        </w:tc>
        <w:tc>
          <w:tcPr>
            <w:tcW w:w="200" w:type="dxa"/>
            <w:vAlign w:val="bottom"/>
          </w:tcPr>
          <w:p>
            <w:pPr>
              <w:spacing w:after="0"/>
              <w:rPr>
                <w:sz w:val="14"/>
                <w:szCs w:val="14"/>
                <w:color w:val="auto"/>
              </w:rPr>
            </w:pPr>
          </w:p>
        </w:tc>
        <w:tc>
          <w:tcPr>
            <w:tcW w:w="820" w:type="dxa"/>
            <w:vAlign w:val="bottom"/>
            <w:gridSpan w:val="2"/>
          </w:tcPr>
          <w:p>
            <w:pPr>
              <w:jc w:val="right"/>
              <w:ind w:right="146"/>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6,479</w:t>
            </w:r>
            <w:r>
              <w:rPr>
                <w:rFonts w:ascii="Times New Roman" w:cs="Times New Roman" w:eastAsia="Times New Roman" w:hAnsi="Times New Roman"/>
                <w:sz w:val="10"/>
                <w:szCs w:val="10"/>
                <w:color w:val="auto"/>
              </w:rPr>
              <w:t>(9)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Kieran O’Kane</w:t>
            </w:r>
          </w:p>
        </w:tc>
        <w:tc>
          <w:tcPr>
            <w:tcW w:w="8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4/4/2018</w:t>
            </w:r>
          </w:p>
        </w:tc>
        <w:tc>
          <w:tcPr>
            <w:tcW w:w="1020" w:type="dxa"/>
            <w:vAlign w:val="bottom"/>
            <w:gridSpan w:val="3"/>
            <w:shd w:val="clear" w:color="auto" w:fill="CCEEFF"/>
          </w:tcPr>
          <w:p>
            <w:pPr>
              <w:jc w:val="right"/>
              <w:ind w:right="106"/>
              <w:spacing w:after="0" w:line="126" w:lineRule="exact"/>
              <w:rPr>
                <w:sz w:val="20"/>
                <w:szCs w:val="20"/>
                <w:color w:val="auto"/>
              </w:rPr>
            </w:pPr>
            <w:r>
              <w:rPr>
                <w:rFonts w:ascii="Times New Roman" w:cs="Times New Roman" w:eastAsia="Times New Roman" w:hAnsi="Times New Roman"/>
                <w:sz w:val="14"/>
                <w:szCs w:val="14"/>
                <w:color w:val="auto"/>
              </w:rPr>
              <w:t>12,634</w:t>
            </w:r>
          </w:p>
        </w:tc>
        <w:tc>
          <w:tcPr>
            <w:tcW w:w="2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ind w:left="5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26" w:lineRule="exact"/>
              <w:rPr>
                <w:sz w:val="20"/>
                <w:szCs w:val="20"/>
                <w:color w:val="auto"/>
              </w:rPr>
            </w:pPr>
            <w:r>
              <w:rPr>
                <w:rFonts w:ascii="Times New Roman" w:cs="Times New Roman" w:eastAsia="Times New Roman" w:hAnsi="Times New Roman"/>
                <w:sz w:val="14"/>
                <w:szCs w:val="14"/>
                <w:color w:val="auto"/>
                <w:w w:val="97"/>
              </w:rPr>
              <w:t>0.42</w:t>
            </w:r>
          </w:p>
        </w:tc>
        <w:tc>
          <w:tcPr>
            <w:tcW w:w="94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4/3/2028</w:t>
            </w:r>
          </w:p>
        </w:tc>
        <w:tc>
          <w:tcPr>
            <w:tcW w:w="960" w:type="dxa"/>
            <w:vAlign w:val="bottom"/>
            <w:gridSpan w:val="2"/>
            <w:shd w:val="clear" w:color="auto" w:fill="CCEEFF"/>
          </w:tcPr>
          <w:p>
            <w:pPr>
              <w:jc w:val="right"/>
              <w:ind w:righ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12,424</w:t>
            </w:r>
          </w:p>
        </w:tc>
        <w:tc>
          <w:tcPr>
            <w:tcW w:w="1320" w:type="dxa"/>
            <w:vAlign w:val="bottom"/>
            <w:gridSpan w:val="3"/>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210</w:t>
            </w:r>
            <w:r>
              <w:rPr>
                <w:rFonts w:ascii="Times New Roman" w:cs="Times New Roman" w:eastAsia="Times New Roman" w:hAnsi="Times New Roman"/>
                <w:sz w:val="10"/>
                <w:szCs w:val="10"/>
                <w:color w:val="auto"/>
              </w:rPr>
              <w:t>(1)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29,511</w:t>
            </w: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5,865</w:t>
            </w:r>
            <w:r>
              <w:rPr>
                <w:rFonts w:ascii="Times New Roman" w:cs="Times New Roman" w:eastAsia="Times New Roman" w:hAnsi="Times New Roman"/>
                <w:sz w:val="10"/>
                <w:szCs w:val="10"/>
                <w:color w:val="auto"/>
              </w:rPr>
              <w:t>(1)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13,405</w:t>
            </w:r>
            <w:r>
              <w:rPr>
                <w:rFonts w:ascii="Times New Roman" w:cs="Times New Roman" w:eastAsia="Times New Roman" w:hAnsi="Times New Roman"/>
                <w:sz w:val="10"/>
                <w:szCs w:val="10"/>
                <w:color w:val="auto"/>
              </w:rPr>
              <w:t>(6)</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24,665</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6,162</w:t>
            </w:r>
            <w:r>
              <w:rPr>
                <w:rFonts w:ascii="Times New Roman" w:cs="Times New Roman" w:eastAsia="Times New Roman" w:hAnsi="Times New Roman"/>
                <w:sz w:val="10"/>
                <w:szCs w:val="10"/>
                <w:color w:val="auto"/>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122,135</w:t>
            </w:r>
            <w:r>
              <w:rPr>
                <w:rFonts w:ascii="Times New Roman" w:cs="Times New Roman" w:eastAsia="Times New Roman" w:hAnsi="Times New Roman"/>
                <w:sz w:val="10"/>
                <w:szCs w:val="10"/>
                <w:color w:val="auto"/>
              </w:rPr>
              <w:t>(3)</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224,728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52,531</w:t>
            </w:r>
            <w:r>
              <w:rPr>
                <w:rFonts w:ascii="Times New Roman" w:cs="Times New Roman" w:eastAsia="Times New Roman" w:hAnsi="Times New Roman"/>
                <w:sz w:val="10"/>
                <w:szCs w:val="10"/>
                <w:color w:val="auto"/>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8,864</w:t>
            </w:r>
            <w:r>
              <w:rPr>
                <w:rFonts w:ascii="Times New Roman" w:cs="Times New Roman" w:eastAsia="Times New Roman" w:hAnsi="Times New Roman"/>
                <w:sz w:val="10"/>
                <w:szCs w:val="10"/>
                <w:color w:val="auto"/>
              </w:rPr>
              <w:t>(8)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2,700</w:t>
            </w:r>
            <w:r>
              <w:rPr>
                <w:rFonts w:ascii="Times New Roman" w:cs="Times New Roman" w:eastAsia="Times New Roman" w:hAnsi="Times New Roman"/>
                <w:sz w:val="10"/>
                <w:szCs w:val="10"/>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vest in a series of 60 successive, equal monthly installments measured from the vesting commencement date.</w:t>
      </w:r>
    </w:p>
    <w:p>
      <w:pPr>
        <w:spacing w:after="0" w:line="3"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w:t>
      </w:r>
    </w:p>
    <w:p>
      <w:pPr>
        <w:spacing w:after="0" w:line="1" w:lineRule="exact"/>
        <w:rPr>
          <w:rFonts w:ascii="Times New Roman" w:cs="Times New Roman" w:eastAsia="Times New Roman" w:hAnsi="Times New Roman"/>
          <w:sz w:val="14"/>
          <w:szCs w:val="14"/>
          <w:color w:val="auto"/>
        </w:rPr>
      </w:pPr>
    </w:p>
    <w:p>
      <w:pPr>
        <w:ind w:left="540" w:right="460" w:hanging="424"/>
        <w:spacing w:after="0" w:line="221"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RSUs vest in a series of four successive equal annual installments measured from the vesting commencement date, subject to the award recipient’s continued employment through the applicable vesting date.</w:t>
      </w:r>
    </w:p>
    <w:p>
      <w:pPr>
        <w:ind w:left="540" w:right="220" w:hanging="424"/>
        <w:spacing w:after="0" w:line="228"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right="60"/>
        <w:spacing w:after="0" w:line="225" w:lineRule="auto"/>
        <w:rPr>
          <w:sz w:val="20"/>
          <w:szCs w:val="20"/>
          <w:color w:val="auto"/>
        </w:rPr>
      </w:pPr>
      <w:r>
        <w:rPr>
          <w:rFonts w:ascii="Times New Roman" w:cs="Times New Roman" w:eastAsia="Times New Roman" w:hAnsi="Times New Roman"/>
          <w:sz w:val="14"/>
          <w:szCs w:val="14"/>
          <w:color w:val="auto"/>
        </w:rPr>
        <w:t>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w:t>
      </w:r>
    </w:p>
    <w:p>
      <w:pPr>
        <w:ind w:left="540" w:hanging="424"/>
        <w:spacing w:after="0" w:line="223"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vested at Date of Grant.</w:t>
      </w:r>
    </w:p>
    <w:p>
      <w:pPr>
        <w:ind w:left="540" w:right="400" w:hanging="424"/>
        <w:spacing w:after="0" w:line="221"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RSUs vest in a series of 16 successive equal quarterly installments measured from the vesting commencement date, subject to the award recipient’s continued employment through the applicable vesting date.</w:t>
      </w:r>
    </w:p>
    <w:p>
      <w:pPr>
        <w:ind w:left="540" w:hanging="424"/>
        <w:spacing w:after="0" w:line="221"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 is calculated based on $1.84 per share, the closing price of our common stock on December 30, 2023.</w:t>
      </w:r>
    </w:p>
    <w:p>
      <w:pPr>
        <w:ind w:left="540" w:right="100" w:hanging="424"/>
        <w:spacing w:after="0" w:line="221"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options vest on August 1, 2024 (the first day of the month following the first anniversary of the month of grant under the stock option exchange program described under “Compensation of Named Executive Officers – Equity Awards – Stock Option Exchange Program”).</w:t>
      </w:r>
    </w:p>
    <w:p>
      <w:pPr>
        <w:ind w:left="540" w:right="220" w:hanging="424"/>
        <w:spacing w:after="0" w:line="230"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options vest in a series of 31 successive equal monthly installments beginning on August 1, 2024 (the first day of the month following the first anniversary of the month of grant under the stock option exchange program described under “Compensation of Named Executive Officers – Equity Awards – Stock Option Exchange Program”). The number of installments is equal to the number of months that were remaining the in the vesting schedule of the stock options that were tendered under the stock option exchange program as of immediately prior to the exchange.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Offer Letter Agreements</w:t>
      </w:r>
    </w:p>
    <w:p>
      <w:pPr>
        <w:spacing w:after="0" w:line="121"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We entered in an offer letter agreement with each of Mr. Hutton and Ms. Harper Cowie on February 23, 2020. The offer letter agreements, as amended in November of 2020, provide for annual salary subject to the discretion of our board of directors, an annual cash incentive opportunity targeted at 100% of annual base salary for Mr. Hutton and 50% of annual base salary for Ms. Harper Cowie, and eligibility to participate in our employee benefit plans, subject to the terms of those plans. The offer letter agreements also provide for certain severance benefits.</w:t>
      </w:r>
    </w:p>
    <w:p>
      <w:pPr>
        <w:spacing w:after="0" w:line="16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23, 2024, each of Mr. Hutton and Ms. Harper Cowie entered into an Executive Severance and Change in Control Agreement which replaces and supersedes their offer letter agreement. Please see “Executive Severance and Change in Control Agreements” below for a summary of the terms of such agreements.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and Change in Control Agreements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April 16, 2024, the Company approved a form of Executive Severance and Change in Control Agreement that it intends to enter into with each of its executive officers. On April 23, 2024, each of Mr. Hutton, Ms. Harper Cowie and Mr. O’Kane entered into an Executive Severance and Change in Control Agreement with the Company.</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w:t>
      </w:r>
    </w:p>
    <w:p>
      <w:pPr>
        <w:spacing w:after="0" w:line="85"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continuation for a period of nine months or, in the case of the chief executive officer, 12 months;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only, a lump sum cash payment equal to 100% of his or her target annual cash incentive for the year in which the qualifying termination of employment occurs;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premium payments for the executive and his or her covered dependents for up to 12 months.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w:t>
      </w:r>
    </w:p>
    <w:p>
      <w:pPr>
        <w:spacing w:after="0" w:line="8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then-current annual base salary;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target annual cash incentive for the year in which the qualifying termination of employment occurs;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12 months, or in the case of the chief executive officer, 18 months, of COBRA premium payments for the executive and his or her covered dependents;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equity awards which vest based solely on the executive’s continued service with us;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and chief financial officer only, a lump sum cash payment of $15,000 to help defray legal fees, tax and accounting fees, executive outplacement services, and other costs associated with transitional matters.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payment of severance benefits under the Executive Severance and Change in Control Agreements is subject to a general release of claims by the executive in favor of the Company and its affiliates.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during 2023, one of our officers or employees. None of our executive officers currently serve, or has served during 2023, as a member of the board of directors or compensation committee of any entity that has one or more executive officers serving as a member of our board of directors or compensation committee.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1, 2024:</w:t>
      </w:r>
    </w:p>
    <w:p>
      <w:pPr>
        <w:spacing w:after="0" w:line="13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1, 2024 and RSUs representing the right to receive shares of common stock that were deferred under the 2021 Non-Employee Director Deferred Compensation Plan (the “Director Deferred Compensation Plan”) or that vest within 60 days of March 1, 2024,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w:t>
      </w:r>
    </w:p>
    <w:p>
      <w:pPr>
        <w:spacing w:after="0" w:line="192"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We have based percentage ownership of common stock on 97,158,580 shares of common stock outstanding as of March 1, 2024. Unless otherwise indicated, the address for each beneficial owner listed in the table below is c/o Biodesix, Inc., 919 West Dillon Rd., Louisville, CO 80027.</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8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1240" w:type="dxa"/>
            <w:vAlign w:val="bottom"/>
            <w:gridSpan w:val="2"/>
          </w:tcPr>
          <w:p>
            <w:pPr>
              <w:ind w:left="6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1240" w:type="dxa"/>
            <w:vAlign w:val="bottom"/>
            <w:tcBorders>
              <w:top w:val="single" w:sz="8" w:color="auto"/>
            </w:tcBorders>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380" w:type="dxa"/>
            <w:vAlign w:val="bottom"/>
            <w:tcBorders>
              <w:top w:val="single" w:sz="8" w:color="auto"/>
            </w:tcBorders>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Jack Schuler and entities affiliated with Jack Schuler</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31,038,797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 and entities affiliated with Lawrence T. Kennedy, Jr.</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21,253,376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Patience and entities affiliated with John Patience</w:t>
            </w:r>
            <w:r>
              <w:rPr>
                <w:rFonts w:ascii="Times New Roman" w:cs="Times New Roman" w:eastAsia="Times New Roman" w:hAnsi="Times New Roman"/>
                <w:sz w:val="25"/>
                <w:szCs w:val="25"/>
                <w:color w:val="auto"/>
                <w:vertAlign w:val="superscript"/>
              </w:rPr>
              <w:t>(3)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7,412,498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Matthew Strobeck and entities affiliated with Matthew Strobeck</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5,672,000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 Schuler</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31,038,797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21,253,376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Patience</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7,412,498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Matthew Strobeck, Ph.D.</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5,672,000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Hutton</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1,476,198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Jon Faiz Kayyem, Ph.D.</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547,220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Hany Massarany</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544,985</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Robin Harper Cowie</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535,386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Charles Watts, M.D.</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469,612</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Jean Franchi</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431,192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Kieran O’Kane</w:t>
            </w:r>
            <w:r>
              <w:rPr>
                <w:rFonts w:ascii="Times New Roman" w:cs="Times New Roman" w:eastAsia="Times New Roman" w:hAnsi="Times New Roman"/>
                <w:sz w:val="25"/>
                <w:szCs w:val="25"/>
                <w:color w:val="auto"/>
                <w:vertAlign w:val="superscript"/>
              </w:rPr>
              <w:t>(15)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233,126</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named executive officers as a group (13 persons)</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69,946,274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130"/>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4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0" w:type="dxa"/>
            <w:vAlign w:val="bottom"/>
            <w:gridSpan w:val="4"/>
          </w:tcPr>
          <w:p>
            <w:pPr>
              <w:jc w:val="right"/>
              <w:ind w:right="390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7600" w:type="dxa"/>
            <w:vAlign w:val="bottom"/>
            <w:gridSpan w:val="4"/>
          </w:tcPr>
          <w:p>
            <w:pPr>
              <w:jc w:val="right"/>
              <w:ind w:right="2220"/>
              <w:spacing w:after="0"/>
              <w:rPr>
                <w:sz w:val="20"/>
                <w:szCs w:val="20"/>
                <w:color w:val="auto"/>
              </w:rPr>
            </w:pPr>
            <w:r>
              <w:rPr>
                <w:rFonts w:ascii="Times New Roman" w:cs="Times New Roman" w:eastAsia="Times New Roman" w:hAnsi="Times New Roman"/>
                <w:sz w:val="18"/>
                <w:szCs w:val="18"/>
                <w:color w:val="auto"/>
              </w:rPr>
              <w:t>142</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46,102 shares of common stock issuable upon the exercise of options held by Jack Schuler that are vested and exercisable within</w:t>
      </w:r>
    </w:p>
    <w:p>
      <w:pPr>
        <w:spacing w:after="0" w:line="27"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March 1, 2024, (b) RSUs held by Mr. Schuler representing the right to receive 284,973 shares of common stock that will vest within 60 days of March 1, 2024 and be deferred under the Director Deferred Compensation Plan until separation from service to the Company, and (c) 30,707,722 shares of common stock held by Jack W. Schuler Living Trust.</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9,582,783 shares of common stock held by Lawrence T. Kennedy, Jr. Revocable Trust UAD 6/19/01 and as amended from time to time, (b) 10,528,753 shares of common stock held by Lawrence T. Kennedy, Jr. Perpetuity Trust UAD 6/30/16, (c) 166,666 shares of common stock held by KFDI-B LLC, (d) 722,041 shares of common stock held by Lair BDSX GRAT 2022-03-02, and (e) RSUs held by Mr. Kennedy representing the right to receive 253,133 shares of common stock that will vest within 60 days of March 1, 2024 and be deferred under the Director Deferred Compensation Plan.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337,926 shares of common stock held directly by John Patience, (b) 46,102 shares of common stock issuable upon the exercise of options held by Mr. Patience that are vested and exercisable within 60 days of March 1, 2024, (c) RSUs held by Mr. Patience representing the right to receive 284,973 shares of common stock that will vest within 60 days of March 1, 2024 and be deferred under the Director Deferred Compensation Plan until separation from service to the Company, (d) 2,078,298 shares of common stock held by Patience Enterprises LP, (e) 4,612,211 shares of common stock held by John Patience Living Trust, dated July 23, 1993, and (f) 52,988 shares of common stock held by Diane Patience.</w:t>
      </w:r>
    </w:p>
    <w:p>
      <w:pPr>
        <w:spacing w:after="0" w:line="2"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11,717 shares of common stock issuable upon the exercise of options held by Dr. Matthew Strobeck that are vested and exercisable within 60 days of March 1, 2024, (b) RSUs held by Dr. Strobeck representing the right to receive 291,966 shares of common stock that will vest within 60 days of March 1, 2024 and be deferred under the Director Deferred Compensation Plan until separation from service to the Company,</w:t>
      </w:r>
    </w:p>
    <w:p>
      <w:pPr>
        <w:ind w:left="540" w:right="100" w:firstLine="8"/>
        <w:spacing w:after="0" w:line="250" w:lineRule="auto"/>
        <w:tabs>
          <w:tab w:leader="none" w:pos="7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2,542,928 shares of common stock held by Dr. Strobeck, (d) 2,275,199 shares of common stock held by Birchview Fund LLC, (e) 33,513 shares of common stock held by Birchview Capital Separately Managed Account, (f) 40,665 shares of common stock held by Clajer Capital LLC and (g) 119,003 shares of common stock held in each of four UTMA accounts (for an aggregate amount of 476,012 shares).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31,038,797 shares beneficially owned by Jack Schuler and entities affiliated with Mr. Schuler, as set forth in footnote (1).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21,253,376 shares beneficially owned by Lawrence T. Kennedy, Jr. and entities affiliated with Mr. Kennedy, as set forth in footnote</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7,412,498 shares beneficially owned by John Patience and entities affiliated with Mr. Patience, as set forth in footnote (3).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5,672,000 shares beneficially owned by Dr. Matthew Strobeck and entities affiliated with Dr. Strobeck, as set forth in footnote (4).</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1,000,866 shares of common stock issuable upon the exercise of options held by Scott Hutton that are vested and exercisable within 60 days of March 1, 2024, and (b) 475,332 shares of common stock held by Mr. Hutton.</w:t>
      </w:r>
    </w:p>
    <w:p>
      <w:pPr>
        <w:ind w:left="540" w:right="100" w:hanging="424"/>
        <w:spacing w:after="0" w:line="265" w:lineRule="auto"/>
        <w:tabs>
          <w:tab w:leader="none" w:pos="5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50,543 shares of common stock issuable upon the exercise of options held by Dr. Jon Faiz Kayyem that are vested and exercisable within 60 days of March 1, 2024, (b) RSUs held by Dr. Kayyem representing the right to receive 139,140 shares of common stock that will vest within 60 days of March 1, 2024 and be deferred under the Director Deferred Compensation Plan until separation from service to the Company,</w:t>
      </w:r>
    </w:p>
    <w:p>
      <w:pPr>
        <w:ind w:left="540" w:right="240" w:firstLine="8"/>
        <w:spacing w:after="0" w:line="250" w:lineRule="auto"/>
        <w:tabs>
          <w:tab w:leader="none" w:pos="7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180,085 shares of common stock held by The Jon Faiz Kayyem Revocable Trust, for which Dr. Kayyem and his spouse serve as co-trustees, and (d) 177,452 shares of common stock held by Dr. Kayyem. Dr. Kayyem disclaims beneficial ownership of the shares held by The Jon Faiz Kayyem Revocable Trust.</w:t>
      </w:r>
    </w:p>
    <w:p>
      <w:pPr>
        <w:spacing w:after="0" w:line="1" w:lineRule="exact"/>
        <w:rPr>
          <w:rFonts w:ascii="Times New Roman" w:cs="Times New Roman" w:eastAsia="Times New Roman" w:hAnsi="Times New Roman"/>
          <w:sz w:val="18"/>
          <w:szCs w:val="18"/>
          <w:color w:val="auto"/>
        </w:rPr>
      </w:pPr>
    </w:p>
    <w:p>
      <w:pPr>
        <w:ind w:left="540" w:right="20" w:hanging="424"/>
        <w:spacing w:after="0" w:line="265" w:lineRule="auto"/>
        <w:tabs>
          <w:tab w:leader="none" w:pos="5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60,946 shares of common stock issuable upon the exercise of options held by Hany Massarany that are vested and exercisable within 60 days of March 1, 2024, (b) RSUs held by Mr. Massarany representing the right to receive 149,631 shares of common stock that will vest within 60 days of March 1, 2024 and be deferred under the Director Deferred Compensation Plan until separation from service to the Company,</w:t>
      </w:r>
    </w:p>
    <w:p>
      <w:pPr>
        <w:ind w:left="540" w:right="340" w:firstLine="8"/>
        <w:spacing w:after="0" w:line="260" w:lineRule="auto"/>
        <w:tabs>
          <w:tab w:leader="none" w:pos="7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held by Mr. Massarany representing the right to receive 19,777 shares of common stock which are vested and will generally settle in shares of common stock on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earlier of July 1, 2025 and separation from service to the Company, and (d) 283,767 shares of common stock held by Mr. Massarany.</w:t>
      </w:r>
    </w:p>
    <w:p>
      <w:pPr>
        <w:spacing w:after="0" w:line="27" w:lineRule="exact"/>
        <w:rPr>
          <w:sz w:val="20"/>
          <w:szCs w:val="20"/>
          <w:color w:val="auto"/>
        </w:rPr>
      </w:pPr>
    </w:p>
    <w:p>
      <w:pPr>
        <w:ind w:left="540" w:right="4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365,883 shares of common stock issuable upon the exercise of options held by Robin Harper Cowie that are vested and exercisable within 60 days of March 1, 2024, and (b) 169,503 shares of common stock held by Ms. Harper Cowie.</w:t>
      </w:r>
    </w:p>
    <w:p>
      <w:pPr>
        <w:ind w:left="540" w:right="22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95,913 shares of common stock issuable upon the exercise of options held by Dr. Charles Watts that are vested and exercisable within 60 days of March 1, 2024, (b) RSUs held by Dr. Watts representing the right to receive 134,262 shares of common stock that will vest within 60 days of March 1, 2024, (c) RSUs held by Dr. Watts representing the right to receive 25,051 shares of common stock which are vested and will generally settle in shares of common stock on the earlier of July 16, 2024 and separation from service to the Company, and (d) 214,389 shares of common stock held by Dr. Watts.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29,363 shares of common stock issuable upon the exercise of options held by Jean Franchi that are vested and exercisable within</w:t>
      </w:r>
    </w:p>
    <w:p>
      <w:pPr>
        <w:spacing w:after="0" w:line="9"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March 1, 2024, (b) RSUs held by Ms. Franchi representing the right to receive 298,961 shares of common stock that will vest within 60 days of March 1, 2024 and be deferred under the Director Deferred Compensation Plan until separation from service to the Company, (c) RSUs held by Ms. Franchi representing the right to receive 21,096 shares of common stock which are vested and will generally settle in shares of common stock on the earlier of April 1, 2025 and separation from service to the Company, and (d) 81,772 shares of common stock held by Ms. Franchi.</w:t>
      </w:r>
    </w:p>
    <w:p>
      <w:pPr>
        <w:spacing w:after="0" w:line="1"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158,623 shares of common stock issuable upon the exercise of options held by Kieran O’Kane that are vested and exercisable within 60 days of March 1, 2024, and (b) 74,503 shares of common stock held by Mr. O’Kane.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transactions since January 1, 2023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Subscription Agreements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August 3, 2023, we entered into subscription agreements with various investors, including all members of our board of directors, certain members of the Company’s management team, including our Chief Executive Officer, Chief Financial Officer and Chief Commercial Officer, for the issuance and sale by the Company of an aggregate of 16,975,298 shares at a purchase price of $1.62 per share in a private placement offering, for an aggregate purchase price of $27.5 million. The net proceeds were used, among other things, to fund the commercial expansion of the Company’s sales and research and development business units, and for general corporate purposes.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Officers</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Related-Party Transactions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April 5, 2024, we entered into securities purchase agreements with various investors, including members of our board of directors, certain members of the Company’s management team, including our Chief Executive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Officer, Chief Financial Officer and Chief Commercial Officer, for the issuance and sale by the Company of 760,857 shares of Series A Preferred Stock at a price of $46.00 per share. On April 5, 2024 we also entered into a registration rights agreement with such investors (the “April 2024 RRA”), pursuant to which the investors are entitled to certain resale registration rights with respect to shares of our common stock underlying the Series A Preferred Stock that will be held by such investors.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5" w:right="5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This prospectus covers the resale or other disposition from time to time by the Selling Stockholders identified in the table below of up to an aggregate of 30,434,280 shares of our Common Stock. The Selling Stockholders may from time to time offer and sell any or all of the Resale Shares set forth below pursuant to this prospectus and any accompanying prospectus supplement.</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April 5, 2024, we entered into the April 2024 SPAs, pursuant to which we sold 760,857 shares of our Series A Preferred Stock, which, subject to stockholder approval and certain beneficial ownership limitations set by each holder pursuant to the Series A Certificate of Designation, will automatically convert into 40 shares of Common Stock for each share of Series A Preferred Stock, for an aggregate of up to 30,434,280 shares of our common stock and an aggregate purchase price of $35.0 million. This prospectus covers the resale or other disposition by the Selling Stockholders or their pledgees, donees, transferees or other successors-in-interest that receive their shares after the date of this prospectus of up to the total number of shares of Common Stock issuable upon the conversion of the Series A Preferred Stock sold to the Selling Stockholders pursuant to the April 2024 SPAs. Throughout this prospectus, when we refer to the “Selling Stockholders,” we are referring to the purchasers under the April 2024 SPAs listed in the table below.</w:t>
      </w:r>
    </w:p>
    <w:p>
      <w:pPr>
        <w:spacing w:after="0" w:line="192"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14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position, office or other material relationship with us.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of the Selling Stockholders, the number of shares of our Common Stock owned by the Selling Stockholders, the number of shares of our Common Stock that may be offered under this prospectus and the number of shares of our Common Stock that will be owned after this offering by the Selling Stockholders assuming all of the shares registered for resale hereby are sold.</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other than as contemplated by the April 2024 RRA. The Resale Shares covered hereby may be offered from time to time by the Selling Stockholders, provided that Resale Shares issued upon conversion of Series A Preferred Stock may only be offered after such shares of Series A Preferred Stock are converted to Common Stock pursuant to the terms of the Series A Certificate of Designation.</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in our possession regarding the issuance of the Series A Preferred Stock and Private Placement Conversion Shares in connection with the Concurrent Private Placement. The percentages of Common Stock owned after the offering by each Selling Stockholder below are based on 114,685,542 shares of Common Stock outstanding as of April 9, 2024, and, for each Selling Stockholder, assumes the conversion of only the Series A Preferred Stock owned by such Selling Stockholder but not the Series A Preferred Stock owned by any other Selling Stockholder. The numbers of shares of Common Stock beneficially owned before and after the offering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presented in the table below do not give effect to any Beneficial Ownership Limitations with respect to the Series A Preferred Stock.</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 Offered</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21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 Beneficially</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1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to</w:t>
            </w:r>
          </w:p>
        </w:tc>
        <w:tc>
          <w:tcPr>
            <w:tcW w:w="2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10"/>
                <w:szCs w:val="10"/>
                <w:b w:val="1"/>
                <w:bCs w:val="1"/>
                <w:color w:val="auto"/>
              </w:rPr>
              <w:t>(1)</w:t>
            </w: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1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Owned After Offering</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tcBorders>
            <w:vMerge w:val="restart"/>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gridSpan w:val="3"/>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Telemark Fund, LP</w:t>
            </w:r>
            <w:r>
              <w:rPr>
                <w:rFonts w:ascii="Times New Roman" w:cs="Times New Roman" w:eastAsia="Times New Roman" w:hAnsi="Times New Roman"/>
                <w:sz w:val="24"/>
                <w:szCs w:val="24"/>
                <w:color w:val="auto"/>
                <w:vertAlign w:val="superscript"/>
              </w:rPr>
              <w:t>(3)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8,282,490</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5,217,360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3,065,130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Soleus Capital Master Fund, L.P.</w:t>
            </w:r>
            <w:r>
              <w:rPr>
                <w:rFonts w:ascii="Times New Roman" w:cs="Times New Roman" w:eastAsia="Times New Roman" w:hAnsi="Times New Roman"/>
                <w:sz w:val="25"/>
                <w:szCs w:val="25"/>
                <w:color w:val="auto"/>
                <w:vertAlign w:val="superscript"/>
              </w:rPr>
              <w: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6,086,964</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3,895,760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2,191,204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Farallon Capital Management, L.L.C.</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5,217,415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3,339,240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1,878,175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Sio</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4,347,855</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1,739,160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2,608,695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Opaleye, L.P.</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4,554,657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2,620,000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1,934,657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Monashee</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3,260,899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2,087,040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1,173,859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SilverArc</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3,031,113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1,947,880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1,083,233</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associated with AIGH Capital Management, LLC </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5,979,812</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1,669,640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4,310,172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Perceptive</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6,673,880</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2,173,880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4,500,000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CVI Investments, Inc.</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730,350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556,520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173,830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 Global Health LP</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343,703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116,280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227,423</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Lawrence T. Kennedy, Jr.</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25,601,216</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4,347,840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21,253,376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Matthew Strobeck</w:t>
            </w:r>
            <w:r>
              <w:rPr>
                <w:rFonts w:ascii="Times New Roman" w:cs="Times New Roman" w:eastAsia="Times New Roman" w:hAnsi="Times New Roman"/>
                <w:sz w:val="25"/>
                <w:szCs w:val="25"/>
                <w:color w:val="auto"/>
                <w:vertAlign w:val="superscript"/>
              </w:rPr>
              <w:t>(15)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6,019,840</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347,840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5,672,000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John Patience</w:t>
            </w:r>
            <w:r>
              <w:rPr>
                <w:rFonts w:ascii="Times New Roman" w:cs="Times New Roman" w:eastAsia="Times New Roman" w:hAnsi="Times New Roman"/>
                <w:sz w:val="25"/>
                <w:szCs w:val="25"/>
                <w:color w:val="auto"/>
                <w:vertAlign w:val="superscript"/>
              </w:rPr>
              <w:t>(16)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7,629,898</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217,400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7,412,498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 Schuler</w:t>
            </w:r>
            <w:r>
              <w:rPr>
                <w:rFonts w:ascii="Times New Roman" w:cs="Times New Roman" w:eastAsia="Times New Roman" w:hAnsi="Times New Roman"/>
                <w:sz w:val="25"/>
                <w:szCs w:val="25"/>
                <w:color w:val="auto"/>
                <w:vertAlign w:val="superscript"/>
              </w:rPr>
              <w:t>(17)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31,125,757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86,960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31,038,797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Scott Hutton</w:t>
            </w:r>
            <w:r>
              <w:rPr>
                <w:rFonts w:ascii="Times New Roman" w:cs="Times New Roman" w:eastAsia="Times New Roman" w:hAnsi="Times New Roman"/>
                <w:sz w:val="25"/>
                <w:szCs w:val="25"/>
                <w:color w:val="auto"/>
                <w:vertAlign w:val="superscript"/>
              </w:rPr>
              <w:t>(18)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1,528,360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26,120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1,502,240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Robin Harper Cowie</w:t>
            </w:r>
            <w:r>
              <w:rPr>
                <w:rFonts w:ascii="Times New Roman" w:cs="Times New Roman" w:eastAsia="Times New Roman" w:hAnsi="Times New Roman"/>
                <w:sz w:val="25"/>
                <w:szCs w:val="25"/>
                <w:color w:val="auto"/>
                <w:vertAlign w:val="superscript"/>
              </w:rPr>
              <w:t>(19)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555,315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542,235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Kieran O’Kane</w:t>
            </w:r>
            <w:r>
              <w:rPr>
                <w:rFonts w:ascii="Times New Roman" w:cs="Times New Roman" w:eastAsia="Times New Roman" w:hAnsi="Times New Roman"/>
                <w:sz w:val="25"/>
                <w:szCs w:val="25"/>
                <w:color w:val="auto"/>
                <w:vertAlign w:val="superscript"/>
              </w:rPr>
              <w:t>(20)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251,275</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13,080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238,195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 Springmeyer</w:t>
            </w:r>
            <w:r>
              <w:rPr>
                <w:rFonts w:ascii="Times New Roman" w:cs="Times New Roman" w:eastAsia="Times New Roman" w:hAnsi="Times New Roman"/>
                <w:sz w:val="25"/>
                <w:szCs w:val="25"/>
                <w:color w:val="auto"/>
                <w:vertAlign w:val="superscript"/>
              </w:rPr>
              <w:t>(21)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54,827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8,720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46,107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Robert Lunt</w:t>
            </w:r>
            <w:r>
              <w:rPr>
                <w:rFonts w:ascii="Times New Roman" w:cs="Times New Roman" w:eastAsia="Times New Roman" w:hAnsi="Times New Roman"/>
                <w:sz w:val="25"/>
                <w:szCs w:val="25"/>
                <w:color w:val="auto"/>
                <w:vertAlign w:val="superscript"/>
              </w:rPr>
              <w:t>(22)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66,049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57,329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Gary Pestano</w:t>
            </w:r>
            <w:r>
              <w:rPr>
                <w:rFonts w:ascii="Times New Roman" w:cs="Times New Roman" w:eastAsia="Times New Roman" w:hAnsi="Times New Roman"/>
                <w:sz w:val="25"/>
                <w:szCs w:val="25"/>
                <w:color w:val="auto"/>
                <w:vertAlign w:val="superscript"/>
              </w:rPr>
              <w:t>(23)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243,131</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242,251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Christopher Vazquez</w:t>
            </w:r>
            <w:r>
              <w:rPr>
                <w:rFonts w:ascii="Times New Roman" w:cs="Times New Roman" w:eastAsia="Times New Roman" w:hAnsi="Times New Roman"/>
                <w:sz w:val="26"/>
                <w:szCs w:val="26"/>
                <w:color w:val="auto"/>
                <w:vertAlign w:val="superscript"/>
              </w:rPr>
              <w:t>(24)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97,209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96,329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540" w:right="22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unless otherwise indicated, all persons named in the table above have sole voting and investment power with respect to their shares of Common Stock. Unless an address is provided below, the address for the holder is c/o Biodesix, Inc., 919 West Dillon Rd., Louisville, CO 80027.</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A Preferred Stock is prohibited from converting shares of Series A Preferred Stock into shares of Common Stock (i) prior to the affirmative vote of the shareholders of a majority of the then outstanding shares of the Series A Preferred Stock, or (ii) if, as a result of such conversion, such holder, together with its affiliates, would beneficially own more than a specified percentage (established by the holder between 0.00% and</w:t>
      </w:r>
    </w:p>
    <w:p>
      <w:pPr>
        <w:spacing w:after="0" w:line="2"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(the “Beneficial Ownership Limitation”) of the total number of shares of Common Stock issued and outstanding immediately after giving effect to such conversion.</w:t>
      </w:r>
    </w:p>
    <w:p>
      <w:pPr>
        <w:ind w:left="540" w:right="80" w:hanging="424"/>
        <w:spacing w:after="0" w:line="26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5,217,360 shares of Common Stock to be issuable upon the conversion of 130,434 shares of Series A Preferred Stock. Telemark Asset Management, LLC (“Telemark Asset Management”) is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8"/>
          <w:szCs w:val="18"/>
          <w:color w:val="auto"/>
        </w:rPr>
        <w:t>investment adviser of Telemark Fund, LP (“Telemark Fund”). Colin McNay is the President and sole owner of Telemark Asset Management. He disclaims beneficial ownership of any of the shares of Common Stock held by Telemark Fund except to the extent of his pecuniary interest therein. The address of the foregoing entities is One International Place, Suite 4620 Boston MA, 02110.</w:t>
      </w:r>
    </w:p>
    <w:p>
      <w:pPr>
        <w:spacing w:after="0" w:line="1" w:lineRule="exact"/>
        <w:rPr>
          <w:sz w:val="20"/>
          <w:szCs w:val="20"/>
          <w:color w:val="auto"/>
        </w:rPr>
      </w:pPr>
    </w:p>
    <w:p>
      <w:pPr>
        <w:ind w:left="540" w:right="2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3,895,760 shares of Common Stock issuable upon the conversion of 97,394 shares of Series A Preferred Stock to be held directly by Soleus Capital Master Fund, L.P. (“Master Fund”). Soleus Capital, LLC (“Soleus Capital”) is the sole general partner of Master Fund and thus holds voting and dispositive power over the shares held by Master Fund. Soleus Capital Group, LLC (“SCG”) is the sole managing member of Soleus Capital. Guy Levy is the sole managing member of SCG. Each of SCG, Soleus Capital and Mr. Guy Levy disclaims beneficial ownership of these securities held by the Master Fund, except to the extent of his or their respective pecuniary interests therein. The address for Master Fund and Soleus Capital is 104 Field Point Road, 2nd Floor, Greenwich, CT, 06830. The Common Stock held by Master Fund issuable upon conversion of the shares of Series A Preferred Stock are subject to a Beneficial Ownership Limitation of 9.99%.</w:t>
      </w:r>
    </w:p>
    <w:p>
      <w:pPr>
        <w:spacing w:after="0" w:line="2" w:lineRule="exact"/>
        <w:rPr>
          <w:rFonts w:ascii="Times New Roman" w:cs="Times New Roman" w:eastAsia="Times New Roman" w:hAnsi="Times New Roman"/>
          <w:sz w:val="18"/>
          <w:szCs w:val="18"/>
          <w:color w:val="auto"/>
        </w:rPr>
      </w:pPr>
    </w:p>
    <w:p>
      <w:pPr>
        <w:ind w:left="540" w:right="180" w:hanging="424"/>
        <w:spacing w:after="0" w:line="265" w:lineRule="auto"/>
        <w:tabs>
          <w:tab w:leader="none" w:pos="5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that are the subject of this resale registration statement are the shares of Common Stock issuable to the Farallon Funds (as defined below) upon the conversion of the shares of Series A Preferred Stock currently held by the Farallon Funds. Such shares of Series A Preferred Stock currently are held, and upon such conversion such shares of Common Stock will be held, directly by the Farallon Funds as follows:</w:t>
      </w:r>
    </w:p>
    <w:p>
      <w:pPr>
        <w:ind w:left="540" w:right="20" w:firstLine="8"/>
        <w:spacing w:after="0" w:line="265" w:lineRule="auto"/>
        <w:tabs>
          <w:tab w:leader="none" w:pos="755"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Farallon Capital Partners, L.P. (“FCP”) currently holds 17,089 shares of Series A Preferred Stock convertible into 683,560 shares of Common Stock; (ii) Farallon Capital Institutional Partners, L.P. (“FCIP”) currently holds 14,926 shares of Series A Preferred Stock convertible into 597,040 shares of Common Stock; (iii) Farallon Capital Institutional Partners II, L.P. (“FCIP II”) currently holds 3,840 shares of Series A Preferred Stock convertible into 153,600 shares of Common Stock; (iv) Farallon Capital Institutional Partners III, L.P. (“FCIP III”) currently holds 735 shares of Series A Preferred Stock convertible into 29,400 shares of Common Stock; (v) Four Crossings Institutional Partners V, L.P. (“FCIP V”) currently holds 2,772 shares of Series A Preferred Stock convertible into 110,880 shares of Common Stock; (vi) Farallon Capital Offshore Investors II, L.P. (“FCOI II”) currently holds 32,290 shares of Series A Preferred Stock convertible into 1,291,600 shares of Common Stock; (vii) Farallon Capital (AM) Investors, L.P. (“FCAMI”) currently holds 2,120 shares of Series A Preferred Stock convertible into 84,800 shares of Common Stock; and</w:t>
      </w:r>
    </w:p>
    <w:p>
      <w:pPr>
        <w:spacing w:after="0" w:line="1" w:lineRule="exact"/>
        <w:rPr>
          <w:rFonts w:ascii="Times New Roman" w:cs="Times New Roman" w:eastAsia="Times New Roman" w:hAnsi="Times New Roman"/>
          <w:sz w:val="17"/>
          <w:szCs w:val="17"/>
          <w:color w:val="auto"/>
        </w:rPr>
      </w:pPr>
    </w:p>
    <w:p>
      <w:pPr>
        <w:ind w:left="540" w:firstLine="8"/>
        <w:spacing w:after="0" w:line="251" w:lineRule="auto"/>
        <w:tabs>
          <w:tab w:leader="none" w:pos="94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Farallon Capital F5 Master I, L.P. (“F5MI” and, together with FCP, FCIP, FCIP II, FCIP III, FCIP V, FCOI II and FCAMI, the “Farallon Funds”) currently holds 9,709 shares of Series A Preferred Stock convertible into 388,360 shares of Common Stock. Farallon Partners, L.L.C. (the “Farallon General Partner”), as the general partner of each of FCP, FCIP, FCIP II, FCIP III, FCOI II and FCAMI, may be deemed a beneficial owner, upon their issuance, of the shares of Common Stock issuable upon the conversion of the Series A Preferred Stock currently held by FCP, FCIP, FCIP II, FCIP III, FCOI II and FCAMI. Farallon Institutional (GP) V, L.L.C. (the “FCIP V General Partner”), as the general partner of FCIP V, may be deemed a beneficial owner, upon their issuance, of the shares of Common Stock issuable upon the conversion of the Series A Preferred Stock currently held by FCIP V. Farallon F5 (GP), L.L.C. (the “F5MI General Partner”), as the general partner of F5MI, may be deemed a beneficial owner, upon their issuance, of the shares of Common Stock issuable upon the conversion of the Series A Preferred Stock currently held by F5MI. Each of Joshua J. Dapice, Philip D. Dreyfuss, Hannah E. Dunn, Richard B. Fried, Varun N. Gehani, Nicolas Giauque, David T. Kim, Michael G. Linn, Rajiv A. Patel, Thomas G. Roberts, Jr., Edric C. Saito, William Seybold, Daniel S. Short, Andrew J. M. Spokes, John R. Warren and Mark C. Wehrly (collectively, the “Farallon Managing Members”), as a senior managing member or managing member, as the case may be, of the Farallon General Partner, and a senior manager or manager, as the case may be, of the FCIP V General Partner and the F5MI General Partner, in each case with the power to exercise investment discretion, may be deemed a beneficial owner, upon their issuance, of all such shares of Common Stock issuable upon the conversion of the Series A Preferred Stock currently held by the Farallon Funds. Each of the Farallon General Partner, the FCIP V General Partner, the F5MI General Partner, and the Farallon Managing Members hereby disclaims any beneficial ownership of any such shares. The address of each of the entities and individuals referenced in this note is c/o Farallon Capital Management, L.L.C., One Maritime Plaza, Suite 2100, San Francisco, CA 94111. The number of shares of Common Stock issuable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0"/>
        <w:spacing w:after="0" w:line="261" w:lineRule="auto"/>
        <w:rPr>
          <w:sz w:val="20"/>
          <w:szCs w:val="20"/>
          <w:color w:val="auto"/>
        </w:rPr>
      </w:pPr>
      <w:r>
        <w:rPr>
          <w:rFonts w:ascii="Times New Roman" w:cs="Times New Roman" w:eastAsia="Times New Roman" w:hAnsi="Times New Roman"/>
          <w:sz w:val="18"/>
          <w:szCs w:val="18"/>
          <w:color w:val="auto"/>
        </w:rPr>
        <w:t>the Farallon Funds upon conversion of the Series A Preferred Stock currently held by the Farallon Funds is subject to a Beneficial Ownership Limitation of 9.99%.</w:t>
      </w:r>
    </w:p>
    <w:p>
      <w:pPr>
        <w:ind w:left="540" w:right="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1,095,680 shares of Common Stock issuable upon the conversion of 27,392 shares of Series A Preferred Stock held by Sio Partners LP (“Partners”) and (ii) 643,480 shares of Common Stock issuable upon the conversion of 16,087 shares of Series A Preferred Stock held by Sio Partners Offshore, Ltd. (“Offshore”). Sio GP LLC is the General Partner of Partners. Sio Capital Management, LLC (“Sio Management”) is the investment manager of Partners and Offshore, and Michael Castor is the sole owner and Managing Member of Sio Management and Sio GP LLC. Sio Management, Sio GP LLC, and Mr. Castor may be deemed to beneficially own the securities held by Partners and Offshore. Each of Sio Management, Sio GP LLC, and Mr. Castor disclaim beneficial ownership of any of the shares of our Common Stock they may be deemed to beneficially own except to the extent of their respective pecuniary interest therein. The address for Sio Management, Sio GP LLC, Mr. Castor, Partners, and Offshore is 600 Third Avenue, New York, New York 10016.</w:t>
      </w:r>
    </w:p>
    <w:p>
      <w:pPr>
        <w:spacing w:after="0" w:line="3"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4,554,657 shares held of record by Opaleye Management Inc. including 2,620,000 shares of Common Stock issuable upon the conversion of 65,500 shares of Series A Preferred Stock. Opaleye Management Inc. is an investment manager for Opaleye L.P. and James Silverman is the President of Opaleye Management Inc. Mr. Silverman shares voting and investment power with respect to the shares held by Opaleye, L.P. The address for Opaleye L.P. is Attention: James Silverman, One Boston Place, 26th Floor, Boston, MA 02108.</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2,087,040 shares of common stock issuable upon the conversion of 52,176 shares of Series A Preferred Stock held collectively by (i) BEMAP Master Fund LTD (“BEMAP”), (ii) Mission Pure Alpha LP (“Mission”), (iii) Monashee Pure Alpha SPV I LP (“Pure Alpha”) and (iv) Blackstone CSP-MST FMAP Fund (“FMAP”), which are managed by Monashee Investment Management, LLC (“Monashee Management”). Jeff Muller is CCO of Monashee Management and has voting and investment control over Monashee Management and, accordingly, may be deemed to have beneficial ownership of the shares held by BEMAP, Pure Alpha, Mission, and FMAP. Jeff Muller, however, disclaims any beneficial ownership of the shares held by these entities. The address of, BEMAP, Pure Alpha, Mission, FMAP and Mr. Muller is c/o Monashee Investment Management, LLC, 75 Park Plaza, 4th Floor, Boston, Massachusetts 02116.</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64,080 shares of Common Stock issuable upon the conversion of 1,602 shares of Series A Preferred Stock held by SilverArc Capital Alpha Fund I, L.P. (“SilverArc Fund I”), (ii) 1,390,400 shares of Common Stock issuable upon the conversion of 34,760 shares of Series A Preferred Stock held by SilverArc Capital Alpha Fund II, L.P. (“SilverArc Fund II”) and (iii) 493,400 shares of Common Stock issuable upon the conversion of 12,335 shares of Series A Preferred Stock held by Squarepoint Diversified Partners Fund Limited (“Squarepoint”). SilverArc Capital Management, LLC is the controlling entity of SilverArc Fund I, SilverArc Fund II and Squarepoint, and is solely owned by Devesh Gandhi, or Mr. Gandhi. Mr. Gandhi may be deemed to have shared voting and investment power of the securities managed by SilverArc Capital Management, LLC. Mr. Gandhi disclaims beneficial ownership of such securities, except to the extent of his pecuniary interest therein. The address of these persons and entities is 20 Park Plaza, 4th Floor, Boston, MA 02116.</w:t>
      </w:r>
    </w:p>
    <w:p>
      <w:pPr>
        <w:spacing w:after="0" w:line="3" w:lineRule="exact"/>
        <w:rPr>
          <w:rFonts w:ascii="Times New Roman" w:cs="Times New Roman" w:eastAsia="Times New Roman" w:hAnsi="Times New Roman"/>
          <w:sz w:val="18"/>
          <w:szCs w:val="18"/>
          <w:color w:val="auto"/>
        </w:rPr>
      </w:pPr>
    </w:p>
    <w:p>
      <w:pPr>
        <w:ind w:left="540" w:right="180" w:hanging="424"/>
        <w:spacing w:after="0" w:line="25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1,243,800 shares of Common Stock issuable upon the conversion of 31,095 shares of Series A Preferred Stock held by AIGH Investment Partners, LP (“AIGH LP”); (ii) 330,440 shares of Common Stock issuable upon the conversion of 8,261 shares of Series A Preferred Stock held by WVP Emerging Manager Onshore Fund, LLC—AIGH Series (“Onshore – AIGH”); and (iii) 95,400 shares of Common Stock issuable upon the conversion of 2,385 shares of Series A Preferred Stock held by WVP Emerging Manager Onshore Fund, LLC—Optimized Equity Series (“Onshore – Optimized Equity”). AIGH Capital Management, LLC serves as an advisor or sub-advisor with respect to shares securities held by AIGH LP, Onshore—AIGH and Onshore—Optimized Equity. Orin Hirschman is the Managing Member of AIGH Capital Management, LLC (“AIGH CM”). The address of AIGH CM, AIGH LP, Onshore—AIGH and Onshore—Optimized Equity is 6006 Berkeley Avenue, Baltimore, MD 21209. The shares of Common Stock issuable upon conversion of the shares of Series A Preferred Stock held by AIGH LP, Onshore—AIGH and Onshore—Optimized Equity are each subject to a Beneficial Ownership Limitation of 4.99%.</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54"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1,036,560 shares of Common Stock issued upon the conversion of 25,914 shares of Series A Preferred Stock held by Perceptive Credit Holdings IV, LP (“Perceptive Credit”) and (ii) 1,137,320 shares of Common Stock issued upon the conversion of 28,433 shares of Series A Preferred Stock held by PCOF EQ AIV IV, LP (“PCOF”). The address of Perceptive Credit and PCOF is 51 Astor Place, 10th Floor, New York, NY 10003. The shares of Common Stock issuable upon conversion of the shares of Series A Preferred Stock held by Perceptive Credit and PCOF are subject to a Beneficial Ownership Limitation of 9.9%.</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556,520 shares of Common Stock issued upon the conversion of 13,913 shares of Series A Preferred Stock held by CVI Investments, Inc. Heights Capital Management, Inc. (“Heights”),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Investments, Inc.is affiliated with one or more FINRA members, none of whom are currently expected to participate in any sale pursuant to the prospectus contained in this registration statement. The address for CVI and Heights is 101 California Street, Suite 3250, San Francisco, CA 94111. The shares of Common Stock issuable upon conversion of the shares of Series A Preferred Stock held by CVI are subject to a Beneficial Ownership Limitation of 4.99%.</w:t>
      </w:r>
    </w:p>
    <w:p>
      <w:pPr>
        <w:spacing w:after="0" w:line="3"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116,280 shares of Common Stock issued upon the conversion of 2,907 shares of Series A Preferred Stock held by ST Global Health LP (“ST Global”). The address for ST Global is 66 West Flagler Street—Suite 900, Miami, FL 33130.</w:t>
      </w:r>
    </w:p>
    <w:p>
      <w:pPr>
        <w:ind w:left="540" w:right="2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9,582,783 shares of Common Stock held by Lawrence T. Kennedy, Jr. Revocable Trust UAD 6/19/01 and as amended from time to time, (ii) 10,528,753 shares of Common Stock held by Lawrence T. Kennedy, Jr. Perpetuity Trust UAD 6/30/16, (iii) 166,666 shares of Common Stock held by KFDI-B LLC, (iv) 722,041 shares of Common Stock held by Lair BDSX GRAT 2022-03-02, (v) 4,347,840 shares of Common Stock issuable upon the conversion of 108,696 shares of Series A Preferred Stock and (vi) RSUs representing the right to receive 253,133 shares of Common Stock that will vest within 60 days of April 9, 2024 and be deferred under the Director Deferred Compensation Plan. Mr. Kennedy, Jr. is a director of the Company.</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2,542,928 shares of Common Stock held by Dr. Strobeck, (ii) 2,275,199 shares of Common Stock held by Birchview Fund LLC,</w:t>
      </w:r>
    </w:p>
    <w:p>
      <w:pPr>
        <w:spacing w:after="0" w:line="9" w:lineRule="exact"/>
        <w:rPr>
          <w:rFonts w:ascii="Times New Roman" w:cs="Times New Roman" w:eastAsia="Times New Roman" w:hAnsi="Times New Roman"/>
          <w:sz w:val="18"/>
          <w:szCs w:val="18"/>
          <w:color w:val="auto"/>
        </w:rPr>
      </w:pPr>
    </w:p>
    <w:p>
      <w:pPr>
        <w:ind w:left="540" w:right="40" w:firstLine="8"/>
        <w:spacing w:after="0" w:line="250" w:lineRule="auto"/>
        <w:tabs>
          <w:tab w:leader="none" w:pos="8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33,513 shares of Common Stock held by Birchview Capital Separately Managed Account, (iv) 40,665 shares of Common Stock held by Clajer Capital LLC, (v) 119,003 shares of Common Stock held in each of four UTMA accounts (for an aggregate amount of 476,012 shares), (vi) 347,840 shares of Common Stock issuable upon the conversion of 8,696 shares of Series A Preferred Stock, (vii) 11,717 shares of Common Stock issuable upon the exercise of options that are vested and exercisable within 60 days of April 9, 2024 and (viii) RSUs representing the right to receive 291,966 shares of Common Stock that will vest within 60 days of April 9, 2024 and be deferred under the Director Deferred Compensation Plan until separation from service to the Company. Dr. Strobeck is a director of the Company.</w:t>
      </w:r>
    </w:p>
    <w:p>
      <w:pPr>
        <w:spacing w:after="0" w:line="2" w:lineRule="exact"/>
        <w:rPr>
          <w:rFonts w:ascii="Times New Roman" w:cs="Times New Roman" w:eastAsia="Times New Roman" w:hAnsi="Times New Roman"/>
          <w:sz w:val="18"/>
          <w:szCs w:val="18"/>
          <w:color w:val="auto"/>
        </w:rPr>
      </w:pPr>
    </w:p>
    <w:p>
      <w:pPr>
        <w:ind w:left="540" w:right="200" w:hanging="424"/>
        <w:spacing w:after="0" w:line="265" w:lineRule="auto"/>
        <w:tabs>
          <w:tab w:leader="none" w:pos="5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337,926 shares of Common Stock held directly by John Patience, (ii) 2,078,298 shares of Common Stock held by Patience Enterprises LP, (iii) 4,612,211 shares of Common Stock held by John Patience Living Trust, dated July 23, 1993, (iv) 52,988 shares of Common Stock held by Diane Patience, (v) 217,400 shares of Common Stock issuable upon the conversion of 5,435 shares of Series A Preferred Stock,</w:t>
      </w:r>
    </w:p>
    <w:p>
      <w:pPr>
        <w:ind w:left="540" w:right="80" w:firstLine="8"/>
        <w:spacing w:after="0" w:line="250"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46,102 shares of Common Stock issuable upon the exercise of options held by Mr. Patience that are vested and exercisable within 60 days of April 9, 2024, and (viii) RSUs representing the right to receive 284,973 shares of Common Stock that will vest within 60 days of April 9, 2024 and be deferred under the Director Deferred Compensation Plan until separation from service to the Company. Mr. Patience is a director of the Company.</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30,707,722 shares of Common Stock held by Jack W. Schuler Living Trust, (ii) 86,960 shares of Common Stock issuable upon the conversion of 2,174 shares of Series A Preferred Stock, (iii) 46,102 shares of Common Stock issuable upon the exercise of options held by</w:t>
      </w:r>
    </w:p>
    <w:p>
      <w:pPr>
        <w:ind w:left="54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Schuler that are vested and exercisable within 60 days of April 9, 2024 and (iv) RSUs held by Mr. Schuler representing the right to receive 284,973 shares of Common Stock that will vest within 60 days of April 9, 2024 and be deferred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 the Director Deferred Compensation Plan until separation from service to the Company. Mr. Schuler is a director of the Company.</w:t>
      </w:r>
    </w:p>
    <w:p>
      <w:pPr>
        <w:spacing w:after="0" w:line="27" w:lineRule="exact"/>
        <w:rPr>
          <w:sz w:val="20"/>
          <w:szCs w:val="20"/>
          <w:color w:val="auto"/>
        </w:rPr>
      </w:pPr>
    </w:p>
    <w:p>
      <w:pPr>
        <w:ind w:left="540" w:right="20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475,332 shares of Common Stock held by Mr. Hutton, (ii) 26,120 shares of Common Stock issuable upon the conversion of 653 shares of Series A Preferred Stock, (iii) 1,014,696 shares of Common Stock issuable upon the exercise of options held by Mr. Hutton that are vested and exercisable within 60 days of April 9, 2024 and (iv) RSUs representing the right to receive 12,212 shares of Common Stock that will vest within 60 days of April 9, 2024. Mr. Hutton is the President and Chief Executive Officer of the Company and a director.</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169,503 shares of Common Stock held by Ms. Harper Cowie, (ii) 13,080 shares of Common Stock issuable upon the conversion of 327 shares of Series A Preferred Stock, (iii) 369,575 shares of Common Stock issuable upon the exercise of options held by Ms. Harper Cowie that are vested and exercisable within 60 days of April 9, 2024 and (iv) RSUs representing the right to receive 3,157 shares of Common Stock that will vest within 60 days of April 9, 2024. Ms. Harper Cowie is the Chief Financial Officer of the Company.</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74,503 shares of Common Stock held by Mr. O’Kane, (ii) 13,080 shares of Common Stock issuable upon the conversion of 327 shares of Series A Preferred Stock, (iii) 162,203 shares of Common Stock issuable upon the exercise of options held by Kieran O’Kane that are vested and exercisable within 60 days of April 9, 2024 and (iv) RSUs representing the right to receive 1,489 shares of Common Stock that will vest within 60 days of April 9, 2024. Mr. O’Kane is the Chief Commercial Officer of the Company.</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45,967 shares of Common Stock held by Dr. Springmeyer, (ii) 8,720 shares of Common Stock issuable upon the conversion of 218 shares of Series A Preferred Stock and (iii) 140 shares of Common Stock issuable upon the exercise of options held by Dr. Springmeyer that are vested and exercisable within 60 days of April 9, 2024. Dr. Springmeyer is Co-Chief Medical Officer of the Company.</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31,109 shares of Common Stock held by Mr. Lunt, (ii) 8,720 shares of Common Stock issuable upon the conversion of 218 shares of Series A Preferred Stock and (iii) 26,220 shares of Common Stock issuable upon the exercise of options held by Mr. Lunt that are vested and exercisable within 60 days of April 9, 2024. Mr. Lunt is the Senior Director of Marketing of the Company.</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123,304 shares of Common Stock held by Mr. Pestano, (ii) 880 shares of Common Stock issuable upon the conversion of 22 shares of Series A Preferred Stock, (iii) 117,569 shares of Common Stock issuable upon the exercise of options held by Mr. Pestano that are vested and exercisable within 60 days of April 9, 2024 and (iv) RSUs representing the right to receive 1,378 shares of Common Stock that will vest within 60 days of April 9, 2024. Mr. Pestano is the Chief Development Officer of the Company.</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9,558 shares of Common Stock held by Mr. Vazquez, (ii) 880 shares of Common Stock issuable upon the conversion of 22 shares of Series A Preferred Stock, (iii) 86,170 shares of Common Stock issuable upon the exercise of options held by Mr. Vazquez that are vested and exercisable within 60 days of April 9, 2024 and (iv) RSUs representing the right to receive 601 shares of Common Stock that will vest within 60 days of April 9, 2024. Mr. Vazquez is the Chief Accounting Officer of the Company.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Pursuant to the terms of our April 2024 RRA, we agreed to prepare and file with the SEC a registration statement that permits the resale or other disposition of the Selling Stockholders’ shares of Common Stock issued upon conversion of the Series A Preferred Stock issued to such Selling Stockholders pursuant to the April 2024 SPAs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April 2024 RRA). This registration statement is being filed in order to satisfy our obligations under the April 2024 RRA.</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also agreed, among other things, to indemnify the Selling Stockholders and each of their respective officers, directors, members, employees, partners, managers, stockholders, affiliates, investment advisors and agents, each person who controls any such Selling Stockholder and the officers, directors, members, employees, partners, managers, stockholders, affiliates, investment advisors and agents of each such controlling person from certain liabilities and pay all fees and expenses (excluding any legal fees of the selling holder(s), and any underwriting discounts and selling commissions) incident to our obligations under the April 2024 RRA.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registering the Resale Shares issued to the Selling Stockholders to permit the sale, transfer or other disposition of these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 In the event that a Selling Stockholder elects to sell its Resale Shares through an underwritten offering on a firm commitment or best efforts basis, we will amend the registration statement to which this prospectus relates to disclose all relevant and material information regarding such offering and sale.</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Selling Stockholders may sell all or a portion of the Resale Shares beneficially owned by them and offered hereby from time to time, and in the case of the Private Placement Conversion Shares, may only be offered after such shares are converted to Common Stock pursuant to the terms of the Series A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100"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Stockholders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that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as permitted by that rule, or Section 4(a)(1) under the Securities Act, if available, rather than under this prospectus, provided that they meet the criteria and conform to the requirements of those provisions.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17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concessions allowed to such broker-dealer(s), where applicable, (v) that such broker-dealer(s) did not conduct any investigation to verify the information set out in this prospectus, and (vi) other facts material to the transaction.</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shelf registration statement, of which this prospectus forms a part.</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18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pursuant to the April 2024 RRA,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April 2024 RRA, or the Selling Stockholders will be entitled to contribution. We may be indemnified by the Selling Stockholders against certain civil liabilities set forth in the April 2024 RRA,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$0.001 par value per share, and 5,000,000 shares of preferred stock (“Preferred Stock”), of which 760,857 shares have been designated as Series A Preferred Stock, $0.001 par value per share.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there were 96,253,883 shares of our Common Stock outstanding.</w:t>
      </w:r>
    </w:p>
    <w:p>
      <w:pPr>
        <w:spacing w:after="0" w:line="225" w:lineRule="exact"/>
        <w:rPr>
          <w:sz w:val="20"/>
          <w:szCs w:val="20"/>
          <w:color w:val="auto"/>
        </w:rPr>
      </w:pPr>
    </w:p>
    <w:p>
      <w:pPr>
        <w:ind w:left="120" w:right="640"/>
        <w:spacing w:after="0" w:line="289" w:lineRule="auto"/>
        <w:rPr>
          <w:sz w:val="20"/>
          <w:szCs w:val="20"/>
          <w:color w:val="auto"/>
        </w:rPr>
      </w:pPr>
      <w:r>
        <w:rPr>
          <w:rFonts w:ascii="Times New Roman" w:cs="Times New Roman" w:eastAsia="Times New Roman" w:hAnsi="Times New Roman"/>
          <w:sz w:val="17"/>
          <w:szCs w:val="17"/>
          <w:color w:val="auto"/>
        </w:rPr>
        <w:t>The following description summarizes the most important terms of our capital stock. Because it is only a summary, it does not contain all the information that may be important to you. For a complete description, you should refer to our Certificate of Incorporation (the “Certificate of Incorporation”) and Bylaws (the “Bylaws”), which are included as exhibits to this prospectus, and to the applicable provisions of Delaware law.</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per share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All other matters brought before any meeting of stockholders shall be decided by the affirmative vote of the holders of a majority of the voting power of the Company’s capital stock present in person or by proxy at the meeting and entitled to vote on such matter, voting as a single class. Our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11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Upon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Preferred Stock may be issued from time to time in one or more series. Our Board is authorized to fix the voting rights, if any, designations, powers, preferences and relative, participating, optional, special and other rights, if any, of the shares of each series,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any qualifications, limitations or restrictions thereof. Our Board may, without stockholder approval, issue Preferred Stock with voting and other rights that could adversely affect the voting power or other rights of the holders of our Common Stock and could have anti-takeover effects. The ability of our Board to issue Preferred Stock without stockholder approval could have the effect of delaying, deferring or preventing a change in control of our company or removal of existing management. We have no current plan to issue any shares of Preferred Stock other than the shares of our Series A Preferred Stock issued in connection with the April 2024 Transactions.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Holders of Series A Preferred Stock are entitled to receive dividends on shares of Series A Preferred Stock equal to, on an as-if-converted-to-common-stock basis, and in the same form as dividends actually paid on shares of our Common Stock. Except as provided in the Series A Certificate of Designation or as otherwise required by law,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or alter or amend the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(the “Series A Conversion Proposal”) or at any time while at least 30% of the originally issued Series A Preferred Stock remains issued and outstanding, consummate (x) any Fundamental Transaction (as defined in the Series A Certificate of Designation) or (y)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or (d) enter into any agreement with respect to any of the foregoing. The Series A Preferred Stock does not have a preference upon any liquidation, dissolution or winding-up of the Company.</w:t>
      </w:r>
    </w:p>
    <w:p>
      <w:pPr>
        <w:spacing w:after="0" w:line="19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Following stockholder approval of the Series A Conversion Proposal, each share of Series A Preferred Stock will automatically convert into 40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(established by the holder between 0% and 19.99%) of the total number of shares of Common Stock issued and outstanding immediately after giving effect to such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Holders of our Series A Preferred Stock are entitled to certain rights with respect to the registration of such securities as further provided under the heading “Selling Stockholders—Registration Rights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the Company’s Certificate of Incorporation and Bylaws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5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Bylaw Provisions</w:t>
      </w:r>
    </w:p>
    <w:p>
      <w:pPr>
        <w:spacing w:after="0" w:line="121"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Directors Removed Only for Cause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remove directors only for cause.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Supermajority Requirements for Amendments of Our Amended and Restated Certificate of Incorporation and Bylaws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may not take action by written consent, but may only take action at annual or special meetings of our stockholders. As a result, holders of our capital stock are not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93"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proposing persons;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ownership by the proposing persons of our capital stock and any derivative interest or short interest in any of our securities held by the proposing persons;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any material relationships and interest between the proposing persons and us, any of our affiliates and any of our principal competitors;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Board has the authority, without further action by the stockholders, to issue up to 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DGCL or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court for the District of Delaware)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Sidley Austin LLP, San Francisco, California. Partners of Sidley Austin LLP own less than 1% of our outstanding Common Stock. Additional legal matters may be passed upon for us or any underwriters, dealers or agents, by counsel that we will name in the applicable prospectus supplement.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5"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2023 and 2022,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40"/>
          </w:cols>
          <w:pgMar w:left="320" w:top="455" w:right="6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88"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87"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0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w:t>
      </w:r>
      <w:hyperlink r:id="rId208">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April 9, 2024;</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20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April 12, 2023; and</w:t>
      </w:r>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210">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October 26, 2020.</w:t>
      </w:r>
    </w:p>
    <w:p>
      <w:pPr>
        <w:spacing w:after="0" w:line="225" w:lineRule="exact"/>
        <w:rPr>
          <w:rFonts w:ascii="Times New Roman" w:cs="Times New Roman" w:eastAsia="Times New Roman" w:hAnsi="Times New Roman"/>
          <w:sz w:val="18"/>
          <w:szCs w:val="18"/>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the applicable prospectus supplement and any previously filed documents.</w:t>
      </w:r>
    </w:p>
    <w:p>
      <w:pPr>
        <w:spacing w:after="0" w:line="180"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3"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919 West Dillon Rd.</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(303) 417 0500</w:t>
      </w:r>
    </w:p>
    <w:p>
      <w:pPr>
        <w:spacing w:after="0" w:line="207"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above) is not incorporated by reference into this prospectus or any applicable prospectus supplement and you should not consider it a part of this prospectus, any applicable prospectus supplement, or the registration statement.</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643890</wp:posOffset>
            </wp:positionV>
            <wp:extent cx="1954530" cy="3683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1954530" cy="3683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30,434,280 Shares of Common Stock</w:t>
      </w:r>
    </w:p>
    <w:p>
      <w:pPr>
        <w:spacing w:after="0" w:line="2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2981960</wp:posOffset>
            </wp:positionV>
            <wp:extent cx="1474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expenses payable by us in connection with the issuance and distribution of the securities being registered hereunder on Form S-1 (other than underwriting discounts and commissions, if any) are set forth below. The Selling Stockholders will not bear any portion of such expenses. Each item listed is estimated, except for the SEC registration fee:</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5,435</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4,565</w:t>
            </w: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260,000</w:t>
            </w:r>
          </w:p>
        </w:tc>
        <w:tc>
          <w:tcPr>
            <w:tcW w:w="60" w:type="dxa"/>
            <w:vAlign w:val="bottom"/>
          </w:tcPr>
          <w:p>
            <w:pPr>
              <w:spacing w:after="0"/>
              <w:rPr>
                <w:sz w:val="19"/>
                <w:szCs w:val="19"/>
                <w:color w:val="auto"/>
              </w:rPr>
            </w:pPr>
          </w:p>
        </w:tc>
      </w:tr>
    </w:tbl>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8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underwriting agreement, to be filed by an amendment to this registration statement, will provide for indemnification of us and our directors and officers by the underwriters against certain liabilities under the Securities Act and the Exchange Act.</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On April 5, 2024, we entered into the April 2024 SPAs, pursuant to which we sold 760,857 shares of our Series A Preferred Stock, which will automatically convert into 40 shares of Common Stock for each share of Series A Preferred Stock, subject to stockholder approval and certain beneficial ownership limitations set by each holder, pursuant to the Series A Certificate of Designation, at an aggregate purchase price of $35.0 million. The Private Placement Preferred Shares were offered and sold in transactions exempt from registration under the Securities Act, in reliance on Section 4(a)</w:t>
      </w:r>
    </w:p>
    <w:p>
      <w:pPr>
        <w:spacing w:after="0" w:line="3" w:lineRule="exact"/>
        <w:rPr>
          <w:sz w:val="20"/>
          <w:szCs w:val="20"/>
          <w:color w:val="auto"/>
        </w:rPr>
      </w:pPr>
    </w:p>
    <w:p>
      <w:pPr>
        <w:ind w:left="120" w:right="80" w:hanging="4"/>
        <w:spacing w:after="0" w:line="253"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w:t>
      </w:r>
    </w:p>
    <w:p>
      <w:pPr>
        <w:spacing w:after="0" w:line="21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252" w:lineRule="exact"/>
        <w:rPr>
          <w:sz w:val="20"/>
          <w:szCs w:val="20"/>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420" w:type="dxa"/>
            <w:vAlign w:val="bottom"/>
            <w:gridSpan w:val="19"/>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3.1**</w:t>
            </w:r>
          </w:p>
        </w:tc>
        <w:tc>
          <w:tcPr>
            <w:tcW w:w="640" w:type="dxa"/>
            <w:vAlign w:val="bottom"/>
          </w:tcPr>
          <w:p>
            <w:pPr>
              <w:spacing w:after="0"/>
              <w:rPr>
                <w:sz w:val="22"/>
                <w:szCs w:val="22"/>
                <w:color w:val="auto"/>
              </w:rPr>
            </w:pPr>
          </w:p>
        </w:tc>
        <w:tc>
          <w:tcPr>
            <w:tcW w:w="9800" w:type="dxa"/>
            <w:vAlign w:val="bottom"/>
            <w:gridSpan w:val="22"/>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Amended and Restated Certificate of Incorporation of Biodesix, Inc., dated October 30, 2020 (incorporated by reference to Exhibit 3.1</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to the Company’s Quarterly Report on Form 10-Q filed with the SEC on December 10, 2020).</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3.2**</w:t>
            </w:r>
          </w:p>
        </w:tc>
        <w:tc>
          <w:tcPr>
            <w:tcW w:w="64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Amended and Restated Bylaws of Biodesix, Inc. (incorporated by reference to Exhibit 3.2 to the Company’s Quarterly Report on Form</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10-Q filed with the SEC on October 12, 2020).</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3.3**</w:t>
            </w:r>
          </w:p>
        </w:tc>
        <w:tc>
          <w:tcPr>
            <w:tcW w:w="640" w:type="dxa"/>
            <w:vAlign w:val="bottom"/>
          </w:tcPr>
          <w:p>
            <w:pPr>
              <w:spacing w:after="0"/>
              <w:rPr>
                <w:sz w:val="24"/>
                <w:szCs w:val="24"/>
                <w:color w:val="auto"/>
              </w:rPr>
            </w:pPr>
          </w:p>
        </w:tc>
        <w:tc>
          <w:tcPr>
            <w:tcW w:w="9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Certificate of Designation for the Series A Non-Voting Convertible Preferred Stock (incorporated by reference to Exhibit 3.1 to the</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gridSpan w:val="2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Company’s Current Report on Form 8-K dated April 9, 2024).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4.1**</w:t>
            </w:r>
          </w:p>
        </w:tc>
        <w:tc>
          <w:tcPr>
            <w:tcW w:w="640" w:type="dxa"/>
            <w:vAlign w:val="bottom"/>
          </w:tcPr>
          <w:p>
            <w:pPr>
              <w:spacing w:after="0"/>
              <w:rPr>
                <w:sz w:val="24"/>
                <w:szCs w:val="24"/>
                <w:color w:val="auto"/>
              </w:rPr>
            </w:pPr>
          </w:p>
        </w:tc>
        <w:tc>
          <w:tcPr>
            <w:tcW w:w="89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Specimen stock certificate evidencing shares of Common Stock (incorporated by reference to Exhibit 4.1 to the Company’s</w:t>
              </w:r>
            </w:hyperlink>
          </w:p>
        </w:tc>
        <w:tc>
          <w:tcPr>
            <w:tcW w:w="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Registration Statement on Form S-1/A filed with the SEC on October 21, 2020).</w:t>
              </w:r>
            </w:hyperlink>
          </w:p>
        </w:tc>
        <w:tc>
          <w:tcPr>
            <w:tcW w:w="40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4.2**</w:t>
            </w:r>
          </w:p>
        </w:tc>
        <w:tc>
          <w:tcPr>
            <w:tcW w:w="640" w:type="dxa"/>
            <w:vAlign w:val="bottom"/>
          </w:tcPr>
          <w:p>
            <w:pPr>
              <w:spacing w:after="0"/>
              <w:rPr>
                <w:sz w:val="24"/>
                <w:szCs w:val="24"/>
                <w:color w:val="auto"/>
              </w:rPr>
            </w:pPr>
          </w:p>
        </w:tc>
        <w:tc>
          <w:tcPr>
            <w:tcW w:w="9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Eleventh Amended and Restated Investor Rights Agreement, by and among Biodesix, Inc. and the investors listed on Exhibit A thereto,</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dated October 10, 2018 (incorporated by reference to Exhibit 4.2 to the Company’s Registration Statement on Form S-1 filed with the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SEC on October 2, 2020).</w:t>
              </w:r>
            </w:hyperlink>
          </w:p>
        </w:tc>
        <w:tc>
          <w:tcPr>
            <w:tcW w:w="79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4.3**</w:t>
            </w:r>
          </w:p>
        </w:tc>
        <w:tc>
          <w:tcPr>
            <w:tcW w:w="64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Warrant held by Innovatus Life Sciences Lending Fund I, LP, to Purchase Series G Preferred Stock, dated February 23, 3018</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560" w:type="dxa"/>
            <w:vAlign w:val="bottom"/>
            <w:gridSpan w:val="4"/>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gridSpan w:val="22"/>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(incorporated by reference to Exhibit 4.3 to the Company’s Registration Statement on Form S-1 filed with the SEC on October 2,</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26">
              <w:r>
                <w:rPr>
                  <w:rFonts w:ascii="Times New Roman" w:cs="Times New Roman" w:eastAsia="Times New Roman" w:hAnsi="Times New Roman"/>
                  <w:sz w:val="18"/>
                  <w:szCs w:val="18"/>
                  <w:color w:val="0000EE"/>
                  <w:w w:val="94"/>
                </w:rPr>
                <w:t>2020).</w:t>
              </w:r>
            </w:hyperlink>
          </w:p>
        </w:tc>
        <w:tc>
          <w:tcPr>
            <w:tcW w:w="14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4.4**</w:t>
            </w:r>
          </w:p>
        </w:tc>
        <w:tc>
          <w:tcPr>
            <w:tcW w:w="640" w:type="dxa"/>
            <w:vAlign w:val="bottom"/>
          </w:tcPr>
          <w:p>
            <w:pPr>
              <w:spacing w:after="0"/>
              <w:rPr>
                <w:sz w:val="24"/>
                <w:szCs w:val="24"/>
                <w:color w:val="auto"/>
              </w:rPr>
            </w:pP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Description of Securities Registered under Section 12 of the Securities Exchange Act of 1934 (incorporated by reference to Exhibit 4.5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gridSpan w:val="22"/>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to the Company’s Form 10-K filed with the SEC on March 16, 2021).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gridSpan w:val="5"/>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4.5**</w:t>
            </w:r>
          </w:p>
        </w:tc>
        <w:tc>
          <w:tcPr>
            <w:tcW w:w="64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Form of Note, dated November 21, 2022, issued by the Company to Perceptive Credit Holdings IV, LP. (incorporated by reference to</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5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Exhibit 4.1 and Exhibit 10.1 in the Company’s current report on Form 8-K filed with the SEC on November 21, 2022).</w:t>
              </w:r>
            </w:hyperlink>
          </w:p>
        </w:tc>
        <w:tc>
          <w:tcPr>
            <w:tcW w:w="1060" w:type="dxa"/>
            <w:vAlign w:val="bottom"/>
            <w:tcBorders>
              <w:top w:val="single" w:sz="8" w:color="0000EE"/>
            </w:tcBorders>
            <w:gridSpan w:val="6"/>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4.6**</w:t>
            </w:r>
          </w:p>
        </w:tc>
        <w:tc>
          <w:tcPr>
            <w:tcW w:w="640" w:type="dxa"/>
            <w:vAlign w:val="bottom"/>
          </w:tcPr>
          <w:p>
            <w:pPr>
              <w:spacing w:after="0"/>
              <w:rPr>
                <w:sz w:val="24"/>
                <w:szCs w:val="24"/>
                <w:color w:val="auto"/>
              </w:rPr>
            </w:pPr>
          </w:p>
        </w:tc>
        <w:tc>
          <w:tcPr>
            <w:tcW w:w="96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Warrant to Purchase Stock, dated November 21, 2022, issued by the Company to Perceptive Credit Holdings IV, LP. (incorporated by</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reference to Exhibit 4.2 in the Company’s current report on Form 8-K filed with the SEC on November 21, 2022).</w:t>
              </w:r>
            </w:hyperlink>
          </w:p>
        </w:tc>
        <w:tc>
          <w:tcPr>
            <w:tcW w:w="1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4.7**</w:t>
            </w:r>
          </w:p>
        </w:tc>
        <w:tc>
          <w:tcPr>
            <w:tcW w:w="64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Warrant to Purchase Stock, dated May 10, 2023, issued by the Company to Perceptive Credit Holdings IV, LP (incorporated by</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reference to Exhibit 4.1 to the Company’s Quarterly Report on Form 10-Q filed with the SEC on May 11, 2023).</w:t>
              </w:r>
            </w:hyperlink>
          </w:p>
        </w:tc>
        <w:tc>
          <w:tcPr>
            <w:tcW w:w="1080" w:type="dxa"/>
            <w:vAlign w:val="bottom"/>
            <w:tcBorders>
              <w:top w:val="single" w:sz="8" w:color="0000EE"/>
            </w:tcBorders>
            <w:gridSpan w:val="5"/>
          </w:tcPr>
          <w:p>
            <w:pPr>
              <w:spacing w:after="0"/>
              <w:rPr>
                <w:sz w:val="17"/>
                <w:szCs w:val="17"/>
                <w:color w:val="auto"/>
              </w:rPr>
            </w:pPr>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18"/>
          <w:szCs w:val="18"/>
          <w:color w:val="auto"/>
        </w:rPr>
        <w:t>    5.1*</w:t>
      </w:r>
      <w:r>
        <w:rPr>
          <w:sz w:val="20"/>
          <w:szCs w:val="20"/>
          <w:color w:val="auto"/>
        </w:rPr>
        <w:tab/>
      </w:r>
      <w:r>
        <w:rPr>
          <w:rFonts w:ascii="Times New Roman" w:cs="Times New Roman" w:eastAsia="Times New Roman" w:hAnsi="Times New Roman"/>
          <w:sz w:val="17"/>
          <w:szCs w:val="17"/>
          <w:u w:val="single" w:color="auto"/>
          <w:color w:val="0000EE"/>
        </w:rPr>
        <w:t>Opinion of Sidley Austin LLP.</w:t>
      </w:r>
    </w:p>
    <w:p>
      <w:pPr>
        <w:spacing w:after="0" w:line="117" w:lineRule="exact"/>
        <w:rPr>
          <w:sz w:val="20"/>
          <w:szCs w:val="20"/>
          <w:color w:val="auto"/>
        </w:rPr>
      </w:pPr>
    </w:p>
    <w:p>
      <w:pPr>
        <w:ind w:left="1360" w:right="54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hyperlink r:id="rId232">
        <w:r>
          <w:rPr>
            <w:rFonts w:ascii="Times New Roman" w:cs="Times New Roman" w:eastAsia="Times New Roman" w:hAnsi="Times New Roman"/>
            <w:sz w:val="18"/>
            <w:szCs w:val="18"/>
            <w:u w:val="single" w:color="auto"/>
            <w:color w:val="0000EE"/>
          </w:rPr>
          <w:t>Biodesix, Inc. Amended and Restated 2006 Employee, Director and Consultant Stock Plan, as amended to date (incorporated by</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reference to Exhibit 10.1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80" w:hanging="1244"/>
        <w:spacing w:after="0" w:line="266"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hyperlink r:id="rId233">
        <w:r>
          <w:rPr>
            <w:rFonts w:ascii="Times New Roman" w:cs="Times New Roman" w:eastAsia="Times New Roman" w:hAnsi="Times New Roman"/>
            <w:sz w:val="18"/>
            <w:szCs w:val="18"/>
            <w:u w:val="single" w:color="auto"/>
            <w:color w:val="0000EE"/>
          </w:rPr>
          <w:t>Form of Stock Option Grant Notice under the Amended and Restated 2006 Employee, Director and Consultant Stock Plan</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(incorporated by reference to Exhibit 10.2.1 to the Company’s Registration Statement on Form S-1/A filed with the SEC on October 9,</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2020).</w:t>
        </w:r>
      </w:hyperlink>
    </w:p>
    <w:p>
      <w:pPr>
        <w:spacing w:after="0" w:line="67" w:lineRule="exact"/>
        <w:rPr>
          <w:rFonts w:ascii="Times New Roman" w:cs="Times New Roman" w:eastAsia="Times New Roman" w:hAnsi="Times New Roman"/>
          <w:sz w:val="18"/>
          <w:szCs w:val="18"/>
          <w:u w:val="single" w:color="auto"/>
          <w:color w:val="0000EE"/>
        </w:rPr>
      </w:pPr>
    </w:p>
    <w:p>
      <w:pPr>
        <w:ind w:left="1360" w:right="32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hyperlink r:id="rId234">
        <w:r>
          <w:rPr>
            <w:rFonts w:ascii="Times New Roman" w:cs="Times New Roman" w:eastAsia="Times New Roman" w:hAnsi="Times New Roman"/>
            <w:sz w:val="18"/>
            <w:szCs w:val="18"/>
            <w:u w:val="single" w:color="auto"/>
            <w:color w:val="0000EE"/>
          </w:rPr>
          <w:t>Form of Option Agreement under the Amended and Restated 2006 Employee, Director and Consultant Stock Plan (incorporated by</w:t>
        </w:r>
      </w:hyperlink>
      <w:r>
        <w:rPr>
          <w:rFonts w:ascii="Times New Roman" w:cs="Times New Roman" w:eastAsia="Times New Roman" w:hAnsi="Times New Roman"/>
          <w:sz w:val="18"/>
          <w:szCs w:val="18"/>
          <w:u w:val="single" w:color="auto"/>
          <w:color w:val="0000EE"/>
        </w:rPr>
        <w:t xml:space="preserve"> </w:t>
      </w:r>
      <w:hyperlink r:id="rId234">
        <w:r>
          <w:rPr>
            <w:rFonts w:ascii="Times New Roman" w:cs="Times New Roman" w:eastAsia="Times New Roman" w:hAnsi="Times New Roman"/>
            <w:sz w:val="18"/>
            <w:szCs w:val="18"/>
            <w:u w:val="single" w:color="auto"/>
            <w:color w:val="0000EE"/>
          </w:rPr>
          <w:t>reference to Exhibit 10.2.2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32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hyperlink r:id="rId235">
        <w:r>
          <w:rPr>
            <w:rFonts w:ascii="Times New Roman" w:cs="Times New Roman" w:eastAsia="Times New Roman" w:hAnsi="Times New Roman"/>
            <w:sz w:val="18"/>
            <w:szCs w:val="18"/>
            <w:u w:val="single" w:color="auto"/>
            <w:color w:val="0000EE"/>
          </w:rPr>
          <w:t>Form of Notice of Exercise under the Amended and Restated 2006 Employee, Director and Consultant Stock Plan (incorporated by</w:t>
        </w:r>
      </w:hyperlink>
      <w:r>
        <w:rPr>
          <w:rFonts w:ascii="Times New Roman" w:cs="Times New Roman" w:eastAsia="Times New Roman" w:hAnsi="Times New Roman"/>
          <w:sz w:val="18"/>
          <w:szCs w:val="18"/>
          <w:u w:val="single" w:color="auto"/>
          <w:color w:val="0000EE"/>
        </w:rPr>
        <w:t xml:space="preserve"> </w:t>
      </w:r>
      <w:hyperlink r:id="rId235">
        <w:r>
          <w:rPr>
            <w:rFonts w:ascii="Times New Roman" w:cs="Times New Roman" w:eastAsia="Times New Roman" w:hAnsi="Times New Roman"/>
            <w:sz w:val="18"/>
            <w:szCs w:val="18"/>
            <w:u w:val="single" w:color="auto"/>
            <w:color w:val="0000EE"/>
          </w:rPr>
          <w:t>reference to Exhibit 10.2.3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88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hyperlink r:id="rId236">
        <w:r>
          <w:rPr>
            <w:rFonts w:ascii="Times New Roman" w:cs="Times New Roman" w:eastAsia="Times New Roman" w:hAnsi="Times New Roman"/>
            <w:sz w:val="18"/>
            <w:szCs w:val="18"/>
            <w:u w:val="single" w:color="auto"/>
            <w:color w:val="0000EE"/>
          </w:rPr>
          <w:t>Biodesix, Inc. 2016 Equity Incentive Plan, as amended to date (incorporated by reference to Exhibit 10.3 to the Company’s</w:t>
        </w:r>
      </w:hyperlink>
      <w:r>
        <w:rPr>
          <w:rFonts w:ascii="Times New Roman" w:cs="Times New Roman" w:eastAsia="Times New Roman" w:hAnsi="Times New Roman"/>
          <w:sz w:val="18"/>
          <w:szCs w:val="18"/>
          <w:u w:val="single" w:color="auto"/>
          <w:color w:val="0000EE"/>
        </w:rPr>
        <w:t xml:space="preserve"> </w:t>
      </w:r>
      <w:hyperlink r:id="rId236">
        <w:r>
          <w:rPr>
            <w:rFonts w:ascii="Times New Roman" w:cs="Times New Roman" w:eastAsia="Times New Roman" w:hAnsi="Times New Roman"/>
            <w:sz w:val="18"/>
            <w:szCs w:val="18"/>
            <w:u w:val="single" w:color="auto"/>
            <w:color w:val="0000EE"/>
          </w:rPr>
          <w:t>Registration Statement on Form S-1 filed with the SEC on October 2,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84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hyperlink r:id="rId237">
        <w:r>
          <w:rPr>
            <w:rFonts w:ascii="Times New Roman" w:cs="Times New Roman" w:eastAsia="Times New Roman" w:hAnsi="Times New Roman"/>
            <w:sz w:val="18"/>
            <w:szCs w:val="18"/>
            <w:u w:val="single" w:color="auto"/>
            <w:color w:val="0000EE"/>
          </w:rPr>
          <w:t>Form of Stock Option Grant Notice under the 2016 Equity Incentive Plan (incorporated by reference to Exhibit 10.4.1 to the</w:t>
        </w:r>
      </w:hyperlink>
      <w:r>
        <w:rPr>
          <w:rFonts w:ascii="Times New Roman" w:cs="Times New Roman" w:eastAsia="Times New Roman" w:hAnsi="Times New Roman"/>
          <w:sz w:val="18"/>
          <w:szCs w:val="18"/>
          <w:u w:val="single" w:color="auto"/>
          <w:color w:val="0000EE"/>
        </w:rPr>
        <w:t xml:space="preserve"> </w:t>
      </w:r>
      <w:hyperlink r:id="rId237">
        <w:r>
          <w:rPr>
            <w:rFonts w:ascii="Times New Roman" w:cs="Times New Roman" w:eastAsia="Times New Roman" w:hAnsi="Times New Roman"/>
            <w:sz w:val="18"/>
            <w:szCs w:val="18"/>
            <w:u w:val="single" w:color="auto"/>
            <w:color w:val="0000EE"/>
          </w:rPr>
          <w:t>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56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hyperlink r:id="rId238">
        <w:r>
          <w:rPr>
            <w:rFonts w:ascii="Times New Roman" w:cs="Times New Roman" w:eastAsia="Times New Roman" w:hAnsi="Times New Roman"/>
            <w:sz w:val="18"/>
            <w:szCs w:val="18"/>
            <w:u w:val="single" w:color="auto"/>
            <w:color w:val="0000EE"/>
          </w:rPr>
          <w:t>Form of Option Agreement under the 2016 Equity Incentive Plan (incorporated by reference to Exhibit 10.4.2 to the Company’s</w:t>
        </w:r>
      </w:hyperlink>
      <w:r>
        <w:rPr>
          <w:rFonts w:ascii="Times New Roman" w:cs="Times New Roman" w:eastAsia="Times New Roman" w:hAnsi="Times New Roman"/>
          <w:sz w:val="18"/>
          <w:szCs w:val="18"/>
          <w:u w:val="single" w:color="auto"/>
          <w:color w:val="0000EE"/>
        </w:rPr>
        <w:t xml:space="preserve"> </w:t>
      </w:r>
      <w:hyperlink r:id="rId238">
        <w:r>
          <w:rPr>
            <w:rFonts w:ascii="Times New Roman" w:cs="Times New Roman" w:eastAsia="Times New Roman" w:hAnsi="Times New Roman"/>
            <w:sz w:val="18"/>
            <w:szCs w:val="18"/>
            <w:u w:val="single" w:color="auto"/>
            <w:color w:val="0000EE"/>
          </w:rPr>
          <w:t>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56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hyperlink r:id="rId239">
        <w:r>
          <w:rPr>
            <w:rFonts w:ascii="Times New Roman" w:cs="Times New Roman" w:eastAsia="Times New Roman" w:hAnsi="Times New Roman"/>
            <w:sz w:val="18"/>
            <w:szCs w:val="18"/>
            <w:u w:val="single" w:color="auto"/>
            <w:color w:val="0000EE"/>
          </w:rPr>
          <w:t>Form of Notice of Exercise under the 2016 Equity Incentive Plan (incorporated by reference to Exhibit 10.4.3 to the Company’s</w:t>
        </w:r>
      </w:hyperlink>
      <w:r>
        <w:rPr>
          <w:rFonts w:ascii="Times New Roman" w:cs="Times New Roman" w:eastAsia="Times New Roman" w:hAnsi="Times New Roman"/>
          <w:sz w:val="18"/>
          <w:szCs w:val="18"/>
          <w:u w:val="single" w:color="auto"/>
          <w:color w:val="0000EE"/>
        </w:rPr>
        <w:t xml:space="preserve"> </w:t>
      </w:r>
      <w:hyperlink r:id="rId239">
        <w:r>
          <w:rPr>
            <w:rFonts w:ascii="Times New Roman" w:cs="Times New Roman" w:eastAsia="Times New Roman" w:hAnsi="Times New Roman"/>
            <w:sz w:val="18"/>
            <w:szCs w:val="18"/>
            <w:u w:val="single" w:color="auto"/>
            <w:color w:val="0000EE"/>
          </w:rPr>
          <w:t>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4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hyperlink r:id="rId240">
        <w:r>
          <w:rPr>
            <w:rFonts w:ascii="Times New Roman" w:cs="Times New Roman" w:eastAsia="Times New Roman" w:hAnsi="Times New Roman"/>
            <w:sz w:val="18"/>
            <w:szCs w:val="18"/>
            <w:u w:val="single" w:color="auto"/>
            <w:color w:val="0000EE"/>
          </w:rPr>
          <w:t>Biodesix, Inc. 2020 Equity Incentive Plan (incorporated by reference to Exhibit 10.5 to the Company’s Registration Statement on Form</w:t>
        </w:r>
      </w:hyperlink>
      <w:r>
        <w:rPr>
          <w:rFonts w:ascii="Times New Roman" w:cs="Times New Roman" w:eastAsia="Times New Roman" w:hAnsi="Times New Roman"/>
          <w:sz w:val="18"/>
          <w:szCs w:val="18"/>
          <w:u w:val="single" w:color="auto"/>
          <w:color w:val="0000EE"/>
        </w:rPr>
        <w:t xml:space="preserve"> </w:t>
      </w:r>
      <w:hyperlink r:id="rId240">
        <w:r>
          <w:rPr>
            <w:rFonts w:ascii="Times New Roman" w:cs="Times New Roman" w:eastAsia="Times New Roman" w:hAnsi="Times New Roman"/>
            <w:sz w:val="18"/>
            <w:szCs w:val="18"/>
            <w:u w:val="single" w:color="auto"/>
            <w:color w:val="0000EE"/>
          </w:rPr>
          <w:t>S-1/A filed with the SEC on October 26,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6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10.5.1+**</w:t>
      </w:r>
      <w:hyperlink r:id="rId241">
        <w:r>
          <w:rPr>
            <w:rFonts w:ascii="Times New Roman" w:cs="Times New Roman" w:eastAsia="Times New Roman" w:hAnsi="Times New Roman"/>
            <w:sz w:val="18"/>
            <w:szCs w:val="18"/>
            <w:u w:val="single" w:color="auto"/>
            <w:color w:val="0000EE"/>
          </w:rPr>
          <w:t>Forms of Stock Option Grant Notice, Option Agreement and Notice of Exercise under the 2020 Equity Incentive Plan (incorporated by</w:t>
        </w:r>
      </w:hyperlink>
      <w:r>
        <w:rPr>
          <w:rFonts w:ascii="Times New Roman" w:cs="Times New Roman" w:eastAsia="Times New Roman" w:hAnsi="Times New Roman"/>
          <w:sz w:val="18"/>
          <w:szCs w:val="18"/>
          <w:u w:val="single" w:color="auto"/>
          <w:color w:val="0000EE"/>
        </w:rPr>
        <w:t xml:space="preserve"> </w:t>
      </w:r>
      <w:hyperlink r:id="rId241">
        <w:r>
          <w:rPr>
            <w:rFonts w:ascii="Times New Roman" w:cs="Times New Roman" w:eastAsia="Times New Roman" w:hAnsi="Times New Roman"/>
            <w:sz w:val="18"/>
            <w:szCs w:val="18"/>
            <w:u w:val="single" w:color="auto"/>
            <w:color w:val="0000EE"/>
          </w:rPr>
          <w:t>reference to Exhibit 10.5.1 to the Company’s Form 10-K filed with the SEC on March 16, 2021).</w:t>
        </w:r>
      </w:hyperlink>
    </w:p>
    <w:p>
      <w:pPr>
        <w:spacing w:after="0" w:line="53" w:lineRule="exact"/>
        <w:rPr>
          <w:rFonts w:ascii="Times New Roman" w:cs="Times New Roman" w:eastAsia="Times New Roman" w:hAnsi="Times New Roman"/>
          <w:sz w:val="18"/>
          <w:szCs w:val="18"/>
          <w:u w:val="single" w:color="auto"/>
          <w:color w:val="0000EE"/>
        </w:rPr>
      </w:pPr>
    </w:p>
    <w:p>
      <w:pPr>
        <w:ind w:left="1360" w:right="40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10.5.2+**</w:t>
      </w:r>
      <w:hyperlink r:id="rId242">
        <w:r>
          <w:rPr>
            <w:rFonts w:ascii="Times New Roman" w:cs="Times New Roman" w:eastAsia="Times New Roman" w:hAnsi="Times New Roman"/>
            <w:sz w:val="18"/>
            <w:szCs w:val="18"/>
            <w:u w:val="single" w:color="auto"/>
            <w:color w:val="0000EE"/>
          </w:rPr>
          <w:t>Forms of Restricted Stock Unit Award Grant Notice and Award Agreement under the 2020 Equity Incentive Plan (incorporated by</w:t>
        </w:r>
      </w:hyperlink>
      <w:r>
        <w:rPr>
          <w:rFonts w:ascii="Times New Roman" w:cs="Times New Roman" w:eastAsia="Times New Roman" w:hAnsi="Times New Roman"/>
          <w:sz w:val="18"/>
          <w:szCs w:val="18"/>
          <w:u w:val="single" w:color="auto"/>
          <w:color w:val="0000EE"/>
        </w:rPr>
        <w:t xml:space="preserve"> </w:t>
      </w:r>
      <w:hyperlink r:id="rId242">
        <w:r>
          <w:rPr>
            <w:rFonts w:ascii="Times New Roman" w:cs="Times New Roman" w:eastAsia="Times New Roman" w:hAnsi="Times New Roman"/>
            <w:sz w:val="18"/>
            <w:szCs w:val="18"/>
            <w:u w:val="single" w:color="auto"/>
            <w:color w:val="0000EE"/>
          </w:rPr>
          <w:t>reference to Exhibit 10.5.2 to the Company’s Form 10-Q filed with the SEC on August 10, 2021).</w:t>
        </w:r>
      </w:hyperlink>
    </w:p>
    <w:p>
      <w:pPr>
        <w:spacing w:after="0" w:line="53" w:lineRule="exact"/>
        <w:rPr>
          <w:rFonts w:ascii="Times New Roman" w:cs="Times New Roman" w:eastAsia="Times New Roman" w:hAnsi="Times New Roman"/>
          <w:sz w:val="18"/>
          <w:szCs w:val="18"/>
          <w:u w:val="single" w:color="auto"/>
          <w:color w:val="0000EE"/>
        </w:rPr>
      </w:pPr>
    </w:p>
    <w:p>
      <w:pPr>
        <w:ind w:left="136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hyperlink r:id="rId243">
        <w:r>
          <w:rPr>
            <w:rFonts w:ascii="Times New Roman" w:cs="Times New Roman" w:eastAsia="Times New Roman" w:hAnsi="Times New Roman"/>
            <w:sz w:val="18"/>
            <w:szCs w:val="18"/>
            <w:u w:val="single" w:color="auto"/>
            <w:color w:val="0000EE"/>
          </w:rPr>
          <w:t>Biodesix, Inc. 2020 Employee Stock Purchase Plan (incorporated by reference to Exhibit 10.6 to the Company’s Registration Statement</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on Form S-1/A filed with the SEC on October 26,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26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10.7.1+**</w:t>
      </w:r>
      <w:hyperlink r:id="rId244">
        <w:r>
          <w:rPr>
            <w:rFonts w:ascii="Times New Roman" w:cs="Times New Roman" w:eastAsia="Times New Roman" w:hAnsi="Times New Roman"/>
            <w:sz w:val="18"/>
            <w:szCs w:val="18"/>
            <w:u w:val="single" w:color="auto"/>
            <w:color w:val="0000EE"/>
          </w:rPr>
          <w:t>Biodesix, Inc., First Amended Bonus-to-Options Program, adopted by the Board of Directors on October 15, 2010 (incorporated by</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reference to Exhibit 10.5.1 to the Company’s Registration Statement on Form S-1 filed with the SEC on October 2,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32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10.7.2+**</w:t>
      </w:r>
      <w:hyperlink r:id="rId245">
        <w:r>
          <w:rPr>
            <w:rFonts w:ascii="Times New Roman" w:cs="Times New Roman" w:eastAsia="Times New Roman" w:hAnsi="Times New Roman"/>
            <w:sz w:val="18"/>
            <w:szCs w:val="18"/>
            <w:u w:val="single" w:color="auto"/>
            <w:color w:val="0000EE"/>
          </w:rPr>
          <w:t>Biodesix, Inc., Second Amended Bonus-to-Options Program, adopted by the Board of Directors on June 21, 2011 (incorporated by</w:t>
        </w:r>
      </w:hyperlink>
      <w:r>
        <w:rPr>
          <w:rFonts w:ascii="Times New Roman" w:cs="Times New Roman" w:eastAsia="Times New Roman" w:hAnsi="Times New Roman"/>
          <w:sz w:val="18"/>
          <w:szCs w:val="18"/>
          <w:u w:val="single" w:color="auto"/>
          <w:color w:val="0000EE"/>
        </w:rPr>
        <w:t xml:space="preserve"> </w:t>
      </w:r>
      <w:hyperlink r:id="rId245">
        <w:r>
          <w:rPr>
            <w:rFonts w:ascii="Times New Roman" w:cs="Times New Roman" w:eastAsia="Times New Roman" w:hAnsi="Times New Roman"/>
            <w:sz w:val="18"/>
            <w:szCs w:val="18"/>
            <w:u w:val="single" w:color="auto"/>
            <w:color w:val="0000EE"/>
          </w:rPr>
          <w:t>reference to Exhibit 10.5.2 to the Company’s Registration Statement on Form S-1 filed with the SEC on October 2, 2020).</w:t>
        </w:r>
      </w:hyperlink>
    </w:p>
    <w:p>
      <w:pPr>
        <w:spacing w:after="0" w:line="53" w:lineRule="exact"/>
        <w:rPr>
          <w:rFonts w:ascii="Times New Roman" w:cs="Times New Roman" w:eastAsia="Times New Roman" w:hAnsi="Times New Roman"/>
          <w:sz w:val="18"/>
          <w:szCs w:val="18"/>
          <w:u w:val="single" w:color="auto"/>
          <w:color w:val="0000EE"/>
        </w:rPr>
      </w:pPr>
    </w:p>
    <w:p>
      <w:pPr>
        <w:ind w:left="1360" w:right="40" w:hanging="1244"/>
        <w:spacing w:after="0" w:line="282" w:lineRule="auto"/>
        <w:tabs>
          <w:tab w:leader="none" w:pos="208" w:val="left"/>
        </w:tabs>
        <w:numPr>
          <w:ilvl w:val="0"/>
          <w:numId w:val="8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10.7.3+**</w:t>
      </w:r>
      <w:hyperlink r:id="rId246">
        <w:r>
          <w:rPr>
            <w:rFonts w:ascii="Times New Roman" w:cs="Times New Roman" w:eastAsia="Times New Roman" w:hAnsi="Times New Roman"/>
            <w:sz w:val="18"/>
            <w:szCs w:val="18"/>
            <w:u w:val="single" w:color="auto"/>
            <w:color w:val="0000EE"/>
          </w:rPr>
          <w:t>Biodesix, Inc., Third Amended Bonus-to-Options Program, adopted by the Board of Directors on December 31, 2015 (incorporated by</w:t>
        </w:r>
      </w:hyperlink>
      <w:r>
        <w:rPr>
          <w:rFonts w:ascii="Times New Roman" w:cs="Times New Roman" w:eastAsia="Times New Roman" w:hAnsi="Times New Roman"/>
          <w:sz w:val="18"/>
          <w:szCs w:val="18"/>
          <w:u w:val="single" w:color="auto"/>
          <w:color w:val="0000EE"/>
        </w:rPr>
        <w:t xml:space="preserve"> </w:t>
      </w:r>
      <w:hyperlink r:id="rId246">
        <w:r>
          <w:rPr>
            <w:rFonts w:ascii="Times New Roman" w:cs="Times New Roman" w:eastAsia="Times New Roman" w:hAnsi="Times New Roman"/>
            <w:sz w:val="18"/>
            <w:szCs w:val="18"/>
            <w:u w:val="single" w:color="auto"/>
            <w:color w:val="0000EE"/>
          </w:rPr>
          <w:t>reference to Exhibit 10.5.3 to the Company’s Registration Statement on Form S-1 filed with the SEC on October 2, 2020).</w:t>
        </w:r>
      </w:hyperlink>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40" w:right="4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10.8.1+**</w:t>
      </w:r>
      <w:hyperlink r:id="rId248">
        <w:r>
          <w:rPr>
            <w:rFonts w:ascii="Times New Roman" w:cs="Times New Roman" w:eastAsia="Times New Roman" w:hAnsi="Times New Roman"/>
            <w:sz w:val="18"/>
            <w:szCs w:val="18"/>
            <w:u w:val="single" w:color="auto"/>
            <w:color w:val="0000EE"/>
          </w:rPr>
          <w:t>Biodesix, Inc. 2021 Senior Management Bonus to Equity Plan (incorporated by reference to Exhibit 10.1 to the Company’s Quarterly</w:t>
        </w:r>
      </w:hyperlink>
      <w:r>
        <w:rPr>
          <w:rFonts w:ascii="Times New Roman" w:cs="Times New Roman" w:eastAsia="Times New Roman" w:hAnsi="Times New Roman"/>
          <w:sz w:val="18"/>
          <w:szCs w:val="18"/>
          <w:u w:val="single" w:color="auto"/>
          <w:color w:val="0000EE"/>
        </w:rPr>
        <w:t xml:space="preserve"> </w:t>
      </w:r>
      <w:hyperlink r:id="rId248">
        <w:r>
          <w:rPr>
            <w:rFonts w:ascii="Times New Roman" w:cs="Times New Roman" w:eastAsia="Times New Roman" w:hAnsi="Times New Roman"/>
            <w:sz w:val="18"/>
            <w:szCs w:val="18"/>
            <w:u w:val="single" w:color="auto"/>
            <w:color w:val="0000EE"/>
          </w:rPr>
          <w:t>Report on Form 10-Q filed with the SEC on August 4, 2022).</w:t>
        </w:r>
      </w:hyperlink>
    </w:p>
    <w:p>
      <w:pPr>
        <w:spacing w:after="0" w:line="53" w:lineRule="exact"/>
        <w:rPr>
          <w:rFonts w:ascii="Times New Roman" w:cs="Times New Roman" w:eastAsia="Times New Roman" w:hAnsi="Times New Roman"/>
          <w:sz w:val="18"/>
          <w:szCs w:val="18"/>
          <w:u w:val="single" w:color="auto"/>
          <w:color w:val="0000EE"/>
        </w:rPr>
      </w:pPr>
    </w:p>
    <w:p>
      <w:pPr>
        <w:ind w:left="1440" w:right="2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10.8.2+**</w:t>
      </w:r>
      <w:hyperlink r:id="rId249">
        <w:r>
          <w:rPr>
            <w:rFonts w:ascii="Times New Roman" w:cs="Times New Roman" w:eastAsia="Times New Roman" w:hAnsi="Times New Roman"/>
            <w:sz w:val="18"/>
            <w:szCs w:val="18"/>
            <w:u w:val="single" w:color="auto"/>
            <w:color w:val="0000EE"/>
          </w:rPr>
          <w:t>Amendment No. 1 to the Biodesix, Inc. 2021 Senior Management Bonus to Equity Plan (incorporated by reference to Exhibit 10.2 to</w:t>
        </w:r>
      </w:hyperlink>
      <w:r>
        <w:rPr>
          <w:rFonts w:ascii="Times New Roman" w:cs="Times New Roman" w:eastAsia="Times New Roman" w:hAnsi="Times New Roman"/>
          <w:sz w:val="18"/>
          <w:szCs w:val="18"/>
          <w:u w:val="single" w:color="auto"/>
          <w:color w:val="0000EE"/>
        </w:rPr>
        <w:t xml:space="preserve"> </w:t>
      </w:r>
      <w:hyperlink r:id="rId249">
        <w:r>
          <w:rPr>
            <w:rFonts w:ascii="Times New Roman" w:cs="Times New Roman" w:eastAsia="Times New Roman" w:hAnsi="Times New Roman"/>
            <w:sz w:val="18"/>
            <w:szCs w:val="18"/>
            <w:u w:val="single" w:color="auto"/>
            <w:color w:val="0000EE"/>
          </w:rPr>
          <w:t>the Company’s Quarterly Report on Form 10-Q filed with the SEC on August 4, 2022).</w:t>
        </w:r>
      </w:hyperlink>
    </w:p>
    <w:p>
      <w:pPr>
        <w:spacing w:after="0" w:line="53" w:lineRule="exact"/>
        <w:rPr>
          <w:rFonts w:ascii="Times New Roman" w:cs="Times New Roman" w:eastAsia="Times New Roman" w:hAnsi="Times New Roman"/>
          <w:sz w:val="18"/>
          <w:szCs w:val="18"/>
          <w:u w:val="single" w:color="auto"/>
          <w:color w:val="0000EE"/>
        </w:rPr>
      </w:pPr>
    </w:p>
    <w:p>
      <w:pPr>
        <w:ind w:left="1440" w:right="8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10.8.3+**</w:t>
      </w:r>
      <w:hyperlink r:id="rId250">
        <w:r>
          <w:rPr>
            <w:rFonts w:ascii="Times New Roman" w:cs="Times New Roman" w:eastAsia="Times New Roman" w:hAnsi="Times New Roman"/>
            <w:sz w:val="18"/>
            <w:szCs w:val="18"/>
            <w:u w:val="single" w:color="auto"/>
            <w:color w:val="0000EE"/>
          </w:rPr>
          <w:t>Amendment No. 2 to the Biodesix, Inc. 2021 Senior Management Bonus to Equity Plan (incorporated by reference to Exhibit 10.8.3</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to the Company’s Annual Report on Form 10-K filed with the SEC on March 6, 2023).</w:t>
        </w:r>
      </w:hyperlink>
    </w:p>
    <w:p>
      <w:pPr>
        <w:spacing w:after="0" w:line="53" w:lineRule="exact"/>
        <w:rPr>
          <w:rFonts w:ascii="Times New Roman" w:cs="Times New Roman" w:eastAsia="Times New Roman" w:hAnsi="Times New Roman"/>
          <w:sz w:val="18"/>
          <w:szCs w:val="18"/>
          <w:u w:val="single" w:color="auto"/>
          <w:color w:val="0000EE"/>
        </w:rPr>
      </w:pPr>
    </w:p>
    <w:p>
      <w:pPr>
        <w:ind w:left="1440" w:right="6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10.9.1+**</w:t>
      </w:r>
      <w:hyperlink r:id="rId251">
        <w:r>
          <w:rPr>
            <w:rFonts w:ascii="Times New Roman" w:cs="Times New Roman" w:eastAsia="Times New Roman" w:hAnsi="Times New Roman"/>
            <w:sz w:val="18"/>
            <w:szCs w:val="18"/>
            <w:u w:val="single" w:color="auto"/>
            <w:color w:val="0000EE"/>
          </w:rPr>
          <w:t>Form of Stock Option Grant Notice under the Biodesix, Inc. Bonus-To-Options Program (incorporated by reference to Exhibit 10.6.1</w:t>
        </w:r>
      </w:hyperlink>
      <w:r>
        <w:rPr>
          <w:rFonts w:ascii="Times New Roman" w:cs="Times New Roman" w:eastAsia="Times New Roman" w:hAnsi="Times New Roman"/>
          <w:sz w:val="18"/>
          <w:szCs w:val="18"/>
          <w:u w:val="single" w:color="auto"/>
          <w:color w:val="0000EE"/>
        </w:rPr>
        <w:t xml:space="preserve"> </w:t>
      </w:r>
      <w:hyperlink r:id="rId251">
        <w:r>
          <w:rPr>
            <w:rFonts w:ascii="Times New Roman" w:cs="Times New Roman" w:eastAsia="Times New Roman" w:hAnsi="Times New Roman"/>
            <w:sz w:val="18"/>
            <w:szCs w:val="18"/>
            <w:u w:val="single" w:color="auto"/>
            <w:color w:val="0000EE"/>
          </w:rPr>
          <w:t>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20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10.9.2+**</w:t>
      </w:r>
      <w:hyperlink r:id="rId252">
        <w:r>
          <w:rPr>
            <w:rFonts w:ascii="Times New Roman" w:cs="Times New Roman" w:eastAsia="Times New Roman" w:hAnsi="Times New Roman"/>
            <w:sz w:val="18"/>
            <w:szCs w:val="18"/>
            <w:u w:val="single" w:color="auto"/>
            <w:color w:val="0000EE"/>
          </w:rPr>
          <w:t>Form of Option Agreement under the Biodesix, Inc. Bonus-To-Options Program (incorporated by reference to Exhibit 10.6.2 to the</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12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hyperlink r:id="rId253">
        <w:r>
          <w:rPr>
            <w:rFonts w:ascii="Times New Roman" w:cs="Times New Roman" w:eastAsia="Times New Roman" w:hAnsi="Times New Roman"/>
            <w:sz w:val="18"/>
            <w:szCs w:val="18"/>
            <w:u w:val="single" w:color="auto"/>
            <w:color w:val="0000EE"/>
          </w:rPr>
          <w:t>Form of Indemnification Agreement, by and between Biodesix, Inc. and each of its directors and executive officers (incorporated by</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reference to Exhibit 10.7 to the Company’s Registration Statement on Form S-1/A filed with the SEC on October 14,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10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254">
        <w:r>
          <w:rPr>
            <w:rFonts w:ascii="Times New Roman" w:cs="Times New Roman" w:eastAsia="Times New Roman" w:hAnsi="Times New Roman"/>
            <w:sz w:val="18"/>
            <w:szCs w:val="18"/>
            <w:u w:val="single" w:color="auto"/>
            <w:color w:val="0000EE"/>
          </w:rPr>
          <w:t>Executive Employment Letter, by and between Biodesix, Inc. and Scott Hutton, dated February 23, 2020 (incorporated by reference</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to Exhibit 10.9.2 to the Company’s Registration Statement on Form S-1 filed with the SEC on October 2,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22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255">
        <w:r>
          <w:rPr>
            <w:rFonts w:ascii="Times New Roman" w:cs="Times New Roman" w:eastAsia="Times New Roman" w:hAnsi="Times New Roman"/>
            <w:sz w:val="18"/>
            <w:szCs w:val="18"/>
            <w:u w:val="single" w:color="auto"/>
            <w:color w:val="0000EE"/>
          </w:rPr>
          <w:t>Executive Employment Letter, by and between Biodesix, Inc. and Robin Harper Cowie, dated February 23, 2020 (incorporated by</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reference to Exhibit 10.10.2 to the Company’s Registration Statement on Form S-1 filed with the SEC on October 2,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12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10.13.1†**</w:t>
      </w:r>
      <w:hyperlink r:id="rId256">
        <w:r>
          <w:rPr>
            <w:rFonts w:ascii="Times New Roman" w:cs="Times New Roman" w:eastAsia="Times New Roman" w:hAnsi="Times New Roman"/>
            <w:sz w:val="18"/>
            <w:szCs w:val="18"/>
            <w:u w:val="single" w:color="auto"/>
            <w:color w:val="0000EE"/>
          </w:rPr>
          <w:t>Office Lease between Aero-Tech Investments, LLC and Biodesix, Inc., dated October 5, 2011 (incorporated by reference to Exhibit</w:t>
        </w:r>
      </w:hyperlink>
      <w:r>
        <w:rPr>
          <w:rFonts w:ascii="Times New Roman" w:cs="Times New Roman" w:eastAsia="Times New Roman" w:hAnsi="Times New Roman"/>
          <w:sz w:val="18"/>
          <w:szCs w:val="18"/>
          <w:u w:val="single" w:color="auto"/>
          <w:color w:val="0000EE"/>
        </w:rPr>
        <w:t xml:space="preserve"> </w:t>
      </w:r>
      <w:hyperlink r:id="rId256">
        <w:r>
          <w:rPr>
            <w:rFonts w:ascii="Times New Roman" w:cs="Times New Roman" w:eastAsia="Times New Roman" w:hAnsi="Times New Roman"/>
            <w:sz w:val="18"/>
            <w:szCs w:val="18"/>
            <w:u w:val="single" w:color="auto"/>
            <w:color w:val="0000EE"/>
          </w:rPr>
          <w:t>10.11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4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10.13.2**</w:t>
      </w:r>
      <w:hyperlink r:id="rId257">
        <w:r>
          <w:rPr>
            <w:rFonts w:ascii="Times New Roman" w:cs="Times New Roman" w:eastAsia="Times New Roman" w:hAnsi="Times New Roman"/>
            <w:sz w:val="18"/>
            <w:szCs w:val="18"/>
            <w:u w:val="single" w:color="auto"/>
            <w:color w:val="0000EE"/>
          </w:rPr>
          <w:t>Office Lease between Aero-Tech Investments, LLC and Biodesix, Inc., dated January 24, 2022 (incorporated by reference to Exhibit</w:t>
        </w:r>
      </w:hyperlink>
      <w:r>
        <w:rPr>
          <w:rFonts w:ascii="Times New Roman" w:cs="Times New Roman" w:eastAsia="Times New Roman" w:hAnsi="Times New Roman"/>
          <w:sz w:val="18"/>
          <w:szCs w:val="18"/>
          <w:u w:val="single" w:color="auto"/>
          <w:color w:val="0000EE"/>
        </w:rPr>
        <w:t xml:space="preserve"> </w:t>
      </w:r>
      <w:hyperlink r:id="rId257">
        <w:r>
          <w:rPr>
            <w:rFonts w:ascii="Times New Roman" w:cs="Times New Roman" w:eastAsia="Times New Roman" w:hAnsi="Times New Roman"/>
            <w:sz w:val="18"/>
            <w:szCs w:val="18"/>
            <w:u w:val="single" w:color="auto"/>
            <w:color w:val="0000EE"/>
          </w:rPr>
          <w:t>10.13.2 to the Company’s Annual Report on Form 10-K filed with the SEC on March 14, 2022).</w:t>
        </w:r>
      </w:hyperlink>
    </w:p>
    <w:p>
      <w:pPr>
        <w:spacing w:after="0" w:line="53" w:lineRule="exact"/>
        <w:rPr>
          <w:rFonts w:ascii="Times New Roman" w:cs="Times New Roman" w:eastAsia="Times New Roman" w:hAnsi="Times New Roman"/>
          <w:sz w:val="18"/>
          <w:szCs w:val="18"/>
          <w:u w:val="single" w:color="auto"/>
          <w:color w:val="0000EE"/>
        </w:rPr>
      </w:pPr>
    </w:p>
    <w:p>
      <w:pPr>
        <w:ind w:left="1440" w:right="52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10.14.1†**</w:t>
      </w:r>
      <w:hyperlink r:id="rId258">
        <w:r>
          <w:rPr>
            <w:rFonts w:ascii="Times New Roman" w:cs="Times New Roman" w:eastAsia="Times New Roman" w:hAnsi="Times New Roman"/>
            <w:sz w:val="18"/>
            <w:szCs w:val="18"/>
            <w:u w:val="single" w:color="auto"/>
            <w:color w:val="0000EE"/>
          </w:rPr>
          <w:t>Lease Assignment of De Soto Facility, dated November 1, 2019 (incorporated by reference to Exhibit 10.13 to the Company’s</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Registration Statement on Form S-1 filed with the SEC on October 2, 2020).</w:t>
        </w:r>
      </w:hyperlink>
    </w:p>
    <w:p>
      <w:pPr>
        <w:spacing w:after="0" w:line="53" w:lineRule="exact"/>
        <w:rPr>
          <w:rFonts w:ascii="Times New Roman" w:cs="Times New Roman" w:eastAsia="Times New Roman" w:hAnsi="Times New Roman"/>
          <w:sz w:val="18"/>
          <w:szCs w:val="18"/>
          <w:u w:val="single" w:color="auto"/>
          <w:color w:val="0000EE"/>
        </w:rPr>
      </w:pPr>
    </w:p>
    <w:p>
      <w:pPr>
        <w:ind w:left="1440" w:hanging="1324"/>
        <w:spacing w:after="0" w:line="266"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10.14.2**</w:t>
      </w:r>
      <w:hyperlink r:id="rId259">
        <w:r>
          <w:rPr>
            <w:rFonts w:ascii="Times New Roman" w:cs="Times New Roman" w:eastAsia="Times New Roman" w:hAnsi="Times New Roman"/>
            <w:sz w:val="18"/>
            <w:szCs w:val="18"/>
            <w:u w:val="single" w:color="auto"/>
            <w:color w:val="0000EE"/>
          </w:rPr>
          <w:t>De Soto Amendment to Commercial Lease Agreement, effective April 4, 2023, by and between Biodesix, Inc. and De Soto</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Investments, LLC (incorporated by reference to Exhibit 10.2 to the Company’s Quarterly Report on Form 10-Q filed with the SEC on</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May 11, 2023).</w:t>
        </w:r>
      </w:hyperlink>
    </w:p>
    <w:p>
      <w:pPr>
        <w:spacing w:after="0" w:line="67" w:lineRule="exact"/>
        <w:rPr>
          <w:rFonts w:ascii="Times New Roman" w:cs="Times New Roman" w:eastAsia="Times New Roman" w:hAnsi="Times New Roman"/>
          <w:sz w:val="18"/>
          <w:szCs w:val="18"/>
          <w:u w:val="single" w:color="auto"/>
          <w:color w:val="0000EE"/>
        </w:rPr>
      </w:pPr>
    </w:p>
    <w:p>
      <w:pPr>
        <w:ind w:left="1440" w:right="36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10.15.1**</w:t>
      </w:r>
      <w:hyperlink r:id="rId260">
        <w:r>
          <w:rPr>
            <w:rFonts w:ascii="Times New Roman" w:cs="Times New Roman" w:eastAsia="Times New Roman" w:hAnsi="Times New Roman"/>
            <w:sz w:val="18"/>
            <w:szCs w:val="18"/>
            <w:u w:val="single" w:color="auto"/>
            <w:color w:val="0000EE"/>
          </w:rPr>
          <w:t>Lease agreement by and between Centennial Valley Properties I, LLC and Biodesix, Inc. dated March 11, 2022 (incorporated by</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reference to Exhibit 10.1 to the Company’s Quarterly Report on Form 10-Q filed with the SEC on May 11, 2022).</w:t>
        </w:r>
      </w:hyperlink>
    </w:p>
    <w:p>
      <w:pPr>
        <w:spacing w:after="0" w:line="53" w:lineRule="exact"/>
        <w:rPr>
          <w:rFonts w:ascii="Times New Roman" w:cs="Times New Roman" w:eastAsia="Times New Roman" w:hAnsi="Times New Roman"/>
          <w:sz w:val="18"/>
          <w:szCs w:val="18"/>
          <w:u w:val="single" w:color="auto"/>
          <w:color w:val="0000EE"/>
        </w:rPr>
      </w:pPr>
    </w:p>
    <w:p>
      <w:pPr>
        <w:ind w:left="1440" w:right="60" w:hanging="1324"/>
        <w:spacing w:after="0" w:line="282" w:lineRule="auto"/>
        <w:tabs>
          <w:tab w:leader="none" w:pos="207"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10.15.2**</w:t>
      </w:r>
      <w:hyperlink r:id="rId261">
        <w:r>
          <w:rPr>
            <w:rFonts w:ascii="Times New Roman" w:cs="Times New Roman" w:eastAsia="Times New Roman" w:hAnsi="Times New Roman"/>
            <w:sz w:val="18"/>
            <w:szCs w:val="18"/>
            <w:u w:val="single" w:color="auto"/>
            <w:color w:val="0000EE"/>
          </w:rPr>
          <w:t>First Amendment to Lease Agreement by and between Centennial Valley Properties I, LLC and Biodesix, Inc. dated March 11, 2022</w:t>
        </w:r>
      </w:hyperlink>
      <w:r>
        <w:rPr>
          <w:rFonts w:ascii="Times New Roman" w:cs="Times New Roman" w:eastAsia="Times New Roman" w:hAnsi="Times New Roman"/>
          <w:sz w:val="18"/>
          <w:szCs w:val="18"/>
          <w:u w:val="single" w:color="auto"/>
          <w:color w:val="0000EE"/>
        </w:rPr>
        <w:t xml:space="preserve"> </w:t>
      </w:r>
      <w:hyperlink r:id="rId261">
        <w:r>
          <w:rPr>
            <w:rFonts w:ascii="Times New Roman" w:cs="Times New Roman" w:eastAsia="Times New Roman" w:hAnsi="Times New Roman"/>
            <w:sz w:val="18"/>
            <w:szCs w:val="18"/>
            <w:u w:val="single" w:color="auto"/>
            <w:color w:val="0000EE"/>
          </w:rPr>
          <w:t>(incorporated by reference to Exhibit 10.2 to the Company’s Quarterly Report on Form 10-Q filed with the SEC on May 11, 2022).</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10.16**</w:t>
            </w:r>
          </w:p>
        </w:tc>
        <w:tc>
          <w:tcPr>
            <w:tcW w:w="91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Patent Assignment between Biodesix, Inc., and Integrated Diagnostics, Inc., dated June 30, 2018 (incorporated by reference to</w:t>
              </w:r>
            </w:hyperlink>
          </w:p>
        </w:tc>
      </w:tr>
      <w:tr>
        <w:trPr>
          <w:trHeight w:val="196"/>
        </w:trPr>
        <w:tc>
          <w:tcPr>
            <w:tcW w:w="1320" w:type="dxa"/>
            <w:vAlign w:val="bottom"/>
          </w:tcPr>
          <w:p>
            <w:pPr>
              <w:spacing w:after="0"/>
              <w:rPr>
                <w:sz w:val="17"/>
                <w:szCs w:val="17"/>
                <w:color w:val="auto"/>
              </w:rPr>
            </w:pPr>
          </w:p>
        </w:tc>
        <w:tc>
          <w:tcPr>
            <w:tcW w:w="78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Exhibit 10.15 to the Company’s Registration Statement on Form S-1 filed with the SEC on October 2, 2020).</w:t>
              </w:r>
            </w:hyperlink>
          </w:p>
        </w:tc>
        <w:tc>
          <w:tcPr>
            <w:tcW w:w="1280" w:type="dxa"/>
            <w:vAlign w:val="bottom"/>
          </w:tcPr>
          <w:p>
            <w:pPr>
              <w:spacing w:after="0"/>
              <w:rPr>
                <w:sz w:val="17"/>
                <w:szCs w:val="17"/>
                <w:color w:val="auto"/>
              </w:rPr>
            </w:pPr>
          </w:p>
        </w:tc>
      </w:tr>
    </w:tbl>
    <w:p>
      <w:pPr>
        <w:sectPr>
          <w:pgSz w:w="11900" w:h="16838" w:orient="portrait"/>
          <w:cols w:equalWidth="0" w:num="1">
            <w:col w:w="11080"/>
          </w:cols>
          <w:pgMar w:left="320" w:top="455"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40" w:right="16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hyperlink r:id="rId264">
        <w:r>
          <w:rPr>
            <w:rFonts w:ascii="Times New Roman" w:cs="Times New Roman" w:eastAsia="Times New Roman" w:hAnsi="Times New Roman"/>
            <w:sz w:val="18"/>
            <w:szCs w:val="18"/>
            <w:u w:val="single" w:color="auto"/>
            <w:color w:val="0000EE"/>
          </w:rPr>
          <w:t>IP Assignment Agreement between Oncimmune Limited, and Biodesix, Inc., dated October 31, 2019 (incorporated by reference to</w:t>
        </w:r>
      </w:hyperlink>
      <w:r>
        <w:rPr>
          <w:rFonts w:ascii="Times New Roman" w:cs="Times New Roman" w:eastAsia="Times New Roman" w:hAnsi="Times New Roman"/>
          <w:sz w:val="18"/>
          <w:szCs w:val="18"/>
          <w:u w:val="single" w:color="auto"/>
          <w:color w:val="0000EE"/>
        </w:rPr>
        <w:t xml:space="preserve"> </w:t>
      </w:r>
      <w:hyperlink r:id="rId264">
        <w:r>
          <w:rPr>
            <w:rFonts w:ascii="Times New Roman" w:cs="Times New Roman" w:eastAsia="Times New Roman" w:hAnsi="Times New Roman"/>
            <w:sz w:val="18"/>
            <w:szCs w:val="18"/>
            <w:u w:val="single" w:color="auto"/>
            <w:color w:val="0000EE"/>
          </w:rPr>
          <w:t>Exhibit 10.15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jc w:val="center"/>
        <w:ind w:left="1440" w:right="46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hyperlink r:id="rId265">
        <w:r>
          <w:rPr>
            <w:rFonts w:ascii="Times New Roman" w:cs="Times New Roman" w:eastAsia="Times New Roman" w:hAnsi="Times New Roman"/>
            <w:sz w:val="18"/>
            <w:szCs w:val="18"/>
            <w:u w:val="single" w:color="auto"/>
            <w:color w:val="0000EE"/>
          </w:rPr>
          <w:t>IP License Agreement between Oncimmune Limited, and Biodesix, Inc., dated October 31, 2019 (incorporated by reference to</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Exhibit 10.16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16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hyperlink r:id="rId266">
        <w:r>
          <w:rPr>
            <w:rFonts w:ascii="Times New Roman" w:cs="Times New Roman" w:eastAsia="Times New Roman" w:hAnsi="Times New Roman"/>
            <w:sz w:val="18"/>
            <w:szCs w:val="18"/>
            <w:u w:val="single" w:color="auto"/>
            <w:color w:val="0000EE"/>
          </w:rPr>
          <w:t>Non-Exclusive License Agreement between Bio-Rad Laboratories, Inc., and Biodesix, Inc., dated August 1, 2019 (incorporated by</w:t>
        </w:r>
      </w:hyperlink>
      <w:r>
        <w:rPr>
          <w:rFonts w:ascii="Times New Roman" w:cs="Times New Roman" w:eastAsia="Times New Roman" w:hAnsi="Times New Roman"/>
          <w:sz w:val="18"/>
          <w:szCs w:val="18"/>
          <w:u w:val="single" w:color="auto"/>
          <w:color w:val="0000EE"/>
        </w:rPr>
        <w:t xml:space="preserve"> </w:t>
      </w:r>
      <w:hyperlink r:id="rId266">
        <w:r>
          <w:rPr>
            <w:rFonts w:ascii="Times New Roman" w:cs="Times New Roman" w:eastAsia="Times New Roman" w:hAnsi="Times New Roman"/>
            <w:sz w:val="18"/>
            <w:szCs w:val="18"/>
            <w:u w:val="single" w:color="auto"/>
            <w:color w:val="0000EE"/>
          </w:rPr>
          <w:t>reference to Exhibit 10.17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440" w:right="12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hyperlink r:id="rId267">
        <w:r>
          <w:rPr>
            <w:rFonts w:ascii="Times New Roman" w:cs="Times New Roman" w:eastAsia="Times New Roman" w:hAnsi="Times New Roman"/>
            <w:sz w:val="18"/>
            <w:szCs w:val="18"/>
            <w:u w:val="single" w:color="auto"/>
            <w:color w:val="0000EE"/>
          </w:rPr>
          <w:t>Supply Agreement between Biodesix, Inc., and Oncimmune, dated October 31, 2019 (incorporated by reference to Exhibit 10.18 to</w:t>
        </w:r>
      </w:hyperlink>
      <w:r>
        <w:rPr>
          <w:rFonts w:ascii="Times New Roman" w:cs="Times New Roman" w:eastAsia="Times New Roman" w:hAnsi="Times New Roman"/>
          <w:sz w:val="18"/>
          <w:szCs w:val="18"/>
          <w:u w:val="single" w:color="auto"/>
          <w:color w:val="0000EE"/>
        </w:rPr>
        <w:t xml:space="preserve"> </w:t>
      </w:r>
      <w:hyperlink r:id="rId267">
        <w:r>
          <w:rPr>
            <w:rFonts w:ascii="Times New Roman" w:cs="Times New Roman" w:eastAsia="Times New Roman" w:hAnsi="Times New Roman"/>
            <w:sz w:val="18"/>
            <w:szCs w:val="18"/>
            <w:u w:val="single" w:color="auto"/>
            <w:color w:val="0000EE"/>
          </w:rPr>
          <w:t>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jc w:val="center"/>
        <w:ind w:left="1440" w:right="44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hyperlink r:id="rId268">
        <w:r>
          <w:rPr>
            <w:rFonts w:ascii="Times New Roman" w:cs="Times New Roman" w:eastAsia="Times New Roman" w:hAnsi="Times New Roman"/>
            <w:sz w:val="18"/>
            <w:szCs w:val="18"/>
            <w:u w:val="single" w:color="auto"/>
            <w:color w:val="0000EE"/>
          </w:rPr>
          <w:t>Supply Agreement between Bio-Rad Laboratories, Inc., and Biodesix, Inc., dated August 1, 2019 (incorporated by reference to</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Exhibit 10.19 to the Company’s Registration Statement on Form S-1/A filed with the SEC on October 9, 2020).</w:t>
        </w:r>
      </w:hyperlink>
    </w:p>
    <w:p>
      <w:pPr>
        <w:spacing w:after="0" w:line="53" w:lineRule="exact"/>
        <w:rPr>
          <w:rFonts w:ascii="Times New Roman" w:cs="Times New Roman" w:eastAsia="Times New Roman" w:hAnsi="Times New Roman"/>
          <w:sz w:val="18"/>
          <w:szCs w:val="18"/>
          <w:u w:val="single" w:color="auto"/>
          <w:color w:val="0000EE"/>
        </w:rPr>
      </w:pPr>
    </w:p>
    <w:p>
      <w:pPr>
        <w:ind w:left="1440" w:hanging="1324"/>
        <w:spacing w:after="0" w:line="266"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hyperlink r:id="rId269">
        <w:r>
          <w:rPr>
            <w:rFonts w:ascii="Times New Roman" w:cs="Times New Roman" w:eastAsia="Times New Roman" w:hAnsi="Times New Roman"/>
            <w:sz w:val="18"/>
            <w:szCs w:val="18"/>
            <w:u w:val="single" w:color="auto"/>
            <w:color w:val="0000EE"/>
          </w:rPr>
          <w:t>Co-Development and Collaboration Agreement between AVEO Pharmaceuticals, Inc., and Biodesix, Inc., dated April 9, 2014, as</w:t>
        </w:r>
      </w:hyperlink>
      <w:r>
        <w:rPr>
          <w:rFonts w:ascii="Times New Roman" w:cs="Times New Roman" w:eastAsia="Times New Roman" w:hAnsi="Times New Roman"/>
          <w:sz w:val="18"/>
          <w:szCs w:val="18"/>
          <w:u w:val="single" w:color="auto"/>
          <w:color w:val="0000EE"/>
        </w:rPr>
        <w:t xml:space="preserve"> </w:t>
      </w:r>
      <w:hyperlink r:id="rId269">
        <w:r>
          <w:rPr>
            <w:rFonts w:ascii="Times New Roman" w:cs="Times New Roman" w:eastAsia="Times New Roman" w:hAnsi="Times New Roman"/>
            <w:sz w:val="18"/>
            <w:szCs w:val="18"/>
            <w:u w:val="single" w:color="auto"/>
            <w:color w:val="0000EE"/>
          </w:rPr>
          <w:t>amended October 14, 2016 (incorporated by reference to Exhibit 10.20 to the Company’s Registration Statement on Form S-1/A filed</w:t>
        </w:r>
      </w:hyperlink>
      <w:r>
        <w:rPr>
          <w:rFonts w:ascii="Times New Roman" w:cs="Times New Roman" w:eastAsia="Times New Roman" w:hAnsi="Times New Roman"/>
          <w:sz w:val="18"/>
          <w:szCs w:val="18"/>
          <w:u w:val="single" w:color="auto"/>
          <w:color w:val="0000EE"/>
        </w:rPr>
        <w:t xml:space="preserve"> </w:t>
      </w:r>
      <w:hyperlink r:id="rId269">
        <w:r>
          <w:rPr>
            <w:rFonts w:ascii="Times New Roman" w:cs="Times New Roman" w:eastAsia="Times New Roman" w:hAnsi="Times New Roman"/>
            <w:sz w:val="18"/>
            <w:szCs w:val="18"/>
            <w:u w:val="single" w:color="auto"/>
            <w:color w:val="0000EE"/>
          </w:rPr>
          <w:t>with the SEC on October 9, 2020).</w:t>
        </w:r>
      </w:hyperlink>
    </w:p>
    <w:p>
      <w:pPr>
        <w:spacing w:after="0" w:line="67" w:lineRule="exact"/>
        <w:rPr>
          <w:rFonts w:ascii="Times New Roman" w:cs="Times New Roman" w:eastAsia="Times New Roman" w:hAnsi="Times New Roman"/>
          <w:sz w:val="18"/>
          <w:szCs w:val="18"/>
          <w:u w:val="single" w:color="auto"/>
          <w:color w:val="0000EE"/>
        </w:rPr>
      </w:pPr>
    </w:p>
    <w:p>
      <w:pPr>
        <w:ind w:left="1440" w:right="40" w:hanging="1324"/>
        <w:spacing w:after="0" w:line="266"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10.23.1†**</w:t>
      </w:r>
      <w:hyperlink r:id="rId270">
        <w:r>
          <w:rPr>
            <w:rFonts w:ascii="Times New Roman" w:cs="Times New Roman" w:eastAsia="Times New Roman" w:hAnsi="Times New Roman"/>
            <w:sz w:val="18"/>
            <w:szCs w:val="18"/>
            <w:u w:val="single" w:color="auto"/>
            <w:color w:val="0000EE"/>
          </w:rPr>
          <w:t>Asset Purchase Agreement among Biodesix, Inc., Integrated Diagnostics, Inc., and the stockholders of Integrated Diagnostics, Inc.,</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listed therein, dated June 30, 2018 (incorporated by reference to Exhibit 10.23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filed with the SEC on October 2, 2020).</w:t>
        </w:r>
      </w:hyperlink>
    </w:p>
    <w:p>
      <w:pPr>
        <w:spacing w:after="0" w:line="67" w:lineRule="exact"/>
        <w:rPr>
          <w:rFonts w:ascii="Times New Roman" w:cs="Times New Roman" w:eastAsia="Times New Roman" w:hAnsi="Times New Roman"/>
          <w:sz w:val="18"/>
          <w:szCs w:val="18"/>
          <w:u w:val="single" w:color="auto"/>
          <w:color w:val="0000EE"/>
        </w:rPr>
      </w:pPr>
    </w:p>
    <w:p>
      <w:pPr>
        <w:ind w:left="1440" w:right="50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10.23.2**</w:t>
      </w:r>
      <w:hyperlink r:id="rId271">
        <w:r>
          <w:rPr>
            <w:rFonts w:ascii="Times New Roman" w:cs="Times New Roman" w:eastAsia="Times New Roman" w:hAnsi="Times New Roman"/>
            <w:sz w:val="18"/>
            <w:szCs w:val="18"/>
            <w:u w:val="single" w:color="auto"/>
            <w:color w:val="0000EE"/>
          </w:rPr>
          <w:t>Amendment No. 2 to Asset Purchase Agreement and Plan of Reorganization (incorporated by reference to Exhibit 10.38 to the</w:t>
        </w:r>
      </w:hyperlink>
      <w:r>
        <w:rPr>
          <w:rFonts w:ascii="Times New Roman" w:cs="Times New Roman" w:eastAsia="Times New Roman" w:hAnsi="Times New Roman"/>
          <w:sz w:val="18"/>
          <w:szCs w:val="18"/>
          <w:u w:val="single" w:color="auto"/>
          <w:color w:val="0000EE"/>
        </w:rPr>
        <w:t xml:space="preserve"> </w:t>
      </w:r>
      <w:hyperlink r:id="rId271">
        <w:r>
          <w:rPr>
            <w:rFonts w:ascii="Times New Roman" w:cs="Times New Roman" w:eastAsia="Times New Roman" w:hAnsi="Times New Roman"/>
            <w:sz w:val="18"/>
            <w:szCs w:val="18"/>
            <w:u w:val="single" w:color="auto"/>
            <w:color w:val="0000EE"/>
          </w:rPr>
          <w:t>Company’s Form 10-Q filed with the SEC on August 10, 2021).</w:t>
        </w:r>
      </w:hyperlink>
    </w:p>
    <w:p>
      <w:pPr>
        <w:spacing w:after="0" w:line="53" w:lineRule="exact"/>
        <w:rPr>
          <w:rFonts w:ascii="Times New Roman" w:cs="Times New Roman" w:eastAsia="Times New Roman" w:hAnsi="Times New Roman"/>
          <w:sz w:val="18"/>
          <w:szCs w:val="18"/>
          <w:u w:val="single" w:color="auto"/>
          <w:color w:val="0000EE"/>
        </w:rPr>
      </w:pPr>
    </w:p>
    <w:p>
      <w:pPr>
        <w:ind w:left="1440" w:right="54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10.23.3**</w:t>
      </w:r>
      <w:hyperlink r:id="rId272">
        <w:r>
          <w:rPr>
            <w:rFonts w:ascii="Times New Roman" w:cs="Times New Roman" w:eastAsia="Times New Roman" w:hAnsi="Times New Roman"/>
            <w:sz w:val="18"/>
            <w:szCs w:val="18"/>
            <w:u w:val="single" w:color="auto"/>
            <w:color w:val="0000EE"/>
          </w:rPr>
          <w:t>Amendment No. 3 to Asset Purchase Agreement and Plan of Reorganization (incorporated by reference to Exhibit 10.6 to the</w:t>
        </w:r>
      </w:hyperlink>
      <w:r>
        <w:rPr>
          <w:rFonts w:ascii="Times New Roman" w:cs="Times New Roman" w:eastAsia="Times New Roman" w:hAnsi="Times New Roman"/>
          <w:sz w:val="18"/>
          <w:szCs w:val="18"/>
          <w:u w:val="single" w:color="auto"/>
          <w:color w:val="0000EE"/>
        </w:rPr>
        <w:t xml:space="preserve"> </w:t>
      </w:r>
      <w:hyperlink r:id="rId272">
        <w:r>
          <w:rPr>
            <w:rFonts w:ascii="Times New Roman" w:cs="Times New Roman" w:eastAsia="Times New Roman" w:hAnsi="Times New Roman"/>
            <w:sz w:val="18"/>
            <w:szCs w:val="18"/>
            <w:u w:val="single" w:color="auto"/>
            <w:color w:val="0000EE"/>
          </w:rPr>
          <w:t>Company’s Form 10-Q filed with the SEC on May 11, 2022).</w:t>
        </w:r>
      </w:hyperlink>
    </w:p>
    <w:p>
      <w:pPr>
        <w:spacing w:after="0" w:line="53" w:lineRule="exact"/>
        <w:rPr>
          <w:rFonts w:ascii="Times New Roman" w:cs="Times New Roman" w:eastAsia="Times New Roman" w:hAnsi="Times New Roman"/>
          <w:sz w:val="18"/>
          <w:szCs w:val="18"/>
          <w:u w:val="single" w:color="auto"/>
          <w:color w:val="0000EE"/>
        </w:rPr>
      </w:pPr>
    </w:p>
    <w:p>
      <w:pPr>
        <w:ind w:left="1440" w:right="80" w:hanging="132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hyperlink r:id="rId273">
        <w:r>
          <w:rPr>
            <w:rFonts w:ascii="Times New Roman" w:cs="Times New Roman" w:eastAsia="Times New Roman" w:hAnsi="Times New Roman"/>
            <w:sz w:val="18"/>
            <w:szCs w:val="18"/>
            <w:u w:val="single" w:color="auto"/>
            <w:color w:val="0000EE"/>
          </w:rPr>
          <w:t>Asset Purchase Agreement between Oncimmune Limited and Biodesix, Inc., dated June 27, 2019, as amended to date (incorporated</w:t>
        </w:r>
      </w:hyperlink>
      <w:r>
        <w:rPr>
          <w:rFonts w:ascii="Times New Roman" w:cs="Times New Roman" w:eastAsia="Times New Roman" w:hAnsi="Times New Roman"/>
          <w:sz w:val="18"/>
          <w:szCs w:val="18"/>
          <w:u w:val="single" w:color="auto"/>
          <w:color w:val="0000EE"/>
        </w:rPr>
        <w:t xml:space="preserve"> </w:t>
      </w:r>
      <w:hyperlink r:id="rId273">
        <w:r>
          <w:rPr>
            <w:rFonts w:ascii="Times New Roman" w:cs="Times New Roman" w:eastAsia="Times New Roman" w:hAnsi="Times New Roman"/>
            <w:sz w:val="18"/>
            <w:szCs w:val="18"/>
            <w:u w:val="single" w:color="auto"/>
            <w:color w:val="0000EE"/>
          </w:rPr>
          <w:t>by reference to Exhibit 10.24 to the Company’s Registration Statement on Form S-1 filed with the SEC on October 2, 2020).</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10.25**</w:t>
            </w:r>
          </w:p>
        </w:tc>
        <w:tc>
          <w:tcPr>
            <w:tcW w:w="94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First Amendment to the Non-Exclusive License Agreement between Bio-Rad Laboratories, Inc., and Biodesix, Inc., dated May 24,</w:t>
              </w:r>
            </w:hyperlink>
          </w:p>
        </w:tc>
        <w:tc>
          <w:tcPr>
            <w:tcW w:w="80" w:type="dxa"/>
            <w:vAlign w:val="bottom"/>
            <w:gridSpan w:val="3"/>
          </w:tcPr>
          <w:p>
            <w:pPr>
              <w:spacing w:after="0"/>
              <w:rPr>
                <w:sz w:val="18"/>
                <w:szCs w:val="18"/>
                <w:color w:val="auto"/>
              </w:rPr>
            </w:pPr>
          </w:p>
        </w:tc>
      </w:tr>
      <w:tr>
        <w:trPr>
          <w:trHeight w:val="196"/>
        </w:trPr>
        <w:tc>
          <w:tcPr>
            <w:tcW w:w="1320" w:type="dxa"/>
            <w:vAlign w:val="bottom"/>
          </w:tcPr>
          <w:p>
            <w:pPr>
              <w:spacing w:after="0"/>
              <w:rPr>
                <w:sz w:val="17"/>
                <w:szCs w:val="17"/>
                <w:color w:val="auto"/>
              </w:rPr>
            </w:pPr>
          </w:p>
        </w:tc>
        <w:tc>
          <w:tcPr>
            <w:tcW w:w="8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2021 (incorporated by reference to Exhibit 10.37 to the Company’s Form 10-Q filed with the SEC on August 10, 2021).</w:t>
              </w:r>
            </w:hyperlink>
          </w:p>
        </w:tc>
        <w:tc>
          <w:tcPr>
            <w:tcW w:w="920" w:type="dxa"/>
            <w:vAlign w:val="bottom"/>
            <w:gridSpan w:val="7"/>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10.26**</w:t>
            </w:r>
          </w:p>
        </w:tc>
        <w:tc>
          <w:tcPr>
            <w:tcW w:w="9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Purchase Agreement, dated March 7, 2022, by and between Biodesix, Inc. and Lincoln Park Capital Fund, LLC (incorporated by</w:t>
              </w:r>
            </w:hyperlink>
          </w:p>
        </w:tc>
        <w:tc>
          <w:tcPr>
            <w:tcW w:w="240" w:type="dxa"/>
            <w:vAlign w:val="bottom"/>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560" w:type="dxa"/>
            <w:vAlign w:val="bottom"/>
            <w:gridSpan w:val="10"/>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reference to Exhibit 10.1 to the Company’s current report on Form 8-K filed with the SEC on March 7, 2022).</w:t>
              </w:r>
            </w:hyperlink>
          </w:p>
        </w:tc>
      </w:tr>
      <w:tr>
        <w:trPr>
          <w:trHeight w:val="20"/>
        </w:trPr>
        <w:tc>
          <w:tcPr>
            <w:tcW w:w="1320" w:type="dxa"/>
            <w:vAlign w:val="bottom"/>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10.27**</w:t>
            </w:r>
          </w:p>
        </w:tc>
        <w:tc>
          <w:tcPr>
            <w:tcW w:w="87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Registration Rights Agreement, dated March 7, 2022, by and between Biodesix, Inc. and Lincoln Park Capital Fund, LLC</w:t>
              </w:r>
            </w:hyperlink>
          </w:p>
        </w:tc>
        <w:tc>
          <w:tcPr>
            <w:tcW w:w="78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560" w:type="dxa"/>
            <w:vAlign w:val="bottom"/>
            <w:gridSpan w:val="10"/>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(incorporated by reference to Exhibit 10.2 to the Company’s current report on Form 8-K filed with the SEC on March 7, 2022).</w:t>
              </w:r>
            </w:hyperlink>
          </w:p>
        </w:tc>
      </w:tr>
      <w:tr>
        <w:trPr>
          <w:trHeight w:val="20"/>
        </w:trPr>
        <w:tc>
          <w:tcPr>
            <w:tcW w:w="1320" w:type="dxa"/>
            <w:vAlign w:val="bottom"/>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10.28**</w:t>
            </w:r>
          </w:p>
        </w:tc>
        <w:tc>
          <w:tcPr>
            <w:tcW w:w="9560" w:type="dxa"/>
            <w:vAlign w:val="bottom"/>
            <w:gridSpan w:val="10"/>
          </w:tcPr>
          <w:p>
            <w:pPr>
              <w:spacing w:after="0"/>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Form of Subscription Agreement with resale registration rights provision, dated April 7, 2022 (incorporated by reference to Exhibit</w:t>
              </w:r>
            </w:hyperlink>
          </w:p>
        </w:tc>
      </w:tr>
      <w:tr>
        <w:trPr>
          <w:trHeight w:val="196"/>
        </w:trPr>
        <w:tc>
          <w:tcPr>
            <w:tcW w:w="1320" w:type="dxa"/>
            <w:vAlign w:val="bottom"/>
          </w:tcPr>
          <w:p>
            <w:pPr>
              <w:spacing w:after="0"/>
              <w:rPr>
                <w:sz w:val="17"/>
                <w:szCs w:val="17"/>
                <w:color w:val="auto"/>
              </w:rPr>
            </w:pPr>
          </w:p>
        </w:tc>
        <w:tc>
          <w:tcPr>
            <w:tcW w:w="95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with the SEC on April 11, 2022).</w:t>
              </w:r>
            </w:hyperlink>
          </w:p>
        </w:tc>
        <w:tc>
          <w:tcPr>
            <w:tcW w:w="60" w:type="dxa"/>
            <w:vAlign w:val="bottom"/>
            <w:gridSpan w:val="2"/>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10.29**</w:t>
            </w:r>
          </w:p>
        </w:tc>
        <w:tc>
          <w:tcPr>
            <w:tcW w:w="9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Form of Subscription Agreement without registration rights, entered by the three members of our Board of Directors, dated April 7,</w:t>
              </w:r>
            </w:hyperlink>
          </w:p>
        </w:tc>
        <w:tc>
          <w:tcPr>
            <w:tcW w:w="4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5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2022 (incorporated by reference to Exhibit 10.2 to the Company’s current report on Form 8-K filed with the SEC on April 11, 2022).</w:t>
              </w:r>
            </w:hyperlink>
          </w:p>
        </w:tc>
      </w:tr>
    </w:tbl>
    <w:p>
      <w:pPr>
        <w:sectPr>
          <w:pgSz w:w="11900" w:h="16838" w:orient="portrait"/>
          <w:cols w:equalWidth="0" w:num="1">
            <w:col w:w="11060"/>
          </w:cols>
          <w:pgMar w:left="320" w:top="455" w:right="5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0" w:right="260" w:hanging="1084"/>
        <w:spacing w:after="0" w:line="312" w:lineRule="auto"/>
        <w:tabs>
          <w:tab w:leader="none" w:pos="197" w:val="left"/>
        </w:tabs>
        <w:numPr>
          <w:ilvl w:val="0"/>
          <w:numId w:val="8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hyperlink r:id="rId228">
        <w:r>
          <w:rPr>
            <w:rFonts w:ascii="Times New Roman" w:cs="Times New Roman" w:eastAsia="Times New Roman" w:hAnsi="Times New Roman"/>
            <w:sz w:val="17"/>
            <w:szCs w:val="17"/>
            <w:u w:val="single" w:color="auto"/>
            <w:color w:val="0000EE"/>
          </w:rPr>
          <w:t>Credit Agreement and Guaranty, dated as of November 16, 2022, by and among the Company and Perceptive Credit Holdings IV, LP.</w:t>
        </w:r>
      </w:hyperlink>
      <w:r>
        <w:rPr>
          <w:rFonts w:ascii="Times New Roman" w:cs="Times New Roman" w:eastAsia="Times New Roman" w:hAnsi="Times New Roman"/>
          <w:sz w:val="17"/>
          <w:szCs w:val="17"/>
          <w:u w:val="single" w:color="auto"/>
          <w:color w:val="0000EE"/>
        </w:rPr>
        <w:t xml:space="preserve"> </w:t>
      </w:r>
      <w:hyperlink r:id="rId228">
        <w:r>
          <w:rPr>
            <w:rFonts w:ascii="Times New Roman" w:cs="Times New Roman" w:eastAsia="Times New Roman" w:hAnsi="Times New Roman"/>
            <w:sz w:val="17"/>
            <w:szCs w:val="17"/>
            <w:u w:val="single" w:color="auto"/>
            <w:color w:val="0000EE"/>
          </w:rPr>
          <w:t>(incorporated by reference to Exhibit 10.1 to the Company’s current report on Form 8-K filed with the SEC on November 21, 2022).</w:t>
        </w:r>
      </w:hyperlink>
    </w:p>
    <w:p>
      <w:pPr>
        <w:spacing w:after="0" w:line="31" w:lineRule="exact"/>
        <w:rPr>
          <w:rFonts w:ascii="Times New Roman" w:cs="Times New Roman" w:eastAsia="Times New Roman" w:hAnsi="Times New Roman"/>
          <w:sz w:val="17"/>
          <w:szCs w:val="17"/>
          <w:u w:val="single" w:color="auto"/>
          <w:color w:val="0000EE"/>
        </w:rPr>
      </w:pPr>
    </w:p>
    <w:p>
      <w:pPr>
        <w:ind w:left="1200" w:right="2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hyperlink r:id="rId280">
        <w:r>
          <w:rPr>
            <w:rFonts w:ascii="Times New Roman" w:cs="Times New Roman" w:eastAsia="Times New Roman" w:hAnsi="Times New Roman"/>
            <w:sz w:val="18"/>
            <w:szCs w:val="18"/>
            <w:u w:val="single" w:color="auto"/>
            <w:color w:val="0000EE"/>
          </w:rPr>
          <w:t>Limited Waiver, dated April 7, 2023, by and between Biodesix, Inc. and Perceptive Credit Holdings IV, LP (incorporated by reference to</w:t>
        </w:r>
      </w:hyperlink>
      <w:r>
        <w:rPr>
          <w:rFonts w:ascii="Times New Roman" w:cs="Times New Roman" w:eastAsia="Times New Roman" w:hAnsi="Times New Roman"/>
          <w:sz w:val="18"/>
          <w:szCs w:val="18"/>
          <w:u w:val="single" w:color="auto"/>
          <w:color w:val="0000EE"/>
        </w:rPr>
        <w:t xml:space="preserve"> </w:t>
      </w:r>
      <w:hyperlink r:id="rId280">
        <w:r>
          <w:rPr>
            <w:rFonts w:ascii="Times New Roman" w:cs="Times New Roman" w:eastAsia="Times New Roman" w:hAnsi="Times New Roman"/>
            <w:sz w:val="18"/>
            <w:szCs w:val="18"/>
            <w:u w:val="single" w:color="auto"/>
            <w:color w:val="0000EE"/>
          </w:rPr>
          <w:t>Exhibit 10.1 to the Company’s Quarterly Report on Form 10-Q filed with the SEC on May 11, 2023).</w:t>
        </w:r>
      </w:hyperlink>
    </w:p>
    <w:p>
      <w:pPr>
        <w:spacing w:after="0" w:line="53" w:lineRule="exact"/>
        <w:rPr>
          <w:rFonts w:ascii="Times New Roman" w:cs="Times New Roman" w:eastAsia="Times New Roman" w:hAnsi="Times New Roman"/>
          <w:sz w:val="18"/>
          <w:szCs w:val="18"/>
          <w:u w:val="single" w:color="auto"/>
          <w:color w:val="0000EE"/>
        </w:rPr>
      </w:pPr>
    </w:p>
    <w:p>
      <w:pPr>
        <w:ind w:left="1200" w:right="160" w:hanging="1084"/>
        <w:spacing w:after="0" w:line="266"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hyperlink r:id="rId281">
        <w:r>
          <w:rPr>
            <w:rFonts w:ascii="Times New Roman" w:cs="Times New Roman" w:eastAsia="Times New Roman" w:hAnsi="Times New Roman"/>
            <w:sz w:val="18"/>
            <w:szCs w:val="18"/>
            <w:u w:val="single" w:color="auto"/>
            <w:color w:val="0000EE"/>
          </w:rPr>
          <w:t>First Amendment to Credit Agreement and Guaranty, dated May 10, 2023, by and among the Company and Perceptive Credit Holdings</w:t>
        </w:r>
      </w:hyperlink>
      <w:r>
        <w:rPr>
          <w:rFonts w:ascii="Times New Roman" w:cs="Times New Roman" w:eastAsia="Times New Roman" w:hAnsi="Times New Roman"/>
          <w:sz w:val="18"/>
          <w:szCs w:val="18"/>
          <w:u w:val="single" w:color="auto"/>
          <w:color w:val="0000EE"/>
        </w:rPr>
        <w:t xml:space="preserve"> </w:t>
      </w:r>
      <w:hyperlink r:id="rId281">
        <w:r>
          <w:rPr>
            <w:rFonts w:ascii="Times New Roman" w:cs="Times New Roman" w:eastAsia="Times New Roman" w:hAnsi="Times New Roman"/>
            <w:sz w:val="18"/>
            <w:szCs w:val="18"/>
            <w:u w:val="single" w:color="auto"/>
            <w:color w:val="0000EE"/>
          </w:rPr>
          <w:t>IV, LP (incorporated by reference to Exhibit 10.3 to the Company’s Quarterly Report on Form 10-Q filed with the SEC on May 11,</w:t>
        </w:r>
      </w:hyperlink>
      <w:r>
        <w:rPr>
          <w:rFonts w:ascii="Times New Roman" w:cs="Times New Roman" w:eastAsia="Times New Roman" w:hAnsi="Times New Roman"/>
          <w:sz w:val="18"/>
          <w:szCs w:val="18"/>
          <w:u w:val="single" w:color="auto"/>
          <w:color w:val="0000EE"/>
        </w:rPr>
        <w:t xml:space="preserve"> </w:t>
      </w:r>
      <w:hyperlink r:id="rId281">
        <w:r>
          <w:rPr>
            <w:rFonts w:ascii="Times New Roman" w:cs="Times New Roman" w:eastAsia="Times New Roman" w:hAnsi="Times New Roman"/>
            <w:sz w:val="18"/>
            <w:szCs w:val="18"/>
            <w:u w:val="single" w:color="auto"/>
            <w:color w:val="0000EE"/>
          </w:rPr>
          <w:t>2023).</w:t>
        </w:r>
      </w:hyperlink>
    </w:p>
    <w:p>
      <w:pPr>
        <w:spacing w:after="0" w:line="67" w:lineRule="exact"/>
        <w:rPr>
          <w:rFonts w:ascii="Times New Roman" w:cs="Times New Roman" w:eastAsia="Times New Roman" w:hAnsi="Times New Roman"/>
          <w:sz w:val="18"/>
          <w:szCs w:val="18"/>
          <w:u w:val="single" w:color="auto"/>
          <w:color w:val="0000EE"/>
        </w:rPr>
      </w:pPr>
    </w:p>
    <w:p>
      <w:pPr>
        <w:ind w:left="1200" w:right="400" w:hanging="1084"/>
        <w:spacing w:after="0" w:line="266"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hyperlink r:id="rId282">
        <w:r>
          <w:rPr>
            <w:rFonts w:ascii="Times New Roman" w:cs="Times New Roman" w:eastAsia="Times New Roman" w:hAnsi="Times New Roman"/>
            <w:sz w:val="18"/>
            <w:szCs w:val="18"/>
            <w:u w:val="single" w:color="auto"/>
            <w:color w:val="0000EE"/>
          </w:rPr>
          <w:t>Second Amendment to Credit Agreement and Guaranty, dated August 4, 2023, by and among the Company and Perceptive Credit</w:t>
        </w:r>
      </w:hyperlink>
      <w:r>
        <w:rPr>
          <w:rFonts w:ascii="Times New Roman" w:cs="Times New Roman" w:eastAsia="Times New Roman" w:hAnsi="Times New Roman"/>
          <w:sz w:val="18"/>
          <w:szCs w:val="18"/>
          <w:u w:val="single" w:color="auto"/>
          <w:color w:val="0000EE"/>
        </w:rPr>
        <w:t xml:space="preserve"> </w:t>
      </w:r>
      <w:hyperlink r:id="rId282">
        <w:r>
          <w:rPr>
            <w:rFonts w:ascii="Times New Roman" w:cs="Times New Roman" w:eastAsia="Times New Roman" w:hAnsi="Times New Roman"/>
            <w:sz w:val="18"/>
            <w:szCs w:val="18"/>
            <w:u w:val="single" w:color="auto"/>
            <w:color w:val="0000EE"/>
          </w:rPr>
          <w:t>Holdings IV, LP (incorporated by reference to Exhibit 10.2 to the Company’s Quarterly Report on Form 10-Q filed with the SEC on</w:t>
        </w:r>
      </w:hyperlink>
      <w:r>
        <w:rPr>
          <w:rFonts w:ascii="Times New Roman" w:cs="Times New Roman" w:eastAsia="Times New Roman" w:hAnsi="Times New Roman"/>
          <w:sz w:val="18"/>
          <w:szCs w:val="18"/>
          <w:u w:val="single" w:color="auto"/>
          <w:color w:val="0000EE"/>
        </w:rPr>
        <w:t xml:space="preserve"> </w:t>
      </w:r>
      <w:hyperlink r:id="rId282">
        <w:r>
          <w:rPr>
            <w:rFonts w:ascii="Times New Roman" w:cs="Times New Roman" w:eastAsia="Times New Roman" w:hAnsi="Times New Roman"/>
            <w:sz w:val="18"/>
            <w:szCs w:val="18"/>
            <w:u w:val="single" w:color="auto"/>
            <w:color w:val="0000EE"/>
          </w:rPr>
          <w:t>August 7, 2023).</w:t>
        </w:r>
      </w:hyperlink>
    </w:p>
    <w:p>
      <w:pPr>
        <w:spacing w:after="0" w:line="67" w:lineRule="exact"/>
        <w:rPr>
          <w:rFonts w:ascii="Times New Roman" w:cs="Times New Roman" w:eastAsia="Times New Roman" w:hAnsi="Times New Roman"/>
          <w:sz w:val="18"/>
          <w:szCs w:val="18"/>
          <w:u w:val="single" w:color="auto"/>
          <w:color w:val="0000EE"/>
        </w:rPr>
      </w:pPr>
    </w:p>
    <w:p>
      <w:pPr>
        <w:jc w:val="center"/>
        <w:ind w:left="1200" w:right="62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hyperlink r:id="rId283">
        <w:r>
          <w:rPr>
            <w:rFonts w:ascii="Times New Roman" w:cs="Times New Roman" w:eastAsia="Times New Roman" w:hAnsi="Times New Roman"/>
            <w:sz w:val="18"/>
            <w:szCs w:val="18"/>
            <w:u w:val="single" w:color="auto"/>
            <w:color w:val="0000EE"/>
          </w:rPr>
          <w:t>Limited Waiver, dated February 14, 2024, by and between Biodesix, Inc. and Perceptive Credit Holdings IV, LP (incorporated by</w:t>
        </w:r>
      </w:hyperlink>
      <w:r>
        <w:rPr>
          <w:rFonts w:ascii="Times New Roman" w:cs="Times New Roman" w:eastAsia="Times New Roman" w:hAnsi="Times New Roman"/>
          <w:sz w:val="18"/>
          <w:szCs w:val="18"/>
          <w:u w:val="single" w:color="auto"/>
          <w:color w:val="0000EE"/>
        </w:rPr>
        <w:t xml:space="preserve"> </w:t>
      </w:r>
      <w:hyperlink r:id="rId283">
        <w:r>
          <w:rPr>
            <w:rFonts w:ascii="Times New Roman" w:cs="Times New Roman" w:eastAsia="Times New Roman" w:hAnsi="Times New Roman"/>
            <w:sz w:val="18"/>
            <w:szCs w:val="18"/>
            <w:u w:val="single" w:color="auto"/>
            <w:color w:val="0000EE"/>
          </w:rPr>
          <w:t>reference to Exhibit 10.34 to the Company’s Annual Report on Form 10-K filed with the SEC on March 1, 2024).</w:t>
        </w:r>
      </w:hyperlink>
    </w:p>
    <w:p>
      <w:pPr>
        <w:spacing w:after="0" w:line="53" w:lineRule="exact"/>
        <w:rPr>
          <w:rFonts w:ascii="Times New Roman" w:cs="Times New Roman" w:eastAsia="Times New Roman" w:hAnsi="Times New Roman"/>
          <w:sz w:val="18"/>
          <w:szCs w:val="18"/>
          <w:u w:val="single" w:color="auto"/>
          <w:color w:val="0000EE"/>
        </w:rPr>
      </w:pPr>
    </w:p>
    <w:p>
      <w:pPr>
        <w:ind w:left="1200" w:right="420" w:hanging="1084"/>
        <w:spacing w:after="0" w:line="266"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hyperlink r:id="rId284">
        <w:r>
          <w:rPr>
            <w:rFonts w:ascii="Times New Roman" w:cs="Times New Roman" w:eastAsia="Times New Roman" w:hAnsi="Times New Roman"/>
            <w:sz w:val="18"/>
            <w:szCs w:val="18"/>
            <w:u w:val="single" w:color="auto"/>
            <w:color w:val="0000EE"/>
          </w:rPr>
          <w:t>Third Amendment to Credit Agreement and Guaranty, dated February 29, 2024, by and among the Company and Perceptive Credit</w:t>
        </w:r>
      </w:hyperlink>
      <w:r>
        <w:rPr>
          <w:rFonts w:ascii="Times New Roman" w:cs="Times New Roman" w:eastAsia="Times New Roman" w:hAnsi="Times New Roman"/>
          <w:sz w:val="18"/>
          <w:szCs w:val="18"/>
          <w:u w:val="single" w:color="auto"/>
          <w:color w:val="0000EE"/>
        </w:rPr>
        <w:t xml:space="preserve"> </w:t>
      </w:r>
      <w:hyperlink r:id="rId284">
        <w:r>
          <w:rPr>
            <w:rFonts w:ascii="Times New Roman" w:cs="Times New Roman" w:eastAsia="Times New Roman" w:hAnsi="Times New Roman"/>
            <w:sz w:val="18"/>
            <w:szCs w:val="18"/>
            <w:u w:val="single" w:color="auto"/>
            <w:color w:val="0000EE"/>
          </w:rPr>
          <w:t>Holdings IV, LP. (incorporated by reference to Exhibit 10.35 to the Company’s Annual Report on Form 10-K filed with the SEC on</w:t>
        </w:r>
      </w:hyperlink>
      <w:r>
        <w:rPr>
          <w:rFonts w:ascii="Times New Roman" w:cs="Times New Roman" w:eastAsia="Times New Roman" w:hAnsi="Times New Roman"/>
          <w:sz w:val="18"/>
          <w:szCs w:val="18"/>
          <w:u w:val="single" w:color="auto"/>
          <w:color w:val="0000EE"/>
        </w:rPr>
        <w:t xml:space="preserve"> </w:t>
      </w:r>
      <w:hyperlink r:id="rId284">
        <w:r>
          <w:rPr>
            <w:rFonts w:ascii="Times New Roman" w:cs="Times New Roman" w:eastAsia="Times New Roman" w:hAnsi="Times New Roman"/>
            <w:sz w:val="18"/>
            <w:szCs w:val="18"/>
            <w:u w:val="single" w:color="auto"/>
            <w:color w:val="0000EE"/>
          </w:rPr>
          <w:t>March 1, 2024).</w:t>
        </w:r>
      </w:hyperlink>
    </w:p>
    <w:p>
      <w:pPr>
        <w:spacing w:after="0" w:line="67" w:lineRule="exact"/>
        <w:rPr>
          <w:rFonts w:ascii="Times New Roman" w:cs="Times New Roman" w:eastAsia="Times New Roman" w:hAnsi="Times New Roman"/>
          <w:sz w:val="18"/>
          <w:szCs w:val="18"/>
          <w:u w:val="single" w:color="auto"/>
          <w:color w:val="0000EE"/>
        </w:rPr>
      </w:pPr>
    </w:p>
    <w:p>
      <w:pPr>
        <w:ind w:left="1200" w:right="10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hyperlink r:id="rId285">
        <w:r>
          <w:rPr>
            <w:rFonts w:ascii="Times New Roman" w:cs="Times New Roman" w:eastAsia="Times New Roman" w:hAnsi="Times New Roman"/>
            <w:sz w:val="18"/>
            <w:szCs w:val="18"/>
            <w:u w:val="single" w:color="auto"/>
            <w:color w:val="0000EE"/>
          </w:rPr>
          <w:t>Security Agreement, dated as of November 21, 2022, by and among the Company and Perceptive Credit Holdings IV, LP. (incorporated</w:t>
        </w:r>
      </w:hyperlink>
      <w:r>
        <w:rPr>
          <w:rFonts w:ascii="Times New Roman" w:cs="Times New Roman" w:eastAsia="Times New Roman" w:hAnsi="Times New Roman"/>
          <w:sz w:val="18"/>
          <w:szCs w:val="18"/>
          <w:u w:val="single" w:color="auto"/>
          <w:color w:val="0000EE"/>
        </w:rPr>
        <w:t xml:space="preserve"> </w:t>
      </w:r>
      <w:hyperlink r:id="rId285">
        <w:r>
          <w:rPr>
            <w:rFonts w:ascii="Times New Roman" w:cs="Times New Roman" w:eastAsia="Times New Roman" w:hAnsi="Times New Roman"/>
            <w:sz w:val="18"/>
            <w:szCs w:val="18"/>
            <w:u w:val="single" w:color="auto"/>
            <w:color w:val="0000EE"/>
          </w:rPr>
          <w:t>by reference to Exhibit 10.2 to the Company’s current report on Form 8-K filed with the SEC on November 21, 2022).</w:t>
        </w:r>
      </w:hyperlink>
    </w:p>
    <w:p>
      <w:pPr>
        <w:spacing w:after="0" w:line="53" w:lineRule="exact"/>
        <w:rPr>
          <w:rFonts w:ascii="Times New Roman" w:cs="Times New Roman" w:eastAsia="Times New Roman" w:hAnsi="Times New Roman"/>
          <w:sz w:val="18"/>
          <w:szCs w:val="18"/>
          <w:u w:val="single" w:color="auto"/>
          <w:color w:val="0000EE"/>
        </w:rPr>
      </w:pPr>
    </w:p>
    <w:p>
      <w:pPr>
        <w:ind w:left="1200" w:right="10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hyperlink r:id="rId286">
        <w:r>
          <w:rPr>
            <w:rFonts w:ascii="Times New Roman" w:cs="Times New Roman" w:eastAsia="Times New Roman" w:hAnsi="Times New Roman"/>
            <w:sz w:val="18"/>
            <w:szCs w:val="18"/>
            <w:u w:val="single" w:color="auto"/>
            <w:color w:val="0000EE"/>
          </w:rPr>
          <w:t>Form of Subscription Agreement, dated November 21, 2022 (incorporated by reference to Exhibit 10.3 to the Company’s current report</w:t>
        </w:r>
      </w:hyperlink>
      <w:r>
        <w:rPr>
          <w:rFonts w:ascii="Times New Roman" w:cs="Times New Roman" w:eastAsia="Times New Roman" w:hAnsi="Times New Roman"/>
          <w:sz w:val="18"/>
          <w:szCs w:val="18"/>
          <w:u w:val="single" w:color="auto"/>
          <w:color w:val="0000EE"/>
        </w:rPr>
        <w:t xml:space="preserve"> </w:t>
      </w:r>
      <w:hyperlink r:id="rId286">
        <w:r>
          <w:rPr>
            <w:rFonts w:ascii="Times New Roman" w:cs="Times New Roman" w:eastAsia="Times New Roman" w:hAnsi="Times New Roman"/>
            <w:sz w:val="18"/>
            <w:szCs w:val="18"/>
            <w:u w:val="single" w:color="auto"/>
            <w:color w:val="0000EE"/>
          </w:rPr>
          <w:t>on Form 8-K filed with the SEC on November 21, 2022).</w:t>
        </w:r>
      </w:hyperlink>
    </w:p>
    <w:p>
      <w:pPr>
        <w:spacing w:after="0" w:line="53" w:lineRule="exact"/>
        <w:rPr>
          <w:rFonts w:ascii="Times New Roman" w:cs="Times New Roman" w:eastAsia="Times New Roman" w:hAnsi="Times New Roman"/>
          <w:sz w:val="18"/>
          <w:szCs w:val="18"/>
          <w:u w:val="single" w:color="auto"/>
          <w:color w:val="0000EE"/>
        </w:rPr>
      </w:pPr>
    </w:p>
    <w:p>
      <w:pPr>
        <w:ind w:left="1200" w:right="20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hyperlink r:id="rId287">
        <w:r>
          <w:rPr>
            <w:rFonts w:ascii="Times New Roman" w:cs="Times New Roman" w:eastAsia="Times New Roman" w:hAnsi="Times New Roman"/>
            <w:sz w:val="18"/>
            <w:szCs w:val="18"/>
            <w:u w:val="single" w:color="auto"/>
            <w:color w:val="0000EE"/>
          </w:rPr>
          <w:t>Form of Subscription Agreement, dated August 3, 2023 (incorporated by reference to Exhibit 10.1 to the Company’s Quarterly Report</w:t>
        </w:r>
      </w:hyperlink>
      <w:r>
        <w:rPr>
          <w:rFonts w:ascii="Times New Roman" w:cs="Times New Roman" w:eastAsia="Times New Roman" w:hAnsi="Times New Roman"/>
          <w:sz w:val="18"/>
          <w:szCs w:val="18"/>
          <w:u w:val="single" w:color="auto"/>
          <w:color w:val="0000EE"/>
        </w:rPr>
        <w:t xml:space="preserve"> </w:t>
      </w:r>
      <w:hyperlink r:id="rId287">
        <w:r>
          <w:rPr>
            <w:rFonts w:ascii="Times New Roman" w:cs="Times New Roman" w:eastAsia="Times New Roman" w:hAnsi="Times New Roman"/>
            <w:sz w:val="18"/>
            <w:szCs w:val="18"/>
            <w:u w:val="single" w:color="auto"/>
            <w:color w:val="0000EE"/>
          </w:rPr>
          <w:t>on Form 10-Q filed with the SEC on August 7, 2023).</w:t>
        </w:r>
      </w:hyperlink>
    </w:p>
    <w:p>
      <w:pPr>
        <w:spacing w:after="0" w:line="53" w:lineRule="exact"/>
        <w:rPr>
          <w:rFonts w:ascii="Times New Roman" w:cs="Times New Roman" w:eastAsia="Times New Roman" w:hAnsi="Times New Roman"/>
          <w:sz w:val="18"/>
          <w:szCs w:val="18"/>
          <w:u w:val="single" w:color="auto"/>
          <w:color w:val="0000EE"/>
        </w:rPr>
      </w:pPr>
    </w:p>
    <w:p>
      <w:pPr>
        <w:ind w:left="1200" w:right="42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hyperlink r:id="rId288">
        <w:r>
          <w:rPr>
            <w:rFonts w:ascii="Times New Roman" w:cs="Times New Roman" w:eastAsia="Times New Roman" w:hAnsi="Times New Roman"/>
            <w:sz w:val="18"/>
            <w:szCs w:val="18"/>
            <w:u w:val="single" w:color="auto"/>
            <w:color w:val="0000EE"/>
          </w:rPr>
          <w:t>Securities Purchase Agreement, dated as of April 5, 2024 between the Company and certain investors (incorporated by reference to</w:t>
        </w:r>
      </w:hyperlink>
      <w:r>
        <w:rPr>
          <w:rFonts w:ascii="Times New Roman" w:cs="Times New Roman" w:eastAsia="Times New Roman" w:hAnsi="Times New Roman"/>
          <w:sz w:val="18"/>
          <w:szCs w:val="18"/>
          <w:u w:val="single" w:color="auto"/>
          <w:color w:val="0000EE"/>
        </w:rPr>
        <w:t xml:space="preserve"> </w:t>
      </w:r>
      <w:hyperlink r:id="rId288">
        <w:r>
          <w:rPr>
            <w:rFonts w:ascii="Times New Roman" w:cs="Times New Roman" w:eastAsia="Times New Roman" w:hAnsi="Times New Roman"/>
            <w:sz w:val="18"/>
            <w:szCs w:val="18"/>
            <w:u w:val="single" w:color="auto"/>
            <w:color w:val="0000EE"/>
          </w:rPr>
          <w:t>Exhibit 10.1 to the Company’s Current Report on Form 8-K dated April 9, 2024).</w:t>
        </w:r>
      </w:hyperlink>
    </w:p>
    <w:p>
      <w:pPr>
        <w:spacing w:after="0" w:line="53" w:lineRule="exact"/>
        <w:rPr>
          <w:rFonts w:ascii="Times New Roman" w:cs="Times New Roman" w:eastAsia="Times New Roman" w:hAnsi="Times New Roman"/>
          <w:sz w:val="18"/>
          <w:szCs w:val="18"/>
          <w:u w:val="single" w:color="auto"/>
          <w:color w:val="0000EE"/>
        </w:rPr>
      </w:pPr>
    </w:p>
    <w:p>
      <w:pPr>
        <w:ind w:left="1200" w:hanging="1084"/>
        <w:spacing w:after="0" w:line="266"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hyperlink r:id="rId289">
        <w:r>
          <w:rPr>
            <w:rFonts w:ascii="Times New Roman" w:cs="Times New Roman" w:eastAsia="Times New Roman" w:hAnsi="Times New Roman"/>
            <w:sz w:val="18"/>
            <w:szCs w:val="18"/>
            <w:u w:val="single" w:color="auto"/>
            <w:color w:val="0000EE"/>
          </w:rPr>
          <w:t>Securities Purchase Agreement, dated as of April 5, 2024 between the Company and certain members of management, certain of its</w:t>
        </w:r>
      </w:hyperlink>
      <w:r>
        <w:rPr>
          <w:rFonts w:ascii="Times New Roman" w:cs="Times New Roman" w:eastAsia="Times New Roman" w:hAnsi="Times New Roman"/>
          <w:sz w:val="18"/>
          <w:szCs w:val="18"/>
          <w:u w:val="single" w:color="auto"/>
          <w:color w:val="0000EE"/>
        </w:rPr>
        <w:t xml:space="preserve"> </w:t>
      </w:r>
      <w:hyperlink r:id="rId289">
        <w:r>
          <w:rPr>
            <w:rFonts w:ascii="Times New Roman" w:cs="Times New Roman" w:eastAsia="Times New Roman" w:hAnsi="Times New Roman"/>
            <w:sz w:val="18"/>
            <w:szCs w:val="18"/>
            <w:u w:val="single" w:color="auto"/>
            <w:color w:val="0000EE"/>
          </w:rPr>
          <w:t>directors and funds affiliated with those directors (incorporated by reference to Exhibit 10.2 to the Company’s Current Report on Form 8-</w:t>
        </w:r>
      </w:hyperlink>
      <w:hyperlink r:id="rId289">
        <w:r>
          <w:rPr>
            <w:rFonts w:ascii="Times New Roman" w:cs="Times New Roman" w:eastAsia="Times New Roman" w:hAnsi="Times New Roman"/>
            <w:sz w:val="18"/>
            <w:szCs w:val="18"/>
            <w:u w:val="single" w:color="auto"/>
            <w:color w:val="0000EE"/>
          </w:rPr>
          <w:t>K dated April 9, 2024).</w:t>
        </w:r>
      </w:hyperlink>
    </w:p>
    <w:p>
      <w:pPr>
        <w:spacing w:after="0" w:line="67" w:lineRule="exact"/>
        <w:rPr>
          <w:rFonts w:ascii="Times New Roman" w:cs="Times New Roman" w:eastAsia="Times New Roman" w:hAnsi="Times New Roman"/>
          <w:sz w:val="18"/>
          <w:szCs w:val="18"/>
          <w:u w:val="single" w:color="auto"/>
          <w:color w:val="0000EE"/>
        </w:rPr>
      </w:pPr>
    </w:p>
    <w:p>
      <w:pPr>
        <w:ind w:left="1200" w:right="8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hyperlink r:id="rId290">
        <w:r>
          <w:rPr>
            <w:rFonts w:ascii="Times New Roman" w:cs="Times New Roman" w:eastAsia="Times New Roman" w:hAnsi="Times New Roman"/>
            <w:sz w:val="18"/>
            <w:szCs w:val="18"/>
            <w:u w:val="single" w:color="auto"/>
            <w:color w:val="0000EE"/>
          </w:rPr>
          <w:t>Registration Rights Agreement (incorporated by reference to Exhibit 10.3 to the Company’s Current Report on Form 8-K dated April 9,</w:t>
        </w:r>
      </w:hyperlink>
      <w:r>
        <w:rPr>
          <w:rFonts w:ascii="Times New Roman" w:cs="Times New Roman" w:eastAsia="Times New Roman" w:hAnsi="Times New Roman"/>
          <w:sz w:val="18"/>
          <w:szCs w:val="18"/>
          <w:u w:val="single" w:color="auto"/>
          <w:color w:val="0000EE"/>
        </w:rPr>
        <w:t xml:space="preserve"> </w:t>
      </w:r>
      <w:hyperlink r:id="rId290">
        <w:r>
          <w:rPr>
            <w:rFonts w:ascii="Times New Roman" w:cs="Times New Roman" w:eastAsia="Times New Roman" w:hAnsi="Times New Roman"/>
            <w:sz w:val="18"/>
            <w:szCs w:val="18"/>
            <w:u w:val="single" w:color="auto"/>
            <w:color w:val="0000EE"/>
          </w:rPr>
          <w:t>2024).</w:t>
        </w:r>
      </w:hyperlink>
    </w:p>
    <w:p>
      <w:pPr>
        <w:spacing w:after="0" w:line="53" w:lineRule="exact"/>
        <w:rPr>
          <w:rFonts w:ascii="Times New Roman" w:cs="Times New Roman" w:eastAsia="Times New Roman" w:hAnsi="Times New Roman"/>
          <w:sz w:val="18"/>
          <w:szCs w:val="18"/>
          <w:u w:val="single" w:color="auto"/>
          <w:color w:val="0000EE"/>
        </w:rPr>
      </w:pPr>
    </w:p>
    <w:p>
      <w:pPr>
        <w:ind w:left="1200" w:right="460" w:hanging="1084"/>
        <w:spacing w:after="0" w:line="282" w:lineRule="auto"/>
        <w:tabs>
          <w:tab w:leader="none" w:pos="197" w:val="left"/>
        </w:tabs>
        <w:numPr>
          <w:ilvl w:val="0"/>
          <w:numId w:val="8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hyperlink r:id="rId291">
        <w:r>
          <w:rPr>
            <w:rFonts w:ascii="Times New Roman" w:cs="Times New Roman" w:eastAsia="Times New Roman" w:hAnsi="Times New Roman"/>
            <w:sz w:val="18"/>
            <w:szCs w:val="18"/>
            <w:u w:val="single" w:color="auto"/>
            <w:color w:val="0000EE"/>
          </w:rPr>
          <w:t>Form of Executive Severance and Change in Control Agreement, dated April 23, 2024 by and among the Company and each of its</w:t>
        </w:r>
      </w:hyperlink>
      <w:r>
        <w:rPr>
          <w:rFonts w:ascii="Times New Roman" w:cs="Times New Roman" w:eastAsia="Times New Roman" w:hAnsi="Times New Roman"/>
          <w:sz w:val="18"/>
          <w:szCs w:val="18"/>
          <w:u w:val="single" w:color="auto"/>
          <w:color w:val="0000EE"/>
        </w:rPr>
        <w:t xml:space="preserve"> </w:t>
      </w:r>
      <w:hyperlink r:id="rId291">
        <w:r>
          <w:rPr>
            <w:rFonts w:ascii="Times New Roman" w:cs="Times New Roman" w:eastAsia="Times New Roman" w:hAnsi="Times New Roman"/>
            <w:sz w:val="18"/>
            <w:szCs w:val="18"/>
            <w:u w:val="single" w:color="auto"/>
            <w:color w:val="0000EE"/>
          </w:rPr>
          <w:t>executive officers.</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4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Consent of Sidley Austin LLP (included in Exhibit 5.1).</w:t>
            </w:r>
          </w:p>
        </w:tc>
      </w:tr>
      <w:tr>
        <w:trPr>
          <w:trHeight w:val="20"/>
        </w:trPr>
        <w:tc>
          <w:tcPr>
            <w:tcW w:w="10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rFonts w:ascii="Times New Roman" w:cs="Times New Roman" w:eastAsia="Times New Roman" w:hAnsi="Times New Roman"/>
          <w:sz w:val="18"/>
          <w:szCs w:val="18"/>
          <w:color w:val="auto"/>
        </w:rPr>
      </w:pPr>
    </w:p>
    <w:p>
      <w:pPr>
        <w:ind w:left="200" w:hanging="84"/>
        <w:spacing w:after="0"/>
        <w:tabs>
          <w:tab w:leader="none" w:pos="200" w:val="left"/>
        </w:tabs>
        <w:numPr>
          <w:ilvl w:val="0"/>
          <w:numId w:val="8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24.1**</w:t>
      </w:r>
      <w:hyperlink r:id="rId292">
        <w:r>
          <w:rPr>
            <w:rFonts w:ascii="Times New Roman" w:cs="Times New Roman" w:eastAsia="Times New Roman" w:hAnsi="Times New Roman"/>
            <w:sz w:val="17"/>
            <w:szCs w:val="17"/>
            <w:u w:val="single" w:color="auto"/>
            <w:color w:val="0000EE"/>
          </w:rPr>
          <w:t>Power of Attorney.</w:t>
        </w:r>
      </w:hyperlink>
    </w:p>
    <w:p>
      <w:pPr>
        <w:spacing w:after="0" w:line="129" w:lineRule="exact"/>
        <w:rPr>
          <w:rFonts w:ascii="Times New Roman" w:cs="Times New Roman" w:eastAsia="Times New Roman" w:hAnsi="Times New Roman"/>
          <w:sz w:val="18"/>
          <w:szCs w:val="18"/>
          <w:color w:val="auto"/>
        </w:rPr>
      </w:pPr>
    </w:p>
    <w:p>
      <w:pPr>
        <w:ind w:left="120"/>
        <w:spacing w:after="0"/>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93">
        <w:r>
          <w:rPr>
            <w:rFonts w:ascii="Times New Roman" w:cs="Times New Roman" w:eastAsia="Times New Roman" w:hAnsi="Times New Roman"/>
            <w:sz w:val="18"/>
            <w:szCs w:val="18"/>
            <w:u w:val="single" w:color="auto"/>
            <w:color w:val="0000EE"/>
          </w:rPr>
          <w:t>Filing Fee Table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as the Registrant has determined that the omitted information (i) is not material and (ii) would likely</w:t>
      </w:r>
    </w:p>
    <w:p>
      <w:pPr>
        <w:spacing w:after="0" w:line="27"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cause competitive harm to the Registrant if publicly disclosed.</w:t>
      </w:r>
    </w:p>
    <w:p>
      <w:pPr>
        <w:spacing w:after="0" w:line="9" w:lineRule="exact"/>
        <w:rPr>
          <w:rFonts w:ascii="Times New Roman" w:cs="Times New Roman" w:eastAsia="Times New Roman" w:hAnsi="Times New Roman"/>
          <w:sz w:val="18"/>
          <w:szCs w:val="18"/>
          <w:color w:val="auto"/>
        </w:rPr>
      </w:pPr>
    </w:p>
    <w:p>
      <w:pPr>
        <w:ind w:left="120" w:right="6680" w:hanging="4"/>
        <w:spacing w:after="0" w:line="250" w:lineRule="auto"/>
        <w:tabs>
          <w:tab w:leader="none" w:pos="5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 Filed herewith.</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20" w:hanging="439"/>
        <w:spacing w:after="0" w:line="255" w:lineRule="auto"/>
        <w:tabs>
          <w:tab w:leader="none" w:pos="15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85" w:lineRule="exact"/>
        <w:rPr>
          <w:sz w:val="20"/>
          <w:szCs w:val="20"/>
          <w:color w:val="auto"/>
        </w:rPr>
      </w:pPr>
    </w:p>
    <w:p>
      <w:pPr>
        <w:ind w:left="1080" w:hanging="532"/>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1540" w:right="140" w:hanging="439"/>
        <w:spacing w:after="0" w:line="282" w:lineRule="auto"/>
        <w:tabs>
          <w:tab w:leader="none" w:pos="1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jc w:val="both"/>
        <w:ind w:left="540" w:hanging="424"/>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the purposes of determining any liability under the Securities Act, each filing of the annual report of the registrant pursuant to Section 13(a) or Section 15(d) of the Exchange Act that are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85"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5"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S-1 and has duly caused this registration statement to be signed on its behalf by the undersigned, thereunto duly authorized, in the City of Louisville, State of Colorado, on the 24th day of May, 2024.</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Scott Hutton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Scott Hutton</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Scott Hutton</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Robin Harper Cowie</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Robin Harper Cowie</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Christopher Vazquez</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Patience</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Lawrence T. Kennedy, Jr.</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Hany Massarany</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Jack Schuler</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Matthew Strobeck, Ph.D.</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380" w:type="dxa"/>
            <w:vAlign w:val="bottom"/>
            <w:tcBorders>
              <w:bottom w:val="single" w:sz="8" w:color="auto"/>
            </w:tcBorders>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spacing w:after="0"/>
              <w:rPr>
                <w:sz w:val="24"/>
                <w:szCs w:val="24"/>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Charles Watts, M.D.</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0740"/>
          </w:cols>
          <w:pgMar w:left="320" w:top="455" w:right="8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7759" w:hanging="544"/>
        <w:spacing w:after="0" w:line="281"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Robin Harper Cowie Robin Harper Cowie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-312420</wp:posOffset>
            </wp:positionV>
            <wp:extent cx="24517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80" w:name="page181"/>
    <w:bookmarkEnd w:id="180"/>
    <w:p>
      <w:pPr>
        <w:ind w:left="376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062990" cy="274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1">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ind w:left="3760"/>
        <w:spacing w:after="0" w:line="225" w:lineRule="auto"/>
        <w:rPr>
          <w:sz w:val="20"/>
          <w:szCs w:val="20"/>
          <w:color w:val="auto"/>
        </w:rPr>
      </w:pPr>
      <w:r>
        <w:rPr>
          <w:rFonts w:ascii="Times New Roman" w:cs="Times New Roman" w:eastAsia="Times New Roman" w:hAnsi="Times New Roman"/>
          <w:sz w:val="14"/>
          <w:szCs w:val="14"/>
          <w:color w:val="auto"/>
        </w:rPr>
        <w:t>555 CALIFORNIA STREET</w:t>
      </w:r>
    </w:p>
    <w:p>
      <w:pPr>
        <w:ind w:left="3760"/>
        <w:spacing w:after="0" w:line="222" w:lineRule="auto"/>
        <w:rPr>
          <w:sz w:val="20"/>
          <w:szCs w:val="20"/>
          <w:color w:val="auto"/>
        </w:rPr>
      </w:pPr>
      <w:r>
        <w:rPr>
          <w:rFonts w:ascii="Times New Roman" w:cs="Times New Roman" w:eastAsia="Times New Roman" w:hAnsi="Times New Roman"/>
          <w:sz w:val="14"/>
          <w:szCs w:val="14"/>
          <w:color w:val="auto"/>
        </w:rPr>
        <w:t>SUITE 2000</w:t>
      </w:r>
    </w:p>
    <w:p>
      <w:pPr>
        <w:ind w:left="3760"/>
        <w:spacing w:after="0" w:line="221" w:lineRule="auto"/>
        <w:rPr>
          <w:sz w:val="20"/>
          <w:szCs w:val="20"/>
          <w:color w:val="auto"/>
        </w:rPr>
      </w:pPr>
      <w:r>
        <w:rPr>
          <w:rFonts w:ascii="Times New Roman" w:cs="Times New Roman" w:eastAsia="Times New Roman" w:hAnsi="Times New Roman"/>
          <w:sz w:val="14"/>
          <w:szCs w:val="14"/>
          <w:color w:val="auto"/>
        </w:rPr>
        <w:t>SAN FRANCISCO, CA 94104</w:t>
      </w:r>
    </w:p>
    <w:p>
      <w:pPr>
        <w:ind w:left="3760"/>
        <w:spacing w:after="0" w:line="221" w:lineRule="auto"/>
        <w:rPr>
          <w:sz w:val="20"/>
          <w:szCs w:val="20"/>
          <w:color w:val="auto"/>
        </w:rPr>
      </w:pPr>
      <w:r>
        <w:rPr>
          <w:rFonts w:ascii="Times New Roman" w:cs="Times New Roman" w:eastAsia="Times New Roman" w:hAnsi="Times New Roman"/>
          <w:sz w:val="14"/>
          <w:szCs w:val="14"/>
          <w:color w:val="auto"/>
        </w:rPr>
        <w:t>+1 415 772 1200</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+1 415 772 7400 FAX</w:t>
      </w:r>
    </w:p>
    <w:p>
      <w:pPr>
        <w:spacing w:after="0" w:line="200" w:lineRule="exact"/>
        <w:rPr>
          <w:sz w:val="20"/>
          <w:szCs w:val="20"/>
          <w:color w:val="auto"/>
        </w:rPr>
      </w:pPr>
    </w:p>
    <w:p>
      <w:pPr>
        <w:spacing w:after="0" w:line="2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24,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919 W. Dillon Road</w:t>
      </w:r>
    </w:p>
    <w:p>
      <w:pPr>
        <w:spacing w:after="0"/>
        <w:rPr>
          <w:sz w:val="20"/>
          <w:szCs w:val="20"/>
          <w:color w:val="auto"/>
        </w:rPr>
      </w:pPr>
      <w:r>
        <w:rPr>
          <w:rFonts w:ascii="Times New Roman" w:cs="Times New Roman" w:eastAsia="Times New Roman" w:hAnsi="Times New Roman"/>
          <w:sz w:val="22"/>
          <w:szCs w:val="22"/>
          <w:color w:val="auto"/>
        </w:rPr>
        <w:t>Louisville, CO 80027</w:t>
      </w:r>
    </w:p>
    <w:p>
      <w:pPr>
        <w:spacing w:after="0" w:line="74" w:lineRule="exact"/>
        <w:rPr>
          <w:sz w:val="20"/>
          <w:szCs w:val="20"/>
          <w:color w:val="auto"/>
        </w:rPr>
      </w:pPr>
    </w:p>
    <w:p>
      <w:pPr>
        <w:ind w:right="5760" w:firstLine="1208"/>
        <w:spacing w:after="0" w:line="435" w:lineRule="auto"/>
        <w:tabs>
          <w:tab w:leader="none" w:pos="13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Re:     </w:t>
      </w:r>
      <w:r>
        <w:rPr>
          <w:rFonts w:ascii="Times New Roman" w:cs="Times New Roman" w:eastAsia="Times New Roman" w:hAnsi="Times New Roman"/>
          <w:sz w:val="22"/>
          <w:szCs w:val="22"/>
          <w:u w:val="single" w:color="auto"/>
          <w:color w:val="auto"/>
        </w:rPr>
        <w:t>Registration Statement on Form S-1</w:t>
      </w:r>
      <w:r>
        <w:rPr>
          <w:rFonts w:ascii="Times New Roman" w:cs="Times New Roman" w:eastAsia="Times New Roman" w:hAnsi="Times New Roman"/>
          <w:sz w:val="22"/>
          <w:szCs w:val="22"/>
          <w:color w:val="auto"/>
        </w:rPr>
        <w:t xml:space="preserve"> Ladies and Gentlemen:</w:t>
      </w:r>
    </w:p>
    <w:p>
      <w:pPr>
        <w:spacing w:after="0" w:line="1" w:lineRule="exact"/>
        <w:rPr>
          <w:sz w:val="20"/>
          <w:szCs w:val="20"/>
          <w:color w:val="auto"/>
        </w:rPr>
      </w:pPr>
    </w:p>
    <w:p>
      <w:pPr>
        <w:ind w:right="260" w:firstLine="1212"/>
        <w:spacing w:after="0" w:line="235" w:lineRule="auto"/>
        <w:rPr>
          <w:sz w:val="20"/>
          <w:szCs w:val="20"/>
          <w:color w:val="auto"/>
        </w:rPr>
      </w:pPr>
      <w:r>
        <w:rPr>
          <w:rFonts w:ascii="Times New Roman" w:cs="Times New Roman" w:eastAsia="Times New Roman" w:hAnsi="Times New Roman"/>
          <w:sz w:val="22"/>
          <w:szCs w:val="22"/>
          <w:color w:val="auto"/>
        </w:rPr>
        <w:t>We refer to the Registration Statement on Form S-1, File No. 333-278881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filed by Biodesix,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with the Securities and Exchange Commission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relating to the registration under the Securities Act of 30,434,280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its Common Stock, $0.001 par value per share, which are issuable upon the conversion of 760,857 shares of Series A Non-Voting Convertible Preferred Stock, par value $0.001 (the “Series A Preferred Stock”). The Series A Preferred Stock was issued pursuant to certain purchase agreements dated April 5, 2024 (the “</w:t>
      </w:r>
      <w:r>
        <w:rPr>
          <w:rFonts w:ascii="Times New Roman" w:cs="Times New Roman" w:eastAsia="Times New Roman" w:hAnsi="Times New Roman"/>
          <w:sz w:val="22"/>
          <w:szCs w:val="22"/>
          <w:u w:val="single" w:color="auto"/>
          <w:color w:val="auto"/>
        </w:rPr>
        <w:t>Securities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among the Company and the certain purchasers named therein.</w:t>
      </w:r>
    </w:p>
    <w:p>
      <w:pPr>
        <w:spacing w:after="0" w:line="183" w:lineRule="exact"/>
        <w:rPr>
          <w:sz w:val="20"/>
          <w:szCs w:val="20"/>
          <w:color w:val="auto"/>
        </w:rPr>
      </w:pPr>
    </w:p>
    <w:p>
      <w:pPr>
        <w:ind w:right="240" w:firstLine="1212"/>
        <w:spacing w:after="0" w:line="258" w:lineRule="auto"/>
        <w:rPr>
          <w:sz w:val="20"/>
          <w:szCs w:val="20"/>
          <w:color w:val="auto"/>
        </w:rPr>
      </w:pPr>
      <w:r>
        <w:rPr>
          <w:rFonts w:ascii="Times New Roman" w:cs="Times New Roman" w:eastAsia="Times New Roman" w:hAnsi="Times New Roman"/>
          <w:sz w:val="22"/>
          <w:szCs w:val="22"/>
          <w:color w:val="auto"/>
        </w:rPr>
        <w:t>This opinion letter is being delivered in accordance with the requirements of Item 601(b)(5) of Regulation S-K under the Securities Act.</w:t>
      </w:r>
    </w:p>
    <w:p>
      <w:pPr>
        <w:spacing w:after="0" w:line="158" w:lineRule="exact"/>
        <w:rPr>
          <w:sz w:val="20"/>
          <w:szCs w:val="20"/>
          <w:color w:val="auto"/>
        </w:rPr>
      </w:pPr>
    </w:p>
    <w:p>
      <w:pPr>
        <w:ind w:right="20" w:firstLine="1212"/>
        <w:spacing w:after="0" w:line="233" w:lineRule="auto"/>
        <w:rPr>
          <w:sz w:val="20"/>
          <w:szCs w:val="20"/>
          <w:color w:val="auto"/>
        </w:rPr>
      </w:pPr>
      <w:r>
        <w:rPr>
          <w:rFonts w:ascii="Times New Roman" w:cs="Times New Roman" w:eastAsia="Times New Roman" w:hAnsi="Times New Roman"/>
          <w:sz w:val="22"/>
          <w:szCs w:val="22"/>
          <w:color w:val="auto"/>
        </w:rPr>
        <w:t>We have examined the Registration Statement, the Securities Purchase Agreements, the Company’s certificate of incorporation and the resolutions adopted by the board of directors of the Company relating to the Registration Statement and the issuance of the Series A Preferred Stock by the Company and the issuance of the Shares upon conversion thereof.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ectPr>
          <w:pgSz w:w="11900" w:h="16838" w:orient="portrait"/>
          <w:cols w:equalWidth="0" w:num="1">
            <w:col w:w="11020"/>
          </w:cols>
          <w:pgMar w:left="440" w:top="118"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62990" cy="274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274320"/>
                    </a:xfrm>
                    <a:prstGeom prst="rect">
                      <a:avLst/>
                    </a:prstGeom>
                    <a:noFill/>
                  </pic:spPr>
                </pic:pic>
              </a:graphicData>
            </a:graphic>
          </wp:anchor>
        </w:drawing>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0" w:lineRule="exact"/>
        <w:rPr>
          <w:sz w:val="20"/>
          <w:szCs w:val="20"/>
          <w:color w:val="auto"/>
        </w:rPr>
      </w:pPr>
    </w:p>
    <w:p>
      <w:pPr>
        <w:ind w:firstLine="1212"/>
        <w:spacing w:after="0" w:line="244" w:lineRule="auto"/>
        <w:rPr>
          <w:sz w:val="20"/>
          <w:szCs w:val="20"/>
          <w:color w:val="auto"/>
        </w:rPr>
      </w:pPr>
      <w:r>
        <w:rPr>
          <w:rFonts w:ascii="Times New Roman" w:cs="Times New Roman" w:eastAsia="Times New Roman" w:hAnsi="Times New Roman"/>
          <w:sz w:val="22"/>
          <w:szCs w:val="22"/>
          <w:color w:val="auto"/>
        </w:rPr>
        <w:t>Based on and subject to the foregoing and the other limitations, qualifications and assumptions set forth herein, we are of the opinion that the Shares issuable upon conversion of the Series A Preferred Stock, when duly issued and delivered in accordance with the terms of the Series A Preferred Stock will be validly issued, fully paid and non-assessable.</w:t>
      </w:r>
    </w:p>
    <w:p>
      <w:pPr>
        <w:spacing w:after="0" w:line="173" w:lineRule="exact"/>
        <w:rPr>
          <w:sz w:val="20"/>
          <w:szCs w:val="20"/>
          <w:color w:val="auto"/>
        </w:rPr>
      </w:pPr>
    </w:p>
    <w:p>
      <w:pPr>
        <w:ind w:right="140" w:firstLine="1212"/>
        <w:spacing w:after="0" w:line="244" w:lineRule="auto"/>
        <w:rPr>
          <w:sz w:val="20"/>
          <w:szCs w:val="20"/>
          <w:color w:val="auto"/>
        </w:rPr>
      </w:pPr>
      <w:r>
        <w:rPr>
          <w:rFonts w:ascii="Times New Roman" w:cs="Times New Roman" w:eastAsia="Times New Roman" w:hAnsi="Times New Roman"/>
          <w:sz w:val="22"/>
          <w:szCs w:val="22"/>
          <w:color w:val="auto"/>
        </w:rPr>
        <w:t>In rendering the opinion set forth above, we have assumed that at the time of the issuance of any Shares upon conversion of any share of Series A Preferred Stock, there will be a sufficient number of shares of Common Stock authorized and then available for issuance under the Company’s certificate of incorporation as in effect at such time.</w:t>
      </w:r>
    </w:p>
    <w:p>
      <w:pPr>
        <w:spacing w:after="0" w:line="173" w:lineRule="exact"/>
        <w:rPr>
          <w:sz w:val="20"/>
          <w:szCs w:val="20"/>
          <w:color w:val="auto"/>
        </w:rPr>
      </w:pPr>
    </w:p>
    <w:p>
      <w:pPr>
        <w:jc w:val="both"/>
        <w:ind w:right="40" w:firstLine="1212"/>
        <w:spacing w:after="0" w:line="244" w:lineRule="auto"/>
        <w:rPr>
          <w:sz w:val="20"/>
          <w:szCs w:val="20"/>
          <w:color w:val="auto"/>
        </w:rPr>
      </w:pPr>
      <w:r>
        <w:rPr>
          <w:rFonts w:ascii="Times New Roman" w:cs="Times New Roman" w:eastAsia="Times New Roman" w:hAnsi="Times New Roman"/>
          <w:sz w:val="22"/>
          <w:szCs w:val="22"/>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73" w:lineRule="exact"/>
        <w:rPr>
          <w:sz w:val="20"/>
          <w:szCs w:val="20"/>
          <w:color w:val="auto"/>
        </w:rPr>
      </w:pPr>
    </w:p>
    <w:p>
      <w:pPr>
        <w:ind w:right="440" w:firstLine="1212"/>
        <w:spacing w:after="0" w:line="244" w:lineRule="auto"/>
        <w:rPr>
          <w:sz w:val="20"/>
          <w:szCs w:val="20"/>
          <w:color w:val="auto"/>
        </w:rPr>
      </w:pPr>
      <w:r>
        <w:rPr>
          <w:rFonts w:ascii="Times New Roman" w:cs="Times New Roman" w:eastAsia="Times New Roman" w:hAnsi="Times New Roman"/>
          <w:sz w:val="22"/>
          <w:szCs w:val="22"/>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17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/s/ Sidley Austin LLP</w:t>
      </w:r>
    </w:p>
    <w:p>
      <w:pPr>
        <w:sectPr>
          <w:pgSz w:w="11900" w:h="16838" w:orient="portrait"/>
          <w:cols w:equalWidth="0" w:num="1">
            <w:col w:w="10980"/>
          </w:cols>
          <w:pgMar w:left="440" w:top="702" w:right="47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 2024, with respect to the financial statements of Biodesix, Inc., incorporated herein by reference, and to the reference to our firm under the heading “Experts” in the registration statement.</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1)"/>
      <w:numFmt w:val="lowerRoman"/>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lvl w:ilvl="1">
      <w:lvlJc w:val="left"/>
      <w:lvlText w:val="•"/>
      <w:numFmt w:val="bullet"/>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
      <w:numFmt w:val="bullet"/>
      <w:start w:val="1"/>
    </w:lvl>
    <w:lvl w:ilvl="1">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lvl w:ilvl="1">
      <w:lvlJc w:val="left"/>
      <w:lvlText w:val="•"/>
      <w:numFmt w:val="bullet"/>
      <w:start w:val="1"/>
    </w:lvl>
  </w:abstractNum>
  <w:abstractNum w:abstractNumId="53">
    <w:nsid w:val="613EFDC5"/>
    <w:multiLevelType w:val="hybridMultilevel"/>
    <w:lvl w:ilvl="0">
      <w:lvlJc w:val="left"/>
      <w:lvlText w:val="•"/>
      <w:numFmt w:val="bullet"/>
      <w:start w:val="1"/>
    </w:lvl>
    <w:lvl w:ilvl="1">
      <w:lvlJc w:val="left"/>
      <w:lvlText w:val="•"/>
      <w:numFmt w:val="bullet"/>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decimal"/>
      <w:start w:val="4"/>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decimal"/>
      <w:start w:val="7"/>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5"/>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1)"/>
      <w:numFmt w:val="decimal"/>
      <w:start w:val="1"/>
    </w:lvl>
    <w:lvl w:ilvl="1">
      <w:lvlJc w:val="left"/>
      <w:lvlText w:val="(%2)"/>
      <w:numFmt w:val="lowerLetter"/>
      <w:start w:val="3"/>
    </w:lvl>
  </w:abstractNum>
  <w:abstractNum w:abstractNumId="67">
    <w:nsid w:val="1A27709E"/>
    <w:multiLevelType w:val="hybridMultilevel"/>
    <w:lvl w:ilvl="0">
      <w:lvlJc w:val="left"/>
      <w:lvlText w:val="(%1)"/>
      <w:numFmt w:val="decimal"/>
      <w:start w:val="12"/>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4"/>
    </w:lvl>
    <w:lvl w:ilvl="1">
      <w:lvlJc w:val="left"/>
      <w:lvlText w:val="(%2)"/>
      <w:numFmt w:val="lowerRoman"/>
      <w:start w:val="1"/>
    </w:lvl>
  </w:abstractNum>
  <w:abstractNum w:abstractNumId="71">
    <w:nsid w:val="6EB5BD4"/>
    <w:multiLevelType w:val="hybridMultilevel"/>
    <w:lvl w:ilvl="0">
      <w:lvlJc w:val="left"/>
      <w:lvlText w:val="%1"/>
      <w:numFmt w:val="decimal"/>
      <w:start w:val="1"/>
    </w:lvl>
    <w:lvl w:ilvl="1">
      <w:lvlJc w:val="left"/>
      <w:lvlText w:val="(%2)"/>
      <w:numFmt w:val="lowerRoman"/>
      <w:start w:val="8"/>
    </w:lvl>
  </w:abstractNum>
  <w:abstractNum w:abstractNumId="72">
    <w:nsid w:val="6F6DD9AC"/>
    <w:multiLevelType w:val="hybridMultilevel"/>
    <w:lvl w:ilvl="0">
      <w:lvlJc w:val="left"/>
      <w:lvlText w:val="(%1)"/>
      <w:numFmt w:val="decimal"/>
      <w:start w:val="6"/>
    </w:lvl>
  </w:abstractNum>
  <w:abstractNum w:abstractNumId="73">
    <w:nsid w:val="94211F2"/>
    <w:multiLevelType w:val="hybridMultilevel"/>
    <w:lvl w:ilvl="0">
      <w:lvlJc w:val="left"/>
      <w:lvlText w:val="(%1)"/>
      <w:numFmt w:val="decimal"/>
      <w:start w:val="11"/>
    </w:lvl>
    <w:lvl w:ilvl="1">
      <w:lvlJc w:val="left"/>
      <w:lvlText w:val="(%2)"/>
      <w:numFmt w:val="lowerRoman"/>
      <w:start w:val="3"/>
    </w:lvl>
  </w:abstractNum>
  <w:abstractNum w:abstractNumId="74">
    <w:nsid w:val="885E1B"/>
    <w:multiLevelType w:val="hybridMultilevel"/>
    <w:lvl w:ilvl="0">
      <w:lvlJc w:val="left"/>
      <w:lvlText w:val="%1"/>
      <w:numFmt w:val="decimal"/>
      <w:start w:val="1"/>
    </w:lvl>
    <w:lvl w:ilvl="1">
      <w:lvlJc w:val="left"/>
      <w:lvlText w:val="(%2)"/>
      <w:numFmt w:val="lowerRoman"/>
      <w:start w:val="7"/>
    </w:lvl>
  </w:abstractNum>
  <w:abstractNum w:abstractNumId="75">
    <w:nsid w:val="76272110"/>
    <w:multiLevelType w:val="hybridMultilevel"/>
    <w:lvl w:ilvl="0">
      <w:lvlJc w:val="left"/>
      <w:lvlText w:val="(%1)"/>
      <w:numFmt w:val="decimal"/>
      <w:start w:val="17"/>
    </w:lvl>
    <w:lvl w:ilvl="1">
      <w:lvlJc w:val="left"/>
      <w:lvlText w:val="%2"/>
      <w:numFmt w:val="lowerRoman"/>
      <w:start w:val="1"/>
    </w:lvl>
  </w:abstractNum>
  <w:abstractNum w:abstractNumId="76">
    <w:nsid w:val="4C04A8AF"/>
    <w:multiLevelType w:val="hybridMultilevel"/>
    <w:lvl w:ilvl="0">
      <w:lvlJc w:val="left"/>
      <w:lvlText w:val="(%1)"/>
      <w:numFmt w:val="decimal"/>
      <w:start w:val="18"/>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2"/>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 "/>
      <w:numFmt w:val="bullet"/>
      <w:start w:val="1"/>
    </w:lvl>
  </w:abstractNum>
  <w:abstractNum w:abstractNumId="85">
    <w:nsid w:val="39EE015C"/>
    <w:multiLevelType w:val="hybridMultilevel"/>
    <w:lvl w:ilvl="0">
      <w:lvlJc w:val="left"/>
      <w:lvlText w:val=" "/>
      <w:numFmt w:val="bullet"/>
      <w:start w:val="1"/>
    </w:lvl>
  </w:abstractNum>
  <w:abstractNum w:abstractNumId="86">
    <w:nsid w:val="57FC4FBB"/>
    <w:multiLevelType w:val="hybridMultilevel"/>
    <w:lvl w:ilvl="0">
      <w:lvlJc w:val="left"/>
      <w:lvlText w:val=" "/>
      <w:numFmt w:val="bullet"/>
      <w:start w:val="1"/>
    </w:lvl>
  </w:abstractNum>
  <w:abstractNum w:abstractNumId="87">
    <w:nsid w:val="CC1016F"/>
    <w:multiLevelType w:val="hybridMultilevel"/>
    <w:lvl w:ilvl="0">
      <w:lvlJc w:val="left"/>
      <w:lvlText w:val=" "/>
      <w:numFmt w:val="bullet"/>
      <w:start w:val="1"/>
    </w:lvl>
  </w:abstractNum>
  <w:abstractNum w:abstractNumId="88">
    <w:nsid w:val="43F18422"/>
    <w:multiLevelType w:val="hybridMultilevel"/>
    <w:lvl w:ilvl="0">
      <w:lvlJc w:val="left"/>
      <w:lvlText w:val=" "/>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2">
    <w:nsid w:val="49DA307D"/>
    <w:multiLevelType w:val="hybridMultilevel"/>
    <w:lvl w:ilvl="0">
      <w:lvlJc w:val="left"/>
      <w:lvlText w:val="(%1)"/>
      <w:numFmt w:val="decimal"/>
      <w:start w:val="2"/>
    </w:lvl>
    <w:lvl w:ilvl="1">
      <w:lvlJc w:val="left"/>
      <w:lvlText w:val="(%2)"/>
      <w:numFmt w:val="lowerRoman"/>
      <w:start w:val="1"/>
    </w:lvl>
  </w:abstractNum>
  <w:abstractNum w:abstractNumId="93">
    <w:nsid w:val="7055A5F5"/>
    <w:multiLevelType w:val="hybridMultilevel"/>
    <w:lvl w:ilvl="0">
      <w:lvlJc w:val="left"/>
      <w:lvlText w:val="(%1)"/>
      <w:numFmt w:val="decimal"/>
      <w:start w:val="5"/>
    </w:lvl>
  </w:abstractNum>
  <w:abstractNum w:abstractNumId="94">
    <w:nsid w:val="5FB8370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5">
    <w:nsid w:val="50801EE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jpe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31" Type="http://schemas.openxmlformats.org/officeDocument/2006/relationships/image" Target="media/image210.png"/><Relationship Id="rId247" Type="http://schemas.openxmlformats.org/officeDocument/2006/relationships/image" Target="media/image211.png"/><Relationship Id="rId263" Type="http://schemas.openxmlformats.org/officeDocument/2006/relationships/image" Target="media/image212.png"/><Relationship Id="rId279" Type="http://schemas.openxmlformats.org/officeDocument/2006/relationships/image" Target="media/image213.png"/><Relationship Id="rId294" Type="http://schemas.openxmlformats.org/officeDocument/2006/relationships/image" Target="media/image214.png"/><Relationship Id="rId295" Type="http://schemas.openxmlformats.org/officeDocument/2006/relationships/image" Target="media/image215.png"/><Relationship Id="rId296" Type="http://schemas.openxmlformats.org/officeDocument/2006/relationships/image" Target="media/image216.png"/><Relationship Id="rId297" Type="http://schemas.openxmlformats.org/officeDocument/2006/relationships/image" Target="media/image217.png"/><Relationship Id="rId298" Type="http://schemas.openxmlformats.org/officeDocument/2006/relationships/image" Target="media/image218.png"/><Relationship Id="rId299" Type="http://schemas.openxmlformats.org/officeDocument/2006/relationships/image" Target="media/image219.png"/><Relationship Id="rId300" Type="http://schemas.openxmlformats.org/officeDocument/2006/relationships/image" Target="media/image220.png"/><Relationship Id="rId301" Type="http://schemas.openxmlformats.org/officeDocument/2006/relationships/image" Target="media/image221.jpeg"/><Relationship Id="rId302" Type="http://schemas.openxmlformats.org/officeDocument/2006/relationships/image" Target="media/image222.png"/><Relationship Id="rId303" Type="http://schemas.openxmlformats.org/officeDocument/2006/relationships/image" Target="media/image223.jpeg"/><Relationship Id="rId207" Type="http://schemas.openxmlformats.org/officeDocument/2006/relationships/hyperlink" Target="http://www.sec.gov/ix?doc=/Archives/edgar/data/1439725/000095017024023513/bdsx-20231231.htm" TargetMode="External"/><Relationship Id="rId208" Type="http://schemas.openxmlformats.org/officeDocument/2006/relationships/hyperlink" Target="http://www.sec.gov/ix?doc=/Archives/edgar/data/1439725/000119312524090787/d779805d8k.htm" TargetMode="External"/><Relationship Id="rId209" Type="http://schemas.openxmlformats.org/officeDocument/2006/relationships/hyperlink" Target="http://www.sec.gov/Archives/edgar/data/1439725/000119312523099181/d425141ddef14a.htm" TargetMode="External"/><Relationship Id="rId210" Type="http://schemas.openxmlformats.org/officeDocument/2006/relationships/hyperlink" Target="http://www.sec.gov/Archives/edgar/data/1439725/000119312520275716/d94177d8a12b.htm" TargetMode="External"/><Relationship Id="rId221" Type="http://schemas.openxmlformats.org/officeDocument/2006/relationships/hyperlink" Target="http://www.sec.gov/Archives/edgar/data/1439725/000156459020056735/bdsx-ex31_716.htm" TargetMode="External"/><Relationship Id="rId222" Type="http://schemas.openxmlformats.org/officeDocument/2006/relationships/hyperlink" Target="http://www.sec.gov/Archives/edgar/data/1439725/000156459020056735/bdsx-ex32_717.htm" TargetMode="External"/><Relationship Id="rId223" Type="http://schemas.openxmlformats.org/officeDocument/2006/relationships/hyperlink" Target="http://www.sec.gov/Archives/edgar/data/1439725/000119312524090787/d779805dex31.htm" TargetMode="External"/><Relationship Id="rId224" Type="http://schemas.openxmlformats.org/officeDocument/2006/relationships/hyperlink" Target="http://www.sec.gov/Archives/edgar/data/1439725/000119312520273369/d937421dex41.htm" TargetMode="External"/><Relationship Id="rId225" Type="http://schemas.openxmlformats.org/officeDocument/2006/relationships/hyperlink" Target="http://www.sec.gov/Archives/edgar/data/1439725/000119312520262422/d937421dex42.htm" TargetMode="External"/><Relationship Id="rId226" Type="http://schemas.openxmlformats.org/officeDocument/2006/relationships/hyperlink" Target="http://www.sec.gov/Archives/edgar/data/1439725/000119312520262422/d937421dex43.htm" TargetMode="External"/><Relationship Id="rId227" Type="http://schemas.openxmlformats.org/officeDocument/2006/relationships/hyperlink" Target="http://www.sec.gov/Archives/edgar/data/1439725/000156459021013512/bdsx-ex45_270.htm" TargetMode="External"/><Relationship Id="rId228" Type="http://schemas.openxmlformats.org/officeDocument/2006/relationships/hyperlink" Target="http://www.sec.gov/Archives/edgar/data/1439725/000095017022025530/bdsx-ex10_1.htm" TargetMode="External"/><Relationship Id="rId229" Type="http://schemas.openxmlformats.org/officeDocument/2006/relationships/hyperlink" Target="http://www.sec.gov/Archives/edgar/data/1439725/000095017022025530/bdsx-ex4_2.htm" TargetMode="External"/><Relationship Id="rId230" Type="http://schemas.openxmlformats.org/officeDocument/2006/relationships/hyperlink" Target="http://www.sec.gov/Archives/edgar/data/1439725/000095017023021238/bdsx-ex4_1.htm" TargetMode="External"/><Relationship Id="rId232" Type="http://schemas.openxmlformats.org/officeDocument/2006/relationships/hyperlink" Target="http://www.sec.gov/Archives/edgar/data/1439725/000119312520266992/d937421dex101.htm" TargetMode="External"/><Relationship Id="rId233" Type="http://schemas.openxmlformats.org/officeDocument/2006/relationships/hyperlink" Target="http://www.sec.gov/Archives/edgar/data/1439725/000119312520266992/d937421dex1021.htm" TargetMode="External"/><Relationship Id="rId234" Type="http://schemas.openxmlformats.org/officeDocument/2006/relationships/hyperlink" Target="http://www.sec.gov/Archives/edgar/data/1439725/000119312520266992/d937421dex1022.htm" TargetMode="External"/><Relationship Id="rId235" Type="http://schemas.openxmlformats.org/officeDocument/2006/relationships/hyperlink" Target="http://www.sec.gov/Archives/edgar/data/1439725/000119312520266992/d937421dex1023.htm" TargetMode="External"/><Relationship Id="rId236" Type="http://schemas.openxmlformats.org/officeDocument/2006/relationships/hyperlink" Target="http://www.sec.gov/Archives/edgar/data/1439725/000119312520262422/d937421dex103.htm" TargetMode="External"/><Relationship Id="rId237" Type="http://schemas.openxmlformats.org/officeDocument/2006/relationships/hyperlink" Target="http://www.sec.gov/Archives/edgar/data/1439725/000119312520266992/d937421dex1041.htm" TargetMode="External"/><Relationship Id="rId238" Type="http://schemas.openxmlformats.org/officeDocument/2006/relationships/hyperlink" Target="http://www.sec.gov/Archives/edgar/data/1439725/000119312520266992/d937421dex1042.htm" TargetMode="External"/><Relationship Id="rId239" Type="http://schemas.openxmlformats.org/officeDocument/2006/relationships/hyperlink" Target="http://www.sec.gov/Archives/edgar/data/1439725/000119312520266992/d937421dex1043.htm" TargetMode="External"/><Relationship Id="rId240" Type="http://schemas.openxmlformats.org/officeDocument/2006/relationships/hyperlink" Target="http://www.sec.gov/Archives/edgar/data/1439725/000119312520275630/d937421dex105.htm" TargetMode="External"/><Relationship Id="rId241" Type="http://schemas.openxmlformats.org/officeDocument/2006/relationships/hyperlink" Target="http://www.sec.gov/Archives/edgar/data/1439725/000156459021013512/bdsx-ex1051_388.htm" TargetMode="External"/><Relationship Id="rId242" Type="http://schemas.openxmlformats.org/officeDocument/2006/relationships/hyperlink" Target="http://www.sec.gov/Archives/edgar/data/1439725/000156459021043081/bdsx-ex1052_236.htm" TargetMode="External"/><Relationship Id="rId243" Type="http://schemas.openxmlformats.org/officeDocument/2006/relationships/hyperlink" Target="http://www.sec.gov/Archives/edgar/data/1439725/000119312520275630/d937421dex106.htm" TargetMode="External"/><Relationship Id="rId244" Type="http://schemas.openxmlformats.org/officeDocument/2006/relationships/hyperlink" Target="http://www.sec.gov/Archives/edgar/data/1439725/000119312520262422/d937421dex1051.htm" TargetMode="External"/><Relationship Id="rId245" Type="http://schemas.openxmlformats.org/officeDocument/2006/relationships/hyperlink" Target="http://www.sec.gov/Archives/edgar/data/1439725/000119312520262422/d937421dex1052.htm" TargetMode="External"/><Relationship Id="rId246" Type="http://schemas.openxmlformats.org/officeDocument/2006/relationships/hyperlink" Target="http://www.sec.gov/Archives/edgar/data/1439725/000119312520262422/d937421dex1053.htm" TargetMode="External"/><Relationship Id="rId248" Type="http://schemas.openxmlformats.org/officeDocument/2006/relationships/hyperlink" Target="http://www.sec.gov/Archives/edgar/data/1439725/000095017022014433/bdsx-ex10_1.htm" TargetMode="External"/><Relationship Id="rId249" Type="http://schemas.openxmlformats.org/officeDocument/2006/relationships/hyperlink" Target="http://www.sec.gov/Archives/edgar/data/1439725/000095017022014433/bdsx-ex10_2.htm" TargetMode="External"/><Relationship Id="rId250" Type="http://schemas.openxmlformats.org/officeDocument/2006/relationships/hyperlink" Target="http://www.sec.gov/Archives/edgar/data/1439725/000095017023006092/bdsx-ex10_83.htm" TargetMode="External"/><Relationship Id="rId251" Type="http://schemas.openxmlformats.org/officeDocument/2006/relationships/hyperlink" Target="http://www.sec.gov/Archives/edgar/data/1439725/000119312520266992/d937421dex1061.htm" TargetMode="External"/><Relationship Id="rId252" Type="http://schemas.openxmlformats.org/officeDocument/2006/relationships/hyperlink" Target="http://www.sec.gov/Archives/edgar/data/1439725/000119312520266992/d937421dex1062.htm" TargetMode="External"/><Relationship Id="rId253" Type="http://schemas.openxmlformats.org/officeDocument/2006/relationships/hyperlink" Target="http://www.sec.gov/Archives/edgar/data/1439725/000119312520268763/d937421dex107.htm" TargetMode="External"/><Relationship Id="rId254" Type="http://schemas.openxmlformats.org/officeDocument/2006/relationships/hyperlink" Target="http://www.sec.gov/Archives/edgar/data/1439725/000119312520262422/d937421dex1092.htm" TargetMode="External"/><Relationship Id="rId255" Type="http://schemas.openxmlformats.org/officeDocument/2006/relationships/hyperlink" Target="http://www.sec.gov/Archives/edgar/data/1439725/000119312520262422/d937421dex10102.htm" TargetMode="External"/><Relationship Id="rId256" Type="http://schemas.openxmlformats.org/officeDocument/2006/relationships/hyperlink" Target="http://www.sec.gov/Archives/edgar/data/1439725/000119312520266992/d937421dex1011.htm" TargetMode="External"/><Relationship Id="rId257" Type="http://schemas.openxmlformats.org/officeDocument/2006/relationships/hyperlink" Target="http://www.sec.gov/Archives/edgar/data/1439725/000095017022003495/bdsx-ex10_132.htm" TargetMode="External"/><Relationship Id="rId258" Type="http://schemas.openxmlformats.org/officeDocument/2006/relationships/hyperlink" Target="http://www.sec.gov/Archives/edgar/data/1439725/000119312520262422/d937421dex1013.htm" TargetMode="External"/><Relationship Id="rId259" Type="http://schemas.openxmlformats.org/officeDocument/2006/relationships/hyperlink" Target="http://www.sec.gov/Archives/edgar/data/1439725/000095017023021238/bdsx-ex10_2.htm" TargetMode="External"/><Relationship Id="rId260" Type="http://schemas.openxmlformats.org/officeDocument/2006/relationships/hyperlink" Target="http://www.sec.gov/Archives/edgar/data/1439725/000095017022009126/bdsx-ex10_1.htm" TargetMode="External"/><Relationship Id="rId261" Type="http://schemas.openxmlformats.org/officeDocument/2006/relationships/hyperlink" Target="http://www.sec.gov/Archives/edgar/data/1439725/000095017022009126/bdsx-ex10_2.htm" TargetMode="External"/><Relationship Id="rId262" Type="http://schemas.openxmlformats.org/officeDocument/2006/relationships/hyperlink" Target="http://www.sec.gov/Archives/edgar/data/1439725/000119312520262422/d937421dex1015.htm" TargetMode="External"/><Relationship Id="rId264" Type="http://schemas.openxmlformats.org/officeDocument/2006/relationships/hyperlink" Target="http://www.sec.gov/Archives/edgar/data/1439725/000119312520266992/d937421dex1015.htm" TargetMode="External"/><Relationship Id="rId265" Type="http://schemas.openxmlformats.org/officeDocument/2006/relationships/hyperlink" Target="http://www.sec.gov/Archives/edgar/data/1439725/000119312520266992/d937421dex1016.htm" TargetMode="External"/><Relationship Id="rId266" Type="http://schemas.openxmlformats.org/officeDocument/2006/relationships/hyperlink" Target="http://www.sec.gov/Archives/edgar/data/1439725/000119312520266992/d937421dex1017.htm" TargetMode="External"/><Relationship Id="rId267" Type="http://schemas.openxmlformats.org/officeDocument/2006/relationships/hyperlink" Target="http://www.sec.gov/Archives/edgar/data/1439725/000119312520266992/d937421dex1018.htm" TargetMode="External"/><Relationship Id="rId268" Type="http://schemas.openxmlformats.org/officeDocument/2006/relationships/hyperlink" Target="http://www.sec.gov/Archives/edgar/data/1439725/000119312520266992/d937421dex1019.htm" TargetMode="External"/><Relationship Id="rId269" Type="http://schemas.openxmlformats.org/officeDocument/2006/relationships/hyperlink" Target="http://www.sec.gov/Archives/edgar/data/1439725/000119312520266992/d937421dex1020.htm" TargetMode="External"/><Relationship Id="rId270" Type="http://schemas.openxmlformats.org/officeDocument/2006/relationships/hyperlink" Target="http://www.sec.gov/Archives/edgar/data/1439725/000119312520262422/d937421dex1023.htm" TargetMode="External"/><Relationship Id="rId271" Type="http://schemas.openxmlformats.org/officeDocument/2006/relationships/hyperlink" Target="http://www.sec.gov/Archives/edgar/data/1439725/000156459021043081/bdsx-ex1038_489.htm" TargetMode="External"/><Relationship Id="rId272" Type="http://schemas.openxmlformats.org/officeDocument/2006/relationships/hyperlink" Target="http://www.sec.gov/Archives/edgar/data/1439725/000095017022009126/bdsx-ex10_6.htm" TargetMode="External"/><Relationship Id="rId273" Type="http://schemas.openxmlformats.org/officeDocument/2006/relationships/hyperlink" Target="http://www.sec.gov/Archives/edgar/data/1439725/000119312520262422/d937421dex1024.htm" TargetMode="External"/><Relationship Id="rId274" Type="http://schemas.openxmlformats.org/officeDocument/2006/relationships/hyperlink" Target="http://www.sec.gov/Archives/edgar/data/1439725/000156459021043081/bdsx-ex1037_47.htm" TargetMode="External"/><Relationship Id="rId275" Type="http://schemas.openxmlformats.org/officeDocument/2006/relationships/hyperlink" Target="http://www.sec.gov/Archives/edgar/data/1439725/000095017022003002/bdsx-ex10_1.htm" TargetMode="External"/><Relationship Id="rId276" Type="http://schemas.openxmlformats.org/officeDocument/2006/relationships/hyperlink" Target="http://www.sec.gov/Archives/edgar/data/1439725/000095017022003002/bdsx-ex10_2.htm" TargetMode="External"/><Relationship Id="rId277" Type="http://schemas.openxmlformats.org/officeDocument/2006/relationships/hyperlink" Target="http://www.sec.gov/Archives/edgar/data/1439725/000095017022005536/bdsx-ex10_1.htm" TargetMode="External"/><Relationship Id="rId278" Type="http://schemas.openxmlformats.org/officeDocument/2006/relationships/hyperlink" Target="http://www.sec.gov/Archives/edgar/data/1439725/000095017022005536/bdsx-ex10_2.htm" TargetMode="External"/><Relationship Id="rId280" Type="http://schemas.openxmlformats.org/officeDocument/2006/relationships/hyperlink" Target="http://www.sec.gov/Archives/edgar/data/1439725/000095017023021238/bdsx-ex10_1.htm" TargetMode="External"/><Relationship Id="rId281" Type="http://schemas.openxmlformats.org/officeDocument/2006/relationships/hyperlink" Target="http://www.sec.gov/Archives/edgar/data/1439725/000095017023021238/bdsx-ex10_3.htm" TargetMode="External"/><Relationship Id="rId282" Type="http://schemas.openxmlformats.org/officeDocument/2006/relationships/hyperlink" Target="http://www.sec.gov/Archives/edgar/data/1439725/000095017023039073/bdsx-ex10_2.htm" TargetMode="External"/><Relationship Id="rId283" Type="http://schemas.openxmlformats.org/officeDocument/2006/relationships/hyperlink" Target="http://www.sec.gov/Archives/edgar/data/1439725/000095017024023513/bdsx-ex10_34.htm" TargetMode="External"/><Relationship Id="rId284" Type="http://schemas.openxmlformats.org/officeDocument/2006/relationships/hyperlink" Target="http://www.sec.gov/Archives/edgar/data/1439725/000095017024023513/bdsx-ex10_35.htm" TargetMode="External"/><Relationship Id="rId285" Type="http://schemas.openxmlformats.org/officeDocument/2006/relationships/hyperlink" Target="http://www.sec.gov/Archives/edgar/data/1439725/000095017022025530/bdsx-ex10_2.htm" TargetMode="External"/><Relationship Id="rId286" Type="http://schemas.openxmlformats.org/officeDocument/2006/relationships/hyperlink" Target="http://www.sec.gov/Archives/edgar/data/1439725/000095017022025530/bdsx-ex10_3.htm" TargetMode="External"/><Relationship Id="rId287" Type="http://schemas.openxmlformats.org/officeDocument/2006/relationships/hyperlink" Target="http://www.sec.gov/Archives/edgar/data/1439725/000095017023039073/bdsx-ex10_1.htm" TargetMode="External"/><Relationship Id="rId288" Type="http://schemas.openxmlformats.org/officeDocument/2006/relationships/hyperlink" Target="http://www.sec.gov/ix?doc=/Archives/edgar/data/0001439725/000119312524090787/d779805d8k.htm" TargetMode="External"/><Relationship Id="rId289" Type="http://schemas.openxmlformats.org/officeDocument/2006/relationships/hyperlink" Target="http://www.sec.gov/Archives/edgar/data/1439725/000119312524090787/d779805dex102.htm" TargetMode="External"/><Relationship Id="rId290" Type="http://schemas.openxmlformats.org/officeDocument/2006/relationships/hyperlink" Target="http://www.sec.gov/Archives/edgar/data/1439725/000119312524090787/d779805dex103.htm" TargetMode="External"/><Relationship Id="rId291" Type="http://schemas.openxmlformats.org/officeDocument/2006/relationships/hyperlink" Target="http://www.sec.gov/Archives/edgar/data/1439725/000119312524107051/d827839dex1042.htm" TargetMode="External"/><Relationship Id="rId292" Type="http://schemas.openxmlformats.org/officeDocument/2006/relationships/hyperlink" Target="http://www.sec.gov/Archives/edgar/data/1439725/000119312524107051/d827839ds1.htm#sig" TargetMode="External"/><Relationship Id="rId293" Type="http://schemas.openxmlformats.org/officeDocument/2006/relationships/hyperlink" Target="http://www.sec.gov/Archives/edgar/data/1439725/000119312524107051/d82783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2024-05-24T15:57:50Z</dcterms:created>
  <dcterms:modified xsi:type="dcterms:W3CDTF">2024-05-24T15:57:50Z</dcterms:modified>
</cp:coreProperties>
</file>