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172720</wp:posOffset>
            </wp:positionH>
            <wp:positionV relativeFrom="page">
              <wp:posOffset>121920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page">
              <wp:posOffset>172720</wp:posOffset>
            </wp:positionH>
            <wp:positionV relativeFrom="page">
              <wp:posOffset>327660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ind w:left="1" w:right="4239"/>
        <w:spacing w:after="0" w:line="270" w:lineRule="auto"/>
        <w:rPr>
          <w:sz w:val="20"/>
          <w:szCs w:val="20"/>
          <w:color w:val="auto"/>
        </w:rPr>
      </w:pPr>
      <w:r>
        <w:rPr>
          <w:rFonts w:ascii="Times New Roman" w:cs="Times New Roman" w:eastAsia="Times New Roman" w:hAnsi="Times New Roman"/>
          <w:sz w:val="29"/>
          <w:szCs w:val="29"/>
          <w:color w:val="auto"/>
        </w:rPr>
        <w:t>SECURITIES AND EXCHANGE COMMISSION Washington, D.C. 20549</w:t>
      </w:r>
    </w:p>
    <w:p>
      <w:pPr>
        <w:spacing w:after="0" w:line="276"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SCHEDULE 13G</w:t>
      </w:r>
    </w:p>
    <w:p>
      <w:pPr>
        <w:spacing w:after="0" w:line="357" w:lineRule="exact"/>
        <w:rPr>
          <w:sz w:val="24"/>
          <w:szCs w:val="24"/>
          <w:color w:val="auto"/>
        </w:rPr>
      </w:pPr>
    </w:p>
    <w:p>
      <w:pPr>
        <w:ind w:left="1"/>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75" w:lineRule="exact"/>
        <w:rPr>
          <w:sz w:val="24"/>
          <w:szCs w:val="24"/>
          <w:color w:val="auto"/>
        </w:rPr>
      </w:pPr>
    </w:p>
    <w:p>
      <w:pPr>
        <w:jc w:val="center"/>
        <w:ind w:right="4158"/>
        <w:spacing w:after="0"/>
        <w:rPr>
          <w:sz w:val="20"/>
          <w:szCs w:val="20"/>
          <w:color w:val="auto"/>
        </w:rPr>
      </w:pPr>
      <w:r>
        <w:rPr>
          <w:rFonts w:ascii="Times New Roman" w:cs="Times New Roman" w:eastAsia="Times New Roman" w:hAnsi="Times New Roman"/>
          <w:sz w:val="14"/>
          <w:szCs w:val="14"/>
          <w:b w:val="1"/>
          <w:bCs w:val="1"/>
          <w:color w:val="0000FF"/>
        </w:rPr>
        <w:t>Biodesix,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46355</wp:posOffset>
            </wp:positionV>
            <wp:extent cx="382016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20160" cy="36830"/>
                    </a:xfrm>
                    <a:prstGeom prst="rect">
                      <a:avLst/>
                    </a:prstGeom>
                    <a:noFill/>
                  </pic:spPr>
                </pic:pic>
              </a:graphicData>
            </a:graphic>
          </wp:anchor>
        </w:drawing>
      </w:r>
    </w:p>
    <w:p>
      <w:pPr>
        <w:spacing w:after="0" w:line="143" w:lineRule="exact"/>
        <w:rPr>
          <w:sz w:val="24"/>
          <w:szCs w:val="24"/>
          <w:color w:val="auto"/>
        </w:rPr>
      </w:pPr>
    </w:p>
    <w:p>
      <w:pPr>
        <w:ind w:left="2481"/>
        <w:spacing w:after="0"/>
        <w:rPr>
          <w:sz w:val="20"/>
          <w:szCs w:val="20"/>
          <w:color w:val="auto"/>
        </w:rPr>
      </w:pPr>
      <w:r>
        <w:rPr>
          <w:rFonts w:ascii="Times New Roman" w:cs="Times New Roman" w:eastAsia="Times New Roman" w:hAnsi="Times New Roman"/>
          <w:sz w:val="14"/>
          <w:szCs w:val="14"/>
          <w:b w:val="1"/>
          <w:bCs w:val="1"/>
          <w:color w:val="auto"/>
        </w:rPr>
        <w:t>(Name of Issuer)</w:t>
      </w:r>
    </w:p>
    <w:p>
      <w:pPr>
        <w:spacing w:after="0" w:line="361" w:lineRule="exact"/>
        <w:rPr>
          <w:sz w:val="24"/>
          <w:szCs w:val="24"/>
          <w:color w:val="auto"/>
        </w:rPr>
      </w:pPr>
    </w:p>
    <w:p>
      <w:pPr>
        <w:jc w:val="center"/>
        <w:ind w:right="4158"/>
        <w:spacing w:after="0"/>
        <w:rPr>
          <w:sz w:val="20"/>
          <w:szCs w:val="20"/>
          <w:color w:val="auto"/>
        </w:rPr>
      </w:pPr>
      <w:r>
        <w:rPr>
          <w:rFonts w:ascii="Times New Roman" w:cs="Times New Roman" w:eastAsia="Times New Roman" w:hAnsi="Times New Roman"/>
          <w:sz w:val="14"/>
          <w:szCs w:val="14"/>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46355</wp:posOffset>
            </wp:positionV>
            <wp:extent cx="382016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20160" cy="36830"/>
                    </a:xfrm>
                    <a:prstGeom prst="rect">
                      <a:avLst/>
                    </a:prstGeom>
                    <a:noFill/>
                  </pic:spPr>
                </pic:pic>
              </a:graphicData>
            </a:graphic>
          </wp:anchor>
        </w:drawing>
      </w:r>
    </w:p>
    <w:p>
      <w:pPr>
        <w:spacing w:after="0" w:line="143" w:lineRule="exact"/>
        <w:rPr>
          <w:sz w:val="24"/>
          <w:szCs w:val="24"/>
          <w:color w:val="auto"/>
        </w:rPr>
      </w:pPr>
    </w:p>
    <w:p>
      <w:pPr>
        <w:ind w:left="2141"/>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361" w:lineRule="exact"/>
        <w:rPr>
          <w:sz w:val="24"/>
          <w:szCs w:val="24"/>
          <w:color w:val="auto"/>
        </w:rPr>
      </w:pPr>
    </w:p>
    <w:p>
      <w:pPr>
        <w:jc w:val="center"/>
        <w:ind w:right="4158"/>
        <w:spacing w:after="0"/>
        <w:rPr>
          <w:sz w:val="20"/>
          <w:szCs w:val="20"/>
          <w:color w:val="auto"/>
        </w:rPr>
      </w:pPr>
      <w:r>
        <w:rPr>
          <w:rFonts w:ascii="Times New Roman" w:cs="Times New Roman" w:eastAsia="Times New Roman" w:hAnsi="Times New Roman"/>
          <w:sz w:val="14"/>
          <w:szCs w:val="14"/>
          <w:b w:val="1"/>
          <w:bCs w:val="1"/>
          <w:color w:val="0000FF"/>
        </w:rPr>
        <w:t>09075X207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46355</wp:posOffset>
            </wp:positionV>
            <wp:extent cx="382016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20160" cy="36830"/>
                    </a:xfrm>
                    <a:prstGeom prst="rect">
                      <a:avLst/>
                    </a:prstGeom>
                    <a:noFill/>
                  </pic:spPr>
                </pic:pic>
              </a:graphicData>
            </a:graphic>
          </wp:anchor>
        </w:drawing>
      </w:r>
    </w:p>
    <w:p>
      <w:pPr>
        <w:spacing w:after="0" w:line="143" w:lineRule="exact"/>
        <w:rPr>
          <w:sz w:val="24"/>
          <w:szCs w:val="24"/>
          <w:color w:val="auto"/>
        </w:rPr>
      </w:pPr>
    </w:p>
    <w:p>
      <w:pPr>
        <w:ind w:left="2441"/>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361" w:lineRule="exact"/>
        <w:rPr>
          <w:sz w:val="24"/>
          <w:szCs w:val="24"/>
          <w:color w:val="auto"/>
        </w:rPr>
      </w:pPr>
    </w:p>
    <w:p>
      <w:pPr>
        <w:jc w:val="center"/>
        <w:ind w:right="4158"/>
        <w:spacing w:after="0"/>
        <w:rPr>
          <w:sz w:val="20"/>
          <w:szCs w:val="20"/>
          <w:color w:val="auto"/>
        </w:rPr>
      </w:pPr>
      <w:r>
        <w:rPr>
          <w:rFonts w:ascii="Times New Roman" w:cs="Times New Roman" w:eastAsia="Times New Roman" w:hAnsi="Times New Roman"/>
          <w:sz w:val="14"/>
          <w:szCs w:val="14"/>
          <w:b w:val="1"/>
          <w:bCs w:val="1"/>
          <w:color w:val="0000FF"/>
        </w:rPr>
        <w:t>01/22/2026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46355</wp:posOffset>
            </wp:positionV>
            <wp:extent cx="382016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20160" cy="36830"/>
                    </a:xfrm>
                    <a:prstGeom prst="rect">
                      <a:avLst/>
                    </a:prstGeom>
                    <a:noFill/>
                  </pic:spPr>
                </pic:pic>
              </a:graphicData>
            </a:graphic>
          </wp:anchor>
        </w:drawing>
      </w:r>
    </w:p>
    <w:p>
      <w:pPr>
        <w:spacing w:after="0" w:line="143" w:lineRule="exact"/>
        <w:rPr>
          <w:sz w:val="24"/>
          <w:szCs w:val="24"/>
          <w:color w:val="auto"/>
        </w:rPr>
      </w:pPr>
    </w:p>
    <w:p>
      <w:pPr>
        <w:ind w:left="1261"/>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381" w:lineRule="exact"/>
        <w:rPr>
          <w:sz w:val="24"/>
          <w:szCs w:val="24"/>
          <w:color w:val="auto"/>
        </w:rPr>
      </w:pPr>
    </w:p>
    <w:p>
      <w:pPr>
        <w:ind w:left="1"/>
        <w:spacing w:after="0"/>
        <w:rPr>
          <w:sz w:val="20"/>
          <w:szCs w:val="20"/>
          <w:color w:val="auto"/>
        </w:rPr>
      </w:pPr>
      <w:r>
        <w:rPr>
          <w:rFonts w:ascii="Times New Roman" w:cs="Times New Roman" w:eastAsia="Times New Roman" w:hAnsi="Times New Roman"/>
          <w:sz w:val="14"/>
          <w:szCs w:val="14"/>
          <w:color w:val="auto"/>
        </w:rPr>
        <w:t>Check the appropriate box to designate the rule pursuant to which this Schedule is filed:</w:t>
      </w:r>
    </w:p>
    <w:p>
      <w:pPr>
        <w:spacing w:after="0" w:line="46" w:lineRule="exact"/>
        <w:rPr>
          <w:sz w:val="24"/>
          <w:szCs w:val="24"/>
          <w:color w:val="auto"/>
        </w:rPr>
      </w:pPr>
    </w:p>
    <w:p>
      <w:pPr>
        <w:ind w:left="241"/>
        <w:spacing w:after="0"/>
        <w:rPr>
          <w:sz w:val="20"/>
          <w:szCs w:val="20"/>
          <w:color w:val="auto"/>
        </w:rPr>
      </w:pPr>
      <w:r>
        <w:rPr>
          <w:rFonts w:ascii="Times New Roman" w:cs="Times New Roman" w:eastAsia="Times New Roman" w:hAnsi="Times New Roman"/>
          <w:sz w:val="14"/>
          <w:szCs w:val="14"/>
          <w:color w:val="auto"/>
        </w:rPr>
        <w:t>Rule 13d-1(b)</w:t>
      </w:r>
    </w:p>
    <w:p>
      <w:pPr>
        <w:spacing w:after="0" w:line="46" w:lineRule="exact"/>
        <w:rPr>
          <w:sz w:val="24"/>
          <w:szCs w:val="24"/>
          <w:color w:val="auto"/>
        </w:rPr>
      </w:pPr>
    </w:p>
    <w:p>
      <w:pPr>
        <w:ind w:left="241"/>
        <w:spacing w:after="0"/>
        <w:rPr>
          <w:sz w:val="20"/>
          <w:szCs w:val="20"/>
          <w:color w:val="auto"/>
        </w:rPr>
      </w:pPr>
      <w:r>
        <w:rPr>
          <w:rFonts w:ascii="Times New Roman" w:cs="Times New Roman" w:eastAsia="Times New Roman" w:hAnsi="Times New Roman"/>
          <w:sz w:val="14"/>
          <w:szCs w:val="14"/>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85725" cy="85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6" w:lineRule="exact"/>
        <w:rPr>
          <w:sz w:val="24"/>
          <w:szCs w:val="24"/>
          <w:color w:val="auto"/>
        </w:rPr>
      </w:pPr>
    </w:p>
    <w:p>
      <w:pPr>
        <w:ind w:left="241"/>
        <w:spacing w:after="0"/>
        <w:rPr>
          <w:sz w:val="20"/>
          <w:szCs w:val="20"/>
          <w:color w:val="auto"/>
        </w:rPr>
      </w:pPr>
      <w:r>
        <w:rPr>
          <w:rFonts w:ascii="Times New Roman" w:cs="Times New Roman" w:eastAsia="Times New Roman" w:hAnsi="Times New Roman"/>
          <w:sz w:val="14"/>
          <w:szCs w:val="14"/>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62230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119380</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-95885</wp:posOffset>
            </wp:positionV>
            <wp:extent cx="85725" cy="85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left="1"/>
        <w:spacing w:after="0"/>
        <w:rPr>
          <w:sz w:val="20"/>
          <w:szCs w:val="20"/>
          <w:color w:val="auto"/>
        </w:rPr>
      </w:pPr>
      <w:r>
        <w:rPr>
          <w:rFonts w:ascii="Times New Roman" w:cs="Times New Roman" w:eastAsia="Times New Roman" w:hAnsi="Times New Roman"/>
          <w:sz w:val="17"/>
          <w:szCs w:val="17"/>
          <w:color w:val="auto"/>
        </w:rPr>
        <w:t>SCHEDULE 13G</w:t>
      </w:r>
    </w:p>
    <w:p>
      <w:pPr>
        <w:spacing w:after="0" w:line="201" w:lineRule="exact"/>
        <w:rPr>
          <w:sz w:val="24"/>
          <w:szCs w:val="24"/>
          <w:color w:val="auto"/>
        </w:rPr>
      </w:pPr>
    </w:p>
    <w:p>
      <w:pPr>
        <w:ind w:left="1"/>
        <w:spacing w:after="0"/>
        <w:rPr>
          <w:sz w:val="20"/>
          <w:szCs w:val="20"/>
          <w:color w:val="auto"/>
        </w:rPr>
      </w:pPr>
      <w:r>
        <w:rPr>
          <w:rFonts w:ascii="Times New Roman" w:cs="Times New Roman" w:eastAsia="Times New Roman" w:hAnsi="Times New Roman"/>
          <w:sz w:val="14"/>
          <w:szCs w:val="14"/>
          <w:b w:val="1"/>
          <w:bCs w:val="1"/>
          <w:color w:val="auto"/>
        </w:rPr>
        <w:t xml:space="preserve">CUSIP No. </w:t>
      </w:r>
      <w:r>
        <w:rPr>
          <w:rFonts w:ascii="Times New Roman" w:cs="Times New Roman" w:eastAsia="Times New Roman" w:hAnsi="Times New Roman"/>
          <w:sz w:val="12"/>
          <w:szCs w:val="12"/>
          <w:color w:val="auto"/>
        </w:rPr>
        <w:t>09075X207</w:t>
      </w:r>
    </w:p>
    <w:p>
      <w:pPr>
        <w:spacing w:after="0" w:line="381" w:lineRule="exact"/>
        <w:rPr>
          <w:sz w:val="24"/>
          <w:szCs w:val="24"/>
          <w:color w:val="auto"/>
        </w:rPr>
      </w:pPr>
    </w:p>
    <w:p>
      <w:pPr>
        <w:ind w:left="921"/>
        <w:spacing w:after="0"/>
        <w:rPr>
          <w:sz w:val="20"/>
          <w:szCs w:val="20"/>
          <w:color w:val="auto"/>
        </w:rPr>
      </w:pPr>
      <w:r>
        <w:rPr>
          <w:rFonts w:ascii="Times New Roman" w:cs="Times New Roman" w:eastAsia="Times New Roman" w:hAnsi="Times New Roman"/>
          <w:sz w:val="14"/>
          <w:szCs w:val="14"/>
          <w:color w:val="auto"/>
        </w:rPr>
        <w:t>Names of Reporting Persons</w:t>
      </w:r>
    </w:p>
    <w:p>
      <w:pPr>
        <w:spacing w:after="0" w:line="17" w:lineRule="exact"/>
        <w:rPr>
          <w:sz w:val="24"/>
          <w:szCs w:val="24"/>
          <w:color w:val="auto"/>
        </w:rPr>
      </w:pPr>
    </w:p>
    <w:p>
      <w:pPr>
        <w:ind w:left="1"/>
        <w:spacing w:after="0"/>
        <w:rPr>
          <w:sz w:val="20"/>
          <w:szCs w:val="20"/>
          <w:color w:val="auto"/>
        </w:rPr>
      </w:pPr>
      <w:r>
        <w:rPr>
          <w:rFonts w:ascii="Times New Roman" w:cs="Times New Roman" w:eastAsia="Times New Roman" w:hAnsi="Times New Roman"/>
          <w:sz w:val="14"/>
          <w:szCs w:val="14"/>
          <w:color w:val="auto"/>
        </w:rPr>
        <w:t>1</w:t>
      </w:r>
    </w:p>
    <w:p>
      <w:pPr>
        <w:spacing w:after="0" w:line="1" w:lineRule="exact"/>
        <w:rPr>
          <w:sz w:val="24"/>
          <w:szCs w:val="24"/>
          <w:color w:val="auto"/>
        </w:rPr>
      </w:pPr>
    </w:p>
    <w:p>
      <w:pPr>
        <w:ind w:left="921"/>
        <w:spacing w:after="0"/>
        <w:rPr>
          <w:sz w:val="20"/>
          <w:szCs w:val="20"/>
          <w:color w:val="auto"/>
        </w:rPr>
      </w:pPr>
      <w:r>
        <w:rPr>
          <w:rFonts w:ascii="Times New Roman" w:cs="Times New Roman" w:eastAsia="Times New Roman" w:hAnsi="Times New Roman"/>
          <w:sz w:val="14"/>
          <w:szCs w:val="14"/>
          <w:color w:val="auto"/>
        </w:rPr>
        <w:t>Telemark Asset Management, LLC</w:t>
      </w:r>
    </w:p>
    <w:p>
      <w:pPr>
        <w:spacing w:after="0" w:line="21" w:lineRule="exact"/>
        <w:rPr>
          <w:sz w:val="24"/>
          <w:szCs w:val="24"/>
          <w:color w:val="auto"/>
        </w:rPr>
      </w:pPr>
    </w:p>
    <w:p>
      <w:pPr>
        <w:ind w:left="921"/>
        <w:spacing w:after="0"/>
        <w:rPr>
          <w:sz w:val="20"/>
          <w:szCs w:val="20"/>
          <w:color w:val="auto"/>
        </w:rPr>
      </w:pPr>
      <w:r>
        <w:rPr>
          <w:rFonts w:ascii="Times New Roman" w:cs="Times New Roman" w:eastAsia="Times New Roman" w:hAnsi="Times New Roman"/>
          <w:sz w:val="14"/>
          <w:szCs w:val="14"/>
          <w:color w:val="auto"/>
        </w:rPr>
        <w:t>Check the appropriate box if a member of a Group (see instructions)</w:t>
      </w:r>
    </w:p>
    <w:p>
      <w:pPr>
        <w:spacing w:after="0" w:line="26" w:lineRule="exact"/>
        <w:rPr>
          <w:sz w:val="24"/>
          <w:szCs w:val="24"/>
          <w:color w:val="auto"/>
        </w:rPr>
      </w:pPr>
    </w:p>
    <w:p>
      <w:pPr>
        <w:ind w:left="921" w:hanging="921"/>
        <w:spacing w:after="0"/>
        <w:tabs>
          <w:tab w:leader="none" w:pos="921" w:val="left"/>
        </w:tabs>
        <w:numPr>
          <w:ilvl w:val="0"/>
          <w:numId w:val="1"/>
        </w:numPr>
        <w:rPr>
          <w:rFonts w:ascii="Times New Roman" w:cs="Times New Roman" w:eastAsia="Times New Roman" w:hAnsi="Times New Roman"/>
          <w:sz w:val="29"/>
          <w:szCs w:val="29"/>
          <w:color w:val="auto"/>
          <w:vertAlign w:val="superscript"/>
        </w:rPr>
      </w:pPr>
      <w:r>
        <w:rPr>
          <w:sz w:val="1"/>
          <w:szCs w:val="1"/>
          <w:color w:val="auto"/>
        </w:rPr>
        <w:drawing>
          <wp:inline distT="0" distB="0" distL="0" distR="0">
            <wp:extent cx="85725" cy="857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(a)</w:t>
      </w:r>
    </w:p>
    <w:p>
      <w:pPr>
        <w:ind w:left="921"/>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85725" cy="857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(b)</w:t>
      </w:r>
    </w:p>
    <w:p>
      <w:pPr>
        <w:spacing w:after="0" w:line="23" w:lineRule="exact"/>
        <w:rPr>
          <w:sz w:val="24"/>
          <w:szCs w:val="24"/>
          <w:color w:val="auto"/>
        </w:rPr>
      </w:pPr>
    </w:p>
    <w:p>
      <w:pPr>
        <w:ind w:left="921" w:hanging="921"/>
        <w:spacing w:after="0"/>
        <w:tabs>
          <w:tab w:leader="none" w:pos="921"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 Use Only</w:t>
      </w:r>
    </w:p>
    <w:p>
      <w:pPr>
        <w:spacing w:after="0" w:line="37" w:lineRule="exact"/>
        <w:rPr>
          <w:sz w:val="24"/>
          <w:szCs w:val="24"/>
          <w:color w:val="auto"/>
        </w:rPr>
      </w:pPr>
    </w:p>
    <w:p>
      <w:pPr>
        <w:ind w:left="921"/>
        <w:spacing w:after="0"/>
        <w:rPr>
          <w:sz w:val="20"/>
          <w:szCs w:val="20"/>
          <w:color w:val="auto"/>
        </w:rPr>
      </w:pPr>
      <w:r>
        <w:rPr>
          <w:rFonts w:ascii="Times New Roman" w:cs="Times New Roman" w:eastAsia="Times New Roman" w:hAnsi="Times New Roman"/>
          <w:sz w:val="14"/>
          <w:szCs w:val="14"/>
          <w:color w:val="auto"/>
        </w:rPr>
        <w:t>Citizenship or Place of Organization</w:t>
      </w:r>
    </w:p>
    <w:p>
      <w:pPr>
        <w:spacing w:after="0" w:line="17" w:lineRule="exact"/>
        <w:rPr>
          <w:sz w:val="24"/>
          <w:szCs w:val="24"/>
          <w:color w:val="auto"/>
        </w:rPr>
      </w:pPr>
    </w:p>
    <w:p>
      <w:pPr>
        <w:ind w:left="1"/>
        <w:spacing w:after="0"/>
        <w:rPr>
          <w:sz w:val="20"/>
          <w:szCs w:val="20"/>
          <w:color w:val="auto"/>
        </w:rPr>
      </w:pPr>
      <w:r>
        <w:rPr>
          <w:rFonts w:ascii="Times New Roman" w:cs="Times New Roman" w:eastAsia="Times New Roman" w:hAnsi="Times New Roman"/>
          <w:sz w:val="14"/>
          <w:szCs w:val="14"/>
          <w:color w:val="auto"/>
        </w:rPr>
        <w:t>4</w:t>
      </w:r>
    </w:p>
    <w:p>
      <w:pPr>
        <w:spacing w:after="0" w:line="1" w:lineRule="exact"/>
        <w:rPr>
          <w:sz w:val="24"/>
          <w:szCs w:val="24"/>
          <w:color w:val="auto"/>
        </w:rPr>
      </w:pPr>
    </w:p>
    <w:tbl>
      <w:tblPr>
        <w:tblLayout w:type="fixed"/>
        <w:tblInd w:w="1" w:type="dxa"/>
        <w:tblCellMar>
          <w:top w:w="0" w:type="dxa"/>
          <w:left w:w="0" w:type="dxa"/>
          <w:bottom w:w="0" w:type="dxa"/>
          <w:right w:w="0" w:type="dxa"/>
        </w:tblCellMar>
      </w:tblPr>
      <w:tr>
        <w:trPr>
          <w:trHeight w:val="188"/>
        </w:trPr>
        <w:tc>
          <w:tcPr>
            <w:tcW w:w="840" w:type="dxa"/>
            <w:vAlign w:val="bottom"/>
          </w:tcPr>
          <w:p>
            <w:pPr>
              <w:spacing w:after="0"/>
              <w:rPr>
                <w:sz w:val="16"/>
                <w:szCs w:val="16"/>
                <w:color w:val="auto"/>
              </w:rPr>
            </w:pP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Sole Voting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Number of</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Shared Voting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Beneficially</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427,824.00</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Owned by</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Sole Dispositive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Each</w:t>
            </w: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Reporting</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Person With:</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Shared Dispositive</w:t>
            </w:r>
          </w:p>
        </w:tc>
        <w:tc>
          <w:tcPr>
            <w:tcW w:w="0" w:type="dxa"/>
            <w:vAlign w:val="bottom"/>
          </w:tcPr>
          <w:p>
            <w:pPr>
              <w:spacing w:after="0"/>
              <w:rPr>
                <w:sz w:val="1"/>
                <w:szCs w:val="1"/>
                <w:color w:val="auto"/>
              </w:rPr>
            </w:pPr>
          </w:p>
        </w:tc>
      </w:tr>
      <w:tr>
        <w:trPr>
          <w:trHeight w:val="324"/>
        </w:trPr>
        <w:tc>
          <w:tcPr>
            <w:tcW w:w="840" w:type="dxa"/>
            <w:vAlign w:val="bottom"/>
          </w:tcPr>
          <w:p>
            <w:pPr>
              <w:spacing w:after="0"/>
              <w:rPr>
                <w:sz w:val="24"/>
                <w:szCs w:val="24"/>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28"/>
                <w:szCs w:val="28"/>
                <w:color w:val="auto"/>
                <w:vertAlign w:val="subscript"/>
              </w:rPr>
              <w:t>8</w:t>
            </w:r>
            <w:r>
              <w:rPr>
                <w:rFonts w:ascii="Times New Roman" w:cs="Times New Roman" w:eastAsia="Times New Roman" w:hAnsi="Times New Roman"/>
                <w:sz w:val="14"/>
                <w:szCs w:val="14"/>
                <w:color w:val="auto"/>
              </w:rPr>
              <w:t xml:space="preserve"> Power</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427,824.00</w:t>
            </w:r>
          </w:p>
        </w:tc>
        <w:tc>
          <w:tcPr>
            <w:tcW w:w="0" w:type="dxa"/>
            <w:vAlign w:val="bottom"/>
          </w:tcPr>
          <w:p>
            <w:pPr>
              <w:spacing w:after="0"/>
              <w:rPr>
                <w:sz w:val="1"/>
                <w:szCs w:val="1"/>
                <w:color w:val="auto"/>
              </w:rPr>
            </w:pPr>
          </w:p>
        </w:tc>
      </w:tr>
      <w:tr>
        <w:trPr>
          <w:trHeight w:val="225"/>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9</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Aggregate Amount Beneficially Owned by Each Reporting Person</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427,824.00</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144"/>
        </w:trPr>
        <w:tc>
          <w:tcPr>
            <w:tcW w:w="840" w:type="dxa"/>
            <w:vAlign w:val="bottom"/>
            <w:vMerge w:val="continue"/>
          </w:tcPr>
          <w:p>
            <w:pPr>
              <w:spacing w:after="0"/>
              <w:rPr>
                <w:sz w:val="12"/>
                <w:szCs w:val="12"/>
                <w:color w:val="auto"/>
              </w:rPr>
            </w:pPr>
          </w:p>
        </w:tc>
        <w:tc>
          <w:tcPr>
            <w:tcW w:w="5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11</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Percent of class represented by amount in row (9)</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5.4 %</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12</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Type of Reporting Person (See Instructions)</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IA, OO</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582930</wp:posOffset>
            </wp:positionH>
            <wp:positionV relativeFrom="paragraph">
              <wp:posOffset>-753110</wp:posOffset>
            </wp:positionV>
            <wp:extent cx="85725" cy="85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1"/>
        <w:spacing w:after="0"/>
        <w:rPr>
          <w:sz w:val="20"/>
          <w:szCs w:val="20"/>
          <w:color w:val="auto"/>
        </w:rPr>
      </w:pPr>
      <w:r>
        <w:rPr>
          <w:rFonts w:ascii="Times New Roman" w:cs="Times New Roman" w:eastAsia="Times New Roman" w:hAnsi="Times New Roman"/>
          <w:sz w:val="17"/>
          <w:szCs w:val="17"/>
          <w:color w:val="auto"/>
        </w:rPr>
        <w:t>SCHEDULE 13G</w:t>
      </w:r>
    </w:p>
    <w:p>
      <w:pPr>
        <w:spacing w:after="0" w:line="201" w:lineRule="exact"/>
        <w:rPr>
          <w:sz w:val="24"/>
          <w:szCs w:val="24"/>
          <w:color w:val="auto"/>
        </w:rPr>
      </w:pPr>
    </w:p>
    <w:p>
      <w:pPr>
        <w:ind w:left="1"/>
        <w:spacing w:after="0"/>
        <w:rPr>
          <w:sz w:val="20"/>
          <w:szCs w:val="20"/>
          <w:color w:val="auto"/>
        </w:rPr>
      </w:pPr>
      <w:r>
        <w:rPr>
          <w:rFonts w:ascii="Times New Roman" w:cs="Times New Roman" w:eastAsia="Times New Roman" w:hAnsi="Times New Roman"/>
          <w:sz w:val="14"/>
          <w:szCs w:val="14"/>
          <w:b w:val="1"/>
          <w:bCs w:val="1"/>
          <w:color w:val="auto"/>
        </w:rPr>
        <w:t xml:space="preserve">CUSIP No. </w:t>
      </w:r>
      <w:r>
        <w:rPr>
          <w:rFonts w:ascii="Times New Roman" w:cs="Times New Roman" w:eastAsia="Times New Roman" w:hAnsi="Times New Roman"/>
          <w:sz w:val="12"/>
          <w:szCs w:val="12"/>
          <w:color w:val="auto"/>
        </w:rPr>
        <w:t>09075X207</w:t>
      </w:r>
    </w:p>
    <w:p>
      <w:pPr>
        <w:sectPr>
          <w:pgSz w:w="11900" w:h="16845" w:orient="portrait"/>
          <w:cols w:equalWidth="0" w:num="1">
            <w:col w:w="10140"/>
          </w:cols>
          <w:pgMar w:left="319" w:top="625" w:right="1440" w:bottom="0" w:gutter="0" w:footer="0" w:header="0"/>
        </w:sectPr>
      </w:pPr>
    </w:p>
    <w:p>
      <w:pPr>
        <w:spacing w:after="0" w:line="381" w:lineRule="exact"/>
        <w:rPr>
          <w:sz w:val="24"/>
          <w:szCs w:val="24"/>
          <w:color w:val="auto"/>
        </w:rPr>
      </w:pPr>
    </w:p>
    <w:p>
      <w:pPr>
        <w:ind w:left="921" w:hanging="921"/>
        <w:spacing w:after="0"/>
        <w:tabs>
          <w:tab w:leader="none" w:pos="92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Names of Reporting Persons</w:t>
      </w:r>
    </w:p>
    <w:p>
      <w:pPr>
        <w:sectPr>
          <w:pgSz w:w="11900" w:h="16845" w:orient="portrait"/>
          <w:cols w:equalWidth="0" w:num="1">
            <w:col w:w="10140"/>
          </w:cols>
          <w:pgMar w:left="319" w:top="625" w:right="1440" w:bottom="0" w:gutter="0" w:footer="0" w:header="0"/>
          <w:type w:val="continuous"/>
        </w:sectPr>
      </w:pPr>
    </w:p>
    <w:bookmarkStart w:id="1" w:name="page2"/>
    <w:bookmarkEnd w:id="1"/>
    <w:p>
      <w:pPr>
        <w:ind w:left="921"/>
        <w:spacing w:after="0"/>
        <w:rPr>
          <w:sz w:val="20"/>
          <w:szCs w:val="20"/>
          <w:color w:val="auto"/>
        </w:rPr>
      </w:pPr>
      <w:r>
        <w:rPr>
          <w:rFonts w:ascii="Times New Roman" w:cs="Times New Roman" w:eastAsia="Times New Roman" w:hAnsi="Times New Roman"/>
          <w:sz w:val="14"/>
          <w:szCs w:val="14"/>
          <w:color w:val="auto"/>
        </w:rPr>
        <w:t>Telemark Fund, LP</w:t>
      </w:r>
    </w:p>
    <w:p>
      <w:pPr>
        <w:spacing w:after="0" w:line="37"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Check the appropriate box if a member of a Group (see instructions)</w:t>
      </w:r>
    </w:p>
    <w:p>
      <w:pPr>
        <w:spacing w:after="0" w:line="26" w:lineRule="exact"/>
        <w:rPr>
          <w:sz w:val="20"/>
          <w:szCs w:val="20"/>
          <w:color w:val="auto"/>
        </w:rPr>
      </w:pPr>
    </w:p>
    <w:p>
      <w:pPr>
        <w:ind w:left="921" w:hanging="921"/>
        <w:spacing w:after="0"/>
        <w:tabs>
          <w:tab w:leader="none" w:pos="921" w:val="left"/>
        </w:tabs>
        <w:numPr>
          <w:ilvl w:val="0"/>
          <w:numId w:val="4"/>
        </w:numPr>
        <w:rPr>
          <w:rFonts w:ascii="Times New Roman" w:cs="Times New Roman" w:eastAsia="Times New Roman" w:hAnsi="Times New Roman"/>
          <w:sz w:val="29"/>
          <w:szCs w:val="29"/>
          <w:color w:val="auto"/>
          <w:vertAlign w:val="superscript"/>
        </w:rPr>
      </w:pPr>
      <w:r>
        <w:rPr>
          <w:sz w:val="1"/>
          <w:szCs w:val="1"/>
          <w:color w:val="auto"/>
        </w:rPr>
        <w:drawing>
          <wp:inline distT="0" distB="0" distL="0" distR="0">
            <wp:extent cx="85725" cy="857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(a)</w:t>
      </w:r>
    </w:p>
    <w:p>
      <w:pPr>
        <w:ind w:left="921"/>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85725" cy="857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(b)</w:t>
      </w:r>
    </w:p>
    <w:p>
      <w:pPr>
        <w:spacing w:after="0" w:line="23" w:lineRule="exact"/>
        <w:rPr>
          <w:sz w:val="20"/>
          <w:szCs w:val="20"/>
          <w:color w:val="auto"/>
        </w:rPr>
      </w:pPr>
    </w:p>
    <w:p>
      <w:pPr>
        <w:ind w:left="921" w:hanging="921"/>
        <w:spacing w:after="0"/>
        <w:tabs>
          <w:tab w:leader="none" w:pos="921"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 Use Only</w:t>
      </w:r>
    </w:p>
    <w:p>
      <w:pPr>
        <w:spacing w:after="0" w:line="37"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Citizenship or Place of Organization</w:t>
      </w:r>
    </w:p>
    <w:p>
      <w:pPr>
        <w:spacing w:after="0" w:line="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4"/>
          <w:szCs w:val="14"/>
          <w:color w:val="auto"/>
        </w:rPr>
        <w:t>4</w:t>
      </w:r>
    </w:p>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88"/>
        </w:trPr>
        <w:tc>
          <w:tcPr>
            <w:tcW w:w="840" w:type="dxa"/>
            <w:vAlign w:val="bottom"/>
          </w:tcPr>
          <w:p>
            <w:pPr>
              <w:spacing w:after="0"/>
              <w:rPr>
                <w:sz w:val="16"/>
                <w:szCs w:val="16"/>
                <w:color w:val="auto"/>
              </w:rPr>
            </w:pP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Sole Voting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Number of</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Shared Voting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Beneficially</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427,824.00</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Owned by</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Sole Dispositive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Each</w:t>
            </w: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Reporting</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Person With:</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Shared Dispositive</w:t>
            </w:r>
          </w:p>
        </w:tc>
        <w:tc>
          <w:tcPr>
            <w:tcW w:w="0" w:type="dxa"/>
            <w:vAlign w:val="bottom"/>
          </w:tcPr>
          <w:p>
            <w:pPr>
              <w:spacing w:after="0"/>
              <w:rPr>
                <w:sz w:val="1"/>
                <w:szCs w:val="1"/>
                <w:color w:val="auto"/>
              </w:rPr>
            </w:pPr>
          </w:p>
        </w:tc>
      </w:tr>
      <w:tr>
        <w:trPr>
          <w:trHeight w:val="324"/>
        </w:trPr>
        <w:tc>
          <w:tcPr>
            <w:tcW w:w="840" w:type="dxa"/>
            <w:vAlign w:val="bottom"/>
          </w:tcPr>
          <w:p>
            <w:pPr>
              <w:spacing w:after="0"/>
              <w:rPr>
                <w:sz w:val="24"/>
                <w:szCs w:val="24"/>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28"/>
                <w:szCs w:val="28"/>
                <w:color w:val="auto"/>
                <w:vertAlign w:val="subscript"/>
              </w:rPr>
              <w:t>8</w:t>
            </w:r>
            <w:r>
              <w:rPr>
                <w:rFonts w:ascii="Times New Roman" w:cs="Times New Roman" w:eastAsia="Times New Roman" w:hAnsi="Times New Roman"/>
                <w:sz w:val="14"/>
                <w:szCs w:val="14"/>
                <w:color w:val="auto"/>
              </w:rPr>
              <w:t xml:space="preserve"> Power</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427,824.00</w:t>
            </w:r>
          </w:p>
        </w:tc>
        <w:tc>
          <w:tcPr>
            <w:tcW w:w="0" w:type="dxa"/>
            <w:vAlign w:val="bottom"/>
          </w:tcPr>
          <w:p>
            <w:pPr>
              <w:spacing w:after="0"/>
              <w:rPr>
                <w:sz w:val="1"/>
                <w:szCs w:val="1"/>
                <w:color w:val="auto"/>
              </w:rPr>
            </w:pPr>
          </w:p>
        </w:tc>
      </w:tr>
      <w:tr>
        <w:trPr>
          <w:trHeight w:val="225"/>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9</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Aggregate Amount Beneficially Owned by Each Reporting Person</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427,824.00</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144"/>
        </w:trPr>
        <w:tc>
          <w:tcPr>
            <w:tcW w:w="840" w:type="dxa"/>
            <w:vAlign w:val="bottom"/>
            <w:vMerge w:val="continue"/>
          </w:tcPr>
          <w:p>
            <w:pPr>
              <w:spacing w:after="0"/>
              <w:rPr>
                <w:sz w:val="12"/>
                <w:szCs w:val="12"/>
                <w:color w:val="auto"/>
              </w:rPr>
            </w:pPr>
          </w:p>
        </w:tc>
        <w:tc>
          <w:tcPr>
            <w:tcW w:w="5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11</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Percent of class represented by amount in row (9)</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5.4 %</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12</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Type of Reporting Person (See Instructions)</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PN</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-753110</wp:posOffset>
            </wp:positionV>
            <wp:extent cx="85725" cy="85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SCHEDULE 13G</w:t>
      </w:r>
    </w:p>
    <w:p>
      <w:pPr>
        <w:spacing w:after="0" w:line="20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4"/>
          <w:szCs w:val="14"/>
          <w:b w:val="1"/>
          <w:bCs w:val="1"/>
          <w:color w:val="auto"/>
        </w:rPr>
        <w:t xml:space="preserve">CUSIP No. </w:t>
      </w:r>
      <w:r>
        <w:rPr>
          <w:rFonts w:ascii="Times New Roman" w:cs="Times New Roman" w:eastAsia="Times New Roman" w:hAnsi="Times New Roman"/>
          <w:sz w:val="12"/>
          <w:szCs w:val="12"/>
          <w:color w:val="auto"/>
        </w:rPr>
        <w:t>09075X207</w:t>
      </w:r>
    </w:p>
    <w:p>
      <w:pPr>
        <w:spacing w:after="0" w:line="381"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Names of Reporting Persons</w:t>
      </w:r>
    </w:p>
    <w:p>
      <w:pPr>
        <w:spacing w:after="0" w:line="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4"/>
          <w:szCs w:val="14"/>
          <w:color w:val="auto"/>
        </w:rPr>
        <w:t>1</w:t>
      </w:r>
    </w:p>
    <w:p>
      <w:pPr>
        <w:spacing w:after="0" w:line="1"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Colin S. McNay</w:t>
      </w:r>
    </w:p>
    <w:p>
      <w:pPr>
        <w:spacing w:after="0" w:line="21"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Check the appropriate box if a member of a Group (see instructions)</w:t>
      </w:r>
    </w:p>
    <w:p>
      <w:pPr>
        <w:spacing w:after="0" w:line="26" w:lineRule="exact"/>
        <w:rPr>
          <w:sz w:val="20"/>
          <w:szCs w:val="20"/>
          <w:color w:val="auto"/>
        </w:rPr>
      </w:pPr>
    </w:p>
    <w:p>
      <w:pPr>
        <w:ind w:left="921" w:hanging="921"/>
        <w:spacing w:after="0"/>
        <w:tabs>
          <w:tab w:leader="none" w:pos="921" w:val="left"/>
        </w:tabs>
        <w:numPr>
          <w:ilvl w:val="0"/>
          <w:numId w:val="6"/>
        </w:numPr>
        <w:rPr>
          <w:rFonts w:ascii="Times New Roman" w:cs="Times New Roman" w:eastAsia="Times New Roman" w:hAnsi="Times New Roman"/>
          <w:sz w:val="29"/>
          <w:szCs w:val="29"/>
          <w:color w:val="auto"/>
          <w:vertAlign w:val="superscript"/>
        </w:rPr>
      </w:pPr>
      <w:r>
        <w:rPr>
          <w:sz w:val="1"/>
          <w:szCs w:val="1"/>
          <w:color w:val="auto"/>
        </w:rPr>
        <w:drawing>
          <wp:inline distT="0" distB="0" distL="0" distR="0">
            <wp:extent cx="85725" cy="857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(a)</w:t>
      </w:r>
    </w:p>
    <w:p>
      <w:pPr>
        <w:ind w:left="921"/>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85725" cy="857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(b)</w:t>
      </w:r>
    </w:p>
    <w:p>
      <w:pPr>
        <w:spacing w:after="0" w:line="23" w:lineRule="exact"/>
        <w:rPr>
          <w:sz w:val="20"/>
          <w:szCs w:val="20"/>
          <w:color w:val="auto"/>
        </w:rPr>
      </w:pPr>
    </w:p>
    <w:p>
      <w:pPr>
        <w:ind w:left="921" w:hanging="921"/>
        <w:spacing w:after="0"/>
        <w:tabs>
          <w:tab w:leader="none" w:pos="921"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 Use Only</w:t>
      </w:r>
    </w:p>
    <w:p>
      <w:pPr>
        <w:spacing w:after="0" w:line="37"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Citizenship or Place of Organization</w:t>
      </w:r>
    </w:p>
    <w:p>
      <w:pPr>
        <w:spacing w:after="0" w:line="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4"/>
          <w:szCs w:val="14"/>
          <w:color w:val="auto"/>
        </w:rPr>
        <w:t>4</w:t>
      </w:r>
    </w:p>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88"/>
        </w:trPr>
        <w:tc>
          <w:tcPr>
            <w:tcW w:w="840" w:type="dxa"/>
            <w:vAlign w:val="bottom"/>
          </w:tcPr>
          <w:p>
            <w:pPr>
              <w:spacing w:after="0"/>
              <w:rPr>
                <w:sz w:val="16"/>
                <w:szCs w:val="16"/>
                <w:color w:val="auto"/>
              </w:rPr>
            </w:pP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UNITED STATES</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Sole Voting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Number of</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Shared Voting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Beneficially</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427,824.00</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Owned by</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Sole Dispositive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Each</w:t>
            </w: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Reporting</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Person With:</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Shared Dispositive</w:t>
            </w:r>
          </w:p>
        </w:tc>
        <w:tc>
          <w:tcPr>
            <w:tcW w:w="0" w:type="dxa"/>
            <w:vAlign w:val="bottom"/>
          </w:tcPr>
          <w:p>
            <w:pPr>
              <w:spacing w:after="0"/>
              <w:rPr>
                <w:sz w:val="1"/>
                <w:szCs w:val="1"/>
                <w:color w:val="auto"/>
              </w:rPr>
            </w:pPr>
          </w:p>
        </w:tc>
      </w:tr>
      <w:tr>
        <w:trPr>
          <w:trHeight w:val="324"/>
        </w:trPr>
        <w:tc>
          <w:tcPr>
            <w:tcW w:w="840" w:type="dxa"/>
            <w:vAlign w:val="bottom"/>
          </w:tcPr>
          <w:p>
            <w:pPr>
              <w:spacing w:after="0"/>
              <w:rPr>
                <w:sz w:val="24"/>
                <w:szCs w:val="24"/>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28"/>
                <w:szCs w:val="28"/>
                <w:color w:val="auto"/>
                <w:vertAlign w:val="subscript"/>
              </w:rPr>
              <w:t>8</w:t>
            </w:r>
            <w:r>
              <w:rPr>
                <w:rFonts w:ascii="Times New Roman" w:cs="Times New Roman" w:eastAsia="Times New Roman" w:hAnsi="Times New Roman"/>
                <w:sz w:val="14"/>
                <w:szCs w:val="14"/>
                <w:color w:val="auto"/>
              </w:rPr>
              <w:t xml:space="preserve"> Power</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427,824.00</w:t>
            </w:r>
          </w:p>
        </w:tc>
        <w:tc>
          <w:tcPr>
            <w:tcW w:w="0" w:type="dxa"/>
            <w:vAlign w:val="bottom"/>
          </w:tcPr>
          <w:p>
            <w:pPr>
              <w:spacing w:after="0"/>
              <w:rPr>
                <w:sz w:val="1"/>
                <w:szCs w:val="1"/>
                <w:color w:val="auto"/>
              </w:rPr>
            </w:pPr>
          </w:p>
        </w:tc>
      </w:tr>
      <w:tr>
        <w:trPr>
          <w:trHeight w:val="225"/>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9</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Aggregate Amount Beneficially Owned by Each Reporting Person</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427,824.00</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144"/>
        </w:trPr>
        <w:tc>
          <w:tcPr>
            <w:tcW w:w="840" w:type="dxa"/>
            <w:vAlign w:val="bottom"/>
            <w:vMerge w:val="continue"/>
          </w:tcPr>
          <w:p>
            <w:pPr>
              <w:spacing w:after="0"/>
              <w:rPr>
                <w:sz w:val="12"/>
                <w:szCs w:val="12"/>
                <w:color w:val="auto"/>
              </w:rPr>
            </w:pPr>
          </w:p>
        </w:tc>
        <w:tc>
          <w:tcPr>
            <w:tcW w:w="5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11</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Percent of class represented by amount in row (9)</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5.4 %</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12</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Type of Reporting Person (See Instructions)</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IN</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-753110</wp:posOffset>
            </wp:positionV>
            <wp:extent cx="85725" cy="85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SCHEDULE 13G</w:t>
      </w:r>
    </w:p>
    <w:p>
      <w:pPr>
        <w:spacing w:after="0" w:line="20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4"/>
          <w:szCs w:val="14"/>
          <w:color w:val="auto"/>
        </w:rPr>
        <w:t>Item 1.</w:t>
      </w:r>
    </w:p>
    <w:p>
      <w:pPr>
        <w:spacing w:after="0" w:line="37"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Name of issuer:</w:t>
      </w:r>
    </w:p>
    <w:p>
      <w:pPr>
        <w:spacing w:after="0" w:line="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4"/>
          <w:szCs w:val="14"/>
          <w:color w:val="auto"/>
        </w:rPr>
        <w:t>(a)</w:t>
      </w:r>
    </w:p>
    <w:p>
      <w:pPr>
        <w:spacing w:after="0" w:line="1"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Biodesix, Inc.</w:t>
      </w:r>
    </w:p>
    <w:p>
      <w:pPr>
        <w:spacing w:after="0" w:line="21"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Address of issuer's principal executive offices:</w:t>
      </w:r>
    </w:p>
    <w:p>
      <w:pPr>
        <w:spacing w:after="0" w:line="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4"/>
          <w:szCs w:val="14"/>
          <w:color w:val="auto"/>
        </w:rPr>
        <w:t>(b)</w:t>
      </w:r>
    </w:p>
    <w:p>
      <w:pPr>
        <w:spacing w:after="0" w:line="1"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919 West Dillon Rd., Louisville, Colorado, 80027</w:t>
      </w:r>
    </w:p>
    <w:p>
      <w:pPr>
        <w:spacing w:after="0" w:line="2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4"/>
          <w:szCs w:val="14"/>
          <w:color w:val="auto"/>
        </w:rPr>
        <w:t>Item 2.</w:t>
      </w:r>
    </w:p>
    <w:p>
      <w:pPr>
        <w:spacing w:after="0" w:line="37" w:lineRule="exact"/>
        <w:rPr>
          <w:sz w:val="20"/>
          <w:szCs w:val="20"/>
          <w:color w:val="auto"/>
        </w:rPr>
      </w:pPr>
    </w:p>
    <w:p>
      <w:pPr>
        <w:ind w:left="921" w:hanging="921"/>
        <w:spacing w:after="0"/>
        <w:tabs>
          <w:tab w:leader="none" w:pos="921"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Name of person filing:</w:t>
      </w:r>
    </w:p>
    <w:p>
      <w:pPr>
        <w:sectPr>
          <w:pgSz w:w="11900" w:h="16838" w:orient="portrait"/>
          <w:cols w:equalWidth="0" w:num="1">
            <w:col w:w="10140"/>
          </w:cols>
          <w:pgMar w:left="319" w:top="283" w:right="1440" w:bottom="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3.</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6.</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7.</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8.</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9.</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10.</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3" w:right="100"/>
        <w:spacing w:after="0" w:line="251" w:lineRule="auto"/>
        <w:rPr>
          <w:sz w:val="20"/>
          <w:szCs w:val="20"/>
          <w:color w:val="auto"/>
        </w:rPr>
      </w:pPr>
      <w:r>
        <w:rPr>
          <w:rFonts w:ascii="Times New Roman" w:cs="Times New Roman" w:eastAsia="Times New Roman" w:hAnsi="Times New Roman"/>
          <w:sz w:val="14"/>
          <w:szCs w:val="14"/>
          <w:color w:val="auto"/>
        </w:rPr>
        <w:t>This Schedule 13G is being jointly filed by Telemark Asset Management, LLC, Telemark Fund, LP and Colin McNay (collectively, the "Reporting Persons") with respect to shares of Common Stock of Biodesix, Inc. Telemark Asset Management, LLC is the investment adviser of Telemark Fund, LP. Colin McNay is the President and sole owner of Telemark Asset Management, LLC. Each Reporting Person declares that neither the filing of this statement nor anything herein shall be construed as an admission that such Reporting Person is, for the purposes of Section 13(d) or 13(g) of the Act or any other purpose, the beneficial owner of any securities covered by this statement other than the securities actually owned by such person (if any).</w:t>
      </w:r>
    </w:p>
    <w:p>
      <w:pPr>
        <w:spacing w:after="0" w:line="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4"/>
          <w:szCs w:val="14"/>
          <w:color w:val="auto"/>
        </w:rPr>
        <w:t>Address or principal business office or, if none, residence:</w:t>
      </w:r>
    </w:p>
    <w:p>
      <w:pPr>
        <w:spacing w:after="0" w:line="16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4"/>
          <w:szCs w:val="14"/>
          <w:color w:val="auto"/>
        </w:rPr>
        <w:t>The address of the principal office of each Reporting Person is: One International Place, Suite 4620 Boston, MA 02110</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4"/>
          <w:szCs w:val="14"/>
          <w:color w:val="auto"/>
        </w:rPr>
        <w:t>Citizenship:</w:t>
      </w:r>
    </w:p>
    <w:p>
      <w:pPr>
        <w:spacing w:after="0" w:line="16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4"/>
          <w:szCs w:val="14"/>
          <w:color w:val="auto"/>
        </w:rPr>
        <w:t>Telemark Asset Management, LLC is a Delaware limited liability company, and Telemark Fund, LP is a Delaware limited partnership. Colin McNay is a U.S. citizen.</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4"/>
          <w:szCs w:val="14"/>
          <w:color w:val="auto"/>
        </w:rPr>
        <w:t>Title of class of securities:</w:t>
      </w:r>
    </w:p>
    <w:p>
      <w:pPr>
        <w:spacing w:after="0" w:line="16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4"/>
          <w:szCs w:val="14"/>
          <w:color w:val="auto"/>
        </w:rPr>
        <w:t>Common stock, par value $0.001 per share</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4"/>
          <w:szCs w:val="14"/>
          <w:color w:val="auto"/>
        </w:rPr>
        <w:t>CUSIP No.:</w:t>
      </w:r>
    </w:p>
    <w:p>
      <w:pPr>
        <w:spacing w:after="0" w:line="16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4"/>
          <w:szCs w:val="14"/>
          <w:color w:val="auto"/>
        </w:rPr>
        <w:t>09075X207</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4"/>
          <w:szCs w:val="14"/>
          <w:color w:val="auto"/>
        </w:rPr>
        <w:t>If this statement is filed pursuant to §§ 240.13d-1(b) or 240.13d-2(b) or (c), check whether the person filing is a:</w:t>
      </w:r>
    </w:p>
    <w:p>
      <w:pPr>
        <w:spacing w:after="0" w:line="46" w:lineRule="exact"/>
        <w:rPr>
          <w:sz w:val="20"/>
          <w:szCs w:val="20"/>
          <w:color w:val="auto"/>
        </w:rPr>
      </w:pPr>
    </w:p>
    <w:p>
      <w:pPr>
        <w:ind w:left="243"/>
        <w:spacing w:after="0"/>
        <w:rPr>
          <w:sz w:val="20"/>
          <w:szCs w:val="20"/>
          <w:color w:val="auto"/>
        </w:rPr>
      </w:pPr>
      <w:r>
        <w:rPr>
          <w:rFonts w:ascii="Times New Roman" w:cs="Times New Roman" w:eastAsia="Times New Roman" w:hAnsi="Times New Roman"/>
          <w:sz w:val="14"/>
          <w:szCs w:val="14"/>
          <w:color w:val="auto"/>
        </w:rPr>
        <w:t>Broker or dealer registered under section 15 of the Act (15 U.S.C. 78o);</w:t>
      </w:r>
    </w:p>
    <w:p>
      <w:pPr>
        <w:spacing w:after="0" w:line="46" w:lineRule="exact"/>
        <w:rPr>
          <w:sz w:val="20"/>
          <w:szCs w:val="20"/>
          <w:color w:val="auto"/>
        </w:rPr>
      </w:pPr>
    </w:p>
    <w:p>
      <w:pPr>
        <w:ind w:left="243"/>
        <w:spacing w:after="0"/>
        <w:rPr>
          <w:sz w:val="20"/>
          <w:szCs w:val="20"/>
          <w:color w:val="auto"/>
        </w:rPr>
      </w:pPr>
      <w:r>
        <w:rPr>
          <w:rFonts w:ascii="Times New Roman" w:cs="Times New Roman" w:eastAsia="Times New Roman" w:hAnsi="Times New Roman"/>
          <w:sz w:val="14"/>
          <w:szCs w:val="14"/>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85725" cy="85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6" w:lineRule="exact"/>
        <w:rPr>
          <w:sz w:val="20"/>
          <w:szCs w:val="20"/>
          <w:color w:val="auto"/>
        </w:rPr>
      </w:pPr>
    </w:p>
    <w:p>
      <w:pPr>
        <w:ind w:left="243"/>
        <w:spacing w:after="0"/>
        <w:rPr>
          <w:sz w:val="20"/>
          <w:szCs w:val="20"/>
          <w:color w:val="auto"/>
        </w:rPr>
      </w:pPr>
      <w:r>
        <w:rPr>
          <w:rFonts w:ascii="Times New Roman" w:cs="Times New Roman" w:eastAsia="Times New Roman" w:hAnsi="Times New Roman"/>
          <w:sz w:val="14"/>
          <w:szCs w:val="14"/>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85725" cy="85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6" w:lineRule="exact"/>
        <w:rPr>
          <w:sz w:val="20"/>
          <w:szCs w:val="20"/>
          <w:color w:val="auto"/>
        </w:rPr>
      </w:pPr>
    </w:p>
    <w:p>
      <w:pPr>
        <w:ind w:left="243"/>
        <w:spacing w:after="0"/>
        <w:rPr>
          <w:sz w:val="20"/>
          <w:szCs w:val="20"/>
          <w:color w:val="auto"/>
        </w:rPr>
      </w:pPr>
      <w:r>
        <w:rPr>
          <w:rFonts w:ascii="Times New Roman" w:cs="Times New Roman" w:eastAsia="Times New Roman" w:hAnsi="Times New Roman"/>
          <w:sz w:val="14"/>
          <w:szCs w:val="14"/>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85725" cy="85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6" w:lineRule="exact"/>
        <w:rPr>
          <w:sz w:val="20"/>
          <w:szCs w:val="20"/>
          <w:color w:val="auto"/>
        </w:rPr>
      </w:pPr>
    </w:p>
    <w:p>
      <w:pPr>
        <w:ind w:left="243"/>
        <w:spacing w:after="0"/>
        <w:rPr>
          <w:sz w:val="20"/>
          <w:szCs w:val="20"/>
          <w:color w:val="auto"/>
        </w:rPr>
      </w:pPr>
      <w:r>
        <w:rPr>
          <w:rFonts w:ascii="Times New Roman" w:cs="Times New Roman" w:eastAsia="Times New Roman" w:hAnsi="Times New Roman"/>
          <w:sz w:val="14"/>
          <w:szCs w:val="14"/>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85725" cy="85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6" w:lineRule="exact"/>
        <w:rPr>
          <w:sz w:val="20"/>
          <w:szCs w:val="20"/>
          <w:color w:val="auto"/>
        </w:rPr>
      </w:pPr>
    </w:p>
    <w:p>
      <w:pPr>
        <w:ind w:left="243"/>
        <w:spacing w:after="0"/>
        <w:rPr>
          <w:sz w:val="20"/>
          <w:szCs w:val="20"/>
          <w:color w:val="auto"/>
        </w:rPr>
      </w:pPr>
      <w:r>
        <w:rPr>
          <w:rFonts w:ascii="Times New Roman" w:cs="Times New Roman" w:eastAsia="Times New Roman" w:hAnsi="Times New Roman"/>
          <w:sz w:val="14"/>
          <w:szCs w:val="14"/>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85725" cy="85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6" w:lineRule="exact"/>
        <w:rPr>
          <w:sz w:val="20"/>
          <w:szCs w:val="20"/>
          <w:color w:val="auto"/>
        </w:rPr>
      </w:pPr>
    </w:p>
    <w:p>
      <w:pPr>
        <w:ind w:left="243"/>
        <w:spacing w:after="0"/>
        <w:rPr>
          <w:sz w:val="20"/>
          <w:szCs w:val="20"/>
          <w:color w:val="auto"/>
        </w:rPr>
      </w:pPr>
      <w:r>
        <w:rPr>
          <w:rFonts w:ascii="Times New Roman" w:cs="Times New Roman" w:eastAsia="Times New Roman" w:hAnsi="Times New Roman"/>
          <w:sz w:val="14"/>
          <w:szCs w:val="14"/>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85725" cy="85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6" w:lineRule="exact"/>
        <w:rPr>
          <w:sz w:val="20"/>
          <w:szCs w:val="20"/>
          <w:color w:val="auto"/>
        </w:rPr>
      </w:pPr>
    </w:p>
    <w:p>
      <w:pPr>
        <w:ind w:left="243"/>
        <w:spacing w:after="0"/>
        <w:rPr>
          <w:sz w:val="20"/>
          <w:szCs w:val="20"/>
          <w:color w:val="auto"/>
        </w:rPr>
      </w:pPr>
      <w:r>
        <w:rPr>
          <w:rFonts w:ascii="Times New Roman" w:cs="Times New Roman" w:eastAsia="Times New Roman" w:hAnsi="Times New Roman"/>
          <w:sz w:val="14"/>
          <w:szCs w:val="14"/>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85725" cy="85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6" w:lineRule="exact"/>
        <w:rPr>
          <w:sz w:val="20"/>
          <w:szCs w:val="20"/>
          <w:color w:val="auto"/>
        </w:rPr>
      </w:pPr>
    </w:p>
    <w:p>
      <w:pPr>
        <w:ind w:left="243"/>
        <w:spacing w:after="0"/>
        <w:rPr>
          <w:sz w:val="20"/>
          <w:szCs w:val="20"/>
          <w:color w:val="auto"/>
        </w:rPr>
      </w:pPr>
      <w:r>
        <w:rPr>
          <w:rFonts w:ascii="Times New Roman" w:cs="Times New Roman" w:eastAsia="Times New Roman" w:hAnsi="Times New Roman"/>
          <w:sz w:val="14"/>
          <w:szCs w:val="14"/>
          <w:color w:val="auto"/>
        </w:rPr>
        <w:t>A church plan that is excluded from the definition of an investment company under section 3(c)(14) of the Investment Company Act of 1940 (15 U.S.C. 80a-3);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85725" cy="85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6" w:lineRule="exact"/>
        <w:rPr>
          <w:sz w:val="20"/>
          <w:szCs w:val="20"/>
          <w:color w:val="auto"/>
        </w:rPr>
      </w:pPr>
    </w:p>
    <w:p>
      <w:pPr>
        <w:ind w:left="243" w:right="1660" w:hanging="16"/>
        <w:spacing w:after="0" w:line="275" w:lineRule="auto"/>
        <w:rPr>
          <w:sz w:val="20"/>
          <w:szCs w:val="20"/>
          <w:color w:val="auto"/>
        </w:rPr>
      </w:pPr>
      <w:r>
        <w:rPr>
          <w:rFonts w:ascii="Times New Roman" w:cs="Times New Roman" w:eastAsia="Times New Roman" w:hAnsi="Times New Roman"/>
          <w:sz w:val="14"/>
          <w:szCs w:val="14"/>
          <w:color w:val="auto"/>
        </w:rPr>
        <w:t>A non-U.S. institution in accordance with § 240.13d-1(b)(1)(ii)(J). If filing as a non-U.S. institution in accordance with §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-227965</wp:posOffset>
            </wp:positionV>
            <wp:extent cx="85725" cy="85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ind w:left="243"/>
        <w:spacing w:after="0"/>
        <w:rPr>
          <w:sz w:val="20"/>
          <w:szCs w:val="20"/>
          <w:color w:val="auto"/>
        </w:rPr>
      </w:pPr>
      <w:r>
        <w:rPr>
          <w:rFonts w:ascii="Times New Roman" w:cs="Times New Roman" w:eastAsia="Times New Roman" w:hAnsi="Times New Roman"/>
          <w:sz w:val="14"/>
          <w:szCs w:val="14"/>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85725" cy="85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1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4"/>
          <w:szCs w:val="14"/>
          <w:color w:val="auto"/>
        </w:rPr>
        <w:t>Ownership</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4"/>
          <w:szCs w:val="14"/>
          <w:color w:val="auto"/>
        </w:rPr>
        <w:t>Amount beneficially owned:</w:t>
      </w:r>
    </w:p>
    <w:p>
      <w:pPr>
        <w:spacing w:after="0" w:line="16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4"/>
          <w:szCs w:val="14"/>
          <w:color w:val="auto"/>
        </w:rPr>
        <w:t>Each Reporting Person may be deemed to beneficially own 427,824 shares.</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4"/>
          <w:szCs w:val="14"/>
          <w:color w:val="auto"/>
        </w:rPr>
        <w:t>Percent of class:</w:t>
      </w:r>
    </w:p>
    <w:p>
      <w:pPr>
        <w:spacing w:after="0" w:line="16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4"/>
          <w:szCs w:val="14"/>
          <w:color w:val="auto"/>
        </w:rPr>
        <w:t>Each Reporting Person may be deemed to beneficially own what constitutes approximately 5.4% of the shares outstanding. %</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4"/>
          <w:szCs w:val="14"/>
          <w:color w:val="auto"/>
        </w:rPr>
        <w:t>Number of shares as to which the person has:</w:t>
      </w:r>
    </w:p>
    <w:p>
      <w:pPr>
        <w:spacing w:after="0" w:line="37" w:lineRule="exact"/>
        <w:rPr>
          <w:sz w:val="20"/>
          <w:szCs w:val="20"/>
          <w:color w:val="auto"/>
        </w:rPr>
      </w:pPr>
    </w:p>
    <w:p>
      <w:pPr>
        <w:ind w:left="3" w:right="7740" w:hanging="3"/>
        <w:spacing w:after="0" w:line="509" w:lineRule="auto"/>
        <w:tabs>
          <w:tab w:leader="none" w:pos="175"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Sole power to vote or to direct the vote: Sole power to vote or to direct the vote: 0</w:t>
      </w:r>
    </w:p>
    <w:p>
      <w:pPr>
        <w:spacing w:after="0" w:line="1" w:lineRule="exact"/>
        <w:rPr>
          <w:rFonts w:ascii="Times New Roman" w:cs="Times New Roman" w:eastAsia="Times New Roman" w:hAnsi="Times New Roman"/>
          <w:sz w:val="14"/>
          <w:szCs w:val="14"/>
          <w:color w:val="auto"/>
        </w:rPr>
      </w:pPr>
    </w:p>
    <w:p>
      <w:pPr>
        <w:ind w:left="203" w:hanging="203"/>
        <w:spacing w:after="0"/>
        <w:tabs>
          <w:tab w:leader="none" w:pos="203"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Shared power to vote or to direct the vote:</w:t>
      </w:r>
    </w:p>
    <w:p>
      <w:pPr>
        <w:spacing w:after="0" w:line="16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4"/>
          <w:szCs w:val="14"/>
          <w:color w:val="auto"/>
        </w:rPr>
        <w:t>Shared power to vote or to direct the vote: 427,824 shares</w:t>
      </w:r>
    </w:p>
    <w:p>
      <w:pPr>
        <w:spacing w:after="0" w:line="199" w:lineRule="exact"/>
        <w:rPr>
          <w:sz w:val="20"/>
          <w:szCs w:val="20"/>
          <w:color w:val="auto"/>
        </w:rPr>
      </w:pPr>
    </w:p>
    <w:p>
      <w:pPr>
        <w:ind w:left="3" w:right="6940" w:hanging="3"/>
        <w:spacing w:after="0" w:line="509" w:lineRule="auto"/>
        <w:tabs>
          <w:tab w:leader="none" w:pos="255"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Sole power to dispose or to direct the disposition of: Sole power to dispose or to direct the disposition of: 0</w:t>
      </w:r>
    </w:p>
    <w:p>
      <w:pPr>
        <w:spacing w:after="0" w:line="1" w:lineRule="exact"/>
        <w:rPr>
          <w:rFonts w:ascii="Times New Roman" w:cs="Times New Roman" w:eastAsia="Times New Roman" w:hAnsi="Times New Roman"/>
          <w:sz w:val="14"/>
          <w:szCs w:val="14"/>
          <w:color w:val="auto"/>
        </w:rPr>
      </w:pPr>
    </w:p>
    <w:p>
      <w:pPr>
        <w:ind w:left="243" w:hanging="243"/>
        <w:spacing w:after="0"/>
        <w:tabs>
          <w:tab w:leader="none" w:pos="24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Shared power to dispose or to direct the disposition of:</w:t>
      </w:r>
    </w:p>
    <w:p>
      <w:pPr>
        <w:spacing w:after="0" w:line="16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4"/>
          <w:szCs w:val="14"/>
          <w:color w:val="auto"/>
        </w:rPr>
        <w:t>Shared power to dispose or to direct the disposition of: 427,824 shares</w:t>
      </w:r>
    </w:p>
    <w:p>
      <w:pPr>
        <w:spacing w:after="0" w:line="19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4"/>
          <w:szCs w:val="14"/>
          <w:color w:val="auto"/>
        </w:rPr>
        <w:t>Ownership of 5 Percent or Less of a Class.</w:t>
      </w:r>
    </w:p>
    <w:p>
      <w:pPr>
        <w:spacing w:after="0" w:line="23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4"/>
          <w:szCs w:val="14"/>
          <w:color w:val="auto"/>
        </w:rPr>
        <w:t>Ownership of more than 5 Percent on Behalf of Another Person.</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4"/>
          <w:szCs w:val="14"/>
          <w:color w:val="auto"/>
        </w:rPr>
        <w:t>Not Applicable</w:t>
      </w:r>
    </w:p>
    <w:p>
      <w:pPr>
        <w:spacing w:after="0" w:line="37" w:lineRule="exact"/>
        <w:rPr>
          <w:sz w:val="20"/>
          <w:szCs w:val="20"/>
          <w:color w:val="auto"/>
        </w:rPr>
      </w:pPr>
    </w:p>
    <w:p>
      <w:pPr>
        <w:ind w:left="3" w:right="1500"/>
        <w:spacing w:after="0" w:line="295" w:lineRule="auto"/>
        <w:rPr>
          <w:sz w:val="20"/>
          <w:szCs w:val="20"/>
          <w:color w:val="auto"/>
        </w:rPr>
      </w:pPr>
      <w:r>
        <w:rPr>
          <w:rFonts w:ascii="Times New Roman" w:cs="Times New Roman" w:eastAsia="Times New Roman" w:hAnsi="Times New Roman"/>
          <w:sz w:val="14"/>
          <w:szCs w:val="14"/>
          <w:color w:val="auto"/>
        </w:rPr>
        <w:t>Identification and Classification of the Subsidiary Which Acquired the Security Being Reported on by the Parent Holding Company or Control Person. Not Applicable</w:t>
      </w:r>
    </w:p>
    <w:p>
      <w:pPr>
        <w:ind w:left="3"/>
        <w:spacing w:after="0"/>
        <w:rPr>
          <w:sz w:val="20"/>
          <w:szCs w:val="20"/>
          <w:color w:val="auto"/>
        </w:rPr>
      </w:pPr>
      <w:r>
        <w:rPr>
          <w:rFonts w:ascii="Times New Roman" w:cs="Times New Roman" w:eastAsia="Times New Roman" w:hAnsi="Times New Roman"/>
          <w:sz w:val="14"/>
          <w:szCs w:val="14"/>
          <w:color w:val="auto"/>
        </w:rPr>
        <w:t>Identification and Classification of Members of the Group.</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4"/>
          <w:szCs w:val="14"/>
          <w:color w:val="auto"/>
        </w:rPr>
        <w:t>Not Applicable</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4"/>
          <w:szCs w:val="14"/>
          <w:color w:val="auto"/>
        </w:rPr>
        <w:t>Notice of Dissolution of Group.</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4"/>
          <w:szCs w:val="14"/>
          <w:color w:val="auto"/>
        </w:rPr>
        <w:t>Not Applicable</w:t>
      </w:r>
    </w:p>
    <w:p>
      <w:pPr>
        <w:spacing w:after="0" w:line="2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4"/>
          <w:szCs w:val="14"/>
          <w:color w:val="auto"/>
        </w:rPr>
        <w:t>Certifications:</w:t>
      </w:r>
    </w:p>
    <w:p>
      <w:pPr>
        <w:spacing w:after="0" w:line="37" w:lineRule="exact"/>
        <w:rPr>
          <w:sz w:val="20"/>
          <w:szCs w:val="20"/>
          <w:color w:val="auto"/>
        </w:rPr>
      </w:pPr>
    </w:p>
    <w:p>
      <w:pPr>
        <w:ind w:left="3"/>
        <w:spacing w:after="0" w:line="261" w:lineRule="auto"/>
        <w:rPr>
          <w:sz w:val="20"/>
          <w:szCs w:val="20"/>
          <w:color w:val="auto"/>
        </w:rPr>
      </w:pPr>
      <w:r>
        <w:rPr>
          <w:rFonts w:ascii="Times New Roman" w:cs="Times New Roman" w:eastAsia="Times New Roman" w:hAnsi="Times New Roman"/>
          <w:sz w:val="14"/>
          <w:szCs w:val="14"/>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77" w:lineRule="exact"/>
        <w:rPr>
          <w:sz w:val="20"/>
          <w:szCs w:val="20"/>
          <w:color w:val="auto"/>
        </w:rPr>
      </w:pPr>
    </w:p>
    <w:p>
      <w:pPr>
        <w:sectPr>
          <w:pgSz w:w="11900" w:h="16870" w:orient="portrait"/>
          <w:cols w:equalWidth="0" w:num="2">
            <w:col w:w="480" w:space="437"/>
            <w:col w:w="10203"/>
          </w:cols>
          <w:pgMar w:left="320" w:top="121" w:right="459" w:bottom="0" w:gutter="0" w:footer="0" w:header="0"/>
        </w:sectPr>
      </w:pPr>
    </w:p>
    <w:p>
      <w:pPr>
        <w:ind w:left="140"/>
        <w:spacing w:after="0"/>
        <w:rPr>
          <w:sz w:val="20"/>
          <w:szCs w:val="20"/>
          <w:color w:val="auto"/>
        </w:rPr>
      </w:pPr>
      <w:r>
        <w:rPr>
          <w:rFonts w:ascii="Times New Roman" w:cs="Times New Roman" w:eastAsia="Times New Roman" w:hAnsi="Times New Roman"/>
          <w:sz w:val="14"/>
          <w:szCs w:val="14"/>
          <w:color w:val="auto"/>
        </w:rPr>
        <w:t>SIGNATURE</w:t>
      </w:r>
    </w:p>
    <w:p>
      <w:pPr>
        <w:spacing w:after="0" w:line="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After reasonable inquiry and to the best of my knowledge and belief, I certify that the information set forth in this statement is true, complete and correct.</w:t>
      </w:r>
    </w:p>
    <w:p>
      <w:pPr>
        <w:spacing w:after="0" w:line="24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Telemark Asset Management, LLC</w:t>
      </w:r>
    </w:p>
    <w:p>
      <w:pPr>
        <w:spacing w:after="0" w:line="109" w:lineRule="exact"/>
        <w:rPr>
          <w:sz w:val="20"/>
          <w:szCs w:val="20"/>
          <w:color w:val="auto"/>
        </w:rPr>
      </w:pPr>
    </w:p>
    <w:p>
      <w:pPr>
        <w:ind w:left="3120"/>
        <w:spacing w:after="0"/>
        <w:tabs>
          <w:tab w:leader="none" w:pos="3840" w:val="left"/>
        </w:tabs>
        <w:rPr>
          <w:sz w:val="20"/>
          <w:szCs w:val="20"/>
          <w:color w:val="auto"/>
        </w:rPr>
      </w:pPr>
      <w:r>
        <w:rPr>
          <w:rFonts w:ascii="Times New Roman" w:cs="Times New Roman" w:eastAsia="Times New Roman" w:hAnsi="Times New Roman"/>
          <w:sz w:val="14"/>
          <w:szCs w:val="14"/>
          <w:color w:val="auto"/>
        </w:rPr>
        <w:t>Signature:</w:t>
        <w:tab/>
        <w:t>/s/ Brian C. Miley</w:t>
      </w:r>
    </w:p>
    <w:p>
      <w:pPr>
        <w:spacing w:after="0" w:line="3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color w:val="auto"/>
        </w:rPr>
        <w:t>Name/Title: Brian C. Miley, Chief Financial Officer</w:t>
      </w:r>
    </w:p>
    <w:p>
      <w:pPr>
        <w:spacing w:after="0" w:line="37" w:lineRule="exact"/>
        <w:rPr>
          <w:sz w:val="20"/>
          <w:szCs w:val="20"/>
          <w:color w:val="auto"/>
        </w:rPr>
      </w:pPr>
    </w:p>
    <w:p>
      <w:pPr>
        <w:ind w:left="3120"/>
        <w:spacing w:after="0"/>
        <w:tabs>
          <w:tab w:leader="none" w:pos="384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01/26/2026</w:t>
      </w:r>
    </w:p>
    <w:p>
      <w:pPr>
        <w:spacing w:after="0" w:line="10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Telemark Fund, LP</w:t>
      </w:r>
    </w:p>
    <w:p>
      <w:pPr>
        <w:spacing w:after="0" w:line="109" w:lineRule="exact"/>
        <w:rPr>
          <w:sz w:val="20"/>
          <w:szCs w:val="20"/>
          <w:color w:val="auto"/>
        </w:rPr>
      </w:pPr>
    </w:p>
    <w:p>
      <w:pPr>
        <w:ind w:left="5380"/>
        <w:spacing w:after="0"/>
        <w:tabs>
          <w:tab w:leader="none" w:pos="6100" w:val="left"/>
        </w:tabs>
        <w:rPr>
          <w:sz w:val="20"/>
          <w:szCs w:val="20"/>
          <w:color w:val="auto"/>
        </w:rPr>
      </w:pPr>
      <w:r>
        <w:rPr>
          <w:rFonts w:ascii="Times New Roman" w:cs="Times New Roman" w:eastAsia="Times New Roman" w:hAnsi="Times New Roman"/>
          <w:sz w:val="14"/>
          <w:szCs w:val="14"/>
          <w:color w:val="auto"/>
        </w:rPr>
        <w:t>Signature:</w:t>
        <w:tab/>
        <w:t>By: Telemark Asset Management, LLC, investment adviser, /s/ Brian C. Miley</w:t>
      </w:r>
    </w:p>
    <w:p>
      <w:pPr>
        <w:spacing w:after="0" w:line="3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Name/Title: Brian C. Miley, Chief Financial Officer</w:t>
      </w:r>
    </w:p>
    <w:p>
      <w:pPr>
        <w:spacing w:after="0" w:line="37" w:lineRule="exact"/>
        <w:rPr>
          <w:sz w:val="20"/>
          <w:szCs w:val="20"/>
          <w:color w:val="auto"/>
        </w:rPr>
      </w:pPr>
    </w:p>
    <w:p>
      <w:pPr>
        <w:ind w:left="5380"/>
        <w:spacing w:after="0"/>
        <w:tabs>
          <w:tab w:leader="none" w:pos="610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01/26/2026</w:t>
      </w:r>
    </w:p>
    <w:p>
      <w:pPr>
        <w:spacing w:after="0" w:line="10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Colin S. McNay</w:t>
      </w:r>
    </w:p>
    <w:p>
      <w:pPr>
        <w:spacing w:after="0" w:line="109" w:lineRule="exact"/>
        <w:rPr>
          <w:sz w:val="20"/>
          <w:szCs w:val="20"/>
          <w:color w:val="auto"/>
        </w:rPr>
      </w:pPr>
    </w:p>
    <w:p>
      <w:pPr>
        <w:ind w:left="5520"/>
        <w:spacing w:after="0"/>
        <w:tabs>
          <w:tab w:leader="none" w:pos="6220" w:val="left"/>
        </w:tabs>
        <w:rPr>
          <w:sz w:val="20"/>
          <w:szCs w:val="20"/>
          <w:color w:val="auto"/>
        </w:rPr>
      </w:pPr>
      <w:r>
        <w:rPr>
          <w:rFonts w:ascii="Times New Roman" w:cs="Times New Roman" w:eastAsia="Times New Roman" w:hAnsi="Times New Roman"/>
          <w:sz w:val="14"/>
          <w:szCs w:val="14"/>
          <w:color w:val="auto"/>
        </w:rPr>
        <w:t>Signature:</w:t>
        <w:tab/>
        <w:t>/s/ Colin S. McNay</w:t>
      </w:r>
    </w:p>
    <w:p>
      <w:pPr>
        <w:spacing w:after="0" w:line="3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Name/Title: Colin S. McNay, President and sole owner of Telemark Asset Management, LLC</w:t>
      </w:r>
    </w:p>
    <w:p>
      <w:pPr>
        <w:spacing w:after="0" w:line="37" w:lineRule="exact"/>
        <w:rPr>
          <w:sz w:val="20"/>
          <w:szCs w:val="20"/>
          <w:color w:val="auto"/>
        </w:rPr>
      </w:pPr>
    </w:p>
    <w:p>
      <w:pPr>
        <w:ind w:left="5520"/>
        <w:spacing w:after="0"/>
        <w:tabs>
          <w:tab w:leader="none" w:pos="622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01/26/2026</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Exhibit Information</w:t>
      </w:r>
    </w:p>
    <w:p>
      <w:pPr>
        <w:sectPr>
          <w:pgSz w:w="11900" w:h="16870" w:orient="portrait"/>
          <w:cols w:equalWidth="0" w:num="1">
            <w:col w:w="11120"/>
          </w:cols>
          <w:pgMar w:left="320" w:top="121" w:right="45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color w:val="auto"/>
        </w:rPr>
        <w:t>Exhibit 99.1 - Joint Filing Agreement</w:t>
      </w:r>
    </w:p>
    <w:p>
      <w:pPr>
        <w:sectPr>
          <w:pgSz w:w="11900" w:h="16838" w:orient="portrait"/>
          <w:cols w:equalWidth="0" w:num="1">
            <w:col w:w="10139"/>
          </w:cols>
          <w:pgMar w:left="320" w:top="319" w:right="1440" w:bottom="1440" w:gutter="0" w:footer="0" w:header="0"/>
        </w:sectPr>
      </w:pPr>
    </w:p>
    <w:bookmarkStart w:id="4" w:name="page5"/>
    <w:bookmarkEnd w:id="4"/>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15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Joint Filing Agreement</w:t>
      </w:r>
    </w:p>
    <w:p>
      <w:pPr>
        <w:spacing w:after="0" w:line="159" w:lineRule="exact"/>
        <w:rPr>
          <w:sz w:val="20"/>
          <w:szCs w:val="20"/>
          <w:color w:val="auto"/>
        </w:rPr>
      </w:pPr>
    </w:p>
    <w:p>
      <w:pPr>
        <w:ind w:right="180" w:firstLine="432"/>
        <w:spacing w:after="0" w:line="281" w:lineRule="auto"/>
        <w:rPr>
          <w:sz w:val="20"/>
          <w:szCs w:val="20"/>
          <w:color w:val="auto"/>
        </w:rPr>
      </w:pPr>
      <w:r>
        <w:rPr>
          <w:rFonts w:ascii="Times New Roman" w:cs="Times New Roman" w:eastAsia="Times New Roman" w:hAnsi="Times New Roman"/>
          <w:sz w:val="13"/>
          <w:szCs w:val="13"/>
          <w:color w:val="auto"/>
        </w:rPr>
        <w:t>The undersigned hereby agree that the Statement on the Schedule 13G filed herewith (and any amendments thereto), relating to the common stock of Biodesix, Inc. is being filed jointly with the Securities and Exchange Commission pursuant to Rule 13d-1(c) under the Securities Exchange Act of 1934, as amended, on behalf of each of the undersigned.</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This Agreement may be executed in counterparts and each of such counterparts taken together shall constitute one and the same instrument.</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 WITNESS WHEREOF, the undersigned hereby execute this Agreement as of January 26, 2026.</w:t>
      </w:r>
    </w:p>
    <w:p>
      <w:pPr>
        <w:spacing w:after="0" w:line="15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3"/>
          <w:szCs w:val="13"/>
          <w:color w:val="auto"/>
        </w:rPr>
        <w:t>TELEMARK ASSET MANAGEMENT, LLC</w:t>
      </w:r>
    </w:p>
    <w:p>
      <w:pPr>
        <w:spacing w:after="0" w:line="157" w:lineRule="exact"/>
        <w:rPr>
          <w:sz w:val="20"/>
          <w:szCs w:val="20"/>
          <w:color w:val="auto"/>
        </w:rPr>
      </w:pPr>
    </w:p>
    <w:tbl>
      <w:tblPr>
        <w:tblLayout w:type="fixed"/>
        <w:tblInd w:w="5920" w:type="dxa"/>
        <w:tblCellMar>
          <w:top w:w="0" w:type="dxa"/>
          <w:left w:w="0" w:type="dxa"/>
          <w:bottom w:w="0" w:type="dxa"/>
          <w:right w:w="0" w:type="dxa"/>
        </w:tblCellMar>
      </w:tblPr>
      <w:tr>
        <w:trPr>
          <w:trHeight w:val="168"/>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Brian C. Miley</w:t>
            </w:r>
          </w:p>
        </w:tc>
      </w:tr>
      <w:tr>
        <w:trPr>
          <w:trHeight w:val="127"/>
        </w:trPr>
        <w:tc>
          <w:tcPr>
            <w:tcW w:w="580" w:type="dxa"/>
            <w:vAlign w:val="bottom"/>
          </w:tcPr>
          <w:p>
            <w:pPr>
              <w:spacing w:after="0"/>
              <w:rPr>
                <w:sz w:val="11"/>
                <w:szCs w:val="11"/>
                <w:color w:val="auto"/>
              </w:rPr>
            </w:pPr>
          </w:p>
        </w:tc>
        <w:tc>
          <w:tcPr>
            <w:tcW w:w="486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Name: Brian C. Miley</w:t>
            </w:r>
          </w:p>
        </w:tc>
      </w:tr>
      <w:tr>
        <w:trPr>
          <w:trHeight w:val="172"/>
        </w:trPr>
        <w:tc>
          <w:tcPr>
            <w:tcW w:w="580" w:type="dxa"/>
            <w:vAlign w:val="bottom"/>
          </w:tcPr>
          <w:p>
            <w:pPr>
              <w:spacing w:after="0"/>
              <w:rPr>
                <w:sz w:val="14"/>
                <w:szCs w:val="1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3"/>
                <w:szCs w:val="13"/>
                <w:color w:val="auto"/>
              </w:rPr>
              <w:t>Title: Chief Financial Officer</w:t>
            </w:r>
          </w:p>
        </w:tc>
      </w:tr>
    </w:tbl>
    <w:p>
      <w:pPr>
        <w:spacing w:after="0" w:line="28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3"/>
          <w:szCs w:val="13"/>
          <w:color w:val="auto"/>
        </w:rPr>
        <w:t>TELEMARK FUND, LP</w:t>
      </w:r>
    </w:p>
    <w:p>
      <w:pPr>
        <w:spacing w:after="0" w:line="15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3"/>
          <w:szCs w:val="13"/>
          <w:color w:val="auto"/>
        </w:rPr>
        <w:t>By: Telemark Asset Management, LLC,</w:t>
      </w:r>
    </w:p>
    <w:p>
      <w:pPr>
        <w:spacing w:after="0" w:line="18" w:lineRule="exact"/>
        <w:rPr>
          <w:sz w:val="20"/>
          <w:szCs w:val="20"/>
          <w:color w:val="auto"/>
        </w:rPr>
      </w:pPr>
    </w:p>
    <w:tbl>
      <w:tblPr>
        <w:tblLayout w:type="fixed"/>
        <w:tblInd w:w="5920" w:type="dxa"/>
        <w:tblCellMar>
          <w:top w:w="0" w:type="dxa"/>
          <w:left w:w="0" w:type="dxa"/>
          <w:bottom w:w="0" w:type="dxa"/>
          <w:right w:w="0" w:type="dxa"/>
        </w:tblCellMar>
      </w:tblPr>
      <w:tr>
        <w:trPr>
          <w:trHeight w:val="172"/>
        </w:trPr>
        <w:tc>
          <w:tcPr>
            <w:tcW w:w="200" w:type="dxa"/>
            <w:vAlign w:val="bottom"/>
          </w:tcPr>
          <w:p>
            <w:pPr>
              <w:spacing w:after="0"/>
              <w:rPr>
                <w:sz w:val="14"/>
                <w:szCs w:val="14"/>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investment adviser</w:t>
            </w:r>
          </w:p>
        </w:tc>
      </w:tr>
      <w:tr>
        <w:trPr>
          <w:trHeight w:val="288"/>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w w:val="95"/>
              </w:rPr>
              <w:t>By:</w:t>
            </w:r>
          </w:p>
        </w:tc>
        <w:tc>
          <w:tcPr>
            <w:tcW w:w="380" w:type="dxa"/>
            <w:vAlign w:val="bottom"/>
          </w:tcPr>
          <w:p>
            <w:pPr>
              <w:spacing w:after="0"/>
              <w:rPr>
                <w:sz w:val="24"/>
                <w:szCs w:val="24"/>
                <w:color w:val="auto"/>
              </w:rPr>
            </w:pP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Brian C. Miley</w:t>
            </w:r>
          </w:p>
        </w:tc>
      </w:tr>
      <w:tr>
        <w:trPr>
          <w:trHeight w:val="127"/>
        </w:trPr>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6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Name: Brian C. Miley</w:t>
            </w:r>
          </w:p>
        </w:tc>
      </w:tr>
      <w:tr>
        <w:trPr>
          <w:trHeight w:val="172"/>
        </w:trPr>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3"/>
                <w:szCs w:val="13"/>
                <w:color w:val="auto"/>
              </w:rPr>
              <w:t>Title: Chief Financial Officer</w:t>
            </w:r>
          </w:p>
        </w:tc>
      </w:tr>
      <w:tr>
        <w:trPr>
          <w:trHeight w:val="608"/>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w w:val="95"/>
              </w:rPr>
              <w:t>By:</w:t>
            </w:r>
          </w:p>
        </w:tc>
        <w:tc>
          <w:tcPr>
            <w:tcW w:w="380" w:type="dxa"/>
            <w:vAlign w:val="bottom"/>
          </w:tcPr>
          <w:p>
            <w:pPr>
              <w:spacing w:after="0"/>
              <w:rPr>
                <w:sz w:val="24"/>
                <w:szCs w:val="24"/>
                <w:color w:val="auto"/>
              </w:rPr>
            </w:pP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Colin McNay</w:t>
            </w:r>
          </w:p>
        </w:tc>
      </w:tr>
      <w:tr>
        <w:trPr>
          <w:trHeight w:val="161"/>
        </w:trPr>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3"/>
                <w:szCs w:val="13"/>
                <w:color w:val="auto"/>
              </w:rPr>
              <w:t>Name: Colin McNay, in his individual capacity</w:t>
            </w:r>
          </w:p>
        </w:tc>
      </w:tr>
    </w:tbl>
    <w:p>
      <w:pPr>
        <w:spacing w:after="0" w:line="1" w:lineRule="exact"/>
        <w:rPr>
          <w:sz w:val="20"/>
          <w:szCs w:val="20"/>
          <w:color w:val="auto"/>
        </w:rPr>
      </w:pPr>
    </w:p>
    <w:sectPr>
      <w:pgSz w:w="11900" w:h="16838" w:orient="portrait"/>
      <w:cols w:equalWidth="0" w:num="1">
        <w:col w:w="11360"/>
      </w:cols>
      <w:pgMar w:left="300" w:top="2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2026-01-26T13:03:06Z</dcterms:created>
  <dcterms:modified xsi:type="dcterms:W3CDTF">2026-01-26T13:03:06Z</dcterms:modified>
</cp:coreProperties>
</file>