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6, 2022.</w:t>
      </w:r>
    </w:p>
    <w:p>
      <w:pPr>
        <w:spacing w:after="0" w:line="28"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9" w:lineRule="exact"/>
        <w:rPr>
          <w:sz w:val="24"/>
          <w:szCs w:val="24"/>
          <w:color w:val="auto"/>
        </w:rPr>
      </w:pPr>
    </w:p>
    <w:tbl>
      <w:tblPr>
        <w:tblLayout w:type="fixed"/>
        <w:tblInd w:w="2080" w:type="dxa"/>
        <w:tblCellMar>
          <w:top w:w="0" w:type="dxa"/>
          <w:left w:w="0" w:type="dxa"/>
          <w:bottom w:w="0" w:type="dxa"/>
          <w:right w:w="0" w:type="dxa"/>
        </w:tblCellMar>
      </w:tblPr>
      <w:tr>
        <w:trPr>
          <w:trHeight w:val="198"/>
        </w:trPr>
        <w:tc>
          <w:tcPr>
            <w:tcW w:w="3700" w:type="dxa"/>
            <w:vAlign w:val="bottom"/>
          </w:tcPr>
          <w:p>
            <w:pPr>
              <w:jc w:val="center"/>
              <w:ind w:right="199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00" w:type="dxa"/>
            <w:vAlign w:val="bottom"/>
          </w:tcPr>
          <w:p>
            <w:pPr>
              <w:jc w:val="center"/>
              <w:ind w:left="1991"/>
              <w:spacing w:after="0"/>
              <w:rPr>
                <w:sz w:val="20"/>
                <w:szCs w:val="20"/>
                <w:color w:val="auto"/>
              </w:rPr>
            </w:pPr>
            <w:r>
              <w:rPr>
                <w:rFonts w:ascii="Times New Roman" w:cs="Times New Roman" w:eastAsia="Times New Roman" w:hAnsi="Times New Roman"/>
                <w:sz w:val="16"/>
                <w:szCs w:val="16"/>
                <w:b w:val="1"/>
                <w:bCs w:val="1"/>
                <w:color w:val="auto"/>
              </w:rPr>
              <w:t>20-3986492</w:t>
            </w:r>
          </w:p>
        </w:tc>
      </w:tr>
      <w:tr>
        <w:trPr>
          <w:trHeight w:val="135"/>
        </w:trPr>
        <w:tc>
          <w:tcPr>
            <w:tcW w:w="3700" w:type="dxa"/>
            <w:vAlign w:val="bottom"/>
          </w:tcPr>
          <w:p>
            <w:pPr>
              <w:jc w:val="center"/>
              <w:ind w:right="199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1"/>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Biodesix, Inc.</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2970 Wilderness Place, Suite 100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Boulder, Colorado 80301</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(303) 417-0500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Scott Hutton</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Biodesix,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2970 Wilderness Place, Suite 100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Boulder, Colorado 80301</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(303) 417-0500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Frank F. Rahmani, Esq.</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Samir A. Gandhi, Esq.</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Sidley Austin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555 California Street, Suite 2000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San Francisco, California 94104</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(415) 772-1200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Facsimile: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this registration statement becomes effective.</w:t>
      </w:r>
    </w:p>
    <w:p>
      <w:pPr>
        <w:spacing w:after="0" w:line="49"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9" w:lineRule="exact"/>
        <w:rPr>
          <w:sz w:val="24"/>
          <w:szCs w:val="24"/>
          <w:color w:val="auto"/>
        </w:rPr>
      </w:pPr>
    </w:p>
    <w:p>
      <w:pPr>
        <w:ind w:left="120" w:right="3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2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 w:lineRule="exact"/>
        <w:rPr>
          <w:sz w:val="24"/>
          <w:szCs w:val="24"/>
          <w:color w:val="auto"/>
        </w:rPr>
      </w:pPr>
    </w:p>
    <w:p>
      <w:pPr>
        <w:ind w:left="120" w:right="3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104140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5" w:lineRule="exact"/>
        <w:rPr>
          <w:sz w:val="24"/>
          <w:szCs w:val="24"/>
          <w:color w:val="auto"/>
        </w:rPr>
      </w:pPr>
    </w:p>
    <w:p>
      <w:pPr>
        <w:jc w:val="both"/>
        <w:ind w:left="1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6" w:right="45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selling stockholders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June 6,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173990</wp:posOffset>
            </wp:positionV>
            <wp:extent cx="192024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2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5"/>
          <w:szCs w:val="25"/>
          <w:b w:val="1"/>
          <w:bCs w:val="1"/>
          <w:color w:val="auto"/>
        </w:rPr>
        <w:t>2,877,092 Shares of Common Stock</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in this prospectus of up to an aggregate of 2,877,092 shares of our common stock, par value $0.001 per share. We are not selling any common stock under this prospectus and will not receive any of the proceeds from the sale or other disposition of common stock by the selling stockholders.</w:t>
      </w:r>
    </w:p>
    <w:p>
      <w:pPr>
        <w:spacing w:after="0" w:line="135"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Each time the selling stockholders offer and sell securities, we or such selling stockholders will provide a supplement to this prospectus that contains specific information about the terms of that offering and the common stock being sold in that offering. The applicable prospectus supplement may also add, update or change information contained in this prospectus. If the information varies between this prospectus and the accompanying prospectus supplement, you should rely on the information in the prospectus supplement. You should carefully read this prospectus and any prospectus supplement accompanying this prospectus, together with any documents incorporated by reference herein or therein, before you invest in our common stock.</w:t>
      </w:r>
    </w:p>
    <w:p>
      <w:pPr>
        <w:spacing w:after="0" w:line="14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the common stock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common stock hereunder.</w:t>
      </w:r>
    </w:p>
    <w:p>
      <w:pPr>
        <w:spacing w:after="0" w:line="143"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The selling stockholders may sell any, all or none of the securities offered by this prospectus and we do not know when or in what amount the selling stockholders may sell their common stock hereunder following the effective date of the registration statement of which this prospectus forms a part.</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accompanied by the applicable prospectus supplement.</w:t>
      </w:r>
    </w:p>
    <w:p>
      <w:pPr>
        <w:spacing w:after="0" w:line="20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 On June 3, 2022, the last reported sale price of our common stock was $1.45.</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2" w:lineRule="exact"/>
        <w:rPr>
          <w:sz w:val="20"/>
          <w:szCs w:val="20"/>
          <w:color w:val="auto"/>
        </w:rPr>
      </w:pPr>
    </w:p>
    <w:p>
      <w:pPr>
        <w:ind w:left="120" w:right="3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2 of this prospectus</w:t>
      </w:r>
      <w:r>
        <w:rPr>
          <w:rFonts w:ascii="Times New Roman" w:cs="Times New Roman" w:eastAsia="Times New Roman" w:hAnsi="Times New Roman"/>
          <w:sz w:val="22"/>
          <w:szCs w:val="22"/>
          <w:b w:val="1"/>
          <w:bCs w:val="1"/>
          <w:i w:val="1"/>
          <w:iCs w:val="1"/>
          <w:color w:val="auto"/>
        </w:rPr>
        <w:t>.</w:t>
      </w:r>
    </w:p>
    <w:p>
      <w:pPr>
        <w:spacing w:after="0" w:line="28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9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The date of this prospectus is</w:t>
      </w:r>
      <w:r>
        <w:rPr>
          <w:sz w:val="20"/>
          <w:szCs w:val="20"/>
          <w:color w:val="auto"/>
        </w:rPr>
        <w:tab/>
      </w:r>
      <w:r>
        <w:rPr>
          <w:rFonts w:ascii="Times New Roman" w:cs="Times New Roman" w:eastAsia="Times New Roman" w:hAnsi="Times New Roman"/>
          <w:sz w:val="17"/>
          <w:szCs w:val="17"/>
          <w:b w:val="1"/>
          <w:bCs w:val="1"/>
          <w:color w:val="auto"/>
        </w:rPr>
        <w:t>, 2022</w:t>
      </w:r>
    </w:p>
    <w:p>
      <w:pPr>
        <w:sectPr>
          <w:pgSz w:w="11900" w:h="16838" w:orient="portrait"/>
          <w:cols w:equalWidth="0" w:num="1">
            <w:col w:w="11100"/>
          </w:cols>
          <w:pgMar w:left="320" w:top="455" w:right="4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9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800" w:type="dxa"/>
            <w:vAlign w:val="bottom"/>
            <w:gridSpan w:val="3"/>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BIODESIX, INC.</w:t>
            </w:r>
          </w:p>
        </w:tc>
        <w:tc>
          <w:tcPr>
            <w:tcW w:w="1100" w:type="dxa"/>
            <w:vAlign w:val="bottom"/>
            <w:gridSpan w:val="2"/>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440" w:type="dxa"/>
            <w:vAlign w:val="bottom"/>
            <w:gridSpan w:val="6"/>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22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820" w:type="dxa"/>
            <w:vAlign w:val="bottom"/>
            <w:gridSpan w:val="4"/>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1980" w:type="dxa"/>
            <w:vAlign w:val="bottom"/>
            <w:gridSpan w:val="5"/>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3800" w:type="dxa"/>
            <w:vAlign w:val="bottom"/>
            <w:gridSpan w:val="1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the selling stockholders to be named in a supplement to this prospectus may, from time to time, sell up to 2,877,092 shares of our common stock in one or more offerings as described in this prospectus.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time we or the selling stockholders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The selling stockholders are not making an offer to sell the securities in any jurisdiction where the offer or sale is not permitted.</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the common stock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“Plan of Distribution”.</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any, all or none of the securities offered by this prospectus and we do not know when or in what amount the selling stockholders may sell their common stock hereunder following the effective date of the registration statement of which this prospectus forms a part.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terms “Biodesix,” the “Company,” “our,” “us” and “we,” as used in this prospectus, refer to Biodesix, Inc., unless we state otherwise or the context indicates otherwise.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specific risks discussed or incorporated by reference into the applicable prospectus supplement, together with all the other information contained in the prospectus or incorporated by reference into this prospectus and the applicable prospectus supplement. You should also consider the risks, uncertainties and assumptions discussed under the caption “Risk Factors” included in our Annual Report on Form 10-K for the year ended December 31, 2021 and in our Quarterly Reports on Form 10-Q for the periods ended March 31, 2022,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 occurrence of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w:t>
      </w: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93" w:lineRule="exact"/>
        <w:rPr>
          <w:sz w:val="20"/>
          <w:szCs w:val="20"/>
          <w:color w:val="auto"/>
        </w:rPr>
      </w:pPr>
    </w:p>
    <w:p>
      <w:pPr>
        <w:ind w:left="1080" w:hanging="424"/>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Biodesix WorkSafe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testing program and our ability to meet such demand;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contract manufacturers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including the COVID-19 pandemic, negatively impacting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 and warehousing providers;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320" w:top="455" w:right="5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55"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five blood-based lung cancer tests across the lung cancer continuum of care:</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31" w:lineRule="exact"/>
        <w:rPr>
          <w:sz w:val="20"/>
          <w:szCs w:val="20"/>
          <w:color w:val="auto"/>
        </w:rPr>
      </w:pPr>
    </w:p>
    <w:p>
      <w:pPr>
        <w:ind w:left="1080" w:right="80" w:hanging="424"/>
        <w:spacing w:after="0" w:line="26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XL2</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Nodify 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our Nodify Lung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Nodule Risk Assessment testing strategy, assess the risk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31" w:lineRule="exact"/>
        <w:rPr>
          <w:sz w:val="20"/>
          <w:szCs w:val="20"/>
          <w:color w:val="auto"/>
        </w:rPr>
      </w:pPr>
    </w:p>
    <w:p>
      <w:pPr>
        <w:ind w:left="1080" w:right="16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 ddPCR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part of our new IQLung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strategy, are used following diagnosis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measure the presence of mutations in the tumor and the state of the patient’s immune system to establish the patient’s prognosis and help guide treatment decisions. The GeneStrat ddPCR tumor profiling test and the VeriStrat immune profiling test have a 36-hour average turnaround time, providing physicians with timely results to facilitate treatment decisions.</w:t>
      </w:r>
    </w:p>
    <w:p>
      <w:pPr>
        <w:spacing w:after="0" w:line="84" w:lineRule="exact"/>
        <w:rPr>
          <w:rFonts w:ascii="Times New Roman" w:cs="Times New Roman" w:eastAsia="Times New Roman" w:hAnsi="Times New Roman"/>
          <w:sz w:val="18"/>
          <w:szCs w:val="18"/>
          <w:color w:val="auto"/>
        </w:rPr>
      </w:pPr>
    </w:p>
    <w:p>
      <w:pPr>
        <w:ind w:left="1080" w:right="160" w:hanging="424"/>
        <w:spacing w:after="0" w:line="259"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 NGS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(NGS) </w:t>
      </w:r>
      <w:r>
        <w:rPr>
          <w:rFonts w:ascii="Times New Roman" w:cs="Times New Roman" w:eastAsia="Times New Roman" w:hAnsi="Times New Roman"/>
          <w:sz w:val="18"/>
          <w:szCs w:val="18"/>
          <w:color w:val="auto"/>
        </w:rPr>
        <w:t>test, also marketed as part of our new IQLung testing strategy, our 72-hour blood-based NGS test, was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November 2021 to a select group of physicians, with national launch in January 2022. The 52-gene panel includes guideline recommended mutations to help physicians treating advanced-stage lung cancer patients identify targeted therapy mutations, such as EGFR, ALK, KRAS, MET, NTRK, ERBB2, and others, and delivers them in an expedited timeframe so patient treatment can begin sooner.</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COVID-19 Tests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and have commercialized the Biodesix WorkSafe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testing program, under which the Company offers three SARS-CoV-2 tests:</w:t>
      </w:r>
    </w:p>
    <w:p>
      <w:pPr>
        <w:spacing w:after="0" w:line="129" w:lineRule="exact"/>
        <w:rPr>
          <w:sz w:val="20"/>
          <w:szCs w:val="20"/>
          <w:color w:val="auto"/>
        </w:rPr>
      </w:pPr>
    </w:p>
    <w:p>
      <w:pPr>
        <w:ind w:left="1080" w:right="320" w:hanging="424"/>
        <w:spacing w:after="0" w:line="26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Bio-Rad SARS-CoV-2 ddPCR </w:t>
      </w:r>
      <w:r>
        <w:rPr>
          <w:rFonts w:ascii="Times New Roman" w:cs="Times New Roman" w:eastAsia="Times New Roman" w:hAnsi="Times New Roman"/>
          <w:sz w:val="18"/>
          <w:szCs w:val="18"/>
          <w:color w:val="auto"/>
        </w:rPr>
        <w:t>test, which is FD EUA authorized to be performed by Clinical Laboratory Institute Amendments (CLIA)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laboratories that perform high complexity tests. The ddPCR test is designed to detect the presence of infection by the SARS-CoV-2 virus.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240" w:hanging="424"/>
        <w:spacing w:after="0" w:line="28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Platelia SARS-CoV-2 Total Ab </w:t>
      </w:r>
      <w:r>
        <w:rPr>
          <w:rFonts w:ascii="Times New Roman" w:cs="Times New Roman" w:eastAsia="Times New Roman" w:hAnsi="Times New Roman"/>
          <w:sz w:val="18"/>
          <w:szCs w:val="18"/>
          <w:color w:val="auto"/>
        </w:rPr>
        <w:t>test, which is an antibody test, FDA EUA authorized, intended for detecting a B-cell immune response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SARS-CoV-2, indicating recent or prior infection.</w:t>
      </w:r>
    </w:p>
    <w:p>
      <w:pPr>
        <w:spacing w:after="0" w:line="62"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cPass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SARS-CoV-2 Neutralization Antibody </w:t>
      </w:r>
      <w:r>
        <w:rPr>
          <w:rFonts w:ascii="Times New Roman" w:cs="Times New Roman" w:eastAsia="Times New Roman" w:hAnsi="Times New Roman"/>
          <w:sz w:val="18"/>
          <w:szCs w:val="18"/>
          <w:color w:val="auto"/>
        </w:rPr>
        <w:t>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the first blood-based surrogate neutralizing antibody test with FDA EUA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uses ELISA technology to qualitatively detect circulating neutralizing antibodies to the receptor binding domain (RBD) in the spike protein of SARS-CoV-2 that are produced in response to vaccination or a previous SARS-CoV-2 infection. This test was commercially introduced in partnership with GenScript Biotech Corporation.</w:t>
      </w:r>
    </w:p>
    <w:p>
      <w:pPr>
        <w:spacing w:after="0" w:line="17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9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7" w:lineRule="exact"/>
        <w:rPr>
          <w:sz w:val="20"/>
          <w:szCs w:val="20"/>
          <w:color w:val="auto"/>
        </w:rPr>
      </w:pPr>
    </w:p>
    <w:p>
      <w:pPr>
        <w:ind w:left="120" w:right="840" w:firstLine="44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w:t>
      </w: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79"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Additionally, we are a “smaller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things, providing only two years of audited financial statements. We will remain a smaller reporting company until the last day of the fiscal year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which (i) the market value of our common stock held by non-affiliates exceeds $250 million as of the end of that year’s second fiscal quarter, or (ii) our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revenues exceeded $100 million during such completed fiscal year and the market value of our common stock held by non-affiliates exceeds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$700 million as of the end of that year’s second fiscal quarter. To the extent we take advantage of such reduced disclosure obligations, it may also make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comparison of our financial statements with other public companies difficult or impossible.</w:t>
      </w:r>
    </w:p>
    <w:p>
      <w:pPr>
        <w:spacing w:after="0" w:line="20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certain risks related to our status as an emerging growth company, see “Risk Factors—Risks Related to our Common Stock and this Offering —We are an “emerging growth company” and a “smaller reporting company,” and the reduced disclosure requirements applicable to emerging growth companies and smaller reporting companies may make our common stock less attractive to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4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securities.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our common stock by the selling stockholders. Any proceeds from the sale by the selling stockholders of the common stock offered by this prospectus will be received by the selling stockholders. See “Selling Stockholders.”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5"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April 7, 2022, we entered into subscription agreements with a consortium of investors, including three members of our Board of Directors and other existing stockholders of the Company (the “Subscription Agreements”), pursuant to which we sold an aggregate of 6,508,376 shares of common stock in a private placement for aggregate gross proceeds of approximately $11.7 million.</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Pursuant to certain of the Subscription Agreements, we are obligated to register outstanding registrable securities held by stockholders party thereto. In accordance with this obligation, this prospectus covers the resale or other dispositions from time to time by the selling stockholders in the table below of up to an aggregate of 2,877,092 shares of common stock.</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beneficially owned by the selling stockholders, the number of shares of common stock that may be offered under this prospectus and the number of shares of common stock owned by the selling stockholders assuming all of the shares covered hereby are sold and assuming the conditions noted in the footnotes thereto. The number of shares beneficially owned by each selling stockholder is determined under rules issued by the SEC. Under these rules, beneficial ownership includes any shares over which a selling stockholder has sole or shared voting power or investment power. In computing the beneficial ownership and percentage ownership of each selling stockholder, common stock subject to options held by such stockholder that are currently exercisable or will become exercisable within 60 days following June 3, 2022 are considered outstanding, although these shares are not considered outstanding for purposes of computing the percentage ownership of any other selling stockholder. Percentage ownership is based on 39,895,207 shares of common stock outstanding as of June 3, 2022. The number of shares of common stock in the column “Number of Shares Being Offered Hereby (Maximum Number) That May Be Sold” represents all of the shares of common stock that the selling stockholders may offer hereunder. The selling stockholders may sell some, all or none of the shares of common stock that may be offered hereunder. We do not know when the shares of common stock will be sold by the selling stockholders, and the selling stockholders may offer the shares of common stock from time to time.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Dr. Matthew Strobeck, Ph.D., is Managing Partner of Birchview Capital, LP and has served on our Board of Directors since January 2012.</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known to us at June 3, 2022. Unless otherwise indicated, the address for each beneficial owner listed in the table below is c/o Biodesix, Inc., 2970 Wilderness Place, Suite 100, Boulder, Colorado 80301.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00" w:type="dxa"/>
            <w:vAlign w:val="bottom"/>
            <w:gridSpan w:val="2"/>
          </w:tcPr>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00" w:type="dxa"/>
            <w:vAlign w:val="bottom"/>
            <w:gridSpan w:val="2"/>
            <w:vMerge w:val="restart"/>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Being Offered</w:t>
            </w:r>
          </w:p>
        </w:tc>
        <w:tc>
          <w:tcPr>
            <w:tcW w:w="19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Hereby (Maximum</w:t>
            </w:r>
          </w:p>
        </w:tc>
        <w:tc>
          <w:tcPr>
            <w:tcW w:w="19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the Sale of the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Ownership Prior to</w:t>
            </w:r>
          </w:p>
        </w:tc>
        <w:tc>
          <w:tcPr>
            <w:tcW w:w="17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Number) That</w:t>
            </w:r>
          </w:p>
        </w:tc>
        <w:tc>
          <w:tcPr>
            <w:tcW w:w="1300" w:type="dxa"/>
            <w:vAlign w:val="bottom"/>
            <w:gridSpan w:val="2"/>
          </w:tcPr>
          <w:p>
            <w:pPr>
              <w:jc w:val="cente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w:t>
            </w:r>
          </w:p>
        </w:tc>
        <w:tc>
          <w:tcPr>
            <w:tcW w:w="1300" w:type="dxa"/>
            <w:vAlign w:val="bottom"/>
            <w:gridSpan w:val="2"/>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May Be Sold</w:t>
            </w:r>
          </w:p>
        </w:tc>
        <w:tc>
          <w:tcPr>
            <w:tcW w:w="19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28"/>
        </w:trPr>
        <w:tc>
          <w:tcPr>
            <w:tcW w:w="5080" w:type="dxa"/>
            <w:vAlign w:val="bottom"/>
            <w:gridSpan w:val="2"/>
            <w:vMerge w:val="continue"/>
          </w:tcPr>
          <w:p>
            <w:pPr>
              <w:spacing w:after="0"/>
              <w:rPr>
                <w:sz w:val="11"/>
                <w:szCs w:val="11"/>
                <w:color w:val="auto"/>
              </w:rPr>
            </w:pPr>
          </w:p>
        </w:tc>
        <w:tc>
          <w:tcPr>
            <w:tcW w:w="1300" w:type="dxa"/>
            <w:vAlign w:val="bottom"/>
            <w:tcBorders>
              <w:top w:val="single" w:sz="8" w:color="auto"/>
            </w:tcBorders>
            <w:gridSpan w:val="2"/>
          </w:tcPr>
          <w:p>
            <w:pPr>
              <w:jc w:val="right"/>
              <w:ind w:right="564"/>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tcBorders>
              <w:top w:val="single" w:sz="8" w:color="auto"/>
            </w:tcBorders>
            <w:gridSpan w:val="2"/>
          </w:tcPr>
          <w:p>
            <w:pPr>
              <w:jc w:val="right"/>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Lawrence T. Kennedy, Jr.</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2,561,192</w:t>
            </w:r>
          </w:p>
        </w:tc>
        <w:tc>
          <w:tcPr>
            <w:tcW w:w="520" w:type="dxa"/>
            <w:vAlign w:val="bottom"/>
            <w:shd w:val="clear" w:color="auto" w:fill="CCEEFF"/>
          </w:tcPr>
          <w:p>
            <w:pPr>
              <w:jc w:val="center"/>
              <w:ind w:right="264"/>
              <w:spacing w:after="0"/>
              <w:rPr>
                <w:sz w:val="20"/>
                <w:szCs w:val="20"/>
                <w:color w:val="auto"/>
              </w:rPr>
            </w:pPr>
            <w:r>
              <w:rPr>
                <w:rFonts w:ascii="Times New Roman" w:cs="Times New Roman" w:eastAsia="Times New Roman" w:hAnsi="Times New Roman"/>
                <w:sz w:val="15"/>
                <w:szCs w:val="15"/>
                <w:color w:val="auto"/>
              </w:rPr>
              <w:t>(1)</w:t>
            </w:r>
          </w:p>
        </w:tc>
        <w:tc>
          <w:tcPr>
            <w:tcW w:w="96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70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1,396,647</w:t>
            </w:r>
            <w:r>
              <w:rPr>
                <w:rFonts w:ascii="Times New Roman" w:cs="Times New Roman" w:eastAsia="Times New Roman" w:hAnsi="Times New Roman"/>
                <w:sz w:val="15"/>
                <w:szCs w:val="15"/>
                <w:color w:val="auto"/>
              </w:rPr>
              <w:t>(2)</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3,957,839</w:t>
            </w:r>
          </w:p>
        </w:tc>
        <w:tc>
          <w:tcPr>
            <w:tcW w:w="5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Manlia Limited</w:t>
            </w:r>
          </w:p>
        </w:tc>
        <w:tc>
          <w:tcPr>
            <w:tcW w:w="130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color w:val="auto"/>
              </w:rPr>
              <w:t>1,999,193</w:t>
            </w:r>
            <w:r>
              <w:rPr>
                <w:rFonts w:ascii="Times New Roman" w:cs="Times New Roman" w:eastAsia="Times New Roman" w:hAnsi="Times New Roman"/>
                <w:sz w:val="15"/>
                <w:szCs w:val="15"/>
                <w:color w:val="auto"/>
              </w:rPr>
              <w:t>(3)</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418,994</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2,418,187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Omnivest Bermuda LTD</w:t>
            </w:r>
            <w:r>
              <w:rPr>
                <w:rFonts w:ascii="Times New Roman" w:cs="Times New Roman" w:eastAsia="Times New Roman" w:hAnsi="Times New Roman"/>
                <w:sz w:val="15"/>
                <w:szCs w:val="15"/>
                <w:color w:val="auto"/>
              </w:rPr>
              <w:t>(4)</w:t>
            </w:r>
          </w:p>
        </w:tc>
        <w:tc>
          <w:tcPr>
            <w:tcW w:w="1300" w:type="dxa"/>
            <w:vAlign w:val="bottom"/>
            <w:gridSpan w:val="2"/>
            <w:shd w:val="clear" w:color="auto" w:fill="CCEEFF"/>
          </w:tcPr>
          <w:p>
            <w:pPr>
              <w:jc w:val="right"/>
              <w:ind w:right="444"/>
              <w:spacing w:after="0"/>
              <w:rPr>
                <w:sz w:val="20"/>
                <w:szCs w:val="20"/>
                <w:color w:val="auto"/>
              </w:rPr>
            </w:pPr>
            <w:r>
              <w:rPr>
                <w:rFonts w:ascii="Times New Roman" w:cs="Times New Roman" w:eastAsia="Times New Roman" w:hAnsi="Times New Roman"/>
                <w:sz w:val="18"/>
                <w:szCs w:val="18"/>
                <w:color w:val="auto"/>
              </w:rPr>
              <w:t>584,014</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223,463</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807,477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Giles Family 2015 Trust</w:t>
            </w:r>
            <w:r>
              <w:rPr>
                <w:rFonts w:ascii="Times New Roman" w:cs="Times New Roman" w:eastAsia="Times New Roman" w:hAnsi="Times New Roman"/>
                <w:sz w:val="15"/>
                <w:szCs w:val="15"/>
                <w:color w:val="auto"/>
              </w:rPr>
              <w:t>(5)</w:t>
            </w:r>
          </w:p>
        </w:tc>
        <w:tc>
          <w:tcPr>
            <w:tcW w:w="130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205,605</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279,329</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484,934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Birchview Capital, LP</w:t>
            </w:r>
          </w:p>
        </w:tc>
        <w:tc>
          <w:tcPr>
            <w:tcW w:w="13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1,284,514</w:t>
            </w:r>
            <w:r>
              <w:rPr>
                <w:rFonts w:ascii="Times New Roman" w:cs="Times New Roman" w:eastAsia="Times New Roman" w:hAnsi="Times New Roman"/>
                <w:sz w:val="15"/>
                <w:szCs w:val="15"/>
                <w:color w:val="auto"/>
              </w:rPr>
              <w:t>(6)</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558,659</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2,401,832</w:t>
            </w:r>
            <w:r>
              <w:rPr>
                <w:rFonts w:ascii="Times New Roman" w:cs="Times New Roman" w:eastAsia="Times New Roman" w:hAnsi="Times New Roman"/>
                <w:sz w:val="15"/>
                <w:szCs w:val="15"/>
                <w:color w:val="auto"/>
              </w:rPr>
              <w:t>(7)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100" w:hanging="424"/>
        <w:spacing w:after="0" w:line="26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1,624,961 shares of common stock held by Lair BDSX GRAT 2022-3.2, (b) 769,565 shares of common stock held by Lawrence T. Kennedy, Jr. Perpetuity Trust UAD 6/30/16 and (c) 166,666 shares of common stock held by KFDI-B LLC.</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60" w:hanging="424"/>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418,994 shares of common stock purchased by Lawrence T. Kennedy, Jr. Revocable Trust UAD 6/19/2001, and as amended from time to time and (b) 977,653 shares of common stock purchased by Lawrence T. Kennedy, Jr. Perpetuity Trust UAD 6/30/16.</w:t>
      </w:r>
    </w:p>
    <w:p>
      <w:pPr>
        <w:ind w:left="540" w:right="38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70,314 shares of common stock issuable upon the exercise of options held by Robert Cawthorn that are vested and exercisable within 60 days of June 3, 2022 and (b) 1,928,879 shares of common stock held by Manlia Limited.</w:t>
      </w: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Omnivest Bermuda LTD is c/o Omnivest Group LLC, 344 Nassau Street, Suite 101, Princeton, New Jersey 08540.</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24,188 shares of common stock held by the Giles Family 2015 Trust, (b) 129,787 shares of common stock held by the Edward M. Giles Revocable Trust and (c) 51,630 shares of common stock held by the Mary Patricia Venable Giles Trust. The address of Giles Family 2015 Trust is 550 Park Street, Upper Montclair, New Jersey 07043.</w:t>
      </w:r>
    </w:p>
    <w:p>
      <w:pPr>
        <w:spacing w:after="0" w:line="1"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211,200 shares of common stock held by Birchview Fund, LLC. Dr. Matthew Strobeck beneficially owns (a) 11,717 shares of common stock issuable upon the exercise of options held that are vested and exercisable within 60 days of June 3, 2022, (b) 986,927 shares of common stock held by Matthew Strobeck, (c) 40,665 shares of common stock held by Clajer Capital LLC, (d) 14,072 shares of common stock held by the minor children of Dr. Matthew Strobeck and (e) 19,933 shares of common stock held by a Birchview Capital, LP separately managed account.</w:t>
      </w:r>
    </w:p>
    <w:p>
      <w:pPr>
        <w:ind w:left="540" w:right="400" w:hanging="424"/>
        <w:spacing w:after="0" w:line="26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of 558,659 shares of common stock by Dr. Matthew Strobeck pursuant to a subscription agreement without registration rights.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stockholders may, from time to time, sell, transfer or otherwise dispose of any or all of their common stock on any stock exchange, market or trading facility on which our common stock is traded or in private transactions. These dispositions may be at fixed prices, at prevailing market prices at the time of sale, at prices related to the prevailing market price, at varying prices determined at the time of sale, or at negotiated prices. To the extent any of the selling stockholders gift, pledge, grant a security interest in, distribute or otherwise transfer their common stock, such donees, pledgees, transferees or other successors-in-interest may offer and sell the common stock from time to time under this prospectus, provided that this prospectus has been amended under applicable provision of the Securities Act to include the names of such donees, pledgees, transferees or other successors-in-interest as selling stockholders under this prospectus and such other information as may be necessary or required.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their common stock:</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after the effective date of the registration statement of which this prospectus is a part;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stockholders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that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their common stock, the selling stockholders may enter into hedging transactions with broker-dealers or other financial institutions, who may in turn engage in short sales of the shares of common stock in the course of hedging the positions they assume. The selling stockholders may also sell their shares of common stock short and deliver these shares to close out their short positions, or loan or pledge their shares common stock to broker dealers that in turn may sell these shares. The selling stockholders may also enter into options or other transactions with broker-dealers or other financial institutions or the creation of one or more derivative securities which require the delivery to such broker-dealer or other financial institution of their common stock, which, subject to the amendment or supplement of this prospectus or the registration statement of which this prospectus forms a part to reflect such transaction and any other information necessary or required, such broker-dealer or other financial institution may resell pursuant to this registration statement.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their common stock will be the purchase price less discounts or commissions, if any. Each of the selling stockholders reserves the right to accept and, together with their agents from time to time, to reject, in whole or in part, any proposed purchase of its common stock to be made directly or through agents. We will not receive any of the proceeds from the sale of the common stock by the selling stockholders.</w:t>
      </w:r>
    </w:p>
    <w:p>
      <w:pPr>
        <w:spacing w:after="0" w:line="180"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their common stock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selling stockholders and any broker-dealers that act in connection with the sale of the common stock may be deemed to be “underwriters” within the meaning of Section 2(11) of the Securities Act in connection with such sales, and any commissions received by such broker-dealers and any profit on the resale of the securities sold by them while acting as principals may be deemed to be underwriting discounts or commissions under the Securities Act. In the event that any selling stockholder is deemed to be an “underwriter” within the meaning of Section 2(11) of the Securities Act, the selling stockholder will be subject to the prospectus delivery requirements of the Securities Act. The selling stockholders may indemnify any broker-dealer that participates in transactions involving the sale of the common stock against certain liabilities, including liabilities arising under the Securities Act. To the extent required, the shares of common stock to be sold, the names of the selling stockholders, the offering price, the names of any agents, dealers or underwriters, any commissions or discounts with respect to a particular offering, the method of distribution, and any other terms and conditions of the offering of such shares of common stock will be set forth in an accompanying prospectus supplement or, if appropriate, an amendment to the registration statement of which this prospectus forms a part.</w:t>
      </w:r>
    </w:p>
    <w:p>
      <w:pPr>
        <w:spacing w:after="0" w:line="19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common stock may be sold in these jurisdictions only through registered or licensed brokers or dealers. In addition, in some states the shares of common stock may not be sold unless they have been registered or qualified for sale or an exemption from registration or qualification requirements is available and is complied with.</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anti-manipulation rules of Regulation M under the Exchange Act may apply to sales of the common stock in the market and to the activities of the selling stockholders and their affiliates. These rules may limit the timing of purchases and sales of the common stock by such selling stockholders. Regulation M may also restrict the ability of any person engaged in the distribution of the shares of common stock to engage in market-making activities with respect to the shares. All of the foregoing may affect the marketability of the common stock and the ability of any person or entity to engage in market-making activities with respect to the common stock.</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Agreements, we have agreed to bear all expenses in connection with the registration of the share of common stock by the selling stockholders. The selling stockholders have agreed to bear all underwriting discounts, selling commissions, and share transfer taxes applicable to the sale of such shares of common stock. We have also agreed to indemnify the selling stockholders against certain liabilities, including liabilities for violations of the Securities Act, Exchange Act and state securities laws and liabilities relating to this prospectus and the registration statement of which it forms a part, including amendments and supplements.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their shares of common stock.</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Sidley Austin LLP.</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2021 and 2020,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w:t>
      </w:r>
    </w:p>
    <w:p>
      <w:pPr>
        <w:spacing w:after="0" w:line="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No. 001-39659), other than information in such documents that is deemed to be furnished and not filed. These documents contain important information about us and our business and financial condition.</w:t>
      </w:r>
    </w:p>
    <w:p>
      <w:pPr>
        <w:spacing w:after="0" w:line="208"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14,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4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March 31, 2022, filed with the SEC on May 11, 2022;</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11,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May 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4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March 31, 2022; and</w:t>
      </w:r>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3">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October 26, 2020.</w:t>
      </w:r>
    </w:p>
    <w:p>
      <w:pPr>
        <w:spacing w:after="0" w:line="225"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spacing w:after="0" w:line="1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Boulder, Colorado 80301</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(303) 417-0500</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“Information Incorporated by Reference”) is not incorporated by reference into this prospectus or any applicable prospectus supplement and you should not consider it a part of this prospectus, any applicable prospectus supplement, or the registration statement.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3173095</wp:posOffset>
            </wp:positionV>
            <wp:extent cx="1920240"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920240" cy="3600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5"/>
          <w:szCs w:val="25"/>
          <w:b w:val="1"/>
          <w:bCs w:val="1"/>
          <w:color w:val="auto"/>
        </w:rPr>
        <w:t>2,877,092 Shares of Common Stock</w:t>
      </w:r>
    </w:p>
    <w:p>
      <w:pPr>
        <w:spacing w:after="0" w:line="200" w:lineRule="exact"/>
        <w:rPr>
          <w:sz w:val="20"/>
          <w:szCs w:val="20"/>
          <w:color w:val="auto"/>
        </w:rPr>
      </w:pPr>
    </w:p>
    <w:p>
      <w:pPr>
        <w:spacing w:after="0" w:line="24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414020</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405765</wp:posOffset>
            </wp:positionV>
            <wp:extent cx="1474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3294380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3362960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an estimate (except in the case of the registration fee) of the amount of fees and expenses to be incurred in connection with the issuance and distribution of the offered securities, other than underwriting discounts and commissions. All amounts are estimates except the SEC registration fee.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533.23</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73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Estimated expenses not presently known.</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4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 director of the Company shall be personally liable to the Company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shall indemnify its directors and officers to the fullest extent authorized or permitted by the DGCL, as now or hereafter in effect, and such right to indemnification shall continue as to a person who has ceased to be a director or officer of the Company and shall inure to the benefit of such person’s heirs, executors and personal and legal representatives. A director’s or officer’s right to indemnification shall include the right to be paid by the Company the expenses incurred in defending or otherwise participating in any proceeding in advance of its final disposition, provided that such director or officer presents to the Company a written undertaking to repay such amount if it shall ultimately be determined that such director or officer is not entitled to be indemnified by the Company. Notwithstanding the foregoing, except for proceedings to enforce any director’s or officer’s rights to indemnification or rights to advancement of expenses, the Company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shall neither be exclusive of, nor be deemed in limitation of, any rights to which any person may otherwise be or become entitled or permitted under the Certificate of Incorporation, the Bylaws, any statute, agreement, vote of stockholders or disinterested directors or otherwise.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 the fullest extent authorized or permitted by the DGCL, the Company may purchase and maintain insurance on behalf of any current or former director or officer of the Company against any liability asserted against such person, whether or not the Company would have the power to indemnify such person against such liability.</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to be filed by an amendment to this registration statement, will provide for indemnification of us and our directors and officers by the underwriters against certain liabilities under the Securities Act and the Exchange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160" w:type="dxa"/>
            <w:vAlign w:val="bottom"/>
            <w:gridSpan w:val="16"/>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6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60" w:type="dxa"/>
            <w:vAlign w:val="bottom"/>
            <w:tcBorders>
              <w:top w:val="single" w:sz="8" w:color="auto"/>
              <w:bottom w:val="single" w:sz="8" w:color="0000EE"/>
            </w:tcBorders>
            <w:gridSpan w:val="14"/>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Amended and Restated Certificate of Incorporation of the Registrant (previously filed with the Company’s Annual Report on Form 10-K</w:t>
              </w:r>
            </w:hyperlink>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dated December 31, 2020).</w:t>
              </w:r>
            </w:hyperlink>
          </w:p>
        </w:tc>
        <w:tc>
          <w:tcPr>
            <w:tcW w:w="79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Amended and Restated Bylaws of the Registrant (previously filed with the Company’s Annual Report on Form 10-K dated</w:t>
              </w:r>
            </w:hyperlink>
          </w:p>
        </w:tc>
        <w:tc>
          <w:tcPr>
            <w:tcW w:w="1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December 31,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Specimen stock certificate evidencing shares of Common Stock (previously filed with the Company’s Registration Statement on Form</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S-1/A, with the SEC on October 21, 2020).</w:t>
              </w:r>
            </w:hyperlink>
          </w:p>
        </w:tc>
        <w:tc>
          <w:tcPr>
            <w:tcW w:w="67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Eleventh Amended and Restated Investor Rights Agreement, (previously filed in the Company’s Registration Statement on Form S-1,</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with the SEC on October 2,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Subscription Agreement with resale registration rights, dated April 7, 2022 (previously filed with the Company’s Current Report</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on Form 8-K dated April 11, 2022).</w:t>
              </w:r>
            </w:hyperlink>
          </w:p>
        </w:tc>
        <w:tc>
          <w:tcPr>
            <w:tcW w:w="7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Opinion of Sidley Austin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23.1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Sidley Austin LLP (included in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23.3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Consent of KPMG LLP.</w:t>
            </w:r>
          </w:p>
        </w:tc>
        <w:tc>
          <w:tcPr>
            <w:tcW w:w="58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24.1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of the Registration Statement).</w:t>
            </w:r>
          </w:p>
        </w:tc>
        <w:tc>
          <w:tcPr>
            <w:tcW w:w="3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hanging="1144"/>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Exhibit.</w:t>
      </w:r>
    </w:p>
    <w:p>
      <w:pPr>
        <w:spacing w:after="0" w:line="21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40" w:hanging="439"/>
        <w:spacing w:after="0" w:line="255" w:lineRule="auto"/>
        <w:tabs>
          <w:tab w:leader="none" w:pos="15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1540" w:right="140" w:hanging="439"/>
        <w:spacing w:after="0" w:line="28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80" w:hanging="424"/>
        <w:spacing w:after="0" w:line="261"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4"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under Item 15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5" w:lineRule="exact"/>
        <w:rPr>
          <w:rFonts w:ascii="Times New Roman" w:cs="Times New Roman" w:eastAsia="Times New Roman" w:hAnsi="Times New Roman"/>
          <w:sz w:val="18"/>
          <w:szCs w:val="18"/>
          <w:color w:val="auto"/>
        </w:rPr>
      </w:pPr>
    </w:p>
    <w:p>
      <w:pPr>
        <w:jc w:val="both"/>
        <w:ind w:left="1080" w:right="60" w:hanging="532"/>
        <w:spacing w:after="0" w:line="266"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Boulder, State of Colorado, on the 6th day of June, 2022.</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Scott Hutton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Hutton</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Hutton</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Robin Harper Cowie</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Robin Harper Cowie</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Ryan Siurek</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Ryan Siurek</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Patience</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Patience</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Jean Franchi</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 Franchi</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II-5</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 Faiz Kayyem, Ph.D.</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 Faiz Kayyem, Ph.D.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Hany Massarany</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Hany Massarany</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Jack Schuler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Jack Schuler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Strobeck, Ph.D.</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Strobeck, Ph.D.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Charles Watts, M.D.</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2022</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Watts, M.D.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05535"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105535" cy="265430"/>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212" w:lineRule="exact"/>
        <w:rPr>
          <w:sz w:val="20"/>
          <w:szCs w:val="20"/>
          <w:color w:val="auto"/>
        </w:rPr>
      </w:pPr>
    </w:p>
    <w:p>
      <w:pPr>
        <w:ind w:left="2400"/>
        <w:spacing w:after="0" w:line="207" w:lineRule="exact"/>
        <w:rPr>
          <w:sz w:val="20"/>
          <w:szCs w:val="20"/>
          <w:color w:val="auto"/>
        </w:rPr>
      </w:pPr>
      <w:r>
        <w:rPr>
          <w:rFonts w:ascii="Times New Roman" w:cs="Times New Roman" w:eastAsia="Times New Roman" w:hAnsi="Times New Roman"/>
          <w:sz w:val="18"/>
          <w:szCs w:val="18"/>
          <w:color w:val="auto"/>
        </w:rPr>
        <w:t xml:space="preserve">AMERICA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ASIA PACIFIC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EUROPE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 80301</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refer to the Registration Statement on Form S-3 (the “Registration Statement”), being filed by Biodesix, Inc., a Delaware corporation (the “Company”), with the Securities and Exchange Commission under the Securities Act of 1933, as amended (the “Securities Act”). The Registration Statement relates to the registration under the Securities Act of 2,877,092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The Shares may be offered and sold by the selling stockholders referenced in the prospectus, as amended or supplemented from time to time, which forms a part of the Registration Statement.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Registration Statement, the Securities Purchase Agreements, dated as of April 7, 2022, the Company’s amended and restated certificate of incorporation, the Company’s amended and restated bylaws, and the resolutions adopted by the board of directors of the Company relating to the Registration Statement and the issuance by the Company of the Shares.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8"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and the other limitations, qualifications and assumptions set forth herein, we are of the opinion that the Shares are validly issued, fully paid and non-assessable,</w:t>
      </w:r>
    </w:p>
    <w:p>
      <w:pPr>
        <w:spacing w:after="0" w:line="162"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4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1020"/>
          </w:cols>
          <w:pgMar w:left="440" w:top="117" w:right="4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14, 2022, with respect to the financial statements of Biodesix, Inc., incorporated herein by reference and to the reference to our firm under the heading “Experts” in the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2022</w:t>
      </w:r>
    </w:p>
    <w:p>
      <w:pPr>
        <w:sectPr>
          <w:pgSz w:w="11900" w:h="16838" w:orient="portrait"/>
          <w:cols w:equalWidth="0" w:num="1">
            <w:col w:w="11020"/>
          </w:cols>
          <w:pgMar w:left="440" w:top="117"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134" w:type="dxa"/>
        <w:tblCellMar>
          <w:top w:w="0" w:type="dxa"/>
          <w:left w:w="0" w:type="dxa"/>
          <w:bottom w:w="0" w:type="dxa"/>
          <w:right w:w="0" w:type="dxa"/>
        </w:tblCellMar>
      </w:tblPr>
      <w:tr>
        <w:trPr>
          <w:trHeight w:val="139"/>
        </w:trPr>
        <w:tc>
          <w:tcPr>
            <w:tcW w:w="840" w:type="dxa"/>
            <w:vAlign w:val="bottom"/>
            <w:tcBorders>
              <w:top w:val="single" w:sz="8" w:color="auto"/>
              <w:left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Security</w:t>
            </w:r>
          </w:p>
        </w:tc>
        <w:tc>
          <w:tcPr>
            <w:tcW w:w="2840" w:type="dxa"/>
            <w:vAlign w:val="bottom"/>
            <w:tcBorders>
              <w:top w:val="single" w:sz="8" w:color="auto"/>
              <w:right w:val="single" w:sz="8" w:color="auto"/>
            </w:tcBorders>
          </w:tcPr>
          <w:p>
            <w:pPr>
              <w:jc w:val="center"/>
              <w:ind w:left="33"/>
              <w:spacing w:after="0" w:line="139" w:lineRule="exact"/>
              <w:rPr>
                <w:sz w:val="20"/>
                <w:szCs w:val="20"/>
                <w:color w:val="auto"/>
              </w:rPr>
            </w:pPr>
            <w:r>
              <w:rPr>
                <w:rFonts w:ascii="Times New Roman" w:cs="Times New Roman" w:eastAsia="Times New Roman" w:hAnsi="Times New Roman"/>
                <w:sz w:val="14"/>
                <w:szCs w:val="14"/>
                <w:color w:val="auto"/>
              </w:rPr>
              <w:t>Security Class Title</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Fee Calculation</w:t>
            </w:r>
          </w:p>
        </w:tc>
        <w:tc>
          <w:tcPr>
            <w:tcW w:w="1140" w:type="dxa"/>
            <w:vAlign w:val="bottom"/>
            <w:tcBorders>
              <w:top w:val="single" w:sz="8" w:color="auto"/>
              <w:right w:val="single" w:sz="8" w:color="auto"/>
            </w:tcBorders>
          </w:tcPr>
          <w:p>
            <w:pPr>
              <w:ind w:left="320"/>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94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Proposed</w:t>
            </w:r>
          </w:p>
        </w:tc>
        <w:tc>
          <w:tcPr>
            <w:tcW w:w="146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Maximum</w:t>
            </w:r>
          </w:p>
        </w:tc>
        <w:tc>
          <w:tcPr>
            <w:tcW w:w="114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Fee Rate</w:t>
            </w:r>
          </w:p>
        </w:tc>
        <w:tc>
          <w:tcPr>
            <w:tcW w:w="108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Amount of</w:t>
            </w:r>
          </w:p>
        </w:tc>
      </w:tr>
      <w:tr>
        <w:trPr>
          <w:trHeight w:val="148"/>
        </w:trPr>
        <w:tc>
          <w:tcPr>
            <w:tcW w:w="84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Type</w:t>
            </w:r>
          </w:p>
        </w:tc>
        <w:tc>
          <w:tcPr>
            <w:tcW w:w="28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tcPr>
          <w:p>
            <w:pPr>
              <w:ind w:left="460"/>
              <w:spacing w:after="0" w:line="149" w:lineRule="exact"/>
              <w:rPr>
                <w:sz w:val="20"/>
                <w:szCs w:val="20"/>
                <w:color w:val="auto"/>
              </w:rPr>
            </w:pPr>
            <w:r>
              <w:rPr>
                <w:rFonts w:ascii="Times New Roman" w:cs="Times New Roman" w:eastAsia="Times New Roman" w:hAnsi="Times New Roman"/>
                <w:sz w:val="14"/>
                <w:szCs w:val="14"/>
                <w:color w:val="auto"/>
              </w:rPr>
              <w:t>Rule</w:t>
            </w:r>
          </w:p>
        </w:tc>
        <w:tc>
          <w:tcPr>
            <w:tcW w:w="1140" w:type="dxa"/>
            <w:vAlign w:val="bottom"/>
            <w:tcBorders>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Registered</w:t>
            </w:r>
            <w:r>
              <w:rPr>
                <w:rFonts w:ascii="Times New Roman" w:cs="Times New Roman" w:eastAsia="Times New Roman" w:hAnsi="Times New Roman"/>
                <w:sz w:val="12"/>
                <w:szCs w:val="12"/>
                <w:color w:val="auto"/>
              </w:rPr>
              <w:t>(1)</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4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Aggregate Offering</w:t>
            </w:r>
          </w:p>
        </w:tc>
        <w:tc>
          <w:tcPr>
            <w:tcW w:w="11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14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Price</w:t>
            </w:r>
            <w:r>
              <w:rPr>
                <w:rFonts w:ascii="Times New Roman" w:cs="Times New Roman" w:eastAsia="Times New Roman" w:hAnsi="Times New Roman"/>
                <w:sz w:val="12"/>
                <w:szCs w:val="12"/>
                <w:color w:val="auto"/>
                <w:w w:val="98"/>
              </w:rPr>
              <w:t>(2)</w:t>
            </w:r>
          </w:p>
        </w:tc>
        <w:tc>
          <w:tcPr>
            <w:tcW w:w="11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Fee</w:t>
            </w: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4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r>
      <w:tr>
        <w:trPr>
          <w:trHeight w:val="171"/>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w:t>
            </w:r>
            <w:r>
              <w:rPr>
                <w:rFonts w:ascii="Times New Roman" w:cs="Times New Roman" w:eastAsia="Times New Roman" w:hAnsi="Times New Roman"/>
                <w:sz w:val="12"/>
                <w:szCs w:val="12"/>
                <w:color w:val="auto"/>
              </w:rPr>
              <w:t>(2)</w:t>
            </w:r>
          </w:p>
        </w:tc>
        <w:tc>
          <w:tcPr>
            <w:tcW w:w="14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r>
      <w:tr>
        <w:trPr>
          <w:trHeight w:val="191"/>
        </w:trPr>
        <w:tc>
          <w:tcPr>
            <w:tcW w:w="8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840" w:type="dxa"/>
            <w:vAlign w:val="bottom"/>
            <w:tcBorders>
              <w:right w:val="single" w:sz="8" w:color="auto"/>
            </w:tcBorders>
          </w:tcPr>
          <w:p>
            <w:pPr>
              <w:jc w:val="center"/>
              <w:ind w:left="53"/>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w:t>
            </w:r>
          </w:p>
        </w:tc>
        <w:tc>
          <w:tcPr>
            <w:tcW w:w="160" w:type="dxa"/>
            <w:vAlign w:val="bottom"/>
          </w:tcPr>
          <w:p>
            <w:pPr>
              <w:spacing w:after="0"/>
              <w:rPr>
                <w:sz w:val="16"/>
                <w:szCs w:val="16"/>
                <w:color w:val="auto"/>
              </w:rPr>
            </w:pPr>
          </w:p>
        </w:tc>
        <w:tc>
          <w:tcPr>
            <w:tcW w:w="1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Rule 457(c)</w:t>
            </w:r>
          </w:p>
        </w:tc>
        <w:tc>
          <w:tcPr>
            <w:tcW w:w="11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2,877,092</w:t>
            </w:r>
          </w:p>
        </w:tc>
        <w:tc>
          <w:tcPr>
            <w:tcW w:w="940" w:type="dxa"/>
            <w:vAlign w:val="bottom"/>
            <w:tcBorders>
              <w:right w:val="single" w:sz="8" w:color="auto"/>
            </w:tcBorders>
          </w:tcPr>
          <w:p>
            <w:pPr>
              <w:jc w:val="right"/>
              <w:ind w:right="305"/>
              <w:spacing w:after="0" w:line="191" w:lineRule="exact"/>
              <w:rPr>
                <w:sz w:val="20"/>
                <w:szCs w:val="20"/>
                <w:color w:val="auto"/>
              </w:rPr>
            </w:pPr>
            <w:r>
              <w:rPr>
                <w:rFonts w:ascii="Times New Roman" w:cs="Times New Roman" w:eastAsia="Times New Roman" w:hAnsi="Times New Roman"/>
                <w:sz w:val="18"/>
                <w:szCs w:val="18"/>
                <w:color w:val="auto"/>
              </w:rPr>
              <w:t>$1.40</w:t>
            </w:r>
          </w:p>
        </w:tc>
        <w:tc>
          <w:tcPr>
            <w:tcW w:w="1460" w:type="dxa"/>
            <w:vAlign w:val="bottom"/>
            <w:tcBorders>
              <w:right w:val="single" w:sz="8" w:color="auto"/>
            </w:tcBorders>
          </w:tcPr>
          <w:p>
            <w:pPr>
              <w:jc w:val="right"/>
              <w:ind w:right="184"/>
              <w:spacing w:after="0" w:line="191" w:lineRule="exact"/>
              <w:rPr>
                <w:sz w:val="20"/>
                <w:szCs w:val="20"/>
                <w:color w:val="auto"/>
              </w:rPr>
            </w:pPr>
            <w:r>
              <w:rPr>
                <w:rFonts w:ascii="Times New Roman" w:cs="Times New Roman" w:eastAsia="Times New Roman" w:hAnsi="Times New Roman"/>
                <w:sz w:val="18"/>
                <w:szCs w:val="18"/>
                <w:color w:val="auto"/>
              </w:rPr>
              <w:t>$4,027,928.80</w:t>
            </w:r>
          </w:p>
        </w:tc>
        <w:tc>
          <w:tcPr>
            <w:tcW w:w="1140" w:type="dxa"/>
            <w:vAlign w:val="bottom"/>
            <w:tcBorders>
              <w:right w:val="single" w:sz="8" w:color="auto"/>
            </w:tcBorders>
          </w:tcPr>
          <w:p>
            <w:pPr>
              <w:jc w:val="right"/>
              <w:ind w:right="119"/>
              <w:spacing w:after="0" w:line="191" w:lineRule="exact"/>
              <w:rPr>
                <w:sz w:val="20"/>
                <w:szCs w:val="20"/>
                <w:color w:val="auto"/>
              </w:rPr>
            </w:pPr>
            <w:r>
              <w:rPr>
                <w:rFonts w:ascii="Times New Roman" w:cs="Times New Roman" w:eastAsia="Times New Roman" w:hAnsi="Times New Roman"/>
                <w:sz w:val="18"/>
                <w:szCs w:val="18"/>
                <w:color w:val="auto"/>
              </w:rPr>
              <w:t>0.0000927</w:t>
            </w:r>
          </w:p>
        </w:tc>
        <w:tc>
          <w:tcPr>
            <w:tcW w:w="1080" w:type="dxa"/>
            <w:vAlign w:val="bottom"/>
            <w:tcBorders>
              <w:right w:val="single" w:sz="8" w:color="auto"/>
            </w:tcBorders>
          </w:tcPr>
          <w:p>
            <w:pPr>
              <w:jc w:val="center"/>
              <w:ind w:left="58"/>
              <w:spacing w:after="0" w:line="191" w:lineRule="exact"/>
              <w:rPr>
                <w:sz w:val="20"/>
                <w:szCs w:val="20"/>
                <w:color w:val="auto"/>
              </w:rPr>
            </w:pPr>
            <w:r>
              <w:rPr>
                <w:rFonts w:ascii="Times New Roman" w:cs="Times New Roman" w:eastAsia="Times New Roman" w:hAnsi="Times New Roman"/>
                <w:sz w:val="18"/>
                <w:szCs w:val="18"/>
                <w:color w:val="auto"/>
                <w:w w:val="99"/>
              </w:rPr>
              <w:t>$373.39</w:t>
            </w:r>
          </w:p>
        </w:tc>
      </w:tr>
      <w:tr>
        <w:trPr>
          <w:trHeight w:val="241"/>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rPr>
              <w:t>per share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16"/>
        </w:trPr>
        <w:tc>
          <w:tcPr>
            <w:tcW w:w="840" w:type="dxa"/>
            <w:vAlign w:val="bottom"/>
            <w:tcBorders>
              <w:left w:val="single" w:sz="8" w:color="auto"/>
              <w:bottom w:val="single" w:sz="8" w:color="auto"/>
            </w:tcBorders>
          </w:tcPr>
          <w:p>
            <w:pPr>
              <w:spacing w:after="0"/>
              <w:rPr>
                <w:sz w:val="18"/>
                <w:szCs w:val="18"/>
                <w:color w:val="auto"/>
              </w:rPr>
            </w:pPr>
          </w:p>
        </w:tc>
        <w:tc>
          <w:tcPr>
            <w:tcW w:w="4200" w:type="dxa"/>
            <w:vAlign w:val="bottom"/>
            <w:tcBorders>
              <w:bottom w:val="single" w:sz="8" w:color="auto"/>
            </w:tcBorders>
            <w:gridSpan w:val="3"/>
          </w:tcPr>
          <w:p>
            <w:pPr>
              <w:jc w:val="center"/>
              <w:ind w:left="333"/>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1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ind w:left="58"/>
              <w:spacing w:after="0"/>
              <w:rPr>
                <w:sz w:val="20"/>
                <w:szCs w:val="20"/>
                <w:color w:val="auto"/>
              </w:rPr>
            </w:pPr>
            <w:r>
              <w:rPr>
                <w:rFonts w:ascii="Times New Roman" w:cs="Times New Roman" w:eastAsia="Times New Roman" w:hAnsi="Times New Roman"/>
                <w:sz w:val="18"/>
                <w:szCs w:val="18"/>
                <w:color w:val="auto"/>
                <w:w w:val="99"/>
              </w:rPr>
              <w:t>$373.39</w:t>
            </w:r>
          </w:p>
        </w:tc>
      </w:tr>
      <w:tr>
        <w:trPr>
          <w:trHeight w:val="209"/>
        </w:trPr>
        <w:tc>
          <w:tcPr>
            <w:tcW w:w="840" w:type="dxa"/>
            <w:vAlign w:val="bottom"/>
            <w:tcBorders>
              <w:left w:val="single" w:sz="8" w:color="auto"/>
              <w:bottom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1533"/>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ind w:left="58"/>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840" w:type="dxa"/>
            <w:vAlign w:val="bottom"/>
            <w:tcBorders>
              <w:left w:val="single" w:sz="8" w:color="auto"/>
              <w:bottom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1533"/>
              <w:spacing w:after="0"/>
              <w:rPr>
                <w:sz w:val="20"/>
                <w:szCs w:val="20"/>
                <w:color w:val="auto"/>
              </w:rPr>
            </w:pPr>
            <w:r>
              <w:rPr>
                <w:rFonts w:ascii="Times New Roman" w:cs="Times New Roman" w:eastAsia="Times New Roman" w:hAnsi="Times New Roman"/>
                <w:sz w:val="18"/>
                <w:szCs w:val="18"/>
                <w:color w:val="auto"/>
                <w:w w:val="98"/>
              </w:rPr>
              <w:t>Net Fee Due</w:t>
            </w: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ind w:left="58"/>
              <w:spacing w:after="0"/>
              <w:rPr>
                <w:sz w:val="20"/>
                <w:szCs w:val="20"/>
                <w:color w:val="auto"/>
              </w:rPr>
            </w:pPr>
            <w:r>
              <w:rPr>
                <w:rFonts w:ascii="Times New Roman" w:cs="Times New Roman" w:eastAsia="Times New Roman" w:hAnsi="Times New Roman"/>
                <w:sz w:val="18"/>
                <w:szCs w:val="18"/>
                <w:color w:val="auto"/>
                <w:w w:val="99"/>
              </w:rPr>
              <w:t>$373.39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00" w:hanging="424"/>
        <w:spacing w:after="0" w:line="254" w:lineRule="auto"/>
        <w:tabs>
          <w:tab w:leader="none" w:pos="424"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selling shareholders of Biodesix, Inc. (the “Registrant”) are registering 2,877,092 shares of common stock, par value $0.001 per share (the “Common Stock”), that may be issued pursuant to the prospectus to which this exhibit is attached. Pursuant to Rule 416 of the Securities Act of 1933, as amended (the “Securities Act”), this Registration Statement also covers such additional and indeterminate number of securities as may become issuable pursuant to the provisions of the plans relating to adjustments for changes resulting from a share dividend, share split or similar change.</w:t>
      </w:r>
    </w:p>
    <w:p>
      <w:pPr>
        <w:spacing w:after="0" w:line="3" w:lineRule="exact"/>
        <w:rPr>
          <w:rFonts w:ascii="Times New Roman" w:cs="Times New Roman" w:eastAsia="Times New Roman" w:hAnsi="Times New Roman"/>
          <w:sz w:val="15"/>
          <w:szCs w:val="15"/>
          <w:color w:val="auto"/>
        </w:rPr>
      </w:pPr>
    </w:p>
    <w:p>
      <w:pPr>
        <w:ind w:left="424" w:right="180" w:hanging="424"/>
        <w:spacing w:after="0" w:line="255" w:lineRule="auto"/>
        <w:tabs>
          <w:tab w:leader="none" w:pos="424"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Estimated pursuant to Rule 457(h) under the Securities Act solely for the purpose of calculating the registration fee. The price of $1.40 per share represents the average high and low prices of the Common Stock as quoted on the Nasdaq Global Select Market on June 2, 2022, a date within five business days prior to the filing of this Registration Statement, in accordance with Rule 457(c) of the Securities Act.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07"/>
    </w:lvl>
  </w:abstractNum>
  <w:abstractNum w:abstractNumId="13">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25E45D32"/>
    <w:multiLevelType w:val="hybridMultilevel"/>
    <w:lvl w:ilvl="0">
      <w:lvlJc w:val="left"/>
      <w:lvlText w:val="(%1)"/>
      <w:numFmt w:val="decimal"/>
      <w:start w:val="2"/>
    </w:lvl>
    <w:lvl w:ilvl="1">
      <w:lvlJc w:val="left"/>
      <w:lvlText w:val="(%2)"/>
      <w:numFmt w:val="lowerRoman"/>
      <w:start w:val="1"/>
    </w:lvl>
  </w:abstractNum>
  <w:abstractNum w:abstractNumId="15">
    <w:nsid w:val="519B500D"/>
    <w:multiLevelType w:val="hybridMultilevel"/>
    <w:lvl w:ilvl="0">
      <w:lvlJc w:val="left"/>
      <w:lvlText w:val="%1"/>
      <w:numFmt w:val="lowerLetter"/>
      <w:start w:val="1"/>
    </w:lvl>
    <w:lvl w:ilvl="1">
      <w:lvlJc w:val="left"/>
      <w:lvlText w:val="(%2)"/>
      <w:numFmt w:val="lowerRoman"/>
      <w:start w:val="1"/>
    </w:lvl>
  </w:abstractNum>
  <w:abstractNum w:abstractNumId="16">
    <w:nsid w:val="431BD7B7"/>
    <w:multiLevelType w:val="hybridMultilevel"/>
    <w:lvl w:ilvl="0">
      <w:lvlJc w:val="left"/>
      <w:lvlText w:val="(%1)"/>
      <w:numFmt w:val="lowerLetter"/>
      <w:start w:val="2"/>
    </w:lvl>
    <w:lvl w:ilvl="1">
      <w:lvlJc w:val="left"/>
      <w:lvlText w:val="%2"/>
      <w:numFmt w:val="lowerRoman"/>
      <w:start w:val="1"/>
    </w:lvl>
  </w:abstractNum>
  <w:abstractNum w:abstractNumId="17">
    <w:nsid w:val="3F2DBA31"/>
    <w:multiLevelType w:val="hybridMultilevel"/>
    <w:lvl w:ilvl="0">
      <w:lvlJc w:val="left"/>
      <w:lvlText w:val="(%1)"/>
      <w:numFmt w:val="lowerLetter"/>
      <w:start w:val="3"/>
    </w:lvl>
    <w:lvl w:ilvl="1">
      <w:lvlJc w:val="left"/>
      <w:lvlText w:val="(%2)"/>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jpe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jpeg"/><Relationship Id="rId67" Type="http://schemas.openxmlformats.org/officeDocument/2006/relationships/image" Target="media/image50.png"/><Relationship Id="rId39" Type="http://schemas.openxmlformats.org/officeDocument/2006/relationships/hyperlink" Target="http://www.sec.gov/ix?doc=/Archives/edgar/data/1439725/000095017022003495/bdsx-20211231.htm" TargetMode="External"/><Relationship Id="rId40" Type="http://schemas.openxmlformats.org/officeDocument/2006/relationships/hyperlink" Target="http://www.sec.gov/ix?doc=/Archives/edgar/data/1439725/000095017022009126/bdsx-20220331.htm" TargetMode="External"/><Relationship Id="rId41" Type="http://schemas.openxmlformats.org/officeDocument/2006/relationships/hyperlink" Target="http://www.sec.gov/ix?doc=/Archives/edgar/data/1439725/000119312522159676/d323176d8k.htm" TargetMode="External"/><Relationship Id="rId42" Type="http://schemas.openxmlformats.org/officeDocument/2006/relationships/hyperlink" Target="http://www.sec.gov/Archives/edgar/data/1439725/000119312522091782/d266748ddef14a.htm" TargetMode="External"/><Relationship Id="rId43" Type="http://schemas.openxmlformats.org/officeDocument/2006/relationships/hyperlink" Target="http://www.sec.gov/Archives/edgar/data/1439725/000119312520275716/d94177d8a12b.htm" TargetMode="External"/><Relationship Id="rId55" Type="http://schemas.openxmlformats.org/officeDocument/2006/relationships/hyperlink" Target="http://www.sec.gov/Archives/edgar/data/1439725/000156459020056735/bdsx-ex31_716.htm" TargetMode="External"/><Relationship Id="rId56" Type="http://schemas.openxmlformats.org/officeDocument/2006/relationships/hyperlink" Target="http://www.sec.gov/Archives/edgar/data/1439725/000156459020056735/bdsx-ex32_717.htm" TargetMode="External"/><Relationship Id="rId57" Type="http://schemas.openxmlformats.org/officeDocument/2006/relationships/hyperlink" Target="http://www.sec.gov/Archives/edgar/data/1439725/000119312520273369/d937421dex41.htm" TargetMode="External"/><Relationship Id="rId58" Type="http://schemas.openxmlformats.org/officeDocument/2006/relationships/hyperlink" Target="http://www.sec.gov/Archives/edgar/data/1439725/000119312520262422/d937421dex42.htm" TargetMode="External"/><Relationship Id="rId59" Type="http://schemas.openxmlformats.org/officeDocument/2006/relationships/hyperlink" Target="http://www.sec.gov/ix?doc=/Archives/edgar/data/1439725/000095017022005536/bdsx-202204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2022-06-06T16:29:50Z</dcterms:created>
  <dcterms:modified xsi:type="dcterms:W3CDTF">2022-06-06T16:29:50Z</dcterms:modified>
</cp:coreProperties>
</file>