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-233680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-617220</wp:posOffset>
            </wp:positionV>
            <wp:extent cx="57785" cy="630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0555"/>
                    </a:xfrm>
                    <a:prstGeom prst="rect">
                      <a:avLst/>
                    </a:prstGeom>
                    <a:noFill/>
                  </pic:spPr>
                </pic:pic>
              </a:graphicData>
            </a:graphic>
          </wp:anchor>
        </w:drawing>
        <w:drawing>
          <wp:anchor simplePos="0" relativeHeight="251657728" behindDoc="1" locked="0" layoutInCell="0" allowOverlap="1">
            <wp:simplePos x="0" y="0"/>
            <wp:positionH relativeFrom="column">
              <wp:posOffset>3960495</wp:posOffset>
            </wp:positionH>
            <wp:positionV relativeFrom="paragraph">
              <wp:posOffset>-617220</wp:posOffset>
            </wp:positionV>
            <wp:extent cx="57785" cy="6305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055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5382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3822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O'Kane Kieran</w:t>
        </w:r>
      </w:hyperlink>
    </w:p>
    <w:p>
      <w:pPr>
        <w:spacing w:after="0" w:line="30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right="1080"/>
        <w:spacing w:after="0" w:line="301" w:lineRule="auto"/>
        <w:rPr>
          <w:sz w:val="20"/>
          <w:szCs w:val="20"/>
          <w:color w:val="auto"/>
        </w:rPr>
      </w:pPr>
      <w:r>
        <w:rPr>
          <w:rFonts w:ascii="Arial" w:cs="Arial" w:eastAsia="Arial" w:hAnsi="Arial"/>
          <w:sz w:val="17"/>
          <w:szCs w:val="17"/>
          <w:color w:val="0000FF"/>
        </w:rPr>
        <w:t>2970 WILDERNESS PLACE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BIODESIX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BDSX</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7"/>
          <w:szCs w:val="17"/>
          <w:color w:val="0000FF"/>
        </w:rPr>
        <w:t>02/23/2021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80" w:firstLine="6"/>
        <w:spacing w:after="0" w:line="234"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4"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14"/>
        <w:spacing w:after="0"/>
        <w:rPr>
          <w:sz w:val="20"/>
          <w:szCs w:val="20"/>
          <w:color w:val="auto"/>
        </w:rPr>
      </w:pPr>
      <w:r>
        <w:rPr>
          <w:rFonts w:ascii="Arial" w:cs="Arial" w:eastAsia="Arial" w:hAnsi="Arial"/>
          <w:sz w:val="17"/>
          <w:szCs w:val="17"/>
          <w:color w:val="0000FF"/>
        </w:rPr>
        <w:t>Chief Commercial Officer</w:t>
      </w:r>
    </w:p>
    <w:p>
      <w:pPr>
        <w:spacing w:after="0" w:line="422" w:lineRule="exact"/>
        <w:rPr>
          <w:sz w:val="24"/>
          <w:szCs w:val="24"/>
          <w:color w:val="auto"/>
        </w:rPr>
      </w:pPr>
    </w:p>
    <w:p>
      <w:pPr>
        <w:sectPr>
          <w:pgSz w:w="11900" w:h="16838" w:orient="portrait"/>
          <w:cols w:equalWidth="0" w:num="3">
            <w:col w:w="3180" w:space="720"/>
            <w:col w:w="3106" w:space="720"/>
            <w:col w:w="3354"/>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760" w:type="dxa"/>
            <w:vAlign w:val="bottom"/>
            <w:gridSpan w:val="7"/>
          </w:tcPr>
          <w:p>
            <w:pPr>
              <w:ind w:left="160"/>
              <w:spacing w:after="0" w:line="96" w:lineRule="exact"/>
              <w:rPr>
                <w:sz w:val="20"/>
                <w:szCs w:val="20"/>
                <w:color w:val="auto"/>
              </w:rPr>
            </w:pPr>
            <w:r>
              <w:rPr>
                <w:rFonts w:ascii="Arial" w:cs="Arial" w:eastAsia="Arial" w:hAnsi="Arial"/>
                <w:sz w:val="11"/>
                <w:szCs w:val="11"/>
                <w:color w:val="auto"/>
              </w:rPr>
              <w:t>4. If Amendment, Date of Original Filed (Month/Day/Year)</w:t>
            </w:r>
          </w:p>
        </w:tc>
        <w:tc>
          <w:tcPr>
            <w:tcW w:w="3580" w:type="dxa"/>
            <w:vAlign w:val="bottom"/>
            <w:gridSpan w:val="10"/>
          </w:tcPr>
          <w:p>
            <w:pPr>
              <w:ind w:left="220"/>
              <w:spacing w:after="0" w:line="96"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580" w:type="dxa"/>
            <w:vAlign w:val="bottom"/>
            <w:gridSpan w:val="10"/>
            <w:vMerge w:val="restart"/>
          </w:tcPr>
          <w:p>
            <w:pPr>
              <w:ind w:left="4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BOULDER</w:t>
            </w:r>
          </w:p>
        </w:tc>
        <w:tc>
          <w:tcPr>
            <w:tcW w:w="1180" w:type="dxa"/>
            <w:vAlign w:val="bottom"/>
            <w:gridSpan w:val="2"/>
            <w:vMerge w:val="restart"/>
          </w:tcPr>
          <w:p>
            <w:pPr>
              <w:ind w:left="20"/>
              <w:spacing w:after="0"/>
              <w:rPr>
                <w:sz w:val="20"/>
                <w:szCs w:val="20"/>
                <w:color w:val="auto"/>
              </w:rPr>
            </w:pPr>
            <w:r>
              <w:rPr>
                <w:rFonts w:ascii="Arial" w:cs="Arial" w:eastAsia="Arial" w:hAnsi="Arial"/>
                <w:sz w:val="17"/>
                <w:szCs w:val="17"/>
                <w:color w:val="0000FF"/>
              </w:rPr>
              <w:t>CO</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80301</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5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100" w:type="dxa"/>
            <w:vAlign w:val="bottom"/>
            <w:tcBorders>
              <w:bottom w:val="single" w:sz="8" w:color="9A9A9A"/>
            </w:tcBorders>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5"/>
          </w:tcPr>
          <w:p>
            <w:pPr>
              <w:ind w:left="9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480" w:type="dxa"/>
            <w:vAlign w:val="bottom"/>
            <w:tcBorders>
              <w:bottom w:val="single" w:sz="8" w:color="2C2C2C"/>
            </w:tcBorders>
            <w:gridSpan w:val="5"/>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gridSpan w:val="2"/>
          </w:tcPr>
          <w:p>
            <w:pPr>
              <w:ind w:left="860"/>
              <w:spacing w:after="0" w:line="124" w:lineRule="exact"/>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ind w:left="4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4"/>
          </w:tcPr>
          <w:p>
            <w:pPr>
              <w:jc w:val="center"/>
              <w:ind w:left="715"/>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6"/>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560" w:type="dxa"/>
            <w:vAlign w:val="bottom"/>
            <w:gridSpan w:val="12"/>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40" w:type="dxa"/>
            <w:vAlign w:val="bottom"/>
            <w:gridSpan w:val="2"/>
          </w:tcPr>
          <w:p>
            <w:pPr>
              <w:ind w:left="10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40" w:type="dxa"/>
            <w:vAlign w:val="bottom"/>
            <w:gridSpan w:val="2"/>
          </w:tcPr>
          <w:p>
            <w:pPr>
              <w:ind w:left="10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40" w:type="dxa"/>
            <w:vAlign w:val="bottom"/>
            <w:gridSpan w:val="2"/>
          </w:tcPr>
          <w:p>
            <w:pPr>
              <w:ind w:left="10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Options</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0.77</w:t>
            </w:r>
          </w:p>
        </w:tc>
        <w:tc>
          <w:tcPr>
            <w:tcW w:w="1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02/23/2021</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center"/>
              <w:ind w:right="419"/>
              <w:spacing w:after="0"/>
              <w:rPr>
                <w:sz w:val="20"/>
                <w:szCs w:val="20"/>
                <w:color w:val="auto"/>
              </w:rPr>
            </w:pPr>
            <w:r>
              <w:rPr>
                <w:rFonts w:ascii="Arial" w:cs="Arial" w:eastAsia="Arial" w:hAnsi="Arial"/>
                <w:sz w:val="13"/>
                <w:szCs w:val="13"/>
                <w:color w:val="0000FF"/>
              </w:rPr>
              <w:t>A</w:t>
            </w:r>
          </w:p>
        </w:tc>
        <w:tc>
          <w:tcPr>
            <w:tcW w:w="740" w:type="dxa"/>
            <w:vAlign w:val="bottom"/>
            <w:vMerge w:val="restart"/>
          </w:tcPr>
          <w:p>
            <w:pPr>
              <w:jc w:val="center"/>
              <w:spacing w:after="0" w:line="263" w:lineRule="exact"/>
              <w:rPr>
                <w:sz w:val="20"/>
                <w:szCs w:val="20"/>
                <w:color w:val="auto"/>
              </w:rPr>
            </w:pPr>
            <w:r>
              <w:rPr>
                <w:rFonts w:ascii="Arial" w:cs="Arial" w:eastAsia="Arial" w:hAnsi="Arial"/>
                <w:sz w:val="25"/>
                <w:szCs w:val="25"/>
                <w:color w:val="0000FF"/>
                <w:w w:val="78"/>
                <w:vertAlign w:val="subscript"/>
              </w:rPr>
              <w:t>4,212</w:t>
            </w:r>
            <w:r>
              <w:rPr>
                <w:rFonts w:ascii="Arial" w:cs="Arial" w:eastAsia="Arial" w:hAnsi="Arial"/>
                <w:sz w:val="11"/>
                <w:szCs w:val="11"/>
                <w:color w:val="008000"/>
                <w:w w:val="78"/>
              </w:rPr>
              <w:t>(1)(2)</w:t>
            </w:r>
          </w:p>
        </w:tc>
        <w:tc>
          <w:tcPr>
            <w:tcW w:w="280" w:type="dxa"/>
            <w:vAlign w:val="bottom"/>
          </w:tcPr>
          <w:p>
            <w:pPr>
              <w:spacing w:after="0"/>
              <w:rPr>
                <w:sz w:val="12"/>
                <w:szCs w:val="12"/>
                <w:color w:val="auto"/>
              </w:rPr>
            </w:pPr>
          </w:p>
        </w:tc>
        <w:tc>
          <w:tcPr>
            <w:tcW w:w="780" w:type="dxa"/>
            <w:vAlign w:val="bottom"/>
            <w:gridSpan w:val="2"/>
            <w:vMerge w:val="restart"/>
          </w:tcPr>
          <w:p>
            <w:pPr>
              <w:jc w:val="center"/>
              <w:ind w:right="3"/>
              <w:spacing w:after="0"/>
              <w:rPr>
                <w:sz w:val="20"/>
                <w:szCs w:val="20"/>
                <w:color w:val="auto"/>
              </w:rPr>
            </w:pPr>
            <w:r>
              <w:rPr>
                <w:rFonts w:ascii="Arial" w:cs="Arial" w:eastAsia="Arial" w:hAnsi="Arial"/>
                <w:sz w:val="11"/>
                <w:szCs w:val="11"/>
                <w:color w:val="008000"/>
                <w:w w:val="89"/>
              </w:rPr>
              <w:t>(1)(2)</w:t>
            </w:r>
          </w:p>
        </w:tc>
        <w:tc>
          <w:tcPr>
            <w:tcW w:w="680" w:type="dxa"/>
            <w:vAlign w:val="bottom"/>
            <w:vMerge w:val="restart"/>
          </w:tcPr>
          <w:p>
            <w:pPr>
              <w:ind w:left="40"/>
              <w:spacing w:after="0"/>
              <w:rPr>
                <w:sz w:val="20"/>
                <w:szCs w:val="20"/>
                <w:color w:val="auto"/>
              </w:rPr>
            </w:pPr>
            <w:r>
              <w:rPr>
                <w:rFonts w:ascii="Arial" w:cs="Arial" w:eastAsia="Arial" w:hAnsi="Arial"/>
                <w:sz w:val="13"/>
                <w:szCs w:val="13"/>
                <w:color w:val="0000FF"/>
                <w:w w:val="95"/>
              </w:rPr>
              <w:t>04/14/2030</w:t>
            </w:r>
          </w:p>
        </w:tc>
        <w:tc>
          <w:tcPr>
            <w:tcW w:w="66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4,212</w:t>
            </w:r>
          </w:p>
        </w:tc>
        <w:tc>
          <w:tcPr>
            <w:tcW w:w="40" w:type="dxa"/>
            <w:vAlign w:val="bottom"/>
          </w:tcPr>
          <w:p>
            <w:pPr>
              <w:spacing w:after="0"/>
              <w:rPr>
                <w:sz w:val="12"/>
                <w:szCs w:val="12"/>
                <w:color w:val="auto"/>
              </w:rPr>
            </w:pPr>
          </w:p>
        </w:tc>
        <w:tc>
          <w:tcPr>
            <w:tcW w:w="68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80" w:type="dxa"/>
            <w:vAlign w:val="bottom"/>
            <w:vMerge w:val="restart"/>
          </w:tcPr>
          <w:p>
            <w:pPr>
              <w:ind w:left="280"/>
              <w:spacing w:after="0"/>
              <w:rPr>
                <w:sz w:val="20"/>
                <w:szCs w:val="20"/>
                <w:color w:val="auto"/>
              </w:rPr>
            </w:pPr>
            <w:r>
              <w:rPr>
                <w:rFonts w:ascii="Arial" w:cs="Arial" w:eastAsia="Arial" w:hAnsi="Arial"/>
                <w:sz w:val="13"/>
                <w:szCs w:val="13"/>
                <w:color w:val="0000FF"/>
                <w:w w:val="85"/>
              </w:rPr>
              <w:t>4,212</w:t>
            </w:r>
          </w:p>
        </w:tc>
        <w:tc>
          <w:tcPr>
            <w:tcW w:w="300" w:type="dxa"/>
            <w:vAlign w:val="bottom"/>
          </w:tcPr>
          <w:p>
            <w:pPr>
              <w:spacing w:after="0"/>
              <w:rPr>
                <w:sz w:val="12"/>
                <w:szCs w:val="12"/>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jc w:val="center"/>
              <w:spacing w:after="0" w:line="140" w:lineRule="exact"/>
              <w:rPr>
                <w:sz w:val="20"/>
                <w:szCs w:val="20"/>
                <w:color w:val="auto"/>
              </w:rPr>
            </w:pPr>
            <w:r>
              <w:rPr>
                <w:rFonts w:ascii="Arial" w:cs="Arial" w:eastAsia="Arial" w:hAnsi="Arial"/>
                <w:sz w:val="13"/>
                <w:szCs w:val="13"/>
                <w:color w:val="0000FF"/>
                <w:w w:val="85"/>
              </w:rPr>
              <w:t>Stock</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Options</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0.77</w:t>
            </w:r>
          </w:p>
        </w:tc>
        <w:tc>
          <w:tcPr>
            <w:tcW w:w="1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03/10/2022</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center"/>
              <w:ind w:right="419"/>
              <w:spacing w:after="0"/>
              <w:rPr>
                <w:sz w:val="20"/>
                <w:szCs w:val="20"/>
                <w:color w:val="auto"/>
              </w:rPr>
            </w:pPr>
            <w:r>
              <w:rPr>
                <w:rFonts w:ascii="Arial" w:cs="Arial" w:eastAsia="Arial" w:hAnsi="Arial"/>
                <w:sz w:val="13"/>
                <w:szCs w:val="13"/>
                <w:color w:val="0000FF"/>
              </w:rPr>
              <w:t>A</w:t>
            </w:r>
          </w:p>
        </w:tc>
        <w:tc>
          <w:tcPr>
            <w:tcW w:w="740" w:type="dxa"/>
            <w:vAlign w:val="bottom"/>
            <w:vMerge w:val="restart"/>
          </w:tcPr>
          <w:p>
            <w:pPr>
              <w:jc w:val="center"/>
              <w:spacing w:after="0" w:line="263" w:lineRule="exact"/>
              <w:rPr>
                <w:sz w:val="20"/>
                <w:szCs w:val="20"/>
                <w:color w:val="auto"/>
              </w:rPr>
            </w:pPr>
            <w:r>
              <w:rPr>
                <w:rFonts w:ascii="Arial" w:cs="Arial" w:eastAsia="Arial" w:hAnsi="Arial"/>
                <w:sz w:val="25"/>
                <w:szCs w:val="25"/>
                <w:color w:val="0000FF"/>
                <w:w w:val="78"/>
                <w:vertAlign w:val="subscript"/>
              </w:rPr>
              <w:t>4,211</w:t>
            </w:r>
            <w:r>
              <w:rPr>
                <w:rFonts w:ascii="Arial" w:cs="Arial" w:eastAsia="Arial" w:hAnsi="Arial"/>
                <w:sz w:val="11"/>
                <w:szCs w:val="11"/>
                <w:color w:val="008000"/>
                <w:w w:val="78"/>
              </w:rPr>
              <w:t>(1)(3)</w:t>
            </w:r>
          </w:p>
        </w:tc>
        <w:tc>
          <w:tcPr>
            <w:tcW w:w="280" w:type="dxa"/>
            <w:vAlign w:val="bottom"/>
          </w:tcPr>
          <w:p>
            <w:pPr>
              <w:spacing w:after="0"/>
              <w:rPr>
                <w:sz w:val="12"/>
                <w:szCs w:val="12"/>
                <w:color w:val="auto"/>
              </w:rPr>
            </w:pPr>
          </w:p>
        </w:tc>
        <w:tc>
          <w:tcPr>
            <w:tcW w:w="780" w:type="dxa"/>
            <w:vAlign w:val="bottom"/>
            <w:gridSpan w:val="2"/>
            <w:vMerge w:val="restart"/>
          </w:tcPr>
          <w:p>
            <w:pPr>
              <w:jc w:val="center"/>
              <w:ind w:right="3"/>
              <w:spacing w:after="0"/>
              <w:rPr>
                <w:sz w:val="20"/>
                <w:szCs w:val="20"/>
                <w:color w:val="auto"/>
              </w:rPr>
            </w:pPr>
            <w:r>
              <w:rPr>
                <w:rFonts w:ascii="Arial" w:cs="Arial" w:eastAsia="Arial" w:hAnsi="Arial"/>
                <w:sz w:val="11"/>
                <w:szCs w:val="11"/>
                <w:color w:val="008000"/>
                <w:w w:val="89"/>
              </w:rPr>
              <w:t>(1)(3)</w:t>
            </w:r>
          </w:p>
        </w:tc>
        <w:tc>
          <w:tcPr>
            <w:tcW w:w="680" w:type="dxa"/>
            <w:vAlign w:val="bottom"/>
            <w:vMerge w:val="restart"/>
          </w:tcPr>
          <w:p>
            <w:pPr>
              <w:ind w:left="40"/>
              <w:spacing w:after="0"/>
              <w:rPr>
                <w:sz w:val="20"/>
                <w:szCs w:val="20"/>
                <w:color w:val="auto"/>
              </w:rPr>
            </w:pPr>
            <w:r>
              <w:rPr>
                <w:rFonts w:ascii="Arial" w:cs="Arial" w:eastAsia="Arial" w:hAnsi="Arial"/>
                <w:sz w:val="13"/>
                <w:szCs w:val="13"/>
                <w:color w:val="0000FF"/>
                <w:w w:val="95"/>
              </w:rPr>
              <w:t>04/14/2030</w:t>
            </w:r>
          </w:p>
        </w:tc>
        <w:tc>
          <w:tcPr>
            <w:tcW w:w="66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4,211</w:t>
            </w:r>
          </w:p>
        </w:tc>
        <w:tc>
          <w:tcPr>
            <w:tcW w:w="40" w:type="dxa"/>
            <w:vAlign w:val="bottom"/>
          </w:tcPr>
          <w:p>
            <w:pPr>
              <w:spacing w:after="0"/>
              <w:rPr>
                <w:sz w:val="12"/>
                <w:szCs w:val="12"/>
                <w:color w:val="auto"/>
              </w:rPr>
            </w:pPr>
          </w:p>
        </w:tc>
        <w:tc>
          <w:tcPr>
            <w:tcW w:w="68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80" w:type="dxa"/>
            <w:vAlign w:val="bottom"/>
            <w:vMerge w:val="restart"/>
          </w:tcPr>
          <w:p>
            <w:pPr>
              <w:ind w:left="280"/>
              <w:spacing w:after="0"/>
              <w:rPr>
                <w:sz w:val="20"/>
                <w:szCs w:val="20"/>
                <w:color w:val="auto"/>
              </w:rPr>
            </w:pPr>
            <w:r>
              <w:rPr>
                <w:rFonts w:ascii="Arial" w:cs="Arial" w:eastAsia="Arial" w:hAnsi="Arial"/>
                <w:sz w:val="13"/>
                <w:szCs w:val="13"/>
                <w:color w:val="0000FF"/>
                <w:w w:val="85"/>
              </w:rPr>
              <w:t>8,423</w:t>
            </w:r>
          </w:p>
        </w:tc>
        <w:tc>
          <w:tcPr>
            <w:tcW w:w="300" w:type="dxa"/>
            <w:vAlign w:val="bottom"/>
          </w:tcPr>
          <w:p>
            <w:pPr>
              <w:spacing w:after="0"/>
              <w:rPr>
                <w:sz w:val="12"/>
                <w:szCs w:val="12"/>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jc w:val="center"/>
              <w:spacing w:after="0" w:line="140" w:lineRule="exact"/>
              <w:rPr>
                <w:sz w:val="20"/>
                <w:szCs w:val="20"/>
                <w:color w:val="auto"/>
              </w:rPr>
            </w:pPr>
            <w:r>
              <w:rPr>
                <w:rFonts w:ascii="Arial" w:cs="Arial" w:eastAsia="Arial" w:hAnsi="Arial"/>
                <w:sz w:val="13"/>
                <w:szCs w:val="13"/>
                <w:color w:val="0000FF"/>
                <w:w w:val="85"/>
              </w:rPr>
              <w:t>Stock</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Options</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2.29</w:t>
            </w:r>
          </w:p>
        </w:tc>
        <w:tc>
          <w:tcPr>
            <w:tcW w:w="1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03/10/2022</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center"/>
              <w:ind w:right="419"/>
              <w:spacing w:after="0"/>
              <w:rPr>
                <w:sz w:val="20"/>
                <w:szCs w:val="20"/>
                <w:color w:val="auto"/>
              </w:rPr>
            </w:pPr>
            <w:r>
              <w:rPr>
                <w:rFonts w:ascii="Arial" w:cs="Arial" w:eastAsia="Arial" w:hAnsi="Arial"/>
                <w:sz w:val="13"/>
                <w:szCs w:val="13"/>
                <w:color w:val="0000FF"/>
              </w:rPr>
              <w:t>A</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92"/>
              </w:rPr>
              <w:t>6,162</w:t>
            </w:r>
          </w:p>
        </w:tc>
        <w:tc>
          <w:tcPr>
            <w:tcW w:w="280" w:type="dxa"/>
            <w:vAlign w:val="bottom"/>
          </w:tcPr>
          <w:p>
            <w:pPr>
              <w:spacing w:after="0"/>
              <w:rPr>
                <w:sz w:val="12"/>
                <w:szCs w:val="12"/>
                <w:color w:val="auto"/>
              </w:rPr>
            </w:pPr>
          </w:p>
        </w:tc>
        <w:tc>
          <w:tcPr>
            <w:tcW w:w="780" w:type="dxa"/>
            <w:vAlign w:val="bottom"/>
            <w:gridSpan w:val="2"/>
            <w:vMerge w:val="restart"/>
          </w:tcPr>
          <w:p>
            <w:pPr>
              <w:jc w:val="center"/>
              <w:ind w:right="23"/>
              <w:spacing w:after="0"/>
              <w:rPr>
                <w:sz w:val="20"/>
                <w:szCs w:val="20"/>
                <w:color w:val="auto"/>
              </w:rPr>
            </w:pPr>
            <w:r>
              <w:rPr>
                <w:rFonts w:ascii="Arial" w:cs="Arial" w:eastAsia="Arial" w:hAnsi="Arial"/>
                <w:sz w:val="13"/>
                <w:szCs w:val="13"/>
                <w:color w:val="0000FF"/>
                <w:w w:val="89"/>
              </w:rPr>
              <w:t>03/10/2022</w:t>
            </w:r>
          </w:p>
        </w:tc>
        <w:tc>
          <w:tcPr>
            <w:tcW w:w="680" w:type="dxa"/>
            <w:vAlign w:val="bottom"/>
            <w:vMerge w:val="restart"/>
          </w:tcPr>
          <w:p>
            <w:pPr>
              <w:ind w:left="40"/>
              <w:spacing w:after="0"/>
              <w:rPr>
                <w:sz w:val="20"/>
                <w:szCs w:val="20"/>
                <w:color w:val="auto"/>
              </w:rPr>
            </w:pPr>
            <w:r>
              <w:rPr>
                <w:rFonts w:ascii="Arial" w:cs="Arial" w:eastAsia="Arial" w:hAnsi="Arial"/>
                <w:sz w:val="13"/>
                <w:szCs w:val="13"/>
                <w:color w:val="0000FF"/>
                <w:w w:val="95"/>
              </w:rPr>
              <w:t>03/09/2032</w:t>
            </w:r>
          </w:p>
        </w:tc>
        <w:tc>
          <w:tcPr>
            <w:tcW w:w="66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6,162</w:t>
            </w:r>
          </w:p>
        </w:tc>
        <w:tc>
          <w:tcPr>
            <w:tcW w:w="40" w:type="dxa"/>
            <w:vAlign w:val="bottom"/>
          </w:tcPr>
          <w:p>
            <w:pPr>
              <w:spacing w:after="0"/>
              <w:rPr>
                <w:sz w:val="12"/>
                <w:szCs w:val="12"/>
                <w:color w:val="auto"/>
              </w:rPr>
            </w:pPr>
          </w:p>
        </w:tc>
        <w:tc>
          <w:tcPr>
            <w:tcW w:w="68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80" w:type="dxa"/>
            <w:vAlign w:val="bottom"/>
            <w:vMerge w:val="restart"/>
          </w:tcPr>
          <w:p>
            <w:pPr>
              <w:ind w:left="280"/>
              <w:spacing w:after="0"/>
              <w:rPr>
                <w:sz w:val="20"/>
                <w:szCs w:val="20"/>
                <w:color w:val="auto"/>
              </w:rPr>
            </w:pPr>
            <w:r>
              <w:rPr>
                <w:rFonts w:ascii="Arial" w:cs="Arial" w:eastAsia="Arial" w:hAnsi="Arial"/>
                <w:sz w:val="13"/>
                <w:szCs w:val="13"/>
                <w:color w:val="0000FF"/>
                <w:w w:val="85"/>
              </w:rPr>
              <w:t>6,162</w:t>
            </w:r>
          </w:p>
        </w:tc>
        <w:tc>
          <w:tcPr>
            <w:tcW w:w="300" w:type="dxa"/>
            <w:vAlign w:val="bottom"/>
          </w:tcPr>
          <w:p>
            <w:pPr>
              <w:spacing w:after="0"/>
              <w:rPr>
                <w:sz w:val="12"/>
                <w:szCs w:val="12"/>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18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April 15, 2020, the Reporting Person was granted an option to purchase 8,423 shares (as-adjusted for the 0.1684664-for-1 reverse stock split effected on October 19, 2020), the vesting of which was subject to the Issuer's satisfaction of certain performance criteria for each of the 2020 and 2021 fiscal years.</w:t>
      </w:r>
    </w:p>
    <w:p>
      <w:pPr>
        <w:spacing w:after="0" w:line="27" w:lineRule="exact"/>
        <w:rPr>
          <w:rFonts w:ascii="Arial" w:cs="Arial" w:eastAsia="Arial" w:hAnsi="Arial"/>
          <w:sz w:val="13"/>
          <w:szCs w:val="13"/>
          <w:color w:val="008000"/>
        </w:rPr>
      </w:pPr>
    </w:p>
    <w:p>
      <w:pPr>
        <w:ind w:left="40" w:right="26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23, 2021, the Compensation Committee of the Issuer's board of directors (the "Compensation Committee") confirmed the performance criteria were met for fiscal year 2020, resulting in the vesting of 4,212 shares underlying the option.</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10, 2022, the Compensation Committee confirmed the performance criteria were met for fiscal year 2021, resulting in the vesting of 4,211 shares underlying the option.</w:t>
      </w:r>
    </w:p>
    <w:p>
      <w:pPr>
        <w:spacing w:after="0" w:line="67"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Robin Harper Cowie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-13335</wp:posOffset>
            </wp:positionV>
            <wp:extent cx="11125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252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Kieran</w:t>
      </w:r>
      <w:r>
        <w:rPr>
          <w:sz w:val="20"/>
          <w:szCs w:val="20"/>
          <w:color w:val="auto"/>
        </w:rPr>
        <w:tab/>
      </w:r>
      <w:r>
        <w:rPr>
          <w:rFonts w:ascii="Arial" w:cs="Arial" w:eastAsia="Arial" w:hAnsi="Arial"/>
          <w:sz w:val="14"/>
          <w:szCs w:val="14"/>
          <w:color w:val="0000FF"/>
        </w:rPr>
        <w:t>03/14/2022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18732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325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O'Kane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315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7"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28131" TargetMode="External"/><Relationship Id="rId13"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2022-03-14T16:52:53Z</dcterms:created>
  <dcterms:modified xsi:type="dcterms:W3CDTF">2022-03-14T16:52:53Z</dcterms:modified>
</cp:coreProperties>
</file>