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60226.htm"/>
      <w:bookmarkStart w:id="1" w:name="ksbdsx20260226"/>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60" w:after="283"/>
        <w:jc w:val="center"/>
        <w:rPr>
          <w:rFonts w:ascii="Times New Roman" w:hAnsi="Times New Roman"/>
          <w:b/>
          <w:color w:val="000000"/>
          <w:sz w:val="28"/>
        </w:rPr>
      </w:pPr>
      <w:r>
        <w:rPr>
          <w:rFonts w:ascii="Times New Roman" w:hAnsi="Times New Roman"/>
          <w:b/>
          <w:color w:val="000000"/>
          <w:sz w:val="28"/>
        </w:rPr>
        <w:t>CURRENT REPORT</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Pursuant to Section 13 or 15(d)</w:t>
        <w:br/>
        <w:t>of the Securities Exchange Act of 1934</w:t>
      </w:r>
    </w:p>
    <w:p>
      <w:pPr>
        <w:pStyle w:val="TextBody"/>
        <w:bidi w:val="0"/>
        <w:spacing w:before="160" w:after="283"/>
        <w:jc w:val="center"/>
        <w:rPr>
          <w:rFonts w:ascii="Times New Roman" w:hAnsi="Times New Roman"/>
          <w:sz w:val="20"/>
        </w:rPr>
      </w:pPr>
      <w:r>
        <w:rPr>
          <w:rFonts w:ascii="Times New Roman" w:hAnsi="Times New Roman"/>
          <w:b/>
          <w:color w:val="000000"/>
          <w:sz w:val="20"/>
        </w:rPr>
        <w:t>February 26, 2026</w:t>
        <w:br/>
      </w:r>
      <w:r>
        <w:rPr>
          <w:rFonts w:ascii="Times New Roman" w:hAnsi="Times New Roman"/>
          <w:color w:val="000000"/>
          <w:sz w:val="20"/>
        </w:rPr>
        <w:t xml:space="preserve">Date of Report (Date of earliest event reported) </w:t>
      </w:r>
    </w:p>
    <w:p>
      <w:pPr>
        <w:pStyle w:val="TextBody"/>
        <w:bidi w:val="0"/>
        <w:spacing w:before="160" w:after="283"/>
        <w:jc w:val="center"/>
        <w:rPr>
          <w:rFonts w:ascii="Times New Roman" w:hAnsi="Times New Roman"/>
          <w:b/>
          <w:color w:val="000000"/>
          <w:sz w:val="44"/>
        </w:rPr>
      </w:pPr>
      <w:r>
        <w:rPr>
          <w:rFonts w:ascii="Times New Roman" w:hAnsi="Times New Roman"/>
          <w:b/>
          <w:color w:val="000000"/>
          <w:sz w:val="44"/>
        </w:rPr>
        <w:t>Biodesix,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Charter)</w:t>
      </w:r>
      <w:r>
        <w:rPr>
          <w:rFonts w:ascii="Times New Roman" w:hAnsi="Times New Roman"/>
          <w:color w:val="000000"/>
          <w:sz w:val="20"/>
        </w:rPr>
        <w:t xml:space="preserve"> </w:t>
      </w:r>
    </w:p>
    <w:p>
      <w:pPr>
        <w:pStyle w:val="TextBody"/>
        <w:bidi w:val="0"/>
        <w:jc w:val="left"/>
        <w:rPr/>
      </w:pPr>
      <w:r>
        <w:rPr/>
        <w:t> </w:t>
      </w:r>
    </w:p>
    <w:tbl>
      <w:tblPr>
        <w:tblW w:w="5088" w:type="dxa"/>
        <w:jc w:val="left"/>
        <w:tblInd w:w="0" w:type="dxa"/>
        <w:tblLayout w:type="fixed"/>
        <w:tblCellMar>
          <w:top w:w="28" w:type="dxa"/>
          <w:left w:w="28" w:type="dxa"/>
          <w:bottom w:w="28" w:type="dxa"/>
          <w:right w:w="28" w:type="dxa"/>
        </w:tblCellMar>
      </w:tblPr>
      <w:tblGrid>
        <w:gridCol w:w="2251"/>
        <w:gridCol w:w="118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001-39659</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20-3986492</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br/>
              <w:t>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both"/>
        <w:rPr/>
      </w:pPr>
      <w:r>
        <w:rPr/>
        <w:t> </w:t>
      </w:r>
    </w:p>
    <w:tbl>
      <w:tblPr>
        <w:tblW w:w="4322" w:type="dxa"/>
        <w:jc w:val="left"/>
        <w:tblInd w:w="0" w:type="dxa"/>
        <w:tblLayout w:type="fixed"/>
        <w:tblCellMar>
          <w:top w:w="28" w:type="dxa"/>
          <w:left w:w="28" w:type="dxa"/>
          <w:bottom w:w="28" w:type="dxa"/>
          <w:right w:w="28" w:type="dxa"/>
        </w:tblCellMar>
      </w:tblPr>
      <w:tblGrid>
        <w:gridCol w:w="3286"/>
        <w:gridCol w:w="1036"/>
      </w:tblGrid>
      <w:tr>
        <w:trPr/>
        <w:tc>
          <w:tcPr>
            <w:tcW w:w="328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919 West Dillon Rd</w:t>
            </w:r>
          </w:p>
          <w:p>
            <w:pPr>
              <w:pStyle w:val="TableContents"/>
              <w:bidi w:val="0"/>
              <w:jc w:val="center"/>
              <w:rPr>
                <w:rFonts w:ascii="Times New Roman" w:hAnsi="Times New Roman"/>
                <w:b/>
                <w:color w:val="000000"/>
                <w:sz w:val="20"/>
              </w:rPr>
            </w:pPr>
            <w:r>
              <w:rPr>
                <w:rFonts w:ascii="Times New Roman" w:hAnsi="Times New Roman"/>
                <w:b/>
                <w:color w:val="000000"/>
                <w:sz w:val="20"/>
              </w:rPr>
              <w:t>Louisville, Colorado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w:t>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80027</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(303)</w:t>
      </w:r>
      <w:r>
        <w:rPr>
          <w:rFonts w:ascii="Times New Roman" w:hAnsi="Times New Roman"/>
          <w:color w:val="000000"/>
          <w:sz w:val="20"/>
        </w:rPr>
        <w:t xml:space="preserve"> </w:t>
      </w:r>
      <w:r>
        <w:rPr>
          <w:rFonts w:ascii="Times New Roman" w:hAnsi="Times New Roman"/>
          <w:b/>
          <w:color w:val="000000"/>
          <w:sz w:val="20"/>
        </w:rPr>
        <w:t>417-0500</w:t>
      </w:r>
    </w:p>
    <w:p>
      <w:pPr>
        <w:pStyle w:val="TextBody"/>
        <w:bidi w:val="0"/>
        <w:spacing w:before="160" w:after="283"/>
        <w:jc w:val="center"/>
        <w:rPr>
          <w:rFonts w:ascii="Times New Roman" w:hAnsi="Times New Roman"/>
          <w:sz w:val="20"/>
        </w:rPr>
      </w:pPr>
      <w:r>
        <w:rPr>
          <w:rFonts w:ascii="Times New Roman" w:hAnsi="Times New Roman"/>
          <w:b/>
          <w:color w:val="000000"/>
          <w:sz w:val="20"/>
        </w:rPr>
        <w:t>Not Applicable</w:t>
        <w:br/>
      </w:r>
      <w:r>
        <w:rPr>
          <w:rFonts w:ascii="Times New Roman" w:hAnsi="Times New Roman"/>
          <w:color w:val="000000"/>
          <w:sz w:val="20"/>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7776" w:type="dxa"/>
        <w:jc w:val="left"/>
        <w:tblInd w:w="0" w:type="dxa"/>
        <w:tblLayout w:type="fixed"/>
        <w:tblCellMar>
          <w:top w:w="28" w:type="dxa"/>
          <w:left w:w="28" w:type="dxa"/>
          <w:bottom w:w="28" w:type="dxa"/>
          <w:right w:w="28"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bl>
    <w:p>
      <w:pPr>
        <w:pStyle w:val="TextBody"/>
        <w:bidi w:val="0"/>
        <w:jc w:val="left"/>
        <w:rPr/>
      </w:pPr>
      <w:r>
        <w:rPr/>
        <w:t> </w:t>
      </w:r>
    </w:p>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46" w:type="dxa"/>
        <w:jc w:val="left"/>
        <w:tblInd w:w="0" w:type="dxa"/>
        <w:tblLayout w:type="fixed"/>
        <w:tblCellMar>
          <w:top w:w="28" w:type="dxa"/>
          <w:left w:w="28" w:type="dxa"/>
          <w:bottom w:w="28" w:type="dxa"/>
          <w:right w:w="28"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p>
      <w:pPr>
        <w:pStyle w:val="TextBody"/>
        <w:bidi w:val="0"/>
        <w:jc w:val="left"/>
        <w:rPr/>
      </w:pPr>
      <w:r>
        <w:rPr/>
        <w:t> </w:t>
      </w:r>
    </w:p>
    <w:tbl>
      <w:tblPr>
        <w:tblW w:w="9486" w:type="dxa"/>
        <w:jc w:val="left"/>
        <w:tblInd w:w="0" w:type="dxa"/>
        <w:tblLayout w:type="fixed"/>
        <w:tblCellMar>
          <w:top w:w="28" w:type="dxa"/>
          <w:left w:w="28" w:type="dxa"/>
          <w:bottom w:w="28" w:type="dxa"/>
          <w:right w:w="28"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625" w:type="dxa"/>
        <w:jc w:val="left"/>
        <w:tblInd w:w="0" w:type="dxa"/>
        <w:tblLayout w:type="fixed"/>
        <w:tblCellMar>
          <w:top w:w="28" w:type="dxa"/>
          <w:left w:w="28" w:type="dxa"/>
          <w:bottom w:w="28" w:type="dxa"/>
          <w:right w:w="28" w:type="dxa"/>
        </w:tblCellMar>
      </w:tblPr>
      <w:tblGrid>
        <w:gridCol w:w="3811"/>
        <w:gridCol w:w="146"/>
        <w:gridCol w:w="169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of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BDSX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212529"/>
          <w:sz w:val="20"/>
        </w:rPr>
      </w:pPr>
      <w:r>
        <w:rPr>
          <w:rFonts w:ascii="Times New Roman" w:hAnsi="Times New Roman"/>
          <w:b/>
          <w:color w:val="212529"/>
          <w:sz w:val="20"/>
        </w:rPr>
        <w:t>Item 2.02.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26, 2026, Biodesix, Inc. (the Company) issued a press release announcing the financial and operating results of the Company for the fourth quarter and fiscal year ended December 31, 2025. A copy of the press release is furnished as Exhibit 99.1 to this report and is incorporated herein by reference.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information contained in Item 2.02 to this Current Report on Form 8-K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pStyle w:val="TextBody"/>
        <w:bidi w:val="0"/>
        <w:jc w:val="both"/>
        <w:rPr>
          <w:rFonts w:ascii="Times New Roman" w:hAnsi="Times New Roman"/>
          <w:b/>
          <w:color w:val="212529"/>
          <w:sz w:val="20"/>
        </w:rPr>
      </w:pPr>
      <w:r>
        <w:rPr>
          <w:rFonts w:ascii="Times New Roman" w:hAnsi="Times New Roman"/>
          <w:b/>
          <w:color w:val="212529"/>
          <w:sz w:val="20"/>
        </w:rPr>
        <w:t>Item 9.01. Financial Statements and Exhibits.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(d) Exhibits:</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dsx-ex99_1.htm">
              <w:r>
                <w:rPr>
                  <w:rStyle w:val="InternetLink"/>
                  <w:rFonts w:ascii="Times New Roman" w:hAnsi="Times New Roman"/>
                  <w:color w:val="0000FF"/>
                  <w:sz w:val="20"/>
                  <w:u w:val="single"/>
                </w:rPr>
                <w:t>Press Release issued by Biodesix, Inc. dated February 26,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4878" w:type="dxa"/>
        <w:jc w:val="left"/>
        <w:tblInd w:w="0" w:type="dxa"/>
        <w:tblLayout w:type="fixed"/>
        <w:tblCellMar>
          <w:top w:w="28" w:type="dxa"/>
          <w:left w:w="28" w:type="dxa"/>
          <w:bottom w:w="28" w:type="dxa"/>
          <w:right w:w="28" w:type="dxa"/>
        </w:tblCellMar>
      </w:tblPr>
      <w:tblGrid>
        <w:gridCol w:w="2191"/>
        <w:gridCol w:w="631"/>
        <w:gridCol w:w="2056"/>
      </w:tblGrid>
      <w:tr>
        <w:trPr/>
        <w:tc>
          <w:tcPr>
            <w:tcW w:w="21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February 26, 2026</w:t>
            </w:r>
          </w:p>
        </w:tc>
        <w:tc>
          <w:tcPr>
            <w:tcW w:w="268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BIODESIX, INC.</w:t>
            </w:r>
          </w:p>
        </w:tc>
      </w:tr>
      <w:tr>
        <w:trPr/>
        <w:tc>
          <w:tcPr>
            <w:tcW w:w="219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Robin Harper Cowie</w:t>
            </w:r>
          </w:p>
        </w:tc>
      </w:tr>
      <w:tr>
        <w:trPr/>
        <w:tc>
          <w:tcPr>
            <w:tcW w:w="219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Robin Harper Cowie</w:t>
            </w:r>
          </w:p>
        </w:tc>
      </w:tr>
      <w:tr>
        <w:trPr/>
        <w:tc>
          <w:tcPr>
            <w:tcW w:w="219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sans-serif" w:hAnsi="sans-serif"/>
          <w:b/>
          <w:color w:val="000000"/>
          <w:sz w:val="22"/>
        </w:rPr>
      </w:pPr>
      <w:bookmarkStart w:id="2" w:name="bdsx-ex99_1.htm"/>
      <w:bookmarkStart w:id="3" w:name="ksbdsxex99_1"/>
      <w:bookmarkEnd w:id="2"/>
      <w:bookmarkEnd w:id="3"/>
      <w:r>
        <w:rPr>
          <w:rFonts w:ascii="sans-serif" w:hAnsi="sans-serif"/>
          <w:b/>
          <w:color w:val="000000"/>
          <w:sz w:val="22"/>
        </w:rPr>
        <w:t>Exhibit 99.1</w:t>
      </w:r>
      <w:r>
        <w:br w:type="page"/>
      </w:r>
    </w:p>
    <w:p>
      <w:pPr>
        <w:pStyle w:val="TextBody"/>
        <w:bidi w:val="0"/>
        <w:jc w:val="center"/>
        <w:rPr/>
      </w:pPr>
      <w:r>
        <w:rPr/>
        <w:drawing>
          <wp:inline distT="0" distB="0" distL="0" distR="0">
            <wp:extent cx="17145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323850"/>
                    </a:xfrm>
                    <a:prstGeom prst="rect">
                      <a:avLst/>
                    </a:prstGeom>
                  </pic:spPr>
                </pic:pic>
              </a:graphicData>
            </a:graphic>
          </wp:inline>
        </w:drawing>
      </w:r>
    </w:p>
    <w:p>
      <w:pPr>
        <w:pStyle w:val="TextBody"/>
        <w:bidi w:val="0"/>
        <w:spacing w:before="240" w:after="240"/>
        <w:jc w:val="center"/>
        <w:rPr>
          <w:rFonts w:ascii="Times New Roman" w:hAnsi="Times New Roman"/>
          <w:b/>
          <w:color w:val="000000"/>
          <w:sz w:val="28"/>
        </w:rPr>
      </w:pPr>
      <w:r>
        <w:rPr>
          <w:rFonts w:ascii="Times New Roman" w:hAnsi="Times New Roman"/>
          <w:b/>
          <w:color w:val="000000"/>
          <w:sz w:val="28"/>
        </w:rPr>
        <w:t>Biodesix Announces Fourth Quarter and Fiscal Year 2025 Results and Highlights</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Delivered 41% revenue growth and 83% gross margin in Q4 2025;</w:t>
      </w:r>
    </w:p>
    <w:p>
      <w:pPr>
        <w:pStyle w:val="TextBody"/>
        <w:bidi w:val="0"/>
        <w:spacing w:before="0" w:after="240"/>
        <w:jc w:val="center"/>
        <w:rPr>
          <w:rFonts w:ascii="Times New Roman" w:hAnsi="Times New Roman"/>
          <w:sz w:val="20"/>
        </w:rPr>
      </w:pPr>
      <w:r>
        <w:rPr>
          <w:rFonts w:ascii="Times New Roman" w:hAnsi="Times New Roman"/>
          <w:i/>
          <w:color w:val="000000"/>
          <w:sz w:val="24"/>
        </w:rPr>
        <w:t>Improved Net Loss by 52% and achieved first-ever Adjusted EBITDA positivity in Q4 2025;</w:t>
      </w:r>
      <w:r>
        <w:rPr>
          <w:rFonts w:ascii="Times New Roman" w:hAnsi="Times New Roman"/>
          <w:color w:val="000000"/>
          <w:sz w:val="20"/>
        </w:rPr>
        <w:t xml:space="preserve">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FY2026 Revenue Guidance of $106-112 million, mid-point reflects 23% growth;</w:t>
      </w:r>
    </w:p>
    <w:p>
      <w:pPr>
        <w:pStyle w:val="TextBody"/>
        <w:bidi w:val="0"/>
        <w:jc w:val="center"/>
        <w:rPr>
          <w:rFonts w:ascii="Times New Roman" w:hAnsi="Times New Roman"/>
          <w:i/>
          <w:color w:val="000000"/>
          <w:sz w:val="24"/>
        </w:rPr>
      </w:pPr>
      <w:r>
        <w:rPr>
          <w:rFonts w:ascii="Times New Roman" w:hAnsi="Times New Roman"/>
          <w:i/>
          <w:color w:val="000000"/>
          <w:sz w:val="24"/>
        </w:rPr>
        <w:t>Conference Call and Webcast Today at 4:30 p.m. ET</w:t>
      </w:r>
    </w:p>
    <w:p>
      <w:pPr>
        <w:pStyle w:val="TextBody"/>
        <w:bidi w:val="0"/>
        <w:spacing w:before="200" w:after="283"/>
        <w:jc w:val="both"/>
        <w:rPr>
          <w:rFonts w:ascii="Times New Roman" w:hAnsi="Times New Roman"/>
          <w:sz w:val="20"/>
        </w:rPr>
      </w:pPr>
      <w:r>
        <w:rPr>
          <w:rFonts w:ascii="Times New Roman" w:hAnsi="Times New Roman"/>
          <w:b/>
          <w:color w:val="000000"/>
          <w:sz w:val="22"/>
        </w:rPr>
        <w:t>LOUISVILLE, CO, February 26, 2026 –</w:t>
      </w:r>
      <w:r>
        <w:rPr>
          <w:rFonts w:ascii="Times New Roman" w:hAnsi="Times New Roman"/>
          <w:color w:val="000000"/>
          <w:sz w:val="20"/>
        </w:rPr>
        <w:t xml:space="preserve"> </w:t>
      </w:r>
      <w:r>
        <w:rPr>
          <w:rFonts w:ascii="Times New Roman" w:hAnsi="Times New Roman"/>
          <w:sz w:val="22"/>
        </w:rPr>
        <w:t>Biodesix, Inc.</w:t>
      </w:r>
      <w:r>
        <w:rPr>
          <w:rFonts w:ascii="Times New Roman" w:hAnsi="Times New Roman"/>
          <w:color w:val="000000"/>
          <w:sz w:val="20"/>
        </w:rPr>
        <w:t xml:space="preserve"> </w:t>
      </w:r>
      <w:r>
        <w:rPr>
          <w:rFonts w:ascii="Times New Roman" w:hAnsi="Times New Roman"/>
          <w:color w:val="000000"/>
          <w:sz w:val="22"/>
        </w:rPr>
        <w:t>(Nasdaq: BDSX), a leading diagnostic solutions company, today announced its financial and operating results for the fourth quarter and year ended December 31, 2025 (fiscal 2025).</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"Biodesix delivered exceptional results in the fourth quarter, with revenue of $28.8 million and 83% gross margin," said Scott Hutton, Chief Executive Officer. “We exceeded the high end of our revenue guidance by delivering 41% growth, and for the first time ever, achieved Adjusted EBITDA positivity in the quarter demonstrating the strength of our operating leverage and gross margins, which have become a hallmark of Biodesix performance. In 2025, we accelerated the growth of our lung-focused commercial strategy, expanded our pipeline, announced new partnerships, grew our development services offering, and presented clinical data on our on-market and pipeline products.”</w:t>
      </w:r>
    </w:p>
    <w:p>
      <w:pPr>
        <w:pStyle w:val="TextBody"/>
        <w:bidi w:val="0"/>
        <w:spacing w:before="240" w:after="240"/>
        <w:jc w:val="both"/>
        <w:rPr>
          <w:rFonts w:ascii="Times New Roman" w:hAnsi="Times New Roman"/>
          <w:sz w:val="20"/>
        </w:rPr>
      </w:pPr>
      <w:r>
        <w:rPr>
          <w:rFonts w:ascii="Times New Roman" w:hAnsi="Times New Roman"/>
          <w:b/>
          <w:color w:val="000000"/>
          <w:sz w:val="22"/>
        </w:rPr>
        <w:t>Business and Financial Highlights for the Fourth Quarter and Full Year 2025</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Diagnostic Tests core organic revenue, excluding collection on claims older than one year, was $24.1 million in the fourth quarter, growth of 40% over the prior year comparable period, driven by test volume growth of 23% and increased average revenue per test;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Diagnostic Test revenue of $25.1 million and $79.2 million for the fourth quarter and fiscal 2025, respectively, an increase of 46% and 22% over the prior year comparable periods. Test volumes were 18,000 and 62,600 for the fourth quarter and fiscal 2025, respectively, an increase of 23% and 15% over the prior year comparable periods. The increase in average revenue per test was driven by additional payer coverage, improvements in revenue cycle management, and approximately $1.0 million in collections from claims older than one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Development Services revenue of $3.6 million and $9.3 million for the fourth quarter and fiscal 2025, respectively, an increase of 12% and 41% over the respective prior year comparable periods, a result of both delivering against the Company’s book of contracted business and securing new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Total revenue of $28.8 million in the fourth quarter and $88.5 million in fiscal 2025, an increase of 41% and 24% over the respective prior year comparable periods, with gross margin expanding 400bps to 83% in the fourth quarter and 300bps to 81% in fiscal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Improvements in gross margin percentage were driven by growth in Diagnostic testing, improvements in average revenue per test, and optimization of testing workflows that resulted in decreases in costs per 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Operating expenses (excluding direct costs and expenses) of $25.8 million and $99.7 million for the fourth quarter and fiscal 2025, an increase of 14% and 10% over the respective prior year comparable periods. Sales, marketing, and general administrative investment increased 14% to support the 41% revenue growth delivered in the fourth quarter. The Company expects continued operating leverage as our expanded sales team advances along the productivity curve and converts growing experience into sustained performance;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Includes non-cash stock compensation expense of $1.1 million and $4.1 million during the fourth quarter and fiscal 2025, a decrease of 15% and 38% over the respective prior year comparable periods;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loss of $4.0 million and $35.3 million for the fourth quarter and fiscal 2025, an improvement of 52% and 18% over the respective prior year comparable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EBITDA of $0.5 million in Q4 2025, the Company’s first quarter of Adjusted EBITDA positivity, representing a $4.5 million or 113% improvement from Q4 2024. This milestone reflects strong revenue flow-through and operating leverage across Biodesix. Adjusted EBITDA for fiscal 2025 was a loss of $17.5 million, an improvement of 21% over fiscal 2024;</w:t>
      </w:r>
    </w:p>
    <w:p>
      <w:pPr>
        <w:pStyle w:val="TextBody"/>
        <w:bidi w:val="0"/>
        <w:jc w:val="both"/>
        <w:rPr/>
      </w:pPr>
      <w:r>
        <w:rPr/>
        <w:t> </w:t>
      </w:r>
    </w:p>
    <w:tbl>
      <w:tblPr>
        <w:tblW w:w="8224" w:type="dxa"/>
        <w:jc w:val="left"/>
        <w:tblInd w:w="0" w:type="dxa"/>
        <w:tblLayout w:type="fixed"/>
        <w:tblCellMar>
          <w:top w:w="28" w:type="dxa"/>
          <w:left w:w="28" w:type="dxa"/>
          <w:bottom w:w="28" w:type="dxa"/>
          <w:right w:w="28" w:type="dxa"/>
        </w:tblCellMar>
      </w:tblPr>
      <w:tblGrid>
        <w:gridCol w:w="2011"/>
        <w:gridCol w:w="2506"/>
        <w:gridCol w:w="1666"/>
        <w:gridCol w:w="2041"/>
      </w:tblGrid>
      <w:tr>
        <w:trPr/>
        <w:tc>
          <w:tcPr>
            <w:tcW w:w="201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011" w:type="dxa"/>
            <w:tcBorders>
              <w:top w:val="single" w:sz="2" w:space="0" w:color="CCCCCC"/>
              <w:left w:val="single" w:sz="2" w:space="0" w:color="CCCCCC"/>
              <w:bottom w:val="single" w:sz="2" w:space="0" w:color="CCCCCC"/>
              <w:right w:val="single" w:sz="2" w:space="0" w:color="CCCCCC"/>
            </w:tcBorders>
            <w:shd w:fill="1F3864" w:val="clear"/>
            <w:tcMar>
              <w:top w:w="58" w:type="dxa"/>
              <w:left w:w="101" w:type="dxa"/>
              <w:bottom w:w="58" w:type="dxa"/>
              <w:right w:w="101"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Metric</w:t>
            </w:r>
          </w:p>
        </w:tc>
        <w:tc>
          <w:tcPr>
            <w:tcW w:w="2506" w:type="dxa"/>
            <w:tcBorders>
              <w:top w:val="single" w:sz="2" w:space="0" w:color="CCCCCC"/>
              <w:bottom w:val="single" w:sz="2" w:space="0" w:color="CCCCCC"/>
              <w:right w:val="single" w:sz="2" w:space="0" w:color="CCCCCC"/>
            </w:tcBorders>
            <w:shd w:fill="1F3864" w:val="clear"/>
            <w:tcMar>
              <w:top w:w="58" w:type="dxa"/>
              <w:left w:w="0" w:type="dxa"/>
              <w:bottom w:w="58" w:type="dxa"/>
              <w:right w:w="101"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FY25 Guidance (Raised)</w:t>
            </w:r>
          </w:p>
        </w:tc>
        <w:tc>
          <w:tcPr>
            <w:tcW w:w="1666" w:type="dxa"/>
            <w:tcBorders>
              <w:top w:val="single" w:sz="2" w:space="0" w:color="CCCCCC"/>
              <w:bottom w:val="single" w:sz="2" w:space="0" w:color="CCCCCC"/>
              <w:right w:val="single" w:sz="2" w:space="0" w:color="CCCCCC"/>
            </w:tcBorders>
            <w:shd w:fill="1F3864" w:val="clear"/>
            <w:tcMar>
              <w:top w:w="58" w:type="dxa"/>
              <w:left w:w="0" w:type="dxa"/>
              <w:bottom w:w="58" w:type="dxa"/>
              <w:right w:w="101"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FY25 Actual</w:t>
            </w:r>
          </w:p>
        </w:tc>
        <w:tc>
          <w:tcPr>
            <w:tcW w:w="2041" w:type="dxa"/>
            <w:tcBorders>
              <w:top w:val="single" w:sz="2" w:space="0" w:color="CCCCCC"/>
              <w:bottom w:val="single" w:sz="2" w:space="0" w:color="CCCCCC"/>
              <w:right w:val="single" w:sz="2" w:space="0" w:color="CCCCCC"/>
            </w:tcBorders>
            <w:shd w:fill="1F3864" w:val="clear"/>
            <w:tcMar>
              <w:top w:w="58" w:type="dxa"/>
              <w:left w:w="0" w:type="dxa"/>
              <w:bottom w:w="58" w:type="dxa"/>
              <w:right w:w="101"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Result</w:t>
            </w:r>
          </w:p>
        </w:tc>
      </w:tr>
      <w:tr>
        <w:trPr/>
        <w:tc>
          <w:tcPr>
            <w:tcW w:w="2011" w:type="dxa"/>
            <w:tcBorders>
              <w:left w:val="single" w:sz="2" w:space="0" w:color="CCCCCC"/>
              <w:bottom w:val="single" w:sz="2" w:space="0" w:color="CCCCCC"/>
              <w:right w:val="single" w:sz="2" w:space="0" w:color="CCCCCC"/>
            </w:tcBorders>
            <w:shd w:fill="F5F8FC" w:val="clear"/>
            <w:tcMar>
              <w:top w:w="0" w:type="dxa"/>
              <w:left w:w="101" w:type="dxa"/>
              <w:bottom w:w="58" w:type="dxa"/>
              <w:right w:w="101"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 Revenue</w:t>
            </w:r>
          </w:p>
        </w:tc>
        <w:tc>
          <w:tcPr>
            <w:tcW w:w="2506"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$84-86M</w:t>
            </w:r>
          </w:p>
        </w:tc>
        <w:tc>
          <w:tcPr>
            <w:tcW w:w="1666"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$88.5M</w:t>
            </w:r>
          </w:p>
        </w:tc>
        <w:tc>
          <w:tcPr>
            <w:tcW w:w="2041"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pPr>
            <w:r>
              <w:rPr>
                <w:color w:val="006600"/>
              </w:rPr>
              <w:t>✓ </w:t>
            </w:r>
            <w:r>
              <w:rPr>
                <w:rFonts w:ascii="Times New Roman" w:hAnsi="Times New Roman"/>
                <w:b/>
                <w:color w:val="006600"/>
                <w:sz w:val="22"/>
              </w:rPr>
              <w:t>Above High End</w:t>
            </w:r>
          </w:p>
        </w:tc>
      </w:tr>
      <w:tr>
        <w:trPr/>
        <w:tc>
          <w:tcPr>
            <w:tcW w:w="2011" w:type="dxa"/>
            <w:tcBorders>
              <w:left w:val="single" w:sz="2" w:space="0" w:color="CCCCCC"/>
              <w:bottom w:val="single" w:sz="2" w:space="0" w:color="CCCCCC"/>
              <w:right w:val="single" w:sz="2" w:space="0" w:color="CCCCCC"/>
            </w:tcBorders>
            <w:tcMar>
              <w:top w:w="0" w:type="dxa"/>
              <w:left w:w="101" w:type="dxa"/>
              <w:bottom w:w="58" w:type="dxa"/>
              <w:right w:w="101"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Q4 Adj. EBITDA</w:t>
            </w:r>
          </w:p>
        </w:tc>
        <w:tc>
          <w:tcPr>
            <w:tcW w:w="2506" w:type="dxa"/>
            <w:tcBorders>
              <w:bottom w:val="single" w:sz="2" w:space="0" w:color="CCCCCC"/>
              <w:right w:val="single" w:sz="2" w:space="0" w:color="CCCCCC"/>
            </w:tcBorders>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Positive in Q4</w:t>
            </w:r>
          </w:p>
        </w:tc>
        <w:tc>
          <w:tcPr>
            <w:tcW w:w="1666" w:type="dxa"/>
            <w:tcBorders>
              <w:bottom w:val="single" w:sz="2" w:space="0" w:color="CCCCCC"/>
              <w:right w:val="single" w:sz="2" w:space="0" w:color="CCCCCC"/>
            </w:tcBorders>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$0.5M (positive)</w:t>
            </w:r>
          </w:p>
        </w:tc>
        <w:tc>
          <w:tcPr>
            <w:tcW w:w="2041" w:type="dxa"/>
            <w:tcBorders>
              <w:bottom w:val="single" w:sz="2" w:space="0" w:color="CCCCCC"/>
              <w:right w:val="single" w:sz="2" w:space="0" w:color="CCCCCC"/>
            </w:tcBorders>
            <w:tcMar>
              <w:top w:w="0" w:type="dxa"/>
              <w:left w:w="0" w:type="dxa"/>
              <w:bottom w:w="58" w:type="dxa"/>
              <w:right w:w="101" w:type="dxa"/>
            </w:tcMar>
            <w:vAlign w:val="center"/>
          </w:tcPr>
          <w:p>
            <w:pPr>
              <w:pStyle w:val="TableContents"/>
              <w:bidi w:val="0"/>
              <w:spacing w:before="0" w:after="283"/>
              <w:jc w:val="center"/>
              <w:rPr/>
            </w:pPr>
            <w:r>
              <w:rPr>
                <w:color w:val="006600"/>
              </w:rPr>
              <w:t>✓ </w:t>
            </w:r>
            <w:r>
              <w:rPr>
                <w:rFonts w:ascii="Times New Roman" w:hAnsi="Times New Roman"/>
                <w:b/>
                <w:color w:val="006600"/>
                <w:sz w:val="22"/>
              </w:rPr>
              <w:t>First-Ever</w:t>
            </w:r>
          </w:p>
        </w:tc>
      </w:tr>
      <w:tr>
        <w:trPr/>
        <w:tc>
          <w:tcPr>
            <w:tcW w:w="2011" w:type="dxa"/>
            <w:tcBorders>
              <w:left w:val="single" w:sz="2" w:space="0" w:color="CCCCCC"/>
              <w:bottom w:val="single" w:sz="2" w:space="0" w:color="CCCCCC"/>
              <w:right w:val="single" w:sz="2" w:space="0" w:color="CCCCCC"/>
            </w:tcBorders>
            <w:shd w:fill="F5F8FC" w:val="clear"/>
            <w:tcMar>
              <w:top w:w="0" w:type="dxa"/>
              <w:left w:w="101" w:type="dxa"/>
              <w:bottom w:w="58" w:type="dxa"/>
              <w:right w:w="101"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Gross Margin (FY)</w:t>
            </w:r>
          </w:p>
        </w:tc>
        <w:tc>
          <w:tcPr>
            <w:tcW w:w="2506"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 - 79%</w:t>
            </w:r>
          </w:p>
        </w:tc>
        <w:tc>
          <w:tcPr>
            <w:tcW w:w="1666"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81%</w:t>
            </w:r>
          </w:p>
        </w:tc>
        <w:tc>
          <w:tcPr>
            <w:tcW w:w="2041"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pPr>
            <w:r>
              <w:rPr>
                <w:color w:val="006600"/>
              </w:rPr>
              <w:t>✓ </w:t>
            </w:r>
            <w:r>
              <w:rPr>
                <w:rFonts w:ascii="Times New Roman" w:hAnsi="Times New Roman"/>
                <w:b/>
                <w:color w:val="006600"/>
                <w:sz w:val="22"/>
              </w:rPr>
              <w:t>+300bps YoY</w:t>
            </w:r>
          </w:p>
        </w:tc>
      </w:tr>
    </w:tbl>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Pro forma cash and cash equivalents of $33.7 million (including subsequent ATM proceeds), supported by the Company’s first quarter of Adjusted EBITDA positivity, which positions Biodesix to reduce quarterly cash consumption as revenue scales;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Cash and cash equivalents of $19.0 million as of December 31, 2025 was inclusive of $2.3 million in at-the-market proceeds, and subsequent to the end of the quarter, the Company raised and additional $14.7 million to support continued growth investment;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i/>
          <w:color w:val="000000"/>
          <w:sz w:val="22"/>
        </w:rPr>
      </w:pPr>
      <w:r>
        <w:rPr>
          <w:rFonts w:ascii="Times New Roman" w:hAnsi="Times New Roman"/>
          <w:i/>
          <w:color w:val="000000"/>
          <w:sz w:val="22"/>
        </w:rPr>
        <w:t xml:space="preserve">Subsequent to the end of the quarter, the Company amended the Senior Secured Term Loan with Perceptive Advisors to extend the maturity date and interest only period to November 2028. The extension and additional cash strengthens the balance sheet and provides increased financial flexibility.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2026 Financial Outlook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Company anticipates generating between $106-112 million in total revenue in 2026, the mid-point representing 23% growth over 2025 total revenue, and expects continued improvement toward sustained Adjusted EBITDA positivity. The revenue growth and improvement on the path to profitability is expected to be driven by the increasing productivity across our expanded sales organization, improvements to average revenue per test demonstrated in the second half of 2025, additional clinical data on the Nodify Lung tests to help drive adoption from healthcare providers and payers, increases in Development Services pipeline, and the demonstrated operating leverage.</w:t>
      </w:r>
      <w:r>
        <w:rPr>
          <w:rFonts w:ascii="Times New Roman" w:hAnsi="Times New Roman"/>
          <w:color w:val="000000"/>
          <w:sz w:val="20"/>
        </w:rPr>
        <w:t xml:space="preserve"> </w:t>
      </w:r>
    </w:p>
    <w:p>
      <w:pPr>
        <w:pStyle w:val="TextBody"/>
        <w:bidi w:val="0"/>
        <w:jc w:val="both"/>
        <w:rPr/>
      </w:pPr>
      <w:r>
        <w:rPr/>
        <w:t> </w:t>
      </w:r>
    </w:p>
    <w:tbl>
      <w:tblPr>
        <w:tblW w:w="7788" w:type="dxa"/>
        <w:jc w:val="left"/>
        <w:tblInd w:w="0" w:type="dxa"/>
        <w:tblLayout w:type="fixed"/>
        <w:tblCellMar>
          <w:top w:w="28" w:type="dxa"/>
          <w:left w:w="28" w:type="dxa"/>
          <w:bottom w:w="28" w:type="dxa"/>
          <w:right w:w="28" w:type="dxa"/>
        </w:tblCellMar>
      </w:tblPr>
      <w:tblGrid>
        <w:gridCol w:w="1546"/>
        <w:gridCol w:w="1651"/>
        <w:gridCol w:w="4591"/>
      </w:tblGrid>
      <w:tr>
        <w:trPr/>
        <w:tc>
          <w:tcPr>
            <w:tcW w:w="15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1546" w:type="dxa"/>
            <w:tcBorders>
              <w:top w:val="single" w:sz="2" w:space="0" w:color="CCCCCC"/>
              <w:left w:val="single" w:sz="2" w:space="0" w:color="CCCCCC"/>
              <w:bottom w:val="single" w:sz="2" w:space="0" w:color="CCCCCC"/>
              <w:right w:val="single" w:sz="2" w:space="0" w:color="CCCCCC"/>
            </w:tcBorders>
            <w:shd w:fill="1F3864" w:val="clear"/>
            <w:tcMar>
              <w:top w:w="58" w:type="dxa"/>
              <w:left w:w="101" w:type="dxa"/>
              <w:bottom w:w="58" w:type="dxa"/>
              <w:right w:w="101"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Metric</w:t>
            </w:r>
          </w:p>
        </w:tc>
        <w:tc>
          <w:tcPr>
            <w:tcW w:w="1651" w:type="dxa"/>
            <w:tcBorders>
              <w:top w:val="single" w:sz="2" w:space="0" w:color="CCCCCC"/>
              <w:bottom w:val="single" w:sz="2" w:space="0" w:color="CCCCCC"/>
              <w:right w:val="single" w:sz="2" w:space="0" w:color="CCCCCC"/>
            </w:tcBorders>
            <w:shd w:fill="1F3864" w:val="clear"/>
            <w:tcMar>
              <w:top w:w="58" w:type="dxa"/>
              <w:left w:w="0" w:type="dxa"/>
              <w:bottom w:w="58" w:type="dxa"/>
              <w:right w:w="101"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FY 2025 Actual</w:t>
            </w:r>
          </w:p>
        </w:tc>
        <w:tc>
          <w:tcPr>
            <w:tcW w:w="4591" w:type="dxa"/>
            <w:tcBorders>
              <w:top w:val="single" w:sz="2" w:space="0" w:color="CCCCCC"/>
              <w:bottom w:val="single" w:sz="2" w:space="0" w:color="CCCCCC"/>
              <w:right w:val="single" w:sz="2" w:space="0" w:color="CCCCCC"/>
            </w:tcBorders>
            <w:shd w:fill="1F3864" w:val="clear"/>
            <w:tcMar>
              <w:top w:w="58" w:type="dxa"/>
              <w:left w:w="0" w:type="dxa"/>
              <w:bottom w:w="58" w:type="dxa"/>
              <w:right w:w="101" w:type="dxa"/>
            </w:tcMar>
            <w:vAlign w:val="center"/>
          </w:tcPr>
          <w:p>
            <w:pPr>
              <w:pStyle w:val="TableContents"/>
              <w:bidi w:val="0"/>
              <w:spacing w:before="0" w:after="283"/>
              <w:jc w:val="center"/>
              <w:rPr>
                <w:rFonts w:ascii="Times New Roman" w:hAnsi="Times New Roman"/>
                <w:b/>
                <w:color w:val="FFFFFF"/>
                <w:sz w:val="22"/>
              </w:rPr>
            </w:pPr>
            <w:r>
              <w:rPr>
                <w:rFonts w:ascii="Times New Roman" w:hAnsi="Times New Roman"/>
                <w:b/>
                <w:color w:val="FFFFFF"/>
                <w:sz w:val="22"/>
              </w:rPr>
              <w:t>FY 2026 Guidance</w:t>
            </w:r>
          </w:p>
        </w:tc>
      </w:tr>
      <w:tr>
        <w:trPr/>
        <w:tc>
          <w:tcPr>
            <w:tcW w:w="1546" w:type="dxa"/>
            <w:tcBorders>
              <w:left w:val="single" w:sz="2" w:space="0" w:color="CCCCCC"/>
              <w:bottom w:val="single" w:sz="2" w:space="0" w:color="CCCCCC"/>
              <w:right w:val="single" w:sz="2" w:space="0" w:color="CCCCCC"/>
            </w:tcBorders>
            <w:shd w:fill="F5F8FC" w:val="clear"/>
            <w:tcMar>
              <w:top w:w="0" w:type="dxa"/>
              <w:left w:w="101" w:type="dxa"/>
              <w:bottom w:w="58" w:type="dxa"/>
              <w:right w:w="101"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 Revenue</w:t>
            </w:r>
          </w:p>
        </w:tc>
        <w:tc>
          <w:tcPr>
            <w:tcW w:w="1651"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$88.5M</w:t>
            </w:r>
          </w:p>
        </w:tc>
        <w:tc>
          <w:tcPr>
            <w:tcW w:w="4591"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$106-112M (mid-point is 23% growth)</w:t>
            </w:r>
          </w:p>
        </w:tc>
      </w:tr>
      <w:tr>
        <w:trPr/>
        <w:tc>
          <w:tcPr>
            <w:tcW w:w="1546" w:type="dxa"/>
            <w:tcBorders>
              <w:left w:val="single" w:sz="2" w:space="0" w:color="CCCCCC"/>
              <w:bottom w:val="single" w:sz="2" w:space="0" w:color="CCCCCC"/>
              <w:right w:val="single" w:sz="2" w:space="0" w:color="CCCCCC"/>
            </w:tcBorders>
            <w:tcMar>
              <w:top w:w="0" w:type="dxa"/>
              <w:left w:w="101" w:type="dxa"/>
              <w:bottom w:w="58" w:type="dxa"/>
              <w:right w:w="101"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Gross Margin</w:t>
            </w:r>
          </w:p>
        </w:tc>
        <w:tc>
          <w:tcPr>
            <w:tcW w:w="1651" w:type="dxa"/>
            <w:tcBorders>
              <w:bottom w:val="single" w:sz="2" w:space="0" w:color="CCCCCC"/>
              <w:right w:val="single" w:sz="2" w:space="0" w:color="CCCCCC"/>
            </w:tcBorders>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81%</w:t>
            </w:r>
          </w:p>
        </w:tc>
        <w:tc>
          <w:tcPr>
            <w:tcW w:w="4591" w:type="dxa"/>
            <w:tcBorders>
              <w:bottom w:val="single" w:sz="2" w:space="0" w:color="CCCCCC"/>
              <w:right w:val="single" w:sz="2" w:space="0" w:color="CCCCCC"/>
            </w:tcBorders>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Maintain ~80%</w:t>
            </w:r>
          </w:p>
        </w:tc>
      </w:tr>
      <w:tr>
        <w:trPr/>
        <w:tc>
          <w:tcPr>
            <w:tcW w:w="1546" w:type="dxa"/>
            <w:tcBorders>
              <w:left w:val="single" w:sz="2" w:space="0" w:color="CCCCCC"/>
              <w:bottom w:val="single" w:sz="2" w:space="0" w:color="CCCCCC"/>
              <w:right w:val="single" w:sz="2" w:space="0" w:color="CCCCCC"/>
            </w:tcBorders>
            <w:shd w:fill="F5F8FC" w:val="clear"/>
            <w:tcMar>
              <w:top w:w="0" w:type="dxa"/>
              <w:left w:w="101" w:type="dxa"/>
              <w:bottom w:w="58" w:type="dxa"/>
              <w:right w:w="101"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Adj. EBITDA</w:t>
            </w:r>
            <w:r>
              <w:rPr>
                <w:rFonts w:ascii="Times New Roman" w:hAnsi="Times New Roman"/>
                <w:color w:val="000000"/>
                <w:sz w:val="22"/>
              </w:rPr>
              <w:t xml:space="preserve"> </w:t>
            </w:r>
          </w:p>
        </w:tc>
        <w:tc>
          <w:tcPr>
            <w:tcW w:w="1651"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xml:space="preserve">$(17.5)M FY </w:t>
            </w:r>
          </w:p>
        </w:tc>
        <w:tc>
          <w:tcPr>
            <w:tcW w:w="4591" w:type="dxa"/>
            <w:tcBorders>
              <w:bottom w:val="single" w:sz="2" w:space="0" w:color="CCCCCC"/>
              <w:right w:val="single" w:sz="2" w:space="0" w:color="CCCCCC"/>
            </w:tcBorders>
            <w:shd w:fill="F5F8FC" w:val="clear"/>
            <w:tcMar>
              <w:top w:w="0" w:type="dxa"/>
              <w:left w:w="0" w:type="dxa"/>
              <w:bottom w:w="58" w:type="dxa"/>
              <w:right w:w="101"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Continued improvement on path to profitability</w:t>
            </w:r>
          </w:p>
        </w:tc>
      </w:tr>
    </w:tbl>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Conference call and webcast information</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Listeners can register for the webcast via this </w:t>
      </w:r>
      <w:r>
        <w:rPr>
          <w:rFonts w:ascii="Times New Roman" w:hAnsi="Times New Roman"/>
          <w:sz w:val="22"/>
        </w:rPr>
        <w:t>link</w:t>
      </w:r>
      <w:r>
        <w:rPr>
          <w:rFonts w:ascii="Times New Roman" w:hAnsi="Times New Roman"/>
          <w:color w:val="000000"/>
          <w:sz w:val="22"/>
        </w:rPr>
        <w:t xml:space="preserve">. Analysts who wish to participate in the question-and-answer session should use this </w:t>
      </w:r>
      <w:r>
        <w:rPr>
          <w:rFonts w:ascii="Times New Roman" w:hAnsi="Times New Roman"/>
          <w:sz w:val="22"/>
        </w:rPr>
        <w:t>link</w:t>
      </w:r>
      <w:r>
        <w:rPr>
          <w:rFonts w:ascii="Times New Roman" w:hAnsi="Times New Roman"/>
          <w:color w:val="000000"/>
          <w:sz w:val="22"/>
        </w:rPr>
        <w:t>. A replay of the webcast will be available via the Company’s investor website approximately two hours after the call’s conclusion. Participants are advised to join 15 minutes prior to the start time.</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For a full list of Biodesix press releases and webinars, please visit </w:t>
      </w:r>
      <w:r>
        <w:rPr>
          <w:rFonts w:ascii="Times New Roman" w:hAnsi="Times New Roman"/>
          <w:sz w:val="22"/>
        </w:rPr>
        <w:t>biodesix.com</w:t>
      </w:r>
      <w:r>
        <w:rPr>
          <w:rFonts w:ascii="Times New Roman" w:hAnsi="Times New Roman"/>
          <w:color w:val="000000"/>
          <w:sz w:val="22"/>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About Biodesix</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Biodesix is a leading diagnostic solutions company, driven to improve clinical care and outcomes for patients. Biodesix Diagnostic Tests, marketed as Nodify Lung® Nodule Risk Assessment and IQLung® Cancer Treatment Guidance, support clinical decisions to expedite personalized care and improve outcomes for patients with lung disease. Biodesix Development Services enable the world’s leading biopharmaceutical, life sciences, and research institutions with scientific, technological, and operational capabilities that fuel the development of diagnostic tests, tools, and therapeutics. For more information, visit </w:t>
      </w:r>
      <w:r>
        <w:rPr>
          <w:rFonts w:ascii="Times New Roman" w:hAnsi="Times New Roman"/>
          <w:sz w:val="22"/>
        </w:rPr>
        <w:t>biodesix.com</w:t>
      </w:r>
      <w:r>
        <w:rPr>
          <w:rFonts w:ascii="Times New Roman" w:hAnsi="Times New Roman"/>
          <w:color w:val="000000"/>
          <w:sz w:val="22"/>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Trademarks: Biodesix, Biodesix Logo, Nodify Lung, and IQLung are trademarks or registered trademarks of Biodesix, Inc.</w:t>
      </w:r>
    </w:p>
    <w:p>
      <w:pPr>
        <w:pStyle w:val="TextBody"/>
        <w:bidi w:val="0"/>
        <w:spacing w:before="240" w:after="283"/>
        <w:jc w:val="left"/>
        <w:rPr>
          <w:rFonts w:ascii="Times New Roman" w:hAnsi="Times New Roman"/>
          <w:sz w:val="20"/>
        </w:rPr>
      </w:pPr>
      <w:r>
        <w:rPr>
          <w:rFonts w:ascii="Times New Roman" w:hAnsi="Times New Roman"/>
          <w:b/>
          <w:color w:val="000000"/>
          <w:sz w:val="22"/>
        </w:rPr>
        <w:t>Use of Non-GAAP Financial Measure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Biodesix reported results are presented in accordance with generally acceptedaccounting principles in the United States (GAAP). Biodesix has provided in this press release financial information that has not been prepared in accordance with GAAP. Biodesix uses the non-GAAP financial measure, Adjusted EBITDA, internally in analyzing its financial results and believes that use of this non-GAAP financial measure is useful to investors as an additional tool to evaluate ongoing operating results and trends and in comparing Biodesix financial results with other companies in its industry, many of which present similar non-GAAP financial measures. Non-GAAP financial measures are not meant to be considered in isolation or as a substitute for comparable GAAP financial measures and should be read only in conjunction with Biodesix financial statements prepared in accordance with GAAP. A reconciliation of Biodesix historical non-GAAP financial measure to the most directly comparable GAAP measure has been provided in the financial statement tables included in this press release, and investors are encouraged to review the reconciliation.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 compensation.</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loss or Loss from operations. Our management recognizes that Adjusted EBITDA has inherent limitations because of the excluded items and may not be directly comparable to similarly titled metrics used by other companies.</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We calculate Adjusted EBITDA as Net loss adjusted to exclude interest, income tax expense, if any, depreciation and amortization, share-based compensation expense, loss on debt extinguishments, net, change in fair value of warrant liabilities, net, other income, net, and other non-recurring items. Non-recurring items are excluded as they are not representative of our underlying operating performance. Adjusted EBITDA should be viewed as a measure of operating performance that is a supplement to, and not a substitute for Loss from operations, Net loss, and other GAAP measures.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Note Regarding Forward-Looking Statements</w:t>
      </w:r>
    </w:p>
    <w:p>
      <w:pPr>
        <w:pStyle w:val="TextBody"/>
        <w:bidi w:val="0"/>
        <w:spacing w:before="120" w:after="283"/>
        <w:jc w:val="both"/>
        <w:rPr>
          <w:rFonts w:ascii="Times New Roman" w:hAnsi="Times New Roman"/>
          <w:sz w:val="20"/>
        </w:rPr>
      </w:pPr>
      <w:r>
        <w:rPr>
          <w:rFonts w:ascii="Times New Roman" w:hAnsi="Times New Roman"/>
          <w:color w:val="000000"/>
          <w:sz w:val="22"/>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assumptions.Forward-looking statements may include information concerning possible or assumed future results of operations, including descriptions of our revenues, profitability, outlook, and overall business strategy, the timing and assumptions regarding collection of revenues on projections, availability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funds and future capital, the anticipated impact and benefits of new clinical data, reimbursement coverage and research partnerships, the impact of enhanced U.S. tariffs, import/export restrictions or other trade barriers on the company and its operations and financial performance. Forward-looking statements are inherently subject to risks and uncertainties, some of which cannot be predicted or quantified. Other factors that could cause actual results to differ materially from those contemplated in this press release can be found in the Risk Factors section of our most recent Annual Report on Form 10-K, filed February 26, 2026.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Contacts:</w:t>
      </w:r>
    </w:p>
    <w:p>
      <w:pPr>
        <w:pStyle w:val="TextBody"/>
        <w:bidi w:val="0"/>
        <w:jc w:val="left"/>
        <w:rPr>
          <w:rFonts w:ascii="Times New Roman" w:hAnsi="Times New Roman"/>
          <w:b/>
          <w:color w:val="000000"/>
          <w:sz w:val="22"/>
        </w:rPr>
      </w:pPr>
      <w:r>
        <w:rPr>
          <w:rFonts w:ascii="Times New Roman" w:hAnsi="Times New Roman"/>
          <w:b/>
          <w:color w:val="000000"/>
          <w:sz w:val="22"/>
        </w:rPr>
        <w:t>Media:</w:t>
      </w:r>
    </w:p>
    <w:p>
      <w:pPr>
        <w:pStyle w:val="TextBody"/>
        <w:bidi w:val="0"/>
        <w:jc w:val="left"/>
        <w:rPr>
          <w:rFonts w:ascii="Times New Roman" w:hAnsi="Times New Roman"/>
          <w:color w:val="000000"/>
          <w:sz w:val="22"/>
        </w:rPr>
      </w:pPr>
      <w:r>
        <w:rPr>
          <w:rFonts w:ascii="Times New Roman" w:hAnsi="Times New Roman"/>
          <w:color w:val="000000"/>
          <w:sz w:val="22"/>
        </w:rPr>
        <w:t>Natalie St. Denis</w:t>
      </w:r>
    </w:p>
    <w:p>
      <w:pPr>
        <w:pStyle w:val="TextBody"/>
        <w:bidi w:val="0"/>
        <w:jc w:val="left"/>
        <w:rPr>
          <w:rFonts w:ascii="Times New Roman" w:hAnsi="Times New Roman"/>
          <w:sz w:val="20"/>
        </w:rPr>
      </w:pPr>
      <w:r>
        <w:rPr>
          <w:rFonts w:ascii="Times New Roman" w:hAnsi="Times New Roman"/>
          <w:sz w:val="20"/>
        </w:rPr>
        <w:t>natalie.stdenis@biodesix.com</w:t>
      </w:r>
    </w:p>
    <w:p>
      <w:pPr>
        <w:pStyle w:val="TextBody"/>
        <w:bidi w:val="0"/>
        <w:jc w:val="left"/>
        <w:rPr>
          <w:rFonts w:ascii="Times New Roman" w:hAnsi="Times New Roman"/>
          <w:color w:val="000000"/>
          <w:sz w:val="22"/>
        </w:rPr>
      </w:pPr>
      <w:r>
        <w:rPr>
          <w:rFonts w:ascii="Times New Roman" w:hAnsi="Times New Roman"/>
          <w:color w:val="000000"/>
          <w:sz w:val="22"/>
        </w:rPr>
        <w:t>(720) 925-9285</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Investors:</w:t>
      </w:r>
    </w:p>
    <w:p>
      <w:pPr>
        <w:pStyle w:val="TextBody"/>
        <w:bidi w:val="0"/>
        <w:jc w:val="left"/>
        <w:rPr>
          <w:rFonts w:ascii="Times New Roman" w:hAnsi="Times New Roman"/>
          <w:color w:val="000000"/>
          <w:sz w:val="22"/>
        </w:rPr>
      </w:pPr>
      <w:r>
        <w:rPr>
          <w:rFonts w:ascii="Times New Roman" w:hAnsi="Times New Roman"/>
          <w:color w:val="000000"/>
          <w:sz w:val="22"/>
        </w:rPr>
        <w:t>Chris Brinzey</w:t>
      </w:r>
    </w:p>
    <w:p>
      <w:pPr>
        <w:pStyle w:val="TextBody"/>
        <w:bidi w:val="0"/>
        <w:jc w:val="left"/>
        <w:rPr>
          <w:rFonts w:ascii="Times New Roman" w:hAnsi="Times New Roman"/>
          <w:sz w:val="20"/>
        </w:rPr>
      </w:pPr>
      <w:r>
        <w:rPr>
          <w:rFonts w:ascii="Times New Roman" w:hAnsi="Times New Roman"/>
          <w:sz w:val="20"/>
        </w:rPr>
        <w:t>chris.brinzey@icrhealthcare.com</w:t>
      </w:r>
    </w:p>
    <w:p>
      <w:pPr>
        <w:pStyle w:val="TextBody"/>
        <w:bidi w:val="0"/>
        <w:jc w:val="left"/>
        <w:rPr>
          <w:rFonts w:ascii="Times New Roman" w:hAnsi="Times New Roman"/>
          <w:color w:val="000000"/>
          <w:sz w:val="22"/>
        </w:rPr>
      </w:pPr>
      <w:r>
        <w:rPr>
          <w:rFonts w:ascii="Times New Roman" w:hAnsi="Times New Roman"/>
          <w:color w:val="000000"/>
          <w:sz w:val="22"/>
        </w:rPr>
        <w:t>(339) 970-2843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Biodesix, Inc.</w:t>
      </w:r>
    </w:p>
    <w:p>
      <w:pPr>
        <w:pStyle w:val="TextBody"/>
        <w:bidi w:val="0"/>
        <w:jc w:val="center"/>
        <w:rPr>
          <w:rFonts w:ascii="Times New Roman" w:hAnsi="Times New Roman"/>
          <w:b/>
          <w:color w:val="000000"/>
          <w:sz w:val="22"/>
        </w:rPr>
      </w:pPr>
      <w:r>
        <w:rPr>
          <w:rFonts w:ascii="Times New Roman" w:hAnsi="Times New Roman"/>
          <w:b/>
          <w:color w:val="000000"/>
          <w:sz w:val="22"/>
        </w:rPr>
        <w:t>Condensed Balance Sheets (unaudited)</w:t>
      </w:r>
    </w:p>
    <w:p>
      <w:pPr>
        <w:pStyle w:val="TextBody"/>
        <w:bidi w:val="0"/>
        <w:jc w:val="center"/>
        <w:rPr>
          <w:rFonts w:ascii="Times New Roman" w:hAnsi="Times New Roman"/>
          <w:b/>
          <w:color w:val="000000"/>
          <w:sz w:val="22"/>
        </w:rPr>
      </w:pPr>
      <w:r>
        <w:rPr>
          <w:rFonts w:ascii="Times New Roman" w:hAnsi="Times New Roman"/>
          <w:b/>
          <w:color w:val="000000"/>
          <w:sz w:val="22"/>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00"/>
        <w:gridCol w:w="146"/>
        <w:gridCol w:w="336"/>
        <w:gridCol w:w="1341"/>
        <w:gridCol w:w="166"/>
        <w:gridCol w:w="146"/>
        <w:gridCol w:w="336"/>
        <w:gridCol w:w="1341"/>
        <w:gridCol w:w="593"/>
      </w:tblGrid>
      <w:tr>
        <w:trPr/>
        <w:tc>
          <w:tcPr>
            <w:tcW w:w="5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26,245</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$62 and $481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57,760</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 Equity</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w:t>
              <w:noBreakHyphen/>
              <w:t>term notes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24,828</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62,051</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5,000,000 authorized; </w:t>
              <w:br/>
              <w:t>    0 (2025 and 2024)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 200,000,000 authorized; </w:t>
              <w:br/>
              <w:t>   8,253,053 (2025) and 7,274,578 (2024)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w:t>
              <w:noBreakHyphen/>
              <w:t>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483,366</w:t>
            </w:r>
          </w:p>
        </w:tc>
        <w:tc>
          <w:tcPr>
            <w:tcW w:w="5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5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Biodesix, Inc.</w:t>
      </w:r>
    </w:p>
    <w:p>
      <w:pPr>
        <w:pStyle w:val="TextBody"/>
        <w:bidi w:val="0"/>
        <w:jc w:val="center"/>
        <w:rPr>
          <w:rFonts w:ascii="Times New Roman" w:hAnsi="Times New Roman"/>
          <w:b/>
          <w:color w:val="000000"/>
          <w:sz w:val="22"/>
        </w:rPr>
      </w:pPr>
      <w:r>
        <w:rPr>
          <w:rFonts w:ascii="Times New Roman" w:hAnsi="Times New Roman"/>
          <w:b/>
          <w:color w:val="000000"/>
          <w:sz w:val="22"/>
        </w:rPr>
        <w:t>Condensed Statements of Operations (unaudited)</w:t>
      </w:r>
    </w:p>
    <w:p>
      <w:pPr>
        <w:pStyle w:val="TextBody"/>
        <w:bidi w:val="0"/>
        <w:jc w:val="center"/>
        <w:rPr>
          <w:rFonts w:ascii="Times New Roman" w:hAnsi="Times New Roman"/>
          <w:b/>
          <w:color w:val="000000"/>
          <w:sz w:val="22"/>
        </w:rPr>
      </w:pPr>
      <w:r>
        <w:rPr>
          <w:rFonts w:ascii="Times New Roman" w:hAnsi="Times New Roman"/>
          <w:b/>
          <w:color w:val="000000"/>
          <w:sz w:val="22"/>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26"/>
        <w:gridCol w:w="146"/>
        <w:gridCol w:w="293"/>
        <w:gridCol w:w="940"/>
        <w:gridCol w:w="230"/>
        <w:gridCol w:w="203"/>
        <w:gridCol w:w="293"/>
        <w:gridCol w:w="940"/>
        <w:gridCol w:w="166"/>
        <w:gridCol w:w="146"/>
        <w:gridCol w:w="211"/>
        <w:gridCol w:w="785"/>
        <w:gridCol w:w="166"/>
        <w:gridCol w:w="146"/>
        <w:gridCol w:w="211"/>
        <w:gridCol w:w="785"/>
        <w:gridCol w:w="418"/>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64,708</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w:t>
            </w:r>
          </w:p>
        </w:tc>
        <w:tc>
          <w:tcPr>
            <w:tcW w:w="2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w:t>
            </w:r>
          </w:p>
        </w:tc>
        <w:tc>
          <w:tcPr>
            <w:tcW w:w="4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71,323</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15,573</w:t>
            </w:r>
          </w:p>
        </w:tc>
        <w:tc>
          <w:tcPr>
            <w:tcW w:w="4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80,451</w:t>
            </w:r>
          </w:p>
        </w:tc>
        <w:tc>
          <w:tcPr>
            <w:tcW w:w="4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30,722</w:t>
            </w:r>
          </w:p>
        </w:tc>
        <w:tc>
          <w:tcPr>
            <w:tcW w:w="2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116,372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105,821</w:t>
            </w:r>
          </w:p>
        </w:tc>
        <w:tc>
          <w:tcPr>
            <w:tcW w:w="4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4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Biodesix,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Net Loss to Adjusted EBITDA (unaudited)</w:t>
      </w:r>
    </w:p>
    <w:p>
      <w:pPr>
        <w:pStyle w:val="TextBody"/>
        <w:bidi w:val="0"/>
        <w:jc w:val="center"/>
        <w:rPr>
          <w:rFonts w:ascii="Times New Roman" w:hAnsi="Times New Roman"/>
          <w:b/>
          <w:color w:val="000000"/>
          <w:sz w:val="22"/>
        </w:rPr>
      </w:pPr>
      <w:r>
        <w:rPr>
          <w:rFonts w:ascii="Times New Roman" w:hAnsi="Times New Roman"/>
          <w:b/>
          <w:color w:val="000000"/>
          <w:sz w:val="22"/>
        </w:rPr>
        <w:t>(in thousands)</w:t>
      </w:r>
    </w:p>
    <w:p>
      <w:pPr>
        <w:pStyle w:val="TextBody"/>
        <w:bidi w:val="0"/>
        <w:jc w:val="center"/>
        <w:rPr/>
      </w:pPr>
      <w:r>
        <w:rPr/>
        <w:t> </w:t>
      </w:r>
    </w:p>
    <w:tbl>
      <w:tblPr>
        <w:tblW w:w="9781" w:type="dxa"/>
        <w:jc w:val="left"/>
        <w:tblInd w:w="0" w:type="dxa"/>
        <w:tblLayout w:type="fixed"/>
        <w:tblCellMar>
          <w:top w:w="28" w:type="dxa"/>
          <w:left w:w="28" w:type="dxa"/>
          <w:bottom w:w="28" w:type="dxa"/>
          <w:right w:w="28" w:type="dxa"/>
        </w:tblCellMar>
      </w:tblPr>
      <w:tblGrid>
        <w:gridCol w:w="3776"/>
        <w:gridCol w:w="325"/>
        <w:gridCol w:w="972"/>
        <w:gridCol w:w="255"/>
        <w:gridCol w:w="224"/>
        <w:gridCol w:w="325"/>
        <w:gridCol w:w="972"/>
        <w:gridCol w:w="166"/>
        <w:gridCol w:w="146"/>
        <w:gridCol w:w="221"/>
        <w:gridCol w:w="771"/>
        <w:gridCol w:w="173"/>
        <w:gridCol w:w="152"/>
        <w:gridCol w:w="221"/>
        <w:gridCol w:w="771"/>
        <w:gridCol w:w="311"/>
      </w:tblGrid>
      <w:tr>
        <w:trPr/>
        <w:tc>
          <w:tcPr>
            <w:tcW w:w="377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liabilities</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2913</Words>
  <Characters>16653</Characters>
  <CharactersWithSpaces>19719</CharactersWithSpaces>
  <Paragraphs>1026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