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303530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320040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15"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163"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CURRENT REPORT</w:t>
      </w:r>
    </w:p>
    <w:p>
      <w:pPr>
        <w:spacing w:after="0" w:line="14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13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May 11, 2021</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Date of Report (Date of earliest event reported)</w:t>
      </w:r>
    </w:p>
    <w:p>
      <w:pPr>
        <w:spacing w:after="0" w:line="124" w:lineRule="exact"/>
        <w:rPr>
          <w:sz w:val="24"/>
          <w:szCs w:val="24"/>
          <w:color w:val="auto"/>
        </w:rPr>
      </w:pPr>
    </w:p>
    <w:p>
      <w:pPr>
        <w:jc w:val="center"/>
        <w:ind w:right="-19"/>
        <w:spacing w:after="0"/>
        <w:rPr>
          <w:sz w:val="20"/>
          <w:szCs w:val="20"/>
          <w:color w:val="auto"/>
        </w:rPr>
      </w:pPr>
      <w:r>
        <w:rPr>
          <w:rFonts w:ascii="Arial" w:cs="Arial" w:eastAsia="Arial" w:hAnsi="Arial"/>
          <w:sz w:val="40"/>
          <w:szCs w:val="40"/>
          <w:b w:val="1"/>
          <w:bCs w:val="1"/>
          <w:color w:val="auto"/>
        </w:rPr>
        <w:t>Biodesix, Inc.</w:t>
      </w:r>
    </w:p>
    <w:p>
      <w:pPr>
        <w:spacing w:after="0" w:line="5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(Exact Name of Registrant as Specified in Charter)</w:t>
      </w:r>
    </w:p>
    <w:p>
      <w:pPr>
        <w:sectPr>
          <w:pgSz w:w="11900" w:h="16838" w:orient="portrait"/>
          <w:cols w:equalWidth="0" w:num="1">
            <w:col w:w="11240"/>
          </w:cols>
          <w:pgMar w:left="320" w:top="571" w:right="339" w:bottom="1440" w:gutter="0" w:footer="0" w:header="0"/>
        </w:sectPr>
      </w:pPr>
    </w:p>
    <w:p>
      <w:pPr>
        <w:spacing w:after="0" w:line="143" w:lineRule="exact"/>
        <w:rPr>
          <w:sz w:val="24"/>
          <w:szCs w:val="24"/>
          <w:color w:val="auto"/>
        </w:rPr>
      </w:pPr>
    </w:p>
    <w:p>
      <w:pPr>
        <w:ind w:left="152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94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6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123" w:lineRule="exact"/>
        <w:rPr>
          <w:sz w:val="24"/>
          <w:szCs w:val="24"/>
          <w:color w:val="auto"/>
        </w:rPr>
      </w:pPr>
    </w:p>
    <w:p>
      <w:pPr>
        <w:jc w:val="center"/>
        <w:ind w:right="1860"/>
        <w:spacing w:after="0"/>
        <w:rPr>
          <w:sz w:val="20"/>
          <w:szCs w:val="20"/>
          <w:color w:val="auto"/>
        </w:rPr>
      </w:pPr>
      <w:r>
        <w:rPr>
          <w:rFonts w:ascii="Arial" w:cs="Arial" w:eastAsia="Arial" w:hAnsi="Arial"/>
          <w:sz w:val="18"/>
          <w:szCs w:val="18"/>
          <w:b w:val="1"/>
          <w:bCs w:val="1"/>
          <w:color w:val="auto"/>
        </w:rPr>
        <w:t>001-39659</w:t>
      </w:r>
    </w:p>
    <w:p>
      <w:pPr>
        <w:spacing w:after="0" w:line="27" w:lineRule="exact"/>
        <w:rPr>
          <w:sz w:val="24"/>
          <w:szCs w:val="24"/>
          <w:color w:val="auto"/>
        </w:rPr>
      </w:pPr>
    </w:p>
    <w:p>
      <w:pPr>
        <w:jc w:val="center"/>
        <w:ind w:right="1860"/>
        <w:spacing w:after="0"/>
        <w:rPr>
          <w:sz w:val="20"/>
          <w:szCs w:val="20"/>
          <w:color w:val="auto"/>
        </w:rPr>
      </w:pPr>
      <w:r>
        <w:rPr>
          <w:rFonts w:ascii="Arial" w:cs="Arial" w:eastAsia="Arial" w:hAnsi="Arial"/>
          <w:sz w:val="16"/>
          <w:szCs w:val="16"/>
          <w:color w:val="auto"/>
        </w:rPr>
        <w:t>(Commission</w:t>
      </w:r>
    </w:p>
    <w:p>
      <w:pPr>
        <w:spacing w:after="0" w:line="32" w:lineRule="exact"/>
        <w:rPr>
          <w:sz w:val="24"/>
          <w:szCs w:val="24"/>
          <w:color w:val="auto"/>
        </w:rPr>
      </w:pPr>
    </w:p>
    <w:p>
      <w:pPr>
        <w:jc w:val="center"/>
        <w:ind w:right="1860"/>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123" w:lineRule="exact"/>
        <w:rPr>
          <w:sz w:val="24"/>
          <w:szCs w:val="24"/>
          <w:color w:val="auto"/>
        </w:rPr>
      </w:pPr>
    </w:p>
    <w:p>
      <w:pPr>
        <w:jc w:val="center"/>
        <w:ind w:right="1220"/>
        <w:spacing w:after="0"/>
        <w:rPr>
          <w:sz w:val="20"/>
          <w:szCs w:val="20"/>
          <w:color w:val="auto"/>
        </w:rPr>
      </w:pPr>
      <w:r>
        <w:rPr>
          <w:rFonts w:ascii="Arial" w:cs="Arial" w:eastAsia="Arial" w:hAnsi="Arial"/>
          <w:sz w:val="18"/>
          <w:szCs w:val="18"/>
          <w:b w:val="1"/>
          <w:bCs w:val="1"/>
          <w:color w:val="auto"/>
        </w:rPr>
        <w:t>20-3986492</w:t>
      </w:r>
    </w:p>
    <w:p>
      <w:pPr>
        <w:spacing w:after="0" w:line="27" w:lineRule="exact"/>
        <w:rPr>
          <w:sz w:val="24"/>
          <w:szCs w:val="24"/>
          <w:color w:val="auto"/>
        </w:rPr>
      </w:pPr>
    </w:p>
    <w:p>
      <w:pPr>
        <w:jc w:val="center"/>
        <w:ind w:right="122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220"/>
        <w:spacing w:after="0"/>
        <w:rPr>
          <w:sz w:val="20"/>
          <w:szCs w:val="20"/>
          <w:color w:val="auto"/>
        </w:rPr>
      </w:pPr>
      <w:r>
        <w:rPr>
          <w:rFonts w:ascii="Arial" w:cs="Arial" w:eastAsia="Arial" w:hAnsi="Arial"/>
          <w:sz w:val="17"/>
          <w:szCs w:val="17"/>
          <w:color w:val="auto"/>
        </w:rPr>
        <w:t>Identification No.)</w:t>
      </w:r>
    </w:p>
    <w:p>
      <w:pPr>
        <w:spacing w:after="0" w:line="150" w:lineRule="exact"/>
        <w:rPr>
          <w:sz w:val="24"/>
          <w:szCs w:val="24"/>
          <w:color w:val="auto"/>
        </w:rPr>
      </w:pPr>
    </w:p>
    <w:p>
      <w:pPr>
        <w:sectPr>
          <w:pgSz w:w="11900" w:h="16838" w:orient="portrait"/>
          <w:cols w:equalWidth="0" w:num="3">
            <w:col w:w="4400" w:space="720"/>
            <w:col w:w="2840" w:space="720"/>
            <w:col w:w="2560"/>
          </w:cols>
          <w:pgMar w:left="320" w:top="571" w:right="339" w:bottom="1440" w:gutter="0" w:footer="0" w:header="0"/>
          <w:type w:val="continuous"/>
        </w:sectPr>
      </w:pPr>
    </w:p>
    <w:p>
      <w:pPr>
        <w:jc w:val="center"/>
        <w:ind w:right="1680"/>
        <w:spacing w:after="0"/>
        <w:rPr>
          <w:sz w:val="20"/>
          <w:szCs w:val="20"/>
          <w:color w:val="auto"/>
        </w:rPr>
      </w:pPr>
      <w:r>
        <w:rPr>
          <w:rFonts w:ascii="Arial" w:cs="Arial" w:eastAsia="Arial" w:hAnsi="Arial"/>
          <w:sz w:val="18"/>
          <w:szCs w:val="18"/>
          <w:b w:val="1"/>
          <w:bCs w:val="1"/>
          <w:color w:val="auto"/>
        </w:rPr>
        <w:t>2970 Wilderness Place, Suite 100</w:t>
      </w:r>
    </w:p>
    <w:p>
      <w:pPr>
        <w:spacing w:after="0" w:line="27" w:lineRule="exact"/>
        <w:rPr>
          <w:sz w:val="24"/>
          <w:szCs w:val="24"/>
          <w:color w:val="auto"/>
        </w:rPr>
      </w:pPr>
    </w:p>
    <w:p>
      <w:pPr>
        <w:jc w:val="center"/>
        <w:ind w:right="1680"/>
        <w:spacing w:after="0"/>
        <w:rPr>
          <w:sz w:val="20"/>
          <w:szCs w:val="20"/>
          <w:color w:val="auto"/>
        </w:rPr>
      </w:pPr>
      <w:r>
        <w:rPr>
          <w:rFonts w:ascii="Arial" w:cs="Arial" w:eastAsia="Arial" w:hAnsi="Arial"/>
          <w:sz w:val="18"/>
          <w:szCs w:val="18"/>
          <w:b w:val="1"/>
          <w:bCs w:val="1"/>
          <w:color w:val="auto"/>
        </w:rPr>
        <w:t>Boulder, Colorado</w:t>
      </w:r>
    </w:p>
    <w:p>
      <w:pPr>
        <w:spacing w:after="0" w:line="9" w:lineRule="exact"/>
        <w:rPr>
          <w:sz w:val="24"/>
          <w:szCs w:val="24"/>
          <w:color w:val="auto"/>
        </w:rPr>
      </w:pPr>
    </w:p>
    <w:p>
      <w:pPr>
        <w:jc w:val="center"/>
        <w:ind w:right="1680"/>
        <w:spacing w:after="0"/>
        <w:rPr>
          <w:sz w:val="20"/>
          <w:szCs w:val="20"/>
          <w:color w:val="auto"/>
        </w:rPr>
      </w:pPr>
      <w:r>
        <w:rPr>
          <w:rFonts w:ascii="Arial" w:cs="Arial" w:eastAsia="Arial" w:hAnsi="Arial"/>
          <w:sz w:val="16"/>
          <w:szCs w:val="16"/>
          <w:color w:val="auto"/>
        </w:rPr>
        <w:t>(Address of Principal Executive Office)</w:t>
      </w:r>
    </w:p>
    <w:p>
      <w:pPr>
        <w:spacing w:after="0" w:line="20" w:lineRule="exact"/>
        <w:rPr>
          <w:sz w:val="24"/>
          <w:szCs w:val="24"/>
          <w:color w:val="auto"/>
        </w:rPr>
      </w:pPr>
      <w:r>
        <w:rPr>
          <w:sz w:val="24"/>
          <w:szCs w:val="24"/>
          <w:color w:val="auto"/>
        </w:rPr>
        <w:br w:type="column"/>
      </w:r>
    </w:p>
    <w:p>
      <w:pPr>
        <w:spacing w:after="0" w:line="196" w:lineRule="exact"/>
        <w:rPr>
          <w:sz w:val="24"/>
          <w:szCs w:val="24"/>
          <w:color w:val="auto"/>
        </w:rPr>
      </w:pPr>
    </w:p>
    <w:p>
      <w:pPr>
        <w:jc w:val="center"/>
        <w:ind w:right="2420"/>
        <w:spacing w:after="0"/>
        <w:rPr>
          <w:sz w:val="20"/>
          <w:szCs w:val="20"/>
          <w:color w:val="auto"/>
        </w:rPr>
      </w:pPr>
      <w:r>
        <w:rPr>
          <w:rFonts w:ascii="Arial" w:cs="Arial" w:eastAsia="Arial" w:hAnsi="Arial"/>
          <w:sz w:val="18"/>
          <w:szCs w:val="18"/>
          <w:b w:val="1"/>
          <w:bCs w:val="1"/>
          <w:color w:val="auto"/>
        </w:rPr>
        <w:t>80301</w:t>
      </w:r>
    </w:p>
    <w:p>
      <w:pPr>
        <w:spacing w:after="0" w:line="27" w:lineRule="exact"/>
        <w:rPr>
          <w:sz w:val="24"/>
          <w:szCs w:val="24"/>
          <w:color w:val="auto"/>
        </w:rPr>
      </w:pPr>
    </w:p>
    <w:p>
      <w:pPr>
        <w:jc w:val="center"/>
        <w:ind w:right="2420"/>
        <w:spacing w:after="0"/>
        <w:rPr>
          <w:sz w:val="20"/>
          <w:szCs w:val="20"/>
          <w:color w:val="auto"/>
        </w:rPr>
      </w:pPr>
      <w:r>
        <w:rPr>
          <w:rFonts w:ascii="Arial" w:cs="Arial" w:eastAsia="Arial" w:hAnsi="Arial"/>
          <w:sz w:val="16"/>
          <w:szCs w:val="16"/>
          <w:color w:val="auto"/>
        </w:rPr>
        <w:t>(Zip Code)</w:t>
      </w:r>
    </w:p>
    <w:p>
      <w:pPr>
        <w:spacing w:after="0" w:line="162" w:lineRule="exact"/>
        <w:rPr>
          <w:sz w:val="24"/>
          <w:szCs w:val="24"/>
          <w:color w:val="auto"/>
        </w:rPr>
      </w:pPr>
    </w:p>
    <w:p>
      <w:pPr>
        <w:sectPr>
          <w:pgSz w:w="11900" w:h="16838" w:orient="portrait"/>
          <w:cols w:equalWidth="0" w:num="2">
            <w:col w:w="7300" w:space="720"/>
            <w:col w:w="3220"/>
          </w:cols>
          <w:pgMar w:left="320" w:top="571" w:right="339" w:bottom="1440" w:gutter="0" w:footer="0" w:header="0"/>
          <w:type w:val="continuous"/>
        </w:sectPr>
      </w:pPr>
    </w:p>
    <w:p>
      <w:pPr>
        <w:ind w:left="3140"/>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(303) 417-0500</w:t>
      </w:r>
    </w:p>
    <w:p>
      <w:pPr>
        <w:spacing w:after="0" w:line="144" w:lineRule="exact"/>
        <w:rPr>
          <w:sz w:val="24"/>
          <w:szCs w:val="24"/>
          <w:color w:val="auto"/>
        </w:rPr>
      </w:pPr>
    </w:p>
    <w:p>
      <w:pPr>
        <w:ind w:left="5040"/>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143"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0" w:hanging="237"/>
        <w:spacing w:after="0"/>
        <w:tabs>
          <w:tab w:leader="none" w:pos="420"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 pursuant to Rule 425 under the Securities Act (17 CFR 230.425)</w:t>
      </w:r>
    </w:p>
    <w:p>
      <w:pPr>
        <w:spacing w:after="0" w:line="144" w:lineRule="exact"/>
        <w:rPr>
          <w:rFonts w:ascii="MS PGothic" w:cs="MS PGothic" w:eastAsia="MS PGothic" w:hAnsi="MS PGothic"/>
          <w:sz w:val="18"/>
          <w:szCs w:val="18"/>
          <w:color w:val="auto"/>
        </w:rPr>
      </w:pPr>
    </w:p>
    <w:p>
      <w:pPr>
        <w:ind w:left="420" w:hanging="237"/>
        <w:spacing w:after="0"/>
        <w:tabs>
          <w:tab w:leader="none" w:pos="420"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44" w:lineRule="exact"/>
        <w:rPr>
          <w:rFonts w:ascii="MS PGothic" w:cs="MS PGothic" w:eastAsia="MS PGothic" w:hAnsi="MS PGothic"/>
          <w:sz w:val="18"/>
          <w:szCs w:val="18"/>
          <w:color w:val="auto"/>
        </w:rPr>
      </w:pPr>
    </w:p>
    <w:p>
      <w:pPr>
        <w:ind w:left="420" w:hanging="250"/>
        <w:spacing w:after="0"/>
        <w:tabs>
          <w:tab w:leader="none" w:pos="4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 pursuant to Rule 14d-2(b) under the Exchange Act (17 CFR 240.14d-2(b))</w:t>
      </w:r>
    </w:p>
    <w:p>
      <w:pPr>
        <w:spacing w:after="0" w:line="144" w:lineRule="exact"/>
        <w:rPr>
          <w:rFonts w:ascii="MS PGothic" w:cs="MS PGothic" w:eastAsia="MS PGothic" w:hAnsi="MS PGothic"/>
          <w:sz w:val="18"/>
          <w:szCs w:val="18"/>
          <w:color w:val="auto"/>
        </w:rPr>
      </w:pPr>
    </w:p>
    <w:p>
      <w:pPr>
        <w:ind w:right="2860" w:firstLine="183"/>
        <w:spacing w:after="0" w:line="404" w:lineRule="auto"/>
        <w:tabs>
          <w:tab w:leader="none" w:pos="405"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46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6"/>
              </w:rPr>
              <w:t>Title of each class</w:t>
            </w:r>
          </w:p>
        </w:tc>
        <w:tc>
          <w:tcPr>
            <w:tcW w:w="210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9"/>
              </w:rPr>
              <w:t>Trading Symbol(s)</w:t>
            </w:r>
          </w:p>
        </w:tc>
        <w:tc>
          <w:tcPr>
            <w:tcW w:w="450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30"/>
        </w:trPr>
        <w:tc>
          <w:tcPr>
            <w:tcW w:w="45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9"/>
              </w:rPr>
              <w:t>Common Stock, par value of $0.001 per share</w:t>
            </w:r>
          </w:p>
        </w:tc>
        <w:tc>
          <w:tcPr>
            <w:tcW w:w="100" w:type="dxa"/>
            <w:vAlign w:val="bottom"/>
          </w:tcPr>
          <w:p>
            <w:pPr>
              <w:spacing w:after="0"/>
              <w:rPr>
                <w:sz w:val="20"/>
                <w:szCs w:val="20"/>
                <w:color w:val="auto"/>
              </w:rPr>
            </w:pPr>
          </w:p>
        </w:tc>
        <w:tc>
          <w:tcPr>
            <w:tcW w:w="20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7"/>
              </w:rPr>
              <w:t>BDSX</w:t>
            </w:r>
          </w:p>
        </w:tc>
        <w:tc>
          <w:tcPr>
            <w:tcW w:w="80" w:type="dxa"/>
            <w:vAlign w:val="bottom"/>
          </w:tcPr>
          <w:p>
            <w:pPr>
              <w:spacing w:after="0"/>
              <w:rPr>
                <w:sz w:val="20"/>
                <w:szCs w:val="20"/>
                <w:color w:val="auto"/>
              </w:rPr>
            </w:pPr>
          </w:p>
        </w:tc>
        <w:tc>
          <w:tcPr>
            <w:tcW w:w="45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The Nasdaq Stock Market LLC</w:t>
            </w:r>
          </w:p>
        </w:tc>
      </w:tr>
    </w:tbl>
    <w:p>
      <w:pPr>
        <w:spacing w:after="0" w:line="133"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w:t>
      </w:r>
    </w:p>
    <w:p>
      <w:pPr>
        <w:spacing w:after="0" w:line="9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6"/>
          <w:szCs w:val="16"/>
          <w:color w:val="auto"/>
        </w:rPr>
        <w:t>☒</w:t>
      </w:r>
    </w:p>
    <w:p>
      <w:pPr>
        <w:spacing w:after="0" w:line="156"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56515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73660</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438150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71"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212529"/>
        </w:rPr>
        <w:t>Item 2.02. Results of Operations and Financial Condition.</w:t>
      </w:r>
    </w:p>
    <w:p>
      <w:pPr>
        <w:spacing w:after="0" w:line="229"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On May 11, 2021, Biodesix, Inc. (the “Company”) issued a press release announcing the financial and operating results of the Company for the first quarter ended March 31, 2021. A copy of the press release is furnished as Exhibit 99.1 to this report and is incorporated herein by reference.</w:t>
      </w:r>
    </w:p>
    <w:p>
      <w:pPr>
        <w:spacing w:after="0" w:line="160"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The information contained in Item 2.02 to this Current Report on Form 8-K and Exhibit 99.1 attached hereto is furnished and shall not be deemed “filed” for purposes of Section 18 of the Securities Exchange Act of 1934, as amended, nor shall it be deemed incorporated by reference in any filing under the Securities Act of 1933, as amended, except as shall be expressly set forth by specific reference in such document or filing.</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212529"/>
        </w:rPr>
        <w:t>Item 9.01. Financial Statements and Exhibits.</w:t>
      </w:r>
    </w:p>
    <w:p>
      <w:pPr>
        <w:spacing w:after="0" w:line="229" w:lineRule="exact"/>
        <w:rPr>
          <w:sz w:val="20"/>
          <w:szCs w:val="20"/>
          <w:color w:val="auto"/>
        </w:rPr>
      </w:pPr>
    </w:p>
    <w:p>
      <w:pPr>
        <w:ind w:left="260" w:hanging="252"/>
        <w:spacing w:after="0"/>
        <w:tabs>
          <w:tab w:leader="none" w:pos="260" w:val="left"/>
        </w:tabs>
        <w:numPr>
          <w:ilvl w:val="0"/>
          <w:numId w:val="2"/>
        </w:numPr>
        <w:rPr>
          <w:rFonts w:ascii="Arial" w:cs="Arial" w:eastAsia="Arial" w:hAnsi="Arial"/>
          <w:sz w:val="18"/>
          <w:szCs w:val="18"/>
          <w:i w:val="1"/>
          <w:iCs w:val="1"/>
          <w:color w:val="auto"/>
        </w:rPr>
      </w:pPr>
      <w:r>
        <w:rPr>
          <w:rFonts w:ascii="Arial" w:cs="Arial" w:eastAsia="Arial" w:hAnsi="Arial"/>
          <w:sz w:val="18"/>
          <w:szCs w:val="18"/>
          <w:i w:val="1"/>
          <w:iCs w:val="1"/>
          <w:color w:val="auto"/>
        </w:rPr>
        <w:t>Exhibits:</w:t>
      </w:r>
    </w:p>
    <w:p>
      <w:pPr>
        <w:spacing w:after="0" w:line="248" w:lineRule="exact"/>
        <w:rPr>
          <w:rFonts w:ascii="Arial" w:cs="Arial" w:eastAsia="Arial" w:hAnsi="Arial"/>
          <w:sz w:val="18"/>
          <w:szCs w:val="18"/>
          <w:i w:val="1"/>
          <w:iCs w:val="1"/>
          <w:color w:val="auto"/>
        </w:rPr>
      </w:pPr>
    </w:p>
    <w:p>
      <w:pPr>
        <w:ind w:left="260"/>
        <w:spacing w:after="0"/>
        <w:rPr>
          <w:rFonts w:ascii="Arial" w:cs="Arial" w:eastAsia="Arial" w:hAnsi="Arial"/>
          <w:sz w:val="18"/>
          <w:szCs w:val="18"/>
          <w:i w:val="1"/>
          <w:iCs w:val="1"/>
          <w:color w:val="auto"/>
        </w:rPr>
      </w:pPr>
      <w:r>
        <w:rPr>
          <w:rFonts w:ascii="Arial" w:cs="Arial" w:eastAsia="Arial" w:hAnsi="Arial"/>
          <w:sz w:val="18"/>
          <w:szCs w:val="18"/>
          <w:b w:val="1"/>
          <w:bCs w:val="1"/>
          <w:color w:val="auto"/>
        </w:rPr>
        <w:t>No.</w:t>
      </w:r>
      <w:r>
        <w:rPr>
          <w:rFonts w:ascii="Arial" w:cs="Arial" w:eastAsia="Arial" w:hAnsi="Arial"/>
          <w:sz w:val="16"/>
          <w:szCs w:val="16"/>
          <w:b w:val="1"/>
          <w:bCs w:val="1"/>
          <w:color w:val="auto"/>
        </w:rPr>
        <w:t>Exhibit</w:t>
      </w:r>
    </w:p>
    <w:p>
      <w:pPr>
        <w:spacing w:after="0" w:line="27" w:lineRule="exact"/>
        <w:rPr>
          <w:rFonts w:ascii="Arial" w:cs="Arial" w:eastAsia="Arial" w:hAnsi="Arial"/>
          <w:sz w:val="18"/>
          <w:szCs w:val="18"/>
          <w:i w:val="1"/>
          <w:iCs w:val="1"/>
          <w:color w:val="auto"/>
        </w:rPr>
      </w:pPr>
    </w:p>
    <w:p>
      <w:pPr>
        <w:ind w:left="240"/>
        <w:spacing w:after="0"/>
        <w:rPr>
          <w:rFonts w:ascii="Arial" w:cs="Arial" w:eastAsia="Arial" w:hAnsi="Arial"/>
          <w:sz w:val="18"/>
          <w:szCs w:val="18"/>
          <w:color w:val="auto"/>
        </w:rPr>
      </w:pPr>
      <w:r>
        <w:rPr>
          <w:rFonts w:ascii="Arial" w:cs="Arial" w:eastAsia="Arial" w:hAnsi="Arial"/>
          <w:sz w:val="18"/>
          <w:szCs w:val="18"/>
          <w:color w:val="auto"/>
        </w:rPr>
        <w:t xml:space="preserve">99.1    </w:t>
      </w:r>
      <w:hyperlink w:anchor="page4">
        <w:r>
          <w:rPr>
            <w:rFonts w:ascii="Arial" w:cs="Arial" w:eastAsia="Arial" w:hAnsi="Arial"/>
            <w:sz w:val="18"/>
            <w:szCs w:val="18"/>
            <w:u w:val="single" w:color="auto"/>
            <w:color w:val="0000EE"/>
          </w:rPr>
          <w:t>Press Release issued by Biodesix, Inc. dated May 11, 2021</w:t>
        </w:r>
      </w:hyperlink>
    </w:p>
    <w:p>
      <w:pPr>
        <w:spacing w:after="0" w:line="22" w:lineRule="exact"/>
        <w:rPr>
          <w:rFonts w:ascii="Arial" w:cs="Arial" w:eastAsia="Arial" w:hAnsi="Arial"/>
          <w:sz w:val="18"/>
          <w:szCs w:val="18"/>
          <w:color w:val="auto"/>
        </w:rPr>
      </w:pPr>
    </w:p>
    <w:p>
      <w:pPr>
        <w:ind w:left="260"/>
        <w:spacing w:after="0"/>
        <w:rPr>
          <w:rFonts w:ascii="Arial" w:cs="Arial" w:eastAsia="Arial" w:hAnsi="Arial"/>
          <w:sz w:val="18"/>
          <w:szCs w:val="18"/>
          <w:color w:val="auto"/>
        </w:rPr>
      </w:pPr>
      <w:r>
        <w:rPr>
          <w:rFonts w:ascii="Arial" w:cs="Arial" w:eastAsia="Arial" w:hAnsi="Arial"/>
          <w:sz w:val="18"/>
          <w:szCs w:val="18"/>
          <w:color w:val="auto"/>
        </w:rPr>
        <w:t>104</w:t>
      </w:r>
      <w:r>
        <w:rPr>
          <w:rFonts w:ascii="Arial" w:cs="Arial" w:eastAsia="Arial" w:hAnsi="Arial"/>
          <w:sz w:val="16"/>
          <w:szCs w:val="16"/>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-276225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490220</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80" w:right="3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color w:val="auto"/>
        </w:rPr>
        <w:t>SIGNATURE</w:t>
      </w:r>
    </w:p>
    <w:p>
      <w:pPr>
        <w:spacing w:after="0" w:line="225"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960" w:type="dxa"/>
            <w:vAlign w:val="bottom"/>
          </w:tcPr>
          <w:p>
            <w:pPr>
              <w:spacing w:after="0"/>
              <w:rPr>
                <w:sz w:val="20"/>
                <w:szCs w:val="20"/>
                <w:color w:val="auto"/>
              </w:rPr>
            </w:pPr>
            <w:r>
              <w:rPr>
                <w:rFonts w:ascii="Arial" w:cs="Arial" w:eastAsia="Arial" w:hAnsi="Arial"/>
                <w:sz w:val="18"/>
                <w:szCs w:val="18"/>
                <w:color w:val="auto"/>
              </w:rPr>
              <w:t>Dated: May 11, 2021</w:t>
            </w:r>
          </w:p>
        </w:tc>
        <w:tc>
          <w:tcPr>
            <w:tcW w:w="7280" w:type="dxa"/>
            <w:vAlign w:val="bottom"/>
            <w:gridSpan w:val="2"/>
          </w:tcPr>
          <w:p>
            <w:pPr>
              <w:ind w:left="2400"/>
              <w:spacing w:after="0"/>
              <w:rPr>
                <w:sz w:val="20"/>
                <w:szCs w:val="20"/>
                <w:color w:val="auto"/>
              </w:rPr>
            </w:pPr>
            <w:r>
              <w:rPr>
                <w:rFonts w:ascii="Arial" w:cs="Arial" w:eastAsia="Arial" w:hAnsi="Arial"/>
                <w:sz w:val="18"/>
                <w:szCs w:val="18"/>
                <w:color w:val="auto"/>
              </w:rPr>
              <w:t>BIODESIX, INC.</w:t>
            </w:r>
          </w:p>
        </w:tc>
      </w:tr>
      <w:tr>
        <w:trPr>
          <w:trHeight w:val="432"/>
        </w:trPr>
        <w:tc>
          <w:tcPr>
            <w:tcW w:w="3960" w:type="dxa"/>
            <w:vAlign w:val="bottom"/>
          </w:tcPr>
          <w:p>
            <w:pPr>
              <w:spacing w:after="0"/>
              <w:rPr>
                <w:sz w:val="24"/>
                <w:szCs w:val="24"/>
                <w:color w:val="auto"/>
              </w:rPr>
            </w:pPr>
          </w:p>
        </w:tc>
        <w:tc>
          <w:tcPr>
            <w:tcW w:w="3060" w:type="dxa"/>
            <w:vAlign w:val="bottom"/>
          </w:tcPr>
          <w:p>
            <w:pPr>
              <w:ind w:left="2400"/>
              <w:spacing w:after="0"/>
              <w:rPr>
                <w:sz w:val="20"/>
                <w:szCs w:val="20"/>
                <w:color w:val="auto"/>
              </w:rPr>
            </w:pPr>
            <w:r>
              <w:rPr>
                <w:rFonts w:ascii="Arial" w:cs="Arial" w:eastAsia="Arial" w:hAnsi="Arial"/>
                <w:sz w:val="18"/>
                <w:szCs w:val="18"/>
                <w:color w:val="auto"/>
              </w:rPr>
              <w:t>By:</w:t>
            </w:r>
          </w:p>
        </w:tc>
        <w:tc>
          <w:tcPr>
            <w:tcW w:w="42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Robin Harper Cowie</w:t>
            </w:r>
          </w:p>
        </w:tc>
      </w:tr>
      <w:tr>
        <w:trPr>
          <w:trHeight w:val="195"/>
        </w:trPr>
        <w:tc>
          <w:tcPr>
            <w:tcW w:w="3960" w:type="dxa"/>
            <w:vAlign w:val="bottom"/>
          </w:tcPr>
          <w:p>
            <w:pPr>
              <w:spacing w:after="0"/>
              <w:rPr>
                <w:sz w:val="16"/>
                <w:szCs w:val="16"/>
                <w:color w:val="auto"/>
              </w:rPr>
            </w:pPr>
          </w:p>
        </w:tc>
        <w:tc>
          <w:tcPr>
            <w:tcW w:w="3060" w:type="dxa"/>
            <w:vAlign w:val="bottom"/>
          </w:tcPr>
          <w:p>
            <w:pPr>
              <w:ind w:left="2400"/>
              <w:spacing w:after="0" w:line="195" w:lineRule="exact"/>
              <w:rPr>
                <w:sz w:val="20"/>
                <w:szCs w:val="20"/>
                <w:color w:val="auto"/>
              </w:rPr>
            </w:pPr>
            <w:r>
              <w:rPr>
                <w:rFonts w:ascii="Arial" w:cs="Arial" w:eastAsia="Arial" w:hAnsi="Arial"/>
                <w:sz w:val="18"/>
                <w:szCs w:val="18"/>
                <w:color w:val="auto"/>
              </w:rPr>
              <w:t>Name:</w:t>
            </w:r>
          </w:p>
        </w:tc>
        <w:tc>
          <w:tcPr>
            <w:tcW w:w="4220" w:type="dxa"/>
            <w:vAlign w:val="bottom"/>
          </w:tcPr>
          <w:p>
            <w:pPr>
              <w:spacing w:after="0" w:line="195" w:lineRule="exact"/>
              <w:rPr>
                <w:sz w:val="20"/>
                <w:szCs w:val="20"/>
                <w:color w:val="auto"/>
              </w:rPr>
            </w:pPr>
            <w:r>
              <w:rPr>
                <w:rFonts w:ascii="Arial" w:cs="Arial" w:eastAsia="Arial" w:hAnsi="Arial"/>
                <w:sz w:val="18"/>
                <w:szCs w:val="18"/>
                <w:color w:val="auto"/>
              </w:rPr>
              <w:t>Robin Harper Cowie</w:t>
            </w:r>
          </w:p>
        </w:tc>
      </w:tr>
      <w:tr>
        <w:trPr>
          <w:trHeight w:val="230"/>
        </w:trPr>
        <w:tc>
          <w:tcPr>
            <w:tcW w:w="3960" w:type="dxa"/>
            <w:vAlign w:val="bottom"/>
          </w:tcPr>
          <w:p>
            <w:pPr>
              <w:spacing w:after="0"/>
              <w:rPr>
                <w:sz w:val="20"/>
                <w:szCs w:val="20"/>
                <w:color w:val="auto"/>
              </w:rPr>
            </w:pPr>
          </w:p>
        </w:tc>
        <w:tc>
          <w:tcPr>
            <w:tcW w:w="3060" w:type="dxa"/>
            <w:vAlign w:val="bottom"/>
          </w:tcPr>
          <w:p>
            <w:pPr>
              <w:ind w:left="2400"/>
              <w:spacing w:after="0"/>
              <w:rPr>
                <w:sz w:val="20"/>
                <w:szCs w:val="20"/>
                <w:color w:val="auto"/>
              </w:rPr>
            </w:pPr>
            <w:r>
              <w:rPr>
                <w:rFonts w:ascii="Arial" w:cs="Arial" w:eastAsia="Arial" w:hAnsi="Arial"/>
                <w:sz w:val="18"/>
                <w:szCs w:val="18"/>
                <w:color w:val="auto"/>
              </w:rPr>
              <w:t>Title:</w:t>
            </w:r>
          </w:p>
        </w:tc>
        <w:tc>
          <w:tcPr>
            <w:tcW w:w="422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ectPr>
          <w:pgSz w:w="11900" w:h="16838" w:orient="portrait"/>
          <w:cols w:equalWidth="0" w:num="1">
            <w:col w:w="11240"/>
          </w:cols>
          <w:pgMar w:left="320" w:top="584"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0"/>
          <w:szCs w:val="20"/>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2447925</wp:posOffset>
            </wp:positionH>
            <wp:positionV relativeFrom="paragraph">
              <wp:posOffset>13970</wp:posOffset>
            </wp:positionV>
            <wp:extent cx="2245995" cy="7029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245995" cy="7029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Biodesix Announces First Quarter 2021 Results</w:t>
      </w:r>
    </w:p>
    <w:p>
      <w:pPr>
        <w:spacing w:after="0" w:line="160" w:lineRule="exact"/>
        <w:rPr>
          <w:sz w:val="20"/>
          <w:szCs w:val="20"/>
          <w:color w:val="auto"/>
        </w:rPr>
      </w:pPr>
    </w:p>
    <w:p>
      <w:pPr>
        <w:ind w:left="380"/>
        <w:spacing w:after="0"/>
        <w:rPr>
          <w:sz w:val="20"/>
          <w:szCs w:val="20"/>
          <w:color w:val="auto"/>
        </w:rPr>
      </w:pPr>
      <w:r>
        <w:rPr>
          <w:rFonts w:ascii="Arial" w:cs="Arial" w:eastAsia="Arial" w:hAnsi="Arial"/>
          <w:sz w:val="19"/>
          <w:szCs w:val="19"/>
          <w:i w:val="1"/>
          <w:iCs w:val="1"/>
          <w:color w:val="auto"/>
        </w:rPr>
        <w:t>First Quarter 2021 Record Revenue of Approximately $28.9 Million Representing 466% Growth over First Quarter 2020</w:t>
      </w:r>
    </w:p>
    <w:p>
      <w:pPr>
        <w:spacing w:after="0" w:line="160" w:lineRule="exact"/>
        <w:rPr>
          <w:sz w:val="20"/>
          <w:szCs w:val="20"/>
          <w:color w:val="auto"/>
        </w:rPr>
      </w:pPr>
    </w:p>
    <w:p>
      <w:pPr>
        <w:ind w:left="480"/>
        <w:spacing w:after="0"/>
        <w:rPr>
          <w:sz w:val="20"/>
          <w:szCs w:val="20"/>
          <w:color w:val="auto"/>
        </w:rPr>
      </w:pPr>
      <w:r>
        <w:rPr>
          <w:rFonts w:ascii="Arial" w:cs="Arial" w:eastAsia="Arial" w:hAnsi="Arial"/>
          <w:sz w:val="19"/>
          <w:szCs w:val="19"/>
          <w:i w:val="1"/>
          <w:iCs w:val="1"/>
          <w:color w:val="auto"/>
        </w:rPr>
        <w:t>Announced Plans to Launch Two New Diagnostic Tests - SARS-CoV-2 Neutralization Antibody Detection Test and Next</w:t>
      </w:r>
    </w:p>
    <w:p>
      <w:pPr>
        <w:spacing w:after="0" w:line="43"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auto"/>
        </w:rPr>
        <w:t>Generation Sequencing Test</w:t>
      </w:r>
    </w:p>
    <w:p>
      <w:pPr>
        <w:spacing w:after="0" w:line="290" w:lineRule="exact"/>
        <w:rPr>
          <w:sz w:val="20"/>
          <w:szCs w:val="20"/>
          <w:color w:val="auto"/>
        </w:rPr>
      </w:pPr>
    </w:p>
    <w:p>
      <w:pPr>
        <w:ind w:right="160"/>
        <w:spacing w:after="0" w:line="243" w:lineRule="auto"/>
        <w:rPr>
          <w:sz w:val="20"/>
          <w:szCs w:val="20"/>
          <w:color w:val="auto"/>
        </w:rPr>
      </w:pPr>
      <w:r>
        <w:rPr>
          <w:rFonts w:ascii="Arial" w:cs="Arial" w:eastAsia="Arial" w:hAnsi="Arial"/>
          <w:sz w:val="22"/>
          <w:szCs w:val="22"/>
          <w:b w:val="1"/>
          <w:bCs w:val="1"/>
          <w:color w:val="auto"/>
        </w:rPr>
        <w:t xml:space="preserve">BOULDER, CO, May 11, 2021 – </w:t>
      </w:r>
      <w:r>
        <w:rPr>
          <w:rFonts w:ascii="Arial" w:cs="Arial" w:eastAsia="Arial" w:hAnsi="Arial"/>
          <w:sz w:val="22"/>
          <w:szCs w:val="22"/>
          <w:u w:val="single" w:color="auto"/>
          <w:color w:val="0000FF"/>
        </w:rPr>
        <w:t>Biodesix, Inc.</w:t>
      </w:r>
      <w:r>
        <w:rPr>
          <w:rFonts w:ascii="Arial" w:cs="Arial" w:eastAsia="Arial" w:hAnsi="Arial"/>
          <w:sz w:val="22"/>
          <w:szCs w:val="22"/>
          <w:b w:val="1"/>
          <w:bCs w:val="1"/>
          <w:color w:val="auto"/>
        </w:rPr>
        <w:t xml:space="preserve"> </w:t>
      </w:r>
      <w:r>
        <w:rPr>
          <w:rFonts w:ascii="Arial" w:cs="Arial" w:eastAsia="Arial" w:hAnsi="Arial"/>
          <w:sz w:val="22"/>
          <w:szCs w:val="22"/>
          <w:color w:val="auto"/>
        </w:rPr>
        <w:t>(Nasdaq: BDSX), a leading data-driven diagnostic solutions company with a</w:t>
      </w:r>
      <w:r>
        <w:rPr>
          <w:rFonts w:ascii="Arial" w:cs="Arial" w:eastAsia="Arial" w:hAnsi="Arial"/>
          <w:sz w:val="22"/>
          <w:szCs w:val="22"/>
          <w:b w:val="1"/>
          <w:bCs w:val="1"/>
          <w:color w:val="auto"/>
        </w:rPr>
        <w:t xml:space="preserve"> </w:t>
      </w:r>
      <w:r>
        <w:rPr>
          <w:rFonts w:ascii="Arial" w:cs="Arial" w:eastAsia="Arial" w:hAnsi="Arial"/>
          <w:sz w:val="22"/>
          <w:szCs w:val="22"/>
          <w:color w:val="auto"/>
        </w:rPr>
        <w:t>focus in lung disease, today announced financial and operating results for the first quarter ended March 31, 2021 and provided a corporate update.</w:t>
      </w:r>
    </w:p>
    <w:p>
      <w:pPr>
        <w:spacing w:after="0" w:line="183" w:lineRule="exact"/>
        <w:rPr>
          <w:sz w:val="20"/>
          <w:szCs w:val="20"/>
          <w:color w:val="auto"/>
        </w:rPr>
      </w:pPr>
    </w:p>
    <w:p>
      <w:pPr>
        <w:ind w:right="40"/>
        <w:spacing w:after="0" w:line="238" w:lineRule="auto"/>
        <w:rPr>
          <w:sz w:val="20"/>
          <w:szCs w:val="20"/>
          <w:color w:val="auto"/>
        </w:rPr>
      </w:pPr>
      <w:r>
        <w:rPr>
          <w:rFonts w:ascii="Arial" w:cs="Arial" w:eastAsia="Arial" w:hAnsi="Arial"/>
          <w:sz w:val="22"/>
          <w:szCs w:val="22"/>
          <w:color w:val="auto"/>
        </w:rPr>
        <w:t>“We were pleased with our strong operating and financial performance in the first quarter and believe we are off to a solid start in 2021,” said Scott Hutton, Chief Executive Officer. “We are encouraged by the trends in our core lung diagnostic testing. Additionally, Biodesix continues to innovate as demonstrated through our announcement of two new products and we are well-positioned for the future.”</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First Quarter 2021 Financial Results</w:t>
      </w:r>
    </w:p>
    <w:p>
      <w:pPr>
        <w:spacing w:after="0" w:line="212" w:lineRule="exact"/>
        <w:rPr>
          <w:sz w:val="20"/>
          <w:szCs w:val="20"/>
          <w:color w:val="auto"/>
        </w:rPr>
      </w:pPr>
    </w:p>
    <w:p>
      <w:pPr>
        <w:ind w:left="440" w:right="180" w:hanging="432"/>
        <w:spacing w:after="0" w:line="239" w:lineRule="auto"/>
        <w:tabs>
          <w:tab w:leader="none" w:pos="440" w:val="left"/>
        </w:tabs>
        <w:numPr>
          <w:ilvl w:val="0"/>
          <w:numId w:val="3"/>
        </w:numPr>
        <w:rPr>
          <w:rFonts w:ascii="Arial" w:cs="Arial" w:eastAsia="Arial" w:hAnsi="Arial"/>
          <w:sz w:val="22"/>
          <w:szCs w:val="22"/>
          <w:color w:val="auto"/>
        </w:rPr>
      </w:pPr>
      <w:r>
        <w:rPr>
          <w:rFonts w:ascii="Arial" w:cs="Arial" w:eastAsia="Arial" w:hAnsi="Arial"/>
          <w:sz w:val="22"/>
          <w:szCs w:val="22"/>
          <w:color w:val="auto"/>
        </w:rPr>
        <w:t>Successfully secured additional liquidity and deferred principal repayments through February 2024 by closing a new $30.0 million term loan and retiring the prior term loan for $25.9 million;</w:t>
      </w:r>
    </w:p>
    <w:p>
      <w:pPr>
        <w:ind w:left="440" w:hanging="432"/>
        <w:spacing w:after="0" w:line="230" w:lineRule="auto"/>
        <w:tabs>
          <w:tab w:leader="none" w:pos="440" w:val="left"/>
        </w:tabs>
        <w:numPr>
          <w:ilvl w:val="0"/>
          <w:numId w:val="3"/>
        </w:numPr>
        <w:rPr>
          <w:rFonts w:ascii="Arial" w:cs="Arial" w:eastAsia="Arial" w:hAnsi="Arial"/>
          <w:sz w:val="22"/>
          <w:szCs w:val="22"/>
          <w:color w:val="auto"/>
        </w:rPr>
      </w:pPr>
      <w:r>
        <w:rPr>
          <w:rFonts w:ascii="Arial" w:cs="Arial" w:eastAsia="Arial" w:hAnsi="Arial"/>
          <w:sz w:val="22"/>
          <w:szCs w:val="22"/>
          <w:color w:val="auto"/>
        </w:rPr>
        <w:t>Total revenue of $28.9 million, an increase of 466% over first quarter 2020 and 7% over fourth quarter 2020;</w:t>
      </w:r>
    </w:p>
    <w:p>
      <w:pPr>
        <w:ind w:left="440" w:hanging="432"/>
        <w:spacing w:after="0" w:line="230" w:lineRule="auto"/>
        <w:tabs>
          <w:tab w:leader="none" w:pos="440" w:val="left"/>
        </w:tabs>
        <w:numPr>
          <w:ilvl w:val="0"/>
          <w:numId w:val="3"/>
        </w:numPr>
        <w:rPr>
          <w:rFonts w:ascii="Arial" w:cs="Arial" w:eastAsia="Arial" w:hAnsi="Arial"/>
          <w:sz w:val="22"/>
          <w:szCs w:val="22"/>
          <w:color w:val="auto"/>
        </w:rPr>
      </w:pPr>
      <w:r>
        <w:rPr>
          <w:rFonts w:ascii="Arial" w:cs="Arial" w:eastAsia="Arial" w:hAnsi="Arial"/>
          <w:sz w:val="22"/>
          <w:szCs w:val="22"/>
          <w:color w:val="auto"/>
        </w:rPr>
        <w:t>COVID-19 testing revenue of $23.2 million, an increase of 8% over fourth quarter 2020;</w:t>
      </w:r>
    </w:p>
    <w:p>
      <w:pPr>
        <w:ind w:left="440" w:right="20" w:hanging="432"/>
        <w:spacing w:after="0" w:line="230" w:lineRule="auto"/>
        <w:tabs>
          <w:tab w:leader="none" w:pos="440" w:val="left"/>
        </w:tabs>
        <w:numPr>
          <w:ilvl w:val="0"/>
          <w:numId w:val="3"/>
        </w:numPr>
        <w:rPr>
          <w:rFonts w:ascii="Arial" w:cs="Arial" w:eastAsia="Arial" w:hAnsi="Arial"/>
          <w:sz w:val="22"/>
          <w:szCs w:val="22"/>
          <w:color w:val="auto"/>
        </w:rPr>
      </w:pPr>
      <w:r>
        <w:rPr>
          <w:rFonts w:ascii="Arial" w:cs="Arial" w:eastAsia="Arial" w:hAnsi="Arial"/>
          <w:sz w:val="22"/>
          <w:szCs w:val="22"/>
          <w:color w:val="auto"/>
        </w:rPr>
        <w:t>Lung diagnostic revenue of $4.0 million, representing continued recovery and growth of 10% over first quarter 2020 and 8% over fourth quarter 2020;</w:t>
      </w:r>
    </w:p>
    <w:p>
      <w:pPr>
        <w:spacing w:after="0" w:line="1" w:lineRule="exact"/>
        <w:rPr>
          <w:rFonts w:ascii="Arial" w:cs="Arial" w:eastAsia="Arial" w:hAnsi="Arial"/>
          <w:sz w:val="22"/>
          <w:szCs w:val="22"/>
          <w:color w:val="auto"/>
        </w:rPr>
      </w:pPr>
    </w:p>
    <w:p>
      <w:pPr>
        <w:ind w:left="440" w:hanging="432"/>
        <w:spacing w:after="0"/>
        <w:tabs>
          <w:tab w:leader="none" w:pos="440" w:val="left"/>
        </w:tabs>
        <w:numPr>
          <w:ilvl w:val="0"/>
          <w:numId w:val="3"/>
        </w:numPr>
        <w:rPr>
          <w:rFonts w:ascii="Arial" w:cs="Arial" w:eastAsia="Arial" w:hAnsi="Arial"/>
          <w:sz w:val="19"/>
          <w:szCs w:val="19"/>
          <w:color w:val="auto"/>
        </w:rPr>
      </w:pPr>
      <w:r>
        <w:rPr>
          <w:rFonts w:ascii="Arial" w:cs="Arial" w:eastAsia="Arial" w:hAnsi="Arial"/>
          <w:sz w:val="19"/>
          <w:szCs w:val="19"/>
          <w:color w:val="auto"/>
        </w:rPr>
        <w:t>Services revenue of $1.7 million, an increase of 12% over first quarter 2020 and 12% decline over fourth quarter 2020;</w:t>
      </w:r>
    </w:p>
    <w:p>
      <w:pPr>
        <w:spacing w:after="0" w:line="24" w:lineRule="exact"/>
        <w:rPr>
          <w:rFonts w:ascii="Arial" w:cs="Arial" w:eastAsia="Arial" w:hAnsi="Arial"/>
          <w:sz w:val="19"/>
          <w:szCs w:val="19"/>
          <w:color w:val="auto"/>
        </w:rPr>
      </w:pPr>
    </w:p>
    <w:p>
      <w:pPr>
        <w:ind w:left="440" w:right="40" w:hanging="432"/>
        <w:spacing w:after="0" w:line="230" w:lineRule="auto"/>
        <w:tabs>
          <w:tab w:leader="none" w:pos="440" w:val="left"/>
        </w:tabs>
        <w:numPr>
          <w:ilvl w:val="0"/>
          <w:numId w:val="3"/>
        </w:numPr>
        <w:rPr>
          <w:rFonts w:ascii="Arial" w:cs="Arial" w:eastAsia="Arial" w:hAnsi="Arial"/>
          <w:sz w:val="22"/>
          <w:szCs w:val="22"/>
          <w:color w:val="auto"/>
        </w:rPr>
      </w:pPr>
      <w:r>
        <w:rPr>
          <w:rFonts w:ascii="Arial" w:cs="Arial" w:eastAsia="Arial" w:hAnsi="Arial"/>
          <w:sz w:val="22"/>
          <w:szCs w:val="22"/>
          <w:color w:val="auto"/>
        </w:rPr>
        <w:t>Gross profit of $10.6 million and gross margin percentage of 37%, both aligned with management expectations, primarily as a result of growth in COVID-19 testing;</w:t>
      </w:r>
    </w:p>
    <w:p>
      <w:pPr>
        <w:spacing w:after="0" w:line="1" w:lineRule="exact"/>
        <w:rPr>
          <w:rFonts w:ascii="Arial" w:cs="Arial" w:eastAsia="Arial" w:hAnsi="Arial"/>
          <w:sz w:val="22"/>
          <w:szCs w:val="22"/>
          <w:color w:val="auto"/>
        </w:rPr>
      </w:pPr>
    </w:p>
    <w:p>
      <w:pPr>
        <w:ind w:left="440" w:right="420" w:hanging="432"/>
        <w:spacing w:after="0" w:line="241" w:lineRule="auto"/>
        <w:tabs>
          <w:tab w:leader="none" w:pos="440" w:val="left"/>
        </w:tabs>
        <w:numPr>
          <w:ilvl w:val="0"/>
          <w:numId w:val="3"/>
        </w:numPr>
        <w:rPr>
          <w:rFonts w:ascii="Arial" w:cs="Arial" w:eastAsia="Arial" w:hAnsi="Arial"/>
          <w:sz w:val="21"/>
          <w:szCs w:val="21"/>
          <w:color w:val="auto"/>
        </w:rPr>
      </w:pPr>
      <w:r>
        <w:rPr>
          <w:rFonts w:ascii="Arial" w:cs="Arial" w:eastAsia="Arial" w:hAnsi="Arial"/>
          <w:sz w:val="21"/>
          <w:szCs w:val="21"/>
          <w:color w:val="auto"/>
        </w:rPr>
        <w:t>Operating expenses (excluding direct costs and expenses) of $16.2 million, which includes an investment in the planned expansion of our salesforce, increased 36% over first quarter 2020 and 8% over fourth quarter 2020;</w:t>
      </w:r>
    </w:p>
    <w:p>
      <w:pPr>
        <w:spacing w:after="0" w:line="1" w:lineRule="exact"/>
        <w:rPr>
          <w:rFonts w:ascii="Arial" w:cs="Arial" w:eastAsia="Arial" w:hAnsi="Arial"/>
          <w:sz w:val="21"/>
          <w:szCs w:val="21"/>
          <w:color w:val="auto"/>
        </w:rPr>
      </w:pPr>
    </w:p>
    <w:p>
      <w:pPr>
        <w:ind w:left="440" w:right="20" w:hanging="432"/>
        <w:spacing w:after="0" w:line="230" w:lineRule="auto"/>
        <w:tabs>
          <w:tab w:leader="none" w:pos="440" w:val="left"/>
        </w:tabs>
        <w:numPr>
          <w:ilvl w:val="0"/>
          <w:numId w:val="3"/>
        </w:numPr>
        <w:rPr>
          <w:rFonts w:ascii="Arial" w:cs="Arial" w:eastAsia="Arial" w:hAnsi="Arial"/>
          <w:sz w:val="22"/>
          <w:szCs w:val="22"/>
          <w:color w:val="auto"/>
        </w:rPr>
      </w:pPr>
      <w:r>
        <w:rPr>
          <w:rFonts w:ascii="Arial" w:cs="Arial" w:eastAsia="Arial" w:hAnsi="Arial"/>
          <w:sz w:val="22"/>
          <w:szCs w:val="22"/>
          <w:color w:val="auto"/>
        </w:rPr>
        <w:t>Non-cash stock compensation expense of $1.8 million, $0 and $3.7 million recognized during first quarter 2021, first quarter 2020 and fourth quarter 2020, respectively; and</w:t>
      </w:r>
    </w:p>
    <w:p>
      <w:pPr>
        <w:spacing w:after="0" w:line="1" w:lineRule="exact"/>
        <w:rPr>
          <w:rFonts w:ascii="Arial" w:cs="Arial" w:eastAsia="Arial" w:hAnsi="Arial"/>
          <w:sz w:val="22"/>
          <w:szCs w:val="22"/>
          <w:color w:val="auto"/>
        </w:rPr>
      </w:pPr>
    </w:p>
    <w:p>
      <w:pPr>
        <w:ind w:left="440" w:hanging="432"/>
        <w:spacing w:after="0"/>
        <w:tabs>
          <w:tab w:leader="none" w:pos="440" w:val="left"/>
        </w:tabs>
        <w:numPr>
          <w:ilvl w:val="0"/>
          <w:numId w:val="3"/>
        </w:numPr>
        <w:rPr>
          <w:rFonts w:ascii="Arial" w:cs="Arial" w:eastAsia="Arial" w:hAnsi="Arial"/>
          <w:sz w:val="19"/>
          <w:szCs w:val="19"/>
          <w:color w:val="auto"/>
        </w:rPr>
      </w:pPr>
      <w:r>
        <w:rPr>
          <w:rFonts w:ascii="Arial" w:cs="Arial" w:eastAsia="Arial" w:hAnsi="Arial"/>
          <w:sz w:val="19"/>
          <w:szCs w:val="19"/>
          <w:color w:val="auto"/>
        </w:rPr>
        <w:t>Net loss of $7.0 million, an improvement of 28% over first quarter of 2020 and a 54% increase over fourth quarter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647700</wp:posOffset>
            </wp:positionV>
            <wp:extent cx="7174865"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2651125</wp:posOffset>
            </wp:positionH>
            <wp:positionV relativeFrom="page">
              <wp:posOffset>88900</wp:posOffset>
            </wp:positionV>
            <wp:extent cx="2245995" cy="7029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2245995" cy="702945"/>
                    </a:xfrm>
                    <a:prstGeom prst="rect">
                      <a:avLst/>
                    </a:prstGeom>
                    <a:noFill/>
                  </pic:spPr>
                </pic:pic>
              </a:graphicData>
            </a:graphic>
          </wp:anchor>
        </w:drawing>
      </w:r>
    </w:p>
    <w:p>
      <w:pPr>
        <w:spacing w:after="0" w:line="26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Business Highlights</w:t>
      </w:r>
    </w:p>
    <w:p>
      <w:pPr>
        <w:spacing w:after="0" w:line="212" w:lineRule="exact"/>
        <w:rPr>
          <w:sz w:val="20"/>
          <w:szCs w:val="20"/>
          <w:color w:val="auto"/>
        </w:rPr>
      </w:pPr>
    </w:p>
    <w:p>
      <w:pPr>
        <w:jc w:val="both"/>
        <w:spacing w:after="0"/>
        <w:rPr>
          <w:sz w:val="20"/>
          <w:szCs w:val="20"/>
          <w:color w:val="auto"/>
        </w:rPr>
      </w:pPr>
      <w:r>
        <w:rPr>
          <w:rFonts w:ascii="Arial" w:cs="Arial" w:eastAsia="Arial" w:hAnsi="Arial"/>
          <w:sz w:val="22"/>
          <w:szCs w:val="22"/>
          <w:color w:val="auto"/>
        </w:rPr>
        <w:t>Biodesix continues to make significant progress in lung diagnostics testing, including the addition of a new test to the lung cancer testing portfolio as well as new data that continues to support the value and utility of the Biodesix lung diagnostics portfolio. As a result of on-going progress, the Company was pleased to announce the following:</w:t>
      </w:r>
    </w:p>
    <w:p>
      <w:pPr>
        <w:spacing w:after="0" w:line="186" w:lineRule="exact"/>
        <w:rPr>
          <w:sz w:val="20"/>
          <w:szCs w:val="20"/>
          <w:color w:val="auto"/>
        </w:rPr>
      </w:pPr>
    </w:p>
    <w:p>
      <w:pPr>
        <w:ind w:left="880" w:right="100" w:hanging="440"/>
        <w:spacing w:after="0" w:line="279" w:lineRule="auto"/>
        <w:tabs>
          <w:tab w:leader="none" w:pos="880" w:val="left"/>
        </w:tabs>
        <w:numPr>
          <w:ilvl w:val="0"/>
          <w:numId w:val="4"/>
        </w:numPr>
        <w:rPr>
          <w:rFonts w:ascii="Arial" w:cs="Arial" w:eastAsia="Arial" w:hAnsi="Arial"/>
          <w:sz w:val="19"/>
          <w:szCs w:val="19"/>
          <w:color w:val="auto"/>
        </w:rPr>
      </w:pPr>
      <w:r>
        <w:rPr>
          <w:rFonts w:ascii="Arial" w:cs="Arial" w:eastAsia="Arial" w:hAnsi="Arial"/>
          <w:sz w:val="19"/>
          <w:szCs w:val="19"/>
          <w:color w:val="auto"/>
        </w:rPr>
        <w:t xml:space="preserve">Plans to add a blood-based 52-gene next generation sequencing (NGS) test to the portfolio were announced in April 2021. The NGS test has unprecedented turnaround time of only 72-hours, according to data presented in a recent publication in </w:t>
      </w:r>
      <w:r>
        <w:rPr>
          <w:rFonts w:ascii="Arial" w:cs="Arial" w:eastAsia="Arial" w:hAnsi="Arial"/>
          <w:sz w:val="19"/>
          <w:szCs w:val="19"/>
          <w:i w:val="1"/>
          <w:iCs w:val="1"/>
          <w:color w:val="auto"/>
        </w:rPr>
        <w:t>Diagnostics.</w:t>
      </w:r>
      <w:r>
        <w:rPr>
          <w:rFonts w:ascii="Arial" w:cs="Arial" w:eastAsia="Arial" w:hAnsi="Arial"/>
          <w:sz w:val="19"/>
          <w:szCs w:val="19"/>
          <w:color w:val="auto"/>
        </w:rPr>
        <w:t xml:space="preserve"> The NGS test will complement the improved 36-hour turnaround time that the GeneStrat® ddPCR and VeriStrat® tests currently offer, providing expanded coverage of 52-genes and broader molecular markers. The test will be used for advanced, late-stage, or recurrent cancer mutation detection in non-small cell lung cancer (NSCLC) and is expected to begin to be offered to physicians in the first half of 2022.</w:t>
      </w:r>
    </w:p>
    <w:p>
      <w:pPr>
        <w:spacing w:after="0" w:line="42" w:lineRule="exact"/>
        <w:rPr>
          <w:rFonts w:ascii="Arial" w:cs="Arial" w:eastAsia="Arial" w:hAnsi="Arial"/>
          <w:sz w:val="19"/>
          <w:szCs w:val="19"/>
          <w:color w:val="auto"/>
        </w:rPr>
      </w:pPr>
    </w:p>
    <w:p>
      <w:pPr>
        <w:ind w:left="880" w:right="1120" w:hanging="440"/>
        <w:spacing w:after="0" w:line="250" w:lineRule="auto"/>
        <w:tabs>
          <w:tab w:leader="none" w:pos="880" w:val="left"/>
        </w:tabs>
        <w:numPr>
          <w:ilvl w:val="0"/>
          <w:numId w:val="4"/>
        </w:numPr>
        <w:rPr>
          <w:rFonts w:ascii="Arial" w:cs="Arial" w:eastAsia="Arial" w:hAnsi="Arial"/>
          <w:sz w:val="22"/>
          <w:szCs w:val="22"/>
          <w:color w:val="auto"/>
        </w:rPr>
      </w:pPr>
      <w:r>
        <w:rPr>
          <w:rFonts w:ascii="Arial" w:cs="Arial" w:eastAsia="Arial" w:hAnsi="Arial"/>
          <w:sz w:val="22"/>
          <w:szCs w:val="22"/>
          <w:color w:val="auto"/>
        </w:rPr>
        <w:t>The issuance of two U.S. patents in April 2021 that enhance the Company’s ability to develop blood-based immunotherapy and other pipeline testing strategies for cancer patients.</w:t>
      </w:r>
    </w:p>
    <w:p>
      <w:pPr>
        <w:spacing w:after="0" w:line="66" w:lineRule="exact"/>
        <w:rPr>
          <w:rFonts w:ascii="Arial" w:cs="Arial" w:eastAsia="Arial" w:hAnsi="Arial"/>
          <w:sz w:val="22"/>
          <w:szCs w:val="22"/>
          <w:color w:val="auto"/>
        </w:rPr>
      </w:pPr>
    </w:p>
    <w:p>
      <w:pPr>
        <w:ind w:left="880" w:right="100" w:hanging="440"/>
        <w:spacing w:after="0" w:line="238" w:lineRule="auto"/>
        <w:tabs>
          <w:tab w:leader="none" w:pos="880" w:val="left"/>
        </w:tabs>
        <w:numPr>
          <w:ilvl w:val="0"/>
          <w:numId w:val="4"/>
        </w:numPr>
        <w:rPr>
          <w:rFonts w:ascii="Arial" w:cs="Arial" w:eastAsia="Arial" w:hAnsi="Arial"/>
          <w:sz w:val="22"/>
          <w:szCs w:val="22"/>
          <w:color w:val="auto"/>
        </w:rPr>
      </w:pPr>
      <w:r>
        <w:rPr>
          <w:rFonts w:ascii="Arial" w:cs="Arial" w:eastAsia="Arial" w:hAnsi="Arial"/>
          <w:sz w:val="22"/>
          <w:szCs w:val="22"/>
          <w:color w:val="auto"/>
        </w:rPr>
        <w:t>Presentation of data from three studies at the American Association for Cancer Research (AACR) Annual Meeting in April 2021, including data from VeriStrat® and the Primary Immune Response (PIR) test that further demonstrate the utility of protein biomarker data from blood-based proteomic testing to support targeted and immunotherapy treatment strategies for NSCLC patients.</w:t>
      </w:r>
    </w:p>
    <w:p>
      <w:pPr>
        <w:spacing w:after="0" w:line="77" w:lineRule="exact"/>
        <w:rPr>
          <w:sz w:val="20"/>
          <w:szCs w:val="20"/>
          <w:color w:val="auto"/>
        </w:rPr>
      </w:pPr>
    </w:p>
    <w:p>
      <w:pPr>
        <w:ind w:right="580"/>
        <w:spacing w:after="0" w:line="250" w:lineRule="auto"/>
        <w:rPr>
          <w:sz w:val="20"/>
          <w:szCs w:val="20"/>
          <w:color w:val="auto"/>
        </w:rPr>
      </w:pPr>
      <w:r>
        <w:rPr>
          <w:rFonts w:ascii="Arial" w:cs="Arial" w:eastAsia="Arial" w:hAnsi="Arial"/>
          <w:sz w:val="22"/>
          <w:szCs w:val="22"/>
          <w:color w:val="auto"/>
        </w:rPr>
        <w:t>Beyond advancements in the lung diagnostic portfolio, the Company continued to expand and progress its partnerships and services related to COVID-19 testing, including the following:</w:t>
      </w:r>
    </w:p>
    <w:p>
      <w:pPr>
        <w:spacing w:after="0" w:line="175" w:lineRule="exact"/>
        <w:rPr>
          <w:sz w:val="20"/>
          <w:szCs w:val="20"/>
          <w:color w:val="auto"/>
        </w:rPr>
      </w:pPr>
    </w:p>
    <w:p>
      <w:pPr>
        <w:ind w:left="880" w:right="40" w:hanging="440"/>
        <w:spacing w:after="0" w:line="235" w:lineRule="auto"/>
        <w:tabs>
          <w:tab w:leader="none" w:pos="880" w:val="left"/>
        </w:tabs>
        <w:numPr>
          <w:ilvl w:val="0"/>
          <w:numId w:val="5"/>
        </w:numPr>
        <w:rPr>
          <w:rFonts w:ascii="Arial" w:cs="Arial" w:eastAsia="Arial" w:hAnsi="Arial"/>
          <w:sz w:val="22"/>
          <w:szCs w:val="22"/>
          <w:color w:val="auto"/>
        </w:rPr>
      </w:pPr>
      <w:r>
        <w:rPr>
          <w:rFonts w:ascii="Arial" w:cs="Arial" w:eastAsia="Arial" w:hAnsi="Arial"/>
          <w:sz w:val="22"/>
          <w:szCs w:val="22"/>
          <w:color w:val="auto"/>
        </w:rPr>
        <w:t>In April 2021, announced a partnership with GenScript Biotech to conduct performance verification of the cPass</w:t>
      </w:r>
      <w:r>
        <w:rPr>
          <w:rFonts w:ascii="Arial" w:cs="Arial" w:eastAsia="Arial" w:hAnsi="Arial"/>
          <w:sz w:val="18"/>
          <w:szCs w:val="18"/>
          <w:color w:val="auto"/>
        </w:rPr>
        <w:t>TM</w:t>
      </w:r>
      <w:r>
        <w:rPr>
          <w:rFonts w:ascii="Arial" w:cs="Arial" w:eastAsia="Arial" w:hAnsi="Arial"/>
          <w:sz w:val="22"/>
          <w:szCs w:val="22"/>
          <w:color w:val="auto"/>
        </w:rPr>
        <w:t xml:space="preserve"> SARS-CoV-2 Neutralization Antibody Detection test in our laboratory, with expected commercial launch in mid-year 2021. The test is the first and only surrogate neutralizing antibody test with FDA Emergency Use Authorization (EUA) to date and uses ELISA technology to qualitatively detect circulating neutralizing antibodies to the receptor binding domain (RBD) in the spike protein of SARS-CoV-2 that are produced in response to vaccination or previous SARS-CoV-2 infection.</w:t>
      </w:r>
    </w:p>
    <w:p>
      <w:pPr>
        <w:spacing w:after="0" w:line="79" w:lineRule="exact"/>
        <w:rPr>
          <w:rFonts w:ascii="Arial" w:cs="Arial" w:eastAsia="Arial" w:hAnsi="Arial"/>
          <w:sz w:val="22"/>
          <w:szCs w:val="22"/>
          <w:color w:val="auto"/>
        </w:rPr>
      </w:pPr>
    </w:p>
    <w:p>
      <w:pPr>
        <w:ind w:left="880" w:right="400" w:hanging="440"/>
        <w:spacing w:after="0" w:line="250" w:lineRule="auto"/>
        <w:tabs>
          <w:tab w:leader="none" w:pos="880" w:val="left"/>
        </w:tabs>
        <w:numPr>
          <w:ilvl w:val="0"/>
          <w:numId w:val="5"/>
        </w:numPr>
        <w:rPr>
          <w:rFonts w:ascii="Arial" w:cs="Arial" w:eastAsia="Arial" w:hAnsi="Arial"/>
          <w:sz w:val="22"/>
          <w:szCs w:val="22"/>
          <w:color w:val="auto"/>
        </w:rPr>
      </w:pPr>
      <w:r>
        <w:rPr>
          <w:rFonts w:ascii="Arial" w:cs="Arial" w:eastAsia="Arial" w:hAnsi="Arial"/>
          <w:sz w:val="22"/>
          <w:szCs w:val="22"/>
          <w:color w:val="auto"/>
        </w:rPr>
        <w:t>In February 2021, announced a partnership with the Chicago Public Schools to provide antigen and Droplet Digital PCR (ddPCR)™ testing for Chicago Public School teachers and staff.</w:t>
      </w:r>
    </w:p>
    <w:p>
      <w:pPr>
        <w:spacing w:after="0" w:line="66" w:lineRule="exact"/>
        <w:rPr>
          <w:rFonts w:ascii="Arial" w:cs="Arial" w:eastAsia="Arial" w:hAnsi="Arial"/>
          <w:sz w:val="22"/>
          <w:szCs w:val="22"/>
          <w:color w:val="auto"/>
        </w:rPr>
      </w:pPr>
    </w:p>
    <w:p>
      <w:pPr>
        <w:ind w:left="880" w:right="180" w:hanging="440"/>
        <w:spacing w:after="0" w:line="274" w:lineRule="auto"/>
        <w:tabs>
          <w:tab w:leader="none" w:pos="880" w:val="left"/>
        </w:tabs>
        <w:numPr>
          <w:ilvl w:val="0"/>
          <w:numId w:val="5"/>
        </w:numPr>
        <w:rPr>
          <w:rFonts w:ascii="Arial" w:cs="Arial" w:eastAsia="Arial" w:hAnsi="Arial"/>
          <w:sz w:val="21"/>
          <w:szCs w:val="21"/>
          <w:color w:val="auto"/>
        </w:rPr>
      </w:pPr>
      <w:r>
        <w:rPr>
          <w:rFonts w:ascii="Arial" w:cs="Arial" w:eastAsia="Arial" w:hAnsi="Arial"/>
          <w:sz w:val="21"/>
          <w:szCs w:val="21"/>
          <w:color w:val="auto"/>
        </w:rPr>
        <w:t>In January 2021, collaborated with the Purdue University Protect Purdue Health Center, to test students taking classes on the West Lafayette, Indiana Campus living off-campus during the Spring 2021 semester.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379730</wp:posOffset>
            </wp:positionV>
            <wp:extent cx="71748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20"/>
          </w:cols>
          <w:pgMar w:left="320" w:top="1440" w:right="359" w:bottom="1440" w:gutter="0" w:footer="0" w:header="0"/>
        </w:sectPr>
      </w:pPr>
    </w:p>
    <w:bookmarkStart w:id="5" w:name="page6"/>
    <w:bookmarkEnd w:id="5"/>
    <w:p>
      <w:pPr>
        <w:spacing w:after="0" w:line="23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2651125</wp:posOffset>
            </wp:positionH>
            <wp:positionV relativeFrom="page">
              <wp:posOffset>88900</wp:posOffset>
            </wp:positionV>
            <wp:extent cx="2245995" cy="7029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2245995" cy="702945"/>
                    </a:xfrm>
                    <a:prstGeom prst="rect">
                      <a:avLst/>
                    </a:prstGeom>
                    <a:noFill/>
                  </pic:spPr>
                </pic:pic>
              </a:graphicData>
            </a:graphic>
          </wp:anchor>
        </w:drawing>
      </w:r>
    </w:p>
    <w:p>
      <w:pPr>
        <w:spacing w:after="0"/>
        <w:rPr>
          <w:sz w:val="20"/>
          <w:szCs w:val="20"/>
          <w:color w:val="auto"/>
        </w:rPr>
      </w:pPr>
      <w:r>
        <w:rPr>
          <w:rFonts w:ascii="Arial" w:cs="Arial" w:eastAsia="Arial" w:hAnsi="Arial"/>
          <w:sz w:val="22"/>
          <w:szCs w:val="22"/>
          <w:b w:val="1"/>
          <w:bCs w:val="1"/>
          <w:color w:val="auto"/>
        </w:rPr>
        <w:t>Conference call and webcast information</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Management will host an investor conference call and webcast today, May 11, 2021 at 4:30 p.m. Eastern Time.</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4320" w:type="dxa"/>
            <w:vAlign w:val="bottom"/>
          </w:tcPr>
          <w:p>
            <w:pPr>
              <w:spacing w:after="0"/>
              <w:rPr>
                <w:sz w:val="20"/>
                <w:szCs w:val="20"/>
                <w:color w:val="auto"/>
              </w:rPr>
            </w:pPr>
            <w:r>
              <w:rPr>
                <w:rFonts w:ascii="Arial" w:cs="Arial" w:eastAsia="Arial" w:hAnsi="Arial"/>
                <w:sz w:val="22"/>
                <w:szCs w:val="22"/>
                <w:color w:val="auto"/>
              </w:rPr>
              <w:t>Investor dial-in (domestic):</w:t>
            </w:r>
          </w:p>
        </w:tc>
        <w:tc>
          <w:tcPr>
            <w:tcW w:w="4080" w:type="dxa"/>
            <w:vAlign w:val="bottom"/>
          </w:tcPr>
          <w:p>
            <w:pPr>
              <w:spacing w:after="0"/>
              <w:rPr>
                <w:sz w:val="20"/>
                <w:szCs w:val="20"/>
                <w:color w:val="auto"/>
              </w:rPr>
            </w:pPr>
            <w:r>
              <w:rPr>
                <w:rFonts w:ascii="Arial" w:cs="Arial" w:eastAsia="Arial" w:hAnsi="Arial"/>
                <w:sz w:val="22"/>
                <w:szCs w:val="22"/>
                <w:color w:val="auto"/>
              </w:rPr>
              <w:t>833-665-0678</w:t>
            </w:r>
          </w:p>
        </w:tc>
      </w:tr>
      <w:tr>
        <w:trPr>
          <w:trHeight w:val="243"/>
        </w:trPr>
        <w:tc>
          <w:tcPr>
            <w:tcW w:w="4320" w:type="dxa"/>
            <w:vAlign w:val="bottom"/>
          </w:tcPr>
          <w:p>
            <w:pPr>
              <w:spacing w:after="0" w:line="243" w:lineRule="exact"/>
              <w:rPr>
                <w:sz w:val="20"/>
                <w:szCs w:val="20"/>
                <w:color w:val="auto"/>
              </w:rPr>
            </w:pPr>
            <w:r>
              <w:rPr>
                <w:rFonts w:ascii="Arial" w:cs="Arial" w:eastAsia="Arial" w:hAnsi="Arial"/>
                <w:sz w:val="22"/>
                <w:szCs w:val="22"/>
                <w:color w:val="auto"/>
              </w:rPr>
              <w:t>Investor dial-in (international):</w:t>
            </w:r>
          </w:p>
        </w:tc>
        <w:tc>
          <w:tcPr>
            <w:tcW w:w="4080" w:type="dxa"/>
            <w:vAlign w:val="bottom"/>
          </w:tcPr>
          <w:p>
            <w:pPr>
              <w:spacing w:after="0" w:line="243" w:lineRule="exact"/>
              <w:rPr>
                <w:sz w:val="20"/>
                <w:szCs w:val="20"/>
                <w:color w:val="auto"/>
              </w:rPr>
            </w:pPr>
            <w:r>
              <w:rPr>
                <w:rFonts w:ascii="Arial" w:cs="Arial" w:eastAsia="Arial" w:hAnsi="Arial"/>
                <w:sz w:val="22"/>
                <w:szCs w:val="22"/>
                <w:color w:val="auto"/>
              </w:rPr>
              <w:t>929-517-0173</w:t>
            </w:r>
          </w:p>
        </w:tc>
      </w:tr>
      <w:tr>
        <w:trPr>
          <w:trHeight w:val="243"/>
        </w:trPr>
        <w:tc>
          <w:tcPr>
            <w:tcW w:w="4320" w:type="dxa"/>
            <w:vAlign w:val="bottom"/>
          </w:tcPr>
          <w:p>
            <w:pPr>
              <w:spacing w:after="0" w:line="243" w:lineRule="exact"/>
              <w:rPr>
                <w:sz w:val="20"/>
                <w:szCs w:val="20"/>
                <w:color w:val="auto"/>
              </w:rPr>
            </w:pPr>
            <w:r>
              <w:rPr>
                <w:rFonts w:ascii="Arial" w:cs="Arial" w:eastAsia="Arial" w:hAnsi="Arial"/>
                <w:sz w:val="22"/>
                <w:szCs w:val="22"/>
                <w:color w:val="auto"/>
              </w:rPr>
              <w:t>Conference ID:</w:t>
            </w:r>
          </w:p>
        </w:tc>
        <w:tc>
          <w:tcPr>
            <w:tcW w:w="4080" w:type="dxa"/>
            <w:vAlign w:val="bottom"/>
          </w:tcPr>
          <w:p>
            <w:pPr>
              <w:spacing w:after="0" w:line="243" w:lineRule="exact"/>
              <w:rPr>
                <w:sz w:val="20"/>
                <w:szCs w:val="20"/>
                <w:color w:val="auto"/>
              </w:rPr>
            </w:pPr>
            <w:r>
              <w:rPr>
                <w:rFonts w:ascii="Arial" w:cs="Arial" w:eastAsia="Arial" w:hAnsi="Arial"/>
                <w:sz w:val="22"/>
                <w:szCs w:val="22"/>
                <w:color w:val="auto"/>
              </w:rPr>
              <w:t>4089648</w:t>
            </w:r>
          </w:p>
        </w:tc>
      </w:tr>
      <w:tr>
        <w:trPr>
          <w:trHeight w:val="224"/>
        </w:trPr>
        <w:tc>
          <w:tcPr>
            <w:tcW w:w="4320" w:type="dxa"/>
            <w:vAlign w:val="bottom"/>
          </w:tcPr>
          <w:p>
            <w:pPr>
              <w:spacing w:after="0" w:line="224" w:lineRule="exact"/>
              <w:rPr>
                <w:sz w:val="20"/>
                <w:szCs w:val="20"/>
                <w:color w:val="auto"/>
              </w:rPr>
            </w:pPr>
            <w:r>
              <w:rPr>
                <w:rFonts w:ascii="Arial" w:cs="Arial" w:eastAsia="Arial" w:hAnsi="Arial"/>
                <w:sz w:val="22"/>
                <w:szCs w:val="22"/>
                <w:color w:val="auto"/>
              </w:rPr>
              <w:t>Webcast:</w:t>
            </w:r>
          </w:p>
        </w:tc>
        <w:tc>
          <w:tcPr>
            <w:tcW w:w="4080" w:type="dxa"/>
            <w:vAlign w:val="bottom"/>
            <w:tcBorders>
              <w:bottom w:val="single" w:sz="8" w:color="auto"/>
            </w:tcBorders>
          </w:tcPr>
          <w:p>
            <w:pPr>
              <w:spacing w:after="0" w:line="224" w:lineRule="exact"/>
              <w:rPr>
                <w:sz w:val="20"/>
                <w:szCs w:val="20"/>
                <w:color w:val="auto"/>
              </w:rPr>
            </w:pPr>
            <w:r>
              <w:rPr>
                <w:rFonts w:ascii="Arial" w:cs="Arial" w:eastAsia="Arial" w:hAnsi="Arial"/>
                <w:sz w:val="22"/>
                <w:szCs w:val="22"/>
                <w:color w:val="auto"/>
                <w:w w:val="88"/>
              </w:rPr>
              <w:t>https://edge.media-server.com/mmc/p/qf366faz</w:t>
            </w:r>
          </w:p>
        </w:tc>
      </w:tr>
    </w:tbl>
    <w:p>
      <w:pPr>
        <w:spacing w:after="0" w:line="114" w:lineRule="exact"/>
        <w:rPr>
          <w:sz w:val="20"/>
          <w:szCs w:val="20"/>
          <w:color w:val="auto"/>
        </w:rPr>
      </w:pPr>
    </w:p>
    <w:p>
      <w:pPr>
        <w:spacing w:after="0"/>
        <w:rPr>
          <w:sz w:val="20"/>
          <w:szCs w:val="20"/>
          <w:color w:val="auto"/>
        </w:rPr>
      </w:pPr>
      <w:r>
        <w:rPr>
          <w:rFonts w:ascii="Arial" w:cs="Arial" w:eastAsia="Arial" w:hAnsi="Arial"/>
          <w:sz w:val="22"/>
          <w:szCs w:val="22"/>
          <w:color w:val="auto"/>
        </w:rPr>
        <w:t>An archived replay of the webcast will be available on the Company’s website for a period of 90 days.</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Biodesix</w:t>
      </w:r>
    </w:p>
    <w:p>
      <w:pPr>
        <w:spacing w:after="0" w:line="212" w:lineRule="exact"/>
        <w:rPr>
          <w:sz w:val="20"/>
          <w:szCs w:val="20"/>
          <w:color w:val="auto"/>
        </w:rPr>
      </w:pPr>
    </w:p>
    <w:p>
      <w:pPr>
        <w:ind w:right="20"/>
        <w:spacing w:after="0" w:line="273" w:lineRule="auto"/>
        <w:rPr>
          <w:sz w:val="20"/>
          <w:szCs w:val="20"/>
          <w:color w:val="auto"/>
        </w:rPr>
      </w:pPr>
      <w:r>
        <w:rPr>
          <w:rFonts w:ascii="Arial" w:cs="Arial" w:eastAsia="Arial" w:hAnsi="Arial"/>
          <w:sz w:val="19"/>
          <w:szCs w:val="19"/>
          <w:color w:val="auto"/>
        </w:rPr>
        <w:t>Biodesix is a leading data-driven diagnostic solutions company with a focus in lung disease. The Company develops diagnostic tests addressing important clinical questions by combining multi-omics through the power of artificial intelligence. Biodesix is the first company to offer six non-invasive tests for patients with diseases of the lung. Biodesix launched the SARS-CoV-2 ddPCR™ test and the Platelia SARS-CoV-2 Total Ab in response to the global pandemic and virus that impacts the lung and causes COVID-19. The blood based Biodesix Lung Reflex® strategy for lung cancer patients integrates the GeneStrat® and VeriStrat® tests to support treatment decisions with results in 72 hours, expediting time to treatment. The blood based Nodify Lung™ nodule risk assessment testing strategy, consisting of the Nodify XL2® and the Nodify CDT™ tests, evaluates the risk of malignancy in incidental pulmonary nodules, enabling physicians to better triage patients to the most appropriate course of action. Biodesix also collaborates with many of the world’s leading biotechnology and pharmaceutical companies to solve complex diagnostic challenges in lung disease. For more information about Biodesix, visit biodesix.com.</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Regarding Forward-Looking Statements</w:t>
      </w:r>
    </w:p>
    <w:p>
      <w:pPr>
        <w:spacing w:after="0" w:line="212" w:lineRule="exact"/>
        <w:rPr>
          <w:sz w:val="20"/>
          <w:szCs w:val="20"/>
          <w:color w:val="auto"/>
        </w:rPr>
      </w:pPr>
    </w:p>
    <w:p>
      <w:pPr>
        <w:spacing w:after="0" w:line="274" w:lineRule="auto"/>
        <w:rPr>
          <w:sz w:val="20"/>
          <w:szCs w:val="20"/>
          <w:color w:val="auto"/>
        </w:rPr>
      </w:pPr>
      <w:r>
        <w:rPr>
          <w:rFonts w:ascii="Arial" w:cs="Arial" w:eastAsia="Arial" w:hAnsi="Arial"/>
          <w:sz w:val="19"/>
          <w:szCs w:val="19"/>
          <w:color w:val="auto"/>
        </w:rPr>
        <w:t>This press release may contain forward-looking statements that involve substantial risks and uncertainties for purposes of the safe harbor provided by the Private Securities Litigation Reform Act of 1995. All statements contained in this press release other than statements of historical fact, are forward-looking statements. The words “believe,” “may,” “will,” “estimate,” “continue,” “anticipate,” “intend,” “plan,” “expect,” “predict,” “potential,” “opportunity,” “goals,” or “should,” and similar expressions are intended to identify forward-looking statements. Such statements are based on management’s current expectations and involve risks and uncertainties. Actual results and performance could differ materially from those projected in the forward-looking statements as a result of many factors. Biodesix has based these forward-looking statements largely on its current expectations and projections about future events and trends. These forward-looking statements are subject to a number of risks, uncertainties and assumptions. Forward-looking statements may include information concerning the impact of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315595</wp:posOffset>
            </wp:positionV>
            <wp:extent cx="71748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20"/>
          </w:cols>
          <w:pgMar w:left="320" w:top="1440" w:right="359" w:bottom="1440" w:gutter="0" w:footer="0" w:header="0"/>
        </w:sectPr>
      </w:pPr>
    </w:p>
    <w:bookmarkStart w:id="6" w:name="page7"/>
    <w:bookmarkEnd w:id="6"/>
    <w:p>
      <w:pPr>
        <w:spacing w:after="0" w:line="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2651125</wp:posOffset>
            </wp:positionH>
            <wp:positionV relativeFrom="page">
              <wp:posOffset>88900</wp:posOffset>
            </wp:positionV>
            <wp:extent cx="2245995" cy="7029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2245995" cy="702945"/>
                    </a:xfrm>
                    <a:prstGeom prst="rect">
                      <a:avLst/>
                    </a:prstGeom>
                    <a:noFill/>
                  </pic:spPr>
                </pic:pic>
              </a:graphicData>
            </a:graphic>
          </wp:anchor>
        </w:drawing>
      </w:r>
    </w:p>
    <w:p>
      <w:pPr>
        <w:spacing w:after="0" w:line="246" w:lineRule="auto"/>
        <w:rPr>
          <w:sz w:val="20"/>
          <w:szCs w:val="20"/>
          <w:color w:val="auto"/>
        </w:rPr>
      </w:pPr>
      <w:r>
        <w:rPr>
          <w:rFonts w:ascii="Arial" w:cs="Arial" w:eastAsia="Arial" w:hAnsi="Arial"/>
          <w:sz w:val="21"/>
          <w:szCs w:val="21"/>
          <w:color w:val="auto"/>
        </w:rPr>
        <w:t>COVID-19 pandemic on Biodesix and its operations, it is possible or assumed future results of operations, including descriptions of its revenues, profitability, outlook and overall business strategy. Forward-looking statements are inherently subject to risks and uncertainties, some of which cannot be predicted or quantified. Factors that could cause actual results to differ materially from those contemplated in this press release can be found in the Risk Factors section of Biodesix’s most recent annual report on Form 10-K, filed March 16, 2021. Biodesix undertakes no obligation to revise or publicly release the results of any revision to such forward-looking statements, except as required by law. Given these risks and uncertainties, readers are cautioned not to place undue reliance on such forward-looking statements. All forward-looking statements are qualified in their entirety by this cautionary statement.</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Contacts:</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Bobbi Coffin</w:t>
      </w:r>
    </w:p>
    <w:p>
      <w:pPr>
        <w:spacing w:after="0" w:line="230" w:lineRule="auto"/>
        <w:rPr>
          <w:sz w:val="20"/>
          <w:szCs w:val="20"/>
          <w:color w:val="auto"/>
        </w:rPr>
      </w:pPr>
      <w:r>
        <w:rPr>
          <w:rFonts w:ascii="Arial" w:cs="Arial" w:eastAsia="Arial" w:hAnsi="Arial"/>
          <w:sz w:val="22"/>
          <w:szCs w:val="22"/>
          <w:u w:val="single" w:color="auto"/>
          <w:color w:val="auto"/>
        </w:rPr>
        <w:t>bobbi.coffin@biodesix.com</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(303) 892-3203</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Investors:</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Chris Brinzey</w:t>
      </w:r>
    </w:p>
    <w:p>
      <w:pPr>
        <w:spacing w:after="0" w:line="230" w:lineRule="auto"/>
        <w:rPr>
          <w:sz w:val="20"/>
          <w:szCs w:val="20"/>
          <w:color w:val="auto"/>
        </w:rPr>
      </w:pPr>
      <w:r>
        <w:rPr>
          <w:rFonts w:ascii="Arial" w:cs="Arial" w:eastAsia="Arial" w:hAnsi="Arial"/>
          <w:sz w:val="22"/>
          <w:szCs w:val="22"/>
          <w:u w:val="single" w:color="auto"/>
          <w:color w:val="auto"/>
        </w:rPr>
        <w:t>chris.brinzey@westwicke.com</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(339) 970-2843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643255</wp:posOffset>
            </wp:positionV>
            <wp:extent cx="71748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00"/>
          </w:cols>
          <w:pgMar w:left="320" w:top="1440" w:right="379" w:bottom="1440" w:gutter="0" w:footer="0" w:header="0"/>
        </w:sectPr>
      </w:pPr>
    </w:p>
    <w:bookmarkStart w:id="7" w:name="page8"/>
    <w:bookmarkEnd w:id="7"/>
    <w:p>
      <w:pPr>
        <w:ind w:left="10220"/>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2447925</wp:posOffset>
            </wp:positionH>
            <wp:positionV relativeFrom="paragraph">
              <wp:posOffset>28575</wp:posOffset>
            </wp:positionV>
            <wp:extent cx="2245995" cy="7029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245995" cy="7029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Biodesix, Inc.</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Condensed Balance Sheets (unaudited)</w:t>
      </w:r>
    </w:p>
    <w:p>
      <w:pPr>
        <w:jc w:val="center"/>
        <w:ind w:right="20"/>
        <w:spacing w:after="0"/>
        <w:rPr>
          <w:sz w:val="20"/>
          <w:szCs w:val="20"/>
          <w:color w:val="auto"/>
        </w:rPr>
      </w:pPr>
      <w:r>
        <w:rPr>
          <w:rFonts w:ascii="Arial" w:cs="Arial" w:eastAsia="Arial" w:hAnsi="Arial"/>
          <w:sz w:val="20"/>
          <w:szCs w:val="20"/>
          <w:b w:val="1"/>
          <w:bCs w:val="1"/>
          <w:color w:val="auto"/>
        </w:rPr>
        <w:t>(in thousands)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0" w:type="dxa"/>
            <w:vAlign w:val="bottom"/>
          </w:tcPr>
          <w:p>
            <w:pPr>
              <w:spacing w:after="0"/>
              <w:rPr>
                <w:sz w:val="20"/>
                <w:szCs w:val="20"/>
                <w:color w:val="auto"/>
              </w:rPr>
            </w:pPr>
          </w:p>
        </w:tc>
        <w:tc>
          <w:tcPr>
            <w:tcW w:w="580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2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6"/>
              </w:rPr>
              <w:t>March 31, 2021</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72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w w:val="88"/>
              </w:rPr>
              <w:t>December 31, 2020</w:t>
            </w:r>
          </w:p>
        </w:tc>
        <w:tc>
          <w:tcPr>
            <w:tcW w:w="40" w:type="dxa"/>
            <w:vAlign w:val="bottom"/>
          </w:tcPr>
          <w:p>
            <w:pPr>
              <w:spacing w:after="0"/>
              <w:rPr>
                <w:sz w:val="20"/>
                <w:szCs w:val="20"/>
                <w:color w:val="auto"/>
              </w:rPr>
            </w:pPr>
          </w:p>
        </w:tc>
      </w:tr>
      <w:tr>
        <w:trPr>
          <w:trHeight w:val="229"/>
        </w:trPr>
        <w:tc>
          <w:tcPr>
            <w:tcW w:w="40" w:type="dxa"/>
            <w:vAlign w:val="bottom"/>
          </w:tcPr>
          <w:p>
            <w:pPr>
              <w:spacing w:after="0"/>
              <w:rPr>
                <w:sz w:val="19"/>
                <w:szCs w:val="19"/>
                <w:color w:val="auto"/>
              </w:rPr>
            </w:pPr>
          </w:p>
        </w:tc>
        <w:tc>
          <w:tcPr>
            <w:tcW w:w="5800" w:type="dxa"/>
            <w:vAlign w:val="bottom"/>
            <w:tcBorders>
              <w:top w:val="single" w:sz="8" w:color="CFF0FC"/>
            </w:tcBorders>
            <w:shd w:val="clear" w:color="auto" w:fill="CFF0FC"/>
          </w:tcPr>
          <w:p>
            <w:pPr>
              <w:ind w:left="5280"/>
              <w:spacing w:after="0"/>
              <w:rPr>
                <w:sz w:val="20"/>
                <w:szCs w:val="20"/>
                <w:color w:val="auto"/>
              </w:rPr>
            </w:pPr>
            <w:r>
              <w:rPr>
                <w:rFonts w:ascii="Arial" w:cs="Arial" w:eastAsia="Arial" w:hAnsi="Arial"/>
                <w:sz w:val="18"/>
                <w:szCs w:val="18"/>
                <w:b w:val="1"/>
                <w:bCs w:val="1"/>
                <w:color w:val="auto"/>
                <w:w w:val="84"/>
              </w:rPr>
              <w:t>Assets</w:t>
            </w:r>
          </w:p>
        </w:tc>
        <w:tc>
          <w:tcPr>
            <w:tcW w:w="160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15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6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tcPr>
          <w:p>
            <w:pPr>
              <w:spacing w:after="0"/>
              <w:rPr>
                <w:sz w:val="20"/>
                <w:szCs w:val="20"/>
                <w:color w:val="auto"/>
              </w:rPr>
            </w:pPr>
            <w:r>
              <w:rPr>
                <w:rFonts w:ascii="Arial" w:cs="Arial" w:eastAsia="Arial" w:hAnsi="Arial"/>
                <w:sz w:val="18"/>
                <w:szCs w:val="18"/>
                <w:color w:val="auto"/>
              </w:rPr>
              <w:t>Current assets</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9"/>
        </w:trPr>
        <w:tc>
          <w:tcPr>
            <w:tcW w:w="40" w:type="dxa"/>
            <w:vAlign w:val="bottom"/>
          </w:tcPr>
          <w:p>
            <w:pPr>
              <w:spacing w:after="0"/>
              <w:rPr>
                <w:sz w:val="19"/>
                <w:szCs w:val="19"/>
                <w:color w:val="auto"/>
              </w:rPr>
            </w:pPr>
          </w:p>
        </w:tc>
        <w:tc>
          <w:tcPr>
            <w:tcW w:w="5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Cash and cash equivalents</w:t>
            </w:r>
          </w:p>
        </w:tc>
        <w:tc>
          <w:tcPr>
            <w:tcW w:w="1600" w:type="dxa"/>
            <w:vAlign w:val="bottom"/>
            <w:shd w:val="clear" w:color="auto" w:fill="CFF0FC"/>
          </w:tcPr>
          <w:p>
            <w:pPr>
              <w:spacing w:after="0"/>
              <w:rPr>
                <w:sz w:val="19"/>
                <w:szCs w:val="19"/>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55,329</w:t>
            </w:r>
          </w:p>
        </w:tc>
        <w:tc>
          <w:tcPr>
            <w:tcW w:w="100" w:type="dxa"/>
            <w:vAlign w:val="bottom"/>
            <w:shd w:val="clear" w:color="auto" w:fill="CCEEFF"/>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62,126</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tcPr>
          <w:p>
            <w:pPr>
              <w:ind w:left="240"/>
              <w:spacing w:after="0"/>
              <w:rPr>
                <w:sz w:val="20"/>
                <w:szCs w:val="20"/>
                <w:color w:val="auto"/>
              </w:rPr>
            </w:pPr>
            <w:r>
              <w:rPr>
                <w:rFonts w:ascii="Arial" w:cs="Arial" w:eastAsia="Arial" w:hAnsi="Arial"/>
                <w:sz w:val="18"/>
                <w:szCs w:val="18"/>
                <w:color w:val="auto"/>
              </w:rPr>
              <w:t>Accounts receivable, net</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18,367</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15,304</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9"/>
        </w:trPr>
        <w:tc>
          <w:tcPr>
            <w:tcW w:w="40" w:type="dxa"/>
            <w:vAlign w:val="bottom"/>
          </w:tcPr>
          <w:p>
            <w:pPr>
              <w:spacing w:after="0"/>
              <w:rPr>
                <w:sz w:val="19"/>
                <w:szCs w:val="19"/>
                <w:color w:val="auto"/>
              </w:rPr>
            </w:pPr>
          </w:p>
        </w:tc>
        <w:tc>
          <w:tcPr>
            <w:tcW w:w="5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Other current assets</w:t>
            </w:r>
          </w:p>
        </w:tc>
        <w:tc>
          <w:tcPr>
            <w:tcW w:w="160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7,548</w:t>
            </w:r>
          </w:p>
        </w:tc>
        <w:tc>
          <w:tcPr>
            <w:tcW w:w="100" w:type="dxa"/>
            <w:vAlign w:val="bottom"/>
            <w:shd w:val="clear" w:color="auto" w:fill="CCEEFF"/>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8,710</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23"/>
        </w:trPr>
        <w:tc>
          <w:tcPr>
            <w:tcW w:w="40" w:type="dxa"/>
            <w:vAlign w:val="bottom"/>
          </w:tcPr>
          <w:p>
            <w:pPr>
              <w:spacing w:after="0"/>
              <w:rPr>
                <w:sz w:val="19"/>
                <w:szCs w:val="19"/>
                <w:color w:val="auto"/>
              </w:rPr>
            </w:pPr>
          </w:p>
        </w:tc>
        <w:tc>
          <w:tcPr>
            <w:tcW w:w="5800" w:type="dxa"/>
            <w:vAlign w:val="bottom"/>
          </w:tcPr>
          <w:p>
            <w:pPr>
              <w:ind w:left="480"/>
              <w:spacing w:after="0"/>
              <w:rPr>
                <w:sz w:val="20"/>
                <w:szCs w:val="20"/>
                <w:color w:val="auto"/>
              </w:rPr>
            </w:pPr>
            <w:r>
              <w:rPr>
                <w:rFonts w:ascii="Arial" w:cs="Arial" w:eastAsia="Arial" w:hAnsi="Arial"/>
                <w:sz w:val="18"/>
                <w:szCs w:val="18"/>
                <w:color w:val="auto"/>
              </w:rPr>
              <w:t>Total current assets</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81,244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86,140</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9"/>
        </w:trPr>
        <w:tc>
          <w:tcPr>
            <w:tcW w:w="40" w:type="dxa"/>
            <w:vAlign w:val="bottom"/>
          </w:tcPr>
          <w:p>
            <w:pPr>
              <w:spacing w:after="0"/>
              <w:rPr>
                <w:sz w:val="19"/>
                <w:szCs w:val="19"/>
                <w:color w:val="auto"/>
              </w:rPr>
            </w:pPr>
          </w:p>
        </w:tc>
        <w:tc>
          <w:tcPr>
            <w:tcW w:w="5800" w:type="dxa"/>
            <w:vAlign w:val="bottom"/>
            <w:shd w:val="clear" w:color="auto" w:fill="CFF0FC"/>
          </w:tcPr>
          <w:p>
            <w:pPr>
              <w:spacing w:after="0" w:line="207" w:lineRule="exact"/>
              <w:rPr>
                <w:sz w:val="20"/>
                <w:szCs w:val="20"/>
                <w:color w:val="auto"/>
              </w:rPr>
            </w:pPr>
            <w:r>
              <w:rPr>
                <w:rFonts w:ascii="Arial" w:cs="Arial" w:eastAsia="Arial" w:hAnsi="Arial"/>
                <w:sz w:val="18"/>
                <w:szCs w:val="18"/>
                <w:color w:val="auto"/>
              </w:rPr>
              <w:t>Non</w:t>
            </w:r>
            <w:r>
              <w:rPr>
                <w:rFonts w:ascii="MS PGothic" w:cs="MS PGothic" w:eastAsia="MS PGothic" w:hAnsi="MS PGothic"/>
                <w:sz w:val="18"/>
                <w:szCs w:val="18"/>
                <w:color w:val="auto"/>
              </w:rPr>
              <w:t>‑</w:t>
            </w:r>
            <w:r>
              <w:rPr>
                <w:rFonts w:ascii="Arial" w:cs="Arial" w:eastAsia="Arial" w:hAnsi="Arial"/>
                <w:sz w:val="18"/>
                <w:szCs w:val="18"/>
                <w:color w:val="auto"/>
              </w:rPr>
              <w:t>current assets</w:t>
            </w:r>
          </w:p>
        </w:tc>
        <w:tc>
          <w:tcPr>
            <w:tcW w:w="16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r>
      <w:tr>
        <w:trPr>
          <w:trHeight w:val="229"/>
        </w:trPr>
        <w:tc>
          <w:tcPr>
            <w:tcW w:w="40" w:type="dxa"/>
            <w:vAlign w:val="bottom"/>
          </w:tcPr>
          <w:p>
            <w:pPr>
              <w:spacing w:after="0"/>
              <w:rPr>
                <w:sz w:val="19"/>
                <w:szCs w:val="19"/>
                <w:color w:val="auto"/>
              </w:rPr>
            </w:pPr>
          </w:p>
        </w:tc>
        <w:tc>
          <w:tcPr>
            <w:tcW w:w="5800" w:type="dxa"/>
            <w:vAlign w:val="bottom"/>
          </w:tcPr>
          <w:p>
            <w:pPr>
              <w:ind w:left="240"/>
              <w:spacing w:after="0"/>
              <w:rPr>
                <w:sz w:val="20"/>
                <w:szCs w:val="20"/>
                <w:color w:val="auto"/>
              </w:rPr>
            </w:pPr>
            <w:r>
              <w:rPr>
                <w:rFonts w:ascii="Arial" w:cs="Arial" w:eastAsia="Arial" w:hAnsi="Arial"/>
                <w:sz w:val="18"/>
                <w:szCs w:val="18"/>
                <w:color w:val="auto"/>
              </w:rPr>
              <w:t>Property and equipment, net</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3,387</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3,178</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Intangible assets, net</w:t>
            </w:r>
          </w:p>
        </w:tc>
        <w:tc>
          <w:tcPr>
            <w:tcW w:w="1600" w:type="dxa"/>
            <w:vAlign w:val="bottom"/>
            <w:shd w:val="clear" w:color="auto" w:fill="CFF0FC"/>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12,821</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13,260</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29"/>
        </w:trPr>
        <w:tc>
          <w:tcPr>
            <w:tcW w:w="40" w:type="dxa"/>
            <w:vAlign w:val="bottom"/>
          </w:tcPr>
          <w:p>
            <w:pPr>
              <w:spacing w:after="0"/>
              <w:rPr>
                <w:sz w:val="19"/>
                <w:szCs w:val="19"/>
                <w:color w:val="auto"/>
              </w:rPr>
            </w:pPr>
          </w:p>
        </w:tc>
        <w:tc>
          <w:tcPr>
            <w:tcW w:w="5800" w:type="dxa"/>
            <w:vAlign w:val="bottom"/>
          </w:tcPr>
          <w:p>
            <w:pPr>
              <w:ind w:left="240"/>
              <w:spacing w:after="0"/>
              <w:rPr>
                <w:sz w:val="20"/>
                <w:szCs w:val="20"/>
                <w:color w:val="auto"/>
              </w:rPr>
            </w:pPr>
            <w:r>
              <w:rPr>
                <w:rFonts w:ascii="Arial" w:cs="Arial" w:eastAsia="Arial" w:hAnsi="Arial"/>
                <w:sz w:val="18"/>
                <w:szCs w:val="18"/>
                <w:color w:val="auto"/>
              </w:rPr>
              <w:t>Other long-term assets</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3,003</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3,461</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9"/>
        </w:trPr>
        <w:tc>
          <w:tcPr>
            <w:tcW w:w="40" w:type="dxa"/>
            <w:vAlign w:val="bottom"/>
          </w:tcPr>
          <w:p>
            <w:pPr>
              <w:spacing w:after="0"/>
              <w:rPr>
                <w:sz w:val="19"/>
                <w:szCs w:val="19"/>
                <w:color w:val="auto"/>
              </w:rPr>
            </w:pPr>
          </w:p>
        </w:tc>
        <w:tc>
          <w:tcPr>
            <w:tcW w:w="5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Goodwill</w:t>
            </w:r>
          </w:p>
        </w:tc>
        <w:tc>
          <w:tcPr>
            <w:tcW w:w="160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15,031</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15,031</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23"/>
        </w:trPr>
        <w:tc>
          <w:tcPr>
            <w:tcW w:w="40" w:type="dxa"/>
            <w:vAlign w:val="bottom"/>
          </w:tcPr>
          <w:p>
            <w:pPr>
              <w:spacing w:after="0"/>
              <w:rPr>
                <w:sz w:val="19"/>
                <w:szCs w:val="19"/>
                <w:color w:val="auto"/>
              </w:rPr>
            </w:pPr>
          </w:p>
        </w:tc>
        <w:tc>
          <w:tcPr>
            <w:tcW w:w="5800" w:type="dxa"/>
            <w:vAlign w:val="bottom"/>
            <w:tcBorders>
              <w:bottom w:val="single" w:sz="8" w:color="CFF0FC"/>
            </w:tcBorders>
          </w:tcPr>
          <w:p>
            <w:pPr>
              <w:ind w:left="480"/>
              <w:spacing w:after="0" w:line="207" w:lineRule="exact"/>
              <w:rPr>
                <w:sz w:val="20"/>
                <w:szCs w:val="20"/>
                <w:color w:val="auto"/>
              </w:rPr>
            </w:pPr>
            <w:r>
              <w:rPr>
                <w:rFonts w:ascii="Arial" w:cs="Arial" w:eastAsia="Arial" w:hAnsi="Arial"/>
                <w:sz w:val="18"/>
                <w:szCs w:val="18"/>
                <w:color w:val="auto"/>
              </w:rPr>
              <w:t>Total non</w:t>
            </w:r>
            <w:r>
              <w:rPr>
                <w:rFonts w:ascii="MS PGothic" w:cs="MS PGothic" w:eastAsia="MS PGothic" w:hAnsi="MS PGothic"/>
                <w:sz w:val="18"/>
                <w:szCs w:val="18"/>
                <w:color w:val="auto"/>
              </w:rPr>
              <w:t>‑</w:t>
            </w:r>
            <w:r>
              <w:rPr>
                <w:rFonts w:ascii="Arial" w:cs="Arial" w:eastAsia="Arial" w:hAnsi="Arial"/>
                <w:sz w:val="18"/>
                <w:szCs w:val="18"/>
                <w:color w:val="auto"/>
              </w:rPr>
              <w:t>current assets</w:t>
            </w:r>
          </w:p>
        </w:tc>
        <w:tc>
          <w:tcPr>
            <w:tcW w:w="160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34,242</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34,930</w:t>
            </w:r>
          </w:p>
        </w:tc>
        <w:tc>
          <w:tcPr>
            <w:tcW w:w="120" w:type="dxa"/>
            <w:vAlign w:val="bottom"/>
            <w:tcBorders>
              <w:bottom w:val="single" w:sz="8" w:color="CCEEFF"/>
            </w:tcBorders>
          </w:tcPr>
          <w:p>
            <w:pPr>
              <w:spacing w:after="0"/>
              <w:rPr>
                <w:sz w:val="19"/>
                <w:szCs w:val="19"/>
                <w:color w:val="auto"/>
              </w:rPr>
            </w:pPr>
          </w:p>
        </w:tc>
        <w:tc>
          <w:tcPr>
            <w:tcW w:w="40" w:type="dxa"/>
            <w:vAlign w:val="bottom"/>
          </w:tcPr>
          <w:p>
            <w:pPr>
              <w:spacing w:after="0"/>
              <w:rPr>
                <w:sz w:val="19"/>
                <w:szCs w:val="19"/>
                <w:color w:val="auto"/>
              </w:rPr>
            </w:pPr>
          </w:p>
        </w:tc>
      </w:tr>
      <w:tr>
        <w:trPr>
          <w:trHeight w:val="223"/>
        </w:trPr>
        <w:tc>
          <w:tcPr>
            <w:tcW w:w="40" w:type="dxa"/>
            <w:vAlign w:val="bottom"/>
          </w:tcPr>
          <w:p>
            <w:pPr>
              <w:spacing w:after="0"/>
              <w:rPr>
                <w:sz w:val="19"/>
                <w:szCs w:val="19"/>
                <w:color w:val="auto"/>
              </w:rPr>
            </w:pPr>
          </w:p>
        </w:tc>
        <w:tc>
          <w:tcPr>
            <w:tcW w:w="58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assets</w:t>
            </w:r>
          </w:p>
        </w:tc>
        <w:tc>
          <w:tcPr>
            <w:tcW w:w="160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115,486</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121,070</w:t>
            </w:r>
          </w:p>
        </w:tc>
        <w:tc>
          <w:tcPr>
            <w:tcW w:w="120" w:type="dxa"/>
            <w:vAlign w:val="bottom"/>
            <w:tcBorders>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0"/>
        </w:trPr>
        <w:tc>
          <w:tcPr>
            <w:tcW w:w="40" w:type="dxa"/>
            <w:vAlign w:val="bottom"/>
          </w:tcPr>
          <w:p>
            <w:pPr>
              <w:spacing w:after="0" w:line="20" w:lineRule="exact"/>
              <w:rPr>
                <w:sz w:val="1"/>
                <w:szCs w:val="1"/>
                <w:color w:val="auto"/>
              </w:rPr>
            </w:pPr>
          </w:p>
        </w:tc>
        <w:tc>
          <w:tcPr>
            <w:tcW w:w="7560" w:type="dxa"/>
            <w:vAlign w:val="bottom"/>
            <w:gridSpan w:val="3"/>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10"/>
        </w:trPr>
        <w:tc>
          <w:tcPr>
            <w:tcW w:w="40" w:type="dxa"/>
            <w:vAlign w:val="bottom"/>
          </w:tcPr>
          <w:p>
            <w:pPr>
              <w:spacing w:after="0"/>
              <w:rPr>
                <w:sz w:val="18"/>
                <w:szCs w:val="18"/>
                <w:color w:val="auto"/>
              </w:rPr>
            </w:pPr>
          </w:p>
        </w:tc>
        <w:tc>
          <w:tcPr>
            <w:tcW w:w="58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29"/>
        </w:trPr>
        <w:tc>
          <w:tcPr>
            <w:tcW w:w="40" w:type="dxa"/>
            <w:vAlign w:val="bottom"/>
          </w:tcPr>
          <w:p>
            <w:pPr>
              <w:spacing w:after="0"/>
              <w:rPr>
                <w:sz w:val="19"/>
                <w:szCs w:val="19"/>
                <w:color w:val="auto"/>
              </w:rPr>
            </w:pPr>
          </w:p>
        </w:tc>
        <w:tc>
          <w:tcPr>
            <w:tcW w:w="7560" w:type="dxa"/>
            <w:vAlign w:val="bottom"/>
            <w:gridSpan w:val="3"/>
            <w:shd w:val="clear" w:color="auto" w:fill="CFF0FC"/>
          </w:tcPr>
          <w:p>
            <w:pPr>
              <w:ind w:left="4140"/>
              <w:spacing w:after="0"/>
              <w:rPr>
                <w:sz w:val="20"/>
                <w:szCs w:val="20"/>
                <w:color w:val="auto"/>
              </w:rPr>
            </w:pPr>
            <w:r>
              <w:rPr>
                <w:rFonts w:ascii="Arial" w:cs="Arial" w:eastAsia="Arial" w:hAnsi="Arial"/>
                <w:sz w:val="18"/>
                <w:szCs w:val="18"/>
                <w:b w:val="1"/>
                <w:bCs w:val="1"/>
                <w:color w:val="auto"/>
              </w:rPr>
              <w:t>Liabilities and Stockholders' Equity</w:t>
            </w:r>
          </w:p>
        </w:tc>
        <w:tc>
          <w:tcPr>
            <w:tcW w:w="15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tcPr>
          <w:p>
            <w:pPr>
              <w:spacing w:after="0"/>
              <w:rPr>
                <w:sz w:val="20"/>
                <w:szCs w:val="20"/>
                <w:color w:val="auto"/>
              </w:rPr>
            </w:pPr>
            <w:r>
              <w:rPr>
                <w:rFonts w:ascii="Arial" w:cs="Arial" w:eastAsia="Arial" w:hAnsi="Arial"/>
                <w:sz w:val="18"/>
                <w:szCs w:val="18"/>
                <w:color w:val="auto"/>
              </w:rPr>
              <w:t>Current liabilities</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9"/>
        </w:trPr>
        <w:tc>
          <w:tcPr>
            <w:tcW w:w="40" w:type="dxa"/>
            <w:vAlign w:val="bottom"/>
          </w:tcPr>
          <w:p>
            <w:pPr>
              <w:spacing w:after="0"/>
              <w:rPr>
                <w:sz w:val="19"/>
                <w:szCs w:val="19"/>
                <w:color w:val="auto"/>
              </w:rPr>
            </w:pPr>
          </w:p>
        </w:tc>
        <w:tc>
          <w:tcPr>
            <w:tcW w:w="5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Accounts payable</w:t>
            </w:r>
          </w:p>
        </w:tc>
        <w:tc>
          <w:tcPr>
            <w:tcW w:w="1600" w:type="dxa"/>
            <w:vAlign w:val="bottom"/>
            <w:shd w:val="clear" w:color="auto" w:fill="CFF0FC"/>
          </w:tcPr>
          <w:p>
            <w:pPr>
              <w:spacing w:after="0"/>
              <w:rPr>
                <w:sz w:val="19"/>
                <w:szCs w:val="19"/>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3,747</w:t>
            </w:r>
          </w:p>
        </w:tc>
        <w:tc>
          <w:tcPr>
            <w:tcW w:w="100" w:type="dxa"/>
            <w:vAlign w:val="bottom"/>
            <w:shd w:val="clear" w:color="auto" w:fill="CCEEFF"/>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8,964</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tcPr>
          <w:p>
            <w:pPr>
              <w:ind w:left="240"/>
              <w:spacing w:after="0"/>
              <w:rPr>
                <w:sz w:val="20"/>
                <w:szCs w:val="20"/>
                <w:color w:val="auto"/>
              </w:rPr>
            </w:pPr>
            <w:r>
              <w:rPr>
                <w:rFonts w:ascii="Arial" w:cs="Arial" w:eastAsia="Arial" w:hAnsi="Arial"/>
                <w:sz w:val="18"/>
                <w:szCs w:val="18"/>
                <w:color w:val="auto"/>
              </w:rPr>
              <w:t>Accrued liabilities</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7,262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7,789</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Deferred revenue</w:t>
            </w:r>
          </w:p>
        </w:tc>
        <w:tc>
          <w:tcPr>
            <w:tcW w:w="1600" w:type="dxa"/>
            <w:vAlign w:val="bottom"/>
            <w:shd w:val="clear" w:color="auto" w:fill="CFF0FC"/>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2,408</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3,532</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Current portion of notes payable</w:t>
            </w:r>
          </w:p>
        </w:tc>
        <w:tc>
          <w:tcPr>
            <w:tcW w:w="160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2,707</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11,840</w:t>
            </w:r>
          </w:p>
        </w:tc>
        <w:tc>
          <w:tcPr>
            <w:tcW w:w="120" w:type="dxa"/>
            <w:vAlign w:val="bottom"/>
            <w:tcBorders>
              <w:bottom w:val="single" w:sz="8" w:color="CCEEFF"/>
            </w:tcBorders>
          </w:tcPr>
          <w:p>
            <w:pPr>
              <w:spacing w:after="0"/>
              <w:rPr>
                <w:sz w:val="19"/>
                <w:szCs w:val="19"/>
                <w:color w:val="auto"/>
              </w:rPr>
            </w:pPr>
          </w:p>
        </w:tc>
        <w:tc>
          <w:tcPr>
            <w:tcW w:w="40" w:type="dxa"/>
            <w:vAlign w:val="bottom"/>
          </w:tcPr>
          <w:p>
            <w:pPr>
              <w:spacing w:after="0"/>
              <w:rPr>
                <w:sz w:val="19"/>
                <w:szCs w:val="19"/>
                <w:color w:val="auto"/>
              </w:rPr>
            </w:pPr>
          </w:p>
        </w:tc>
      </w:tr>
      <w:tr>
        <w:trPr>
          <w:trHeight w:val="223"/>
        </w:trPr>
        <w:tc>
          <w:tcPr>
            <w:tcW w:w="40" w:type="dxa"/>
            <w:vAlign w:val="bottom"/>
          </w:tcPr>
          <w:p>
            <w:pPr>
              <w:spacing w:after="0"/>
              <w:rPr>
                <w:sz w:val="19"/>
                <w:szCs w:val="19"/>
                <w:color w:val="auto"/>
              </w:rPr>
            </w:pPr>
          </w:p>
        </w:tc>
        <w:tc>
          <w:tcPr>
            <w:tcW w:w="5800" w:type="dxa"/>
            <w:vAlign w:val="bottom"/>
            <w:shd w:val="clear" w:color="auto" w:fill="CFF0FC"/>
          </w:tcPr>
          <w:p>
            <w:pPr>
              <w:ind w:left="480"/>
              <w:spacing w:after="0"/>
              <w:rPr>
                <w:sz w:val="20"/>
                <w:szCs w:val="20"/>
                <w:color w:val="auto"/>
              </w:rPr>
            </w:pPr>
            <w:r>
              <w:rPr>
                <w:rFonts w:ascii="Arial" w:cs="Arial" w:eastAsia="Arial" w:hAnsi="Arial"/>
                <w:sz w:val="18"/>
                <w:szCs w:val="18"/>
                <w:color w:val="auto"/>
              </w:rPr>
              <w:t>Total current liabilities</w:t>
            </w:r>
          </w:p>
        </w:tc>
        <w:tc>
          <w:tcPr>
            <w:tcW w:w="1600" w:type="dxa"/>
            <w:vAlign w:val="bottom"/>
            <w:shd w:val="clear" w:color="auto" w:fill="CFF0FC"/>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16,124</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32,125</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tcPr>
          <w:p>
            <w:pPr>
              <w:spacing w:after="0" w:line="207" w:lineRule="exact"/>
              <w:rPr>
                <w:sz w:val="20"/>
                <w:szCs w:val="20"/>
                <w:color w:val="auto"/>
              </w:rPr>
            </w:pPr>
            <w:r>
              <w:rPr>
                <w:rFonts w:ascii="Arial" w:cs="Arial" w:eastAsia="Arial" w:hAnsi="Arial"/>
                <w:sz w:val="18"/>
                <w:szCs w:val="18"/>
                <w:color w:val="auto"/>
              </w:rPr>
              <w:t>Non</w:t>
            </w:r>
            <w:r>
              <w:rPr>
                <w:rFonts w:ascii="MS PGothic" w:cs="MS PGothic" w:eastAsia="MS PGothic" w:hAnsi="MS PGothic"/>
                <w:sz w:val="18"/>
                <w:szCs w:val="18"/>
                <w:color w:val="auto"/>
              </w:rPr>
              <w:t>‑</w:t>
            </w:r>
            <w:r>
              <w:rPr>
                <w:rFonts w:ascii="Arial" w:cs="Arial" w:eastAsia="Arial" w:hAnsi="Arial"/>
                <w:sz w:val="18"/>
                <w:szCs w:val="18"/>
                <w:color w:val="auto"/>
              </w:rPr>
              <w:t>current liabilities</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9"/>
        </w:trPr>
        <w:tc>
          <w:tcPr>
            <w:tcW w:w="40" w:type="dxa"/>
            <w:vAlign w:val="bottom"/>
          </w:tcPr>
          <w:p>
            <w:pPr>
              <w:spacing w:after="0"/>
              <w:rPr>
                <w:sz w:val="19"/>
                <w:szCs w:val="19"/>
                <w:color w:val="auto"/>
              </w:rPr>
            </w:pPr>
          </w:p>
        </w:tc>
        <w:tc>
          <w:tcPr>
            <w:tcW w:w="5800" w:type="dxa"/>
            <w:vAlign w:val="bottom"/>
            <w:shd w:val="clear" w:color="auto" w:fill="CFF0FC"/>
          </w:tcPr>
          <w:p>
            <w:pPr>
              <w:ind w:left="240"/>
              <w:spacing w:after="0" w:line="207" w:lineRule="exact"/>
              <w:rPr>
                <w:sz w:val="20"/>
                <w:szCs w:val="20"/>
                <w:color w:val="auto"/>
              </w:rPr>
            </w:pPr>
            <w:r>
              <w:rPr>
                <w:rFonts w:ascii="Arial" w:cs="Arial" w:eastAsia="Arial" w:hAnsi="Arial"/>
                <w:sz w:val="18"/>
                <w:szCs w:val="18"/>
                <w:color w:val="auto"/>
              </w:rPr>
              <w:t>Long</w:t>
            </w:r>
            <w:r>
              <w:rPr>
                <w:rFonts w:ascii="MS PGothic" w:cs="MS PGothic" w:eastAsia="MS PGothic" w:hAnsi="MS PGothic"/>
                <w:sz w:val="18"/>
                <w:szCs w:val="18"/>
                <w:color w:val="auto"/>
              </w:rPr>
              <w:t>‑</w:t>
            </w:r>
            <w:r>
              <w:rPr>
                <w:rFonts w:ascii="Arial" w:cs="Arial" w:eastAsia="Arial" w:hAnsi="Arial"/>
                <w:sz w:val="18"/>
                <w:szCs w:val="18"/>
                <w:color w:val="auto"/>
              </w:rPr>
              <w:t>term notes payable</w:t>
            </w:r>
          </w:p>
        </w:tc>
        <w:tc>
          <w:tcPr>
            <w:tcW w:w="1600" w:type="dxa"/>
            <w:vAlign w:val="bottom"/>
            <w:shd w:val="clear" w:color="auto" w:fill="CFF0FC"/>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30,328</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15,926</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tcPr>
          <w:p>
            <w:pPr>
              <w:ind w:left="240"/>
              <w:spacing w:after="0"/>
              <w:rPr>
                <w:sz w:val="20"/>
                <w:szCs w:val="20"/>
                <w:color w:val="auto"/>
              </w:rPr>
            </w:pPr>
            <w:r>
              <w:rPr>
                <w:rFonts w:ascii="Arial" w:cs="Arial" w:eastAsia="Arial" w:hAnsi="Arial"/>
                <w:sz w:val="18"/>
                <w:szCs w:val="18"/>
                <w:color w:val="auto"/>
              </w:rPr>
              <w:t>Contingent consideration</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30,915</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29,932</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Other long-term liabilities</w:t>
            </w:r>
          </w:p>
        </w:tc>
        <w:tc>
          <w:tcPr>
            <w:tcW w:w="160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1,687</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1,921</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23"/>
        </w:trPr>
        <w:tc>
          <w:tcPr>
            <w:tcW w:w="40" w:type="dxa"/>
            <w:vAlign w:val="bottom"/>
          </w:tcPr>
          <w:p>
            <w:pPr>
              <w:spacing w:after="0"/>
              <w:rPr>
                <w:sz w:val="19"/>
                <w:szCs w:val="19"/>
                <w:color w:val="auto"/>
              </w:rPr>
            </w:pPr>
          </w:p>
        </w:tc>
        <w:tc>
          <w:tcPr>
            <w:tcW w:w="5800" w:type="dxa"/>
            <w:vAlign w:val="bottom"/>
            <w:tcBorders>
              <w:bottom w:val="single" w:sz="8" w:color="CFF0FC"/>
            </w:tcBorders>
          </w:tcPr>
          <w:p>
            <w:pPr>
              <w:ind w:left="480"/>
              <w:spacing w:after="0" w:line="207" w:lineRule="exact"/>
              <w:rPr>
                <w:sz w:val="20"/>
                <w:szCs w:val="20"/>
                <w:color w:val="auto"/>
              </w:rPr>
            </w:pPr>
            <w:r>
              <w:rPr>
                <w:rFonts w:ascii="Arial" w:cs="Arial" w:eastAsia="Arial" w:hAnsi="Arial"/>
                <w:sz w:val="18"/>
                <w:szCs w:val="18"/>
                <w:color w:val="auto"/>
              </w:rPr>
              <w:t>Total non</w:t>
            </w:r>
            <w:r>
              <w:rPr>
                <w:rFonts w:ascii="MS PGothic" w:cs="MS PGothic" w:eastAsia="MS PGothic" w:hAnsi="MS PGothic"/>
                <w:sz w:val="18"/>
                <w:szCs w:val="18"/>
                <w:color w:val="auto"/>
              </w:rPr>
              <w:t>‑</w:t>
            </w:r>
            <w:r>
              <w:rPr>
                <w:rFonts w:ascii="Arial" w:cs="Arial" w:eastAsia="Arial" w:hAnsi="Arial"/>
                <w:sz w:val="18"/>
                <w:szCs w:val="18"/>
                <w:color w:val="auto"/>
              </w:rPr>
              <w:t>current liabilities</w:t>
            </w:r>
          </w:p>
        </w:tc>
        <w:tc>
          <w:tcPr>
            <w:tcW w:w="160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62,930</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47,779</w:t>
            </w:r>
          </w:p>
        </w:tc>
        <w:tc>
          <w:tcPr>
            <w:tcW w:w="120" w:type="dxa"/>
            <w:vAlign w:val="bottom"/>
            <w:tcBorders>
              <w:bottom w:val="single" w:sz="8" w:color="CCEEFF"/>
            </w:tcBorders>
          </w:tcPr>
          <w:p>
            <w:pPr>
              <w:spacing w:after="0"/>
              <w:rPr>
                <w:sz w:val="19"/>
                <w:szCs w:val="19"/>
                <w:color w:val="auto"/>
              </w:rPr>
            </w:pPr>
          </w:p>
        </w:tc>
        <w:tc>
          <w:tcPr>
            <w:tcW w:w="40" w:type="dxa"/>
            <w:vAlign w:val="bottom"/>
          </w:tcPr>
          <w:p>
            <w:pPr>
              <w:spacing w:after="0"/>
              <w:rPr>
                <w:sz w:val="19"/>
                <w:szCs w:val="19"/>
                <w:color w:val="auto"/>
              </w:rPr>
            </w:pPr>
          </w:p>
        </w:tc>
      </w:tr>
      <w:tr>
        <w:trPr>
          <w:trHeight w:val="223"/>
        </w:trPr>
        <w:tc>
          <w:tcPr>
            <w:tcW w:w="40" w:type="dxa"/>
            <w:vAlign w:val="bottom"/>
          </w:tcPr>
          <w:p>
            <w:pPr>
              <w:spacing w:after="0"/>
              <w:rPr>
                <w:sz w:val="19"/>
                <w:szCs w:val="19"/>
                <w:color w:val="auto"/>
              </w:rPr>
            </w:pPr>
          </w:p>
        </w:tc>
        <w:tc>
          <w:tcPr>
            <w:tcW w:w="5800" w:type="dxa"/>
            <w:vAlign w:val="bottom"/>
            <w:shd w:val="clear" w:color="auto" w:fill="CFF0FC"/>
          </w:tcPr>
          <w:p>
            <w:pPr>
              <w:spacing w:after="0"/>
              <w:rPr>
                <w:sz w:val="20"/>
                <w:szCs w:val="20"/>
                <w:color w:val="auto"/>
              </w:rPr>
            </w:pPr>
            <w:r>
              <w:rPr>
                <w:rFonts w:ascii="Arial" w:cs="Arial" w:eastAsia="Arial" w:hAnsi="Arial"/>
                <w:sz w:val="18"/>
                <w:szCs w:val="18"/>
                <w:color w:val="auto"/>
              </w:rPr>
              <w:t>Total liabilities</w:t>
            </w:r>
          </w:p>
        </w:tc>
        <w:tc>
          <w:tcPr>
            <w:tcW w:w="1600" w:type="dxa"/>
            <w:vAlign w:val="bottom"/>
            <w:shd w:val="clear" w:color="auto" w:fill="CFF0FC"/>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79,054</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79,904</w:t>
            </w:r>
          </w:p>
        </w:tc>
        <w:tc>
          <w:tcPr>
            <w:tcW w:w="12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40" w:type="dxa"/>
            <w:vAlign w:val="bottom"/>
          </w:tcPr>
          <w:p>
            <w:pPr>
              <w:spacing w:after="0"/>
              <w:rPr>
                <w:sz w:val="19"/>
                <w:szCs w:val="19"/>
                <w:color w:val="auto"/>
              </w:rPr>
            </w:pPr>
          </w:p>
        </w:tc>
        <w:tc>
          <w:tcPr>
            <w:tcW w:w="5800" w:type="dxa"/>
            <w:vAlign w:val="bottom"/>
            <w:shd w:val="clear" w:color="auto" w:fill="CFF0FC"/>
          </w:tcPr>
          <w:p>
            <w:pPr>
              <w:spacing w:after="0"/>
              <w:rPr>
                <w:sz w:val="20"/>
                <w:szCs w:val="20"/>
                <w:color w:val="auto"/>
              </w:rPr>
            </w:pPr>
            <w:r>
              <w:rPr>
                <w:rFonts w:ascii="Arial" w:cs="Arial" w:eastAsia="Arial" w:hAnsi="Arial"/>
                <w:sz w:val="18"/>
                <w:szCs w:val="18"/>
                <w:color w:val="auto"/>
              </w:rPr>
              <w:t>Stockholders' equity</w:t>
            </w:r>
          </w:p>
        </w:tc>
        <w:tc>
          <w:tcPr>
            <w:tcW w:w="16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r>
      <w:tr>
        <w:trPr>
          <w:trHeight w:val="215"/>
        </w:trPr>
        <w:tc>
          <w:tcPr>
            <w:tcW w:w="40" w:type="dxa"/>
            <w:vAlign w:val="bottom"/>
          </w:tcPr>
          <w:p>
            <w:pPr>
              <w:spacing w:after="0"/>
              <w:rPr>
                <w:sz w:val="18"/>
                <w:szCs w:val="18"/>
                <w:color w:val="auto"/>
              </w:rPr>
            </w:pPr>
          </w:p>
        </w:tc>
        <w:tc>
          <w:tcPr>
            <w:tcW w:w="5800" w:type="dxa"/>
            <w:vAlign w:val="bottom"/>
          </w:tcPr>
          <w:p>
            <w:pPr>
              <w:ind w:left="240"/>
              <w:spacing w:after="0"/>
              <w:rPr>
                <w:sz w:val="20"/>
                <w:szCs w:val="20"/>
                <w:color w:val="auto"/>
              </w:rPr>
            </w:pPr>
            <w:r>
              <w:rPr>
                <w:rFonts w:ascii="Arial" w:cs="Arial" w:eastAsia="Arial" w:hAnsi="Arial"/>
                <w:sz w:val="18"/>
                <w:szCs w:val="18"/>
                <w:color w:val="auto"/>
                <w:w w:val="90"/>
              </w:rPr>
              <w:t>Preferred stock, $0.001 par value, 5,000,000 shares authorized; 0 (2021 and</w:t>
            </w:r>
          </w:p>
        </w:tc>
        <w:tc>
          <w:tcPr>
            <w:tcW w:w="1760" w:type="dxa"/>
            <w:vAlign w:val="bottom"/>
            <w:gridSpan w:val="2"/>
          </w:tcPr>
          <w:p>
            <w:pPr>
              <w:jc w:val="right"/>
              <w:ind w:right="747"/>
              <w:spacing w:after="0"/>
              <w:rPr>
                <w:sz w:val="20"/>
                <w:szCs w:val="20"/>
                <w:color w:val="auto"/>
              </w:rPr>
            </w:pPr>
            <w:r>
              <w:rPr>
                <w:rFonts w:ascii="Arial" w:cs="Arial" w:eastAsia="Arial" w:hAnsi="Arial"/>
                <w:sz w:val="18"/>
                <w:szCs w:val="18"/>
                <w:color w:val="auto"/>
                <w:w w:val="87"/>
              </w:rPr>
              <w:t>2020) shares</w:t>
            </w:r>
          </w:p>
        </w:tc>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40" w:type="dxa"/>
            <w:vAlign w:val="bottom"/>
          </w:tcPr>
          <w:p>
            <w:pPr>
              <w:spacing w:after="0"/>
              <w:rPr>
                <w:sz w:val="20"/>
                <w:szCs w:val="20"/>
                <w:color w:val="auto"/>
              </w:rPr>
            </w:pPr>
          </w:p>
        </w:tc>
        <w:tc>
          <w:tcPr>
            <w:tcW w:w="5800" w:type="dxa"/>
            <w:vAlign w:val="bottom"/>
          </w:tcPr>
          <w:p>
            <w:pPr>
              <w:ind w:left="400"/>
              <w:spacing w:after="0"/>
              <w:rPr>
                <w:sz w:val="20"/>
                <w:szCs w:val="20"/>
                <w:color w:val="auto"/>
              </w:rPr>
            </w:pPr>
            <w:r>
              <w:rPr>
                <w:rFonts w:ascii="Arial" w:cs="Arial" w:eastAsia="Arial" w:hAnsi="Arial"/>
                <w:sz w:val="18"/>
                <w:szCs w:val="18"/>
                <w:color w:val="auto"/>
              </w:rPr>
              <w:t>issued and outstanding</w:t>
            </w:r>
          </w:p>
        </w:tc>
        <w:tc>
          <w:tcPr>
            <w:tcW w:w="16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7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r>
      <w:tr>
        <w:trPr>
          <w:trHeight w:val="215"/>
        </w:trPr>
        <w:tc>
          <w:tcPr>
            <w:tcW w:w="40" w:type="dxa"/>
            <w:vAlign w:val="bottom"/>
          </w:tcPr>
          <w:p>
            <w:pPr>
              <w:spacing w:after="0"/>
              <w:rPr>
                <w:sz w:val="18"/>
                <w:szCs w:val="18"/>
                <w:color w:val="auto"/>
              </w:rPr>
            </w:pPr>
          </w:p>
        </w:tc>
        <w:tc>
          <w:tcPr>
            <w:tcW w:w="5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Common stock, $0.001 par value, 200,000,000 shares authorized;</w:t>
            </w:r>
          </w:p>
        </w:tc>
        <w:tc>
          <w:tcPr>
            <w:tcW w:w="16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40" w:type="dxa"/>
            <w:vAlign w:val="bottom"/>
          </w:tcPr>
          <w:p>
            <w:pPr>
              <w:spacing w:after="0"/>
              <w:rPr>
                <w:sz w:val="20"/>
                <w:szCs w:val="20"/>
                <w:color w:val="auto"/>
              </w:rPr>
            </w:pPr>
          </w:p>
        </w:tc>
        <w:tc>
          <w:tcPr>
            <w:tcW w:w="5800" w:type="dxa"/>
            <w:vAlign w:val="bottom"/>
            <w:shd w:val="clear" w:color="auto" w:fill="CFF0FC"/>
          </w:tcPr>
          <w:p>
            <w:pPr>
              <w:ind w:left="420"/>
              <w:spacing w:after="0"/>
              <w:rPr>
                <w:sz w:val="20"/>
                <w:szCs w:val="20"/>
                <w:color w:val="auto"/>
              </w:rPr>
            </w:pPr>
            <w:r>
              <w:rPr>
                <w:rFonts w:ascii="Arial" w:cs="Arial" w:eastAsia="Arial" w:hAnsi="Arial"/>
                <w:sz w:val="18"/>
                <w:szCs w:val="18"/>
                <w:color w:val="auto"/>
                <w:w w:val="91"/>
              </w:rPr>
              <w:t>26,785,431 (2021) and 26,561,504 (2020) shares issued and outstanding</w:t>
            </w:r>
          </w:p>
        </w:tc>
        <w:tc>
          <w:tcPr>
            <w:tcW w:w="160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w:t>
            </w:r>
          </w:p>
        </w:tc>
        <w:tc>
          <w:tcPr>
            <w:tcW w:w="10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w:t>
            </w:r>
          </w:p>
        </w:tc>
        <w:tc>
          <w:tcPr>
            <w:tcW w:w="120" w:type="dxa"/>
            <w:vAlign w:val="bottom"/>
            <w:shd w:val="clear" w:color="auto" w:fill="CFF0FC"/>
          </w:tcPr>
          <w:p>
            <w:pPr>
              <w:spacing w:after="0"/>
              <w:rPr>
                <w:sz w:val="20"/>
                <w:szCs w:val="20"/>
                <w:color w:val="auto"/>
              </w:rPr>
            </w:pPr>
          </w:p>
        </w:tc>
        <w:tc>
          <w:tcPr>
            <w:tcW w:w="40" w:type="dxa"/>
            <w:vAlign w:val="bottom"/>
          </w:tcPr>
          <w:p>
            <w:pPr>
              <w:spacing w:after="0"/>
              <w:rPr>
                <w:sz w:val="20"/>
                <w:szCs w:val="20"/>
                <w:color w:val="auto"/>
              </w:rPr>
            </w:pPr>
          </w:p>
        </w:tc>
      </w:tr>
      <w:tr>
        <w:trPr>
          <w:trHeight w:val="230"/>
        </w:trPr>
        <w:tc>
          <w:tcPr>
            <w:tcW w:w="40" w:type="dxa"/>
            <w:vAlign w:val="bottom"/>
          </w:tcPr>
          <w:p>
            <w:pPr>
              <w:spacing w:after="0"/>
              <w:rPr>
                <w:sz w:val="19"/>
                <w:szCs w:val="19"/>
                <w:color w:val="auto"/>
              </w:rPr>
            </w:pPr>
          </w:p>
        </w:tc>
        <w:tc>
          <w:tcPr>
            <w:tcW w:w="5800" w:type="dxa"/>
            <w:vAlign w:val="bottom"/>
          </w:tcPr>
          <w:p>
            <w:pPr>
              <w:ind w:left="240"/>
              <w:spacing w:after="0" w:line="207" w:lineRule="exact"/>
              <w:rPr>
                <w:sz w:val="20"/>
                <w:szCs w:val="20"/>
                <w:color w:val="auto"/>
              </w:rPr>
            </w:pPr>
            <w:r>
              <w:rPr>
                <w:rFonts w:ascii="Arial" w:cs="Arial" w:eastAsia="Arial" w:hAnsi="Arial"/>
                <w:sz w:val="18"/>
                <w:szCs w:val="18"/>
                <w:color w:val="auto"/>
              </w:rPr>
              <w:t>Additional paid</w:t>
            </w:r>
            <w:r>
              <w:rPr>
                <w:rFonts w:ascii="MS PGothic" w:cs="MS PGothic" w:eastAsia="MS PGothic" w:hAnsi="MS PGothic"/>
                <w:sz w:val="18"/>
                <w:szCs w:val="18"/>
                <w:color w:val="auto"/>
              </w:rPr>
              <w:t>‑</w:t>
            </w:r>
            <w:r>
              <w:rPr>
                <w:rFonts w:ascii="Arial" w:cs="Arial" w:eastAsia="Arial" w:hAnsi="Arial"/>
                <w:sz w:val="18"/>
                <w:szCs w:val="18"/>
                <w:color w:val="auto"/>
              </w:rPr>
              <w:t>in capital</w:t>
            </w: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302,180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299,953</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9"/>
        </w:trPr>
        <w:tc>
          <w:tcPr>
            <w:tcW w:w="40" w:type="dxa"/>
            <w:vAlign w:val="bottom"/>
          </w:tcPr>
          <w:p>
            <w:pPr>
              <w:spacing w:after="0"/>
              <w:rPr>
                <w:sz w:val="19"/>
                <w:szCs w:val="19"/>
                <w:color w:val="auto"/>
              </w:rPr>
            </w:pPr>
          </w:p>
        </w:tc>
        <w:tc>
          <w:tcPr>
            <w:tcW w:w="5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Accumulated deficit</w:t>
            </w:r>
          </w:p>
        </w:tc>
        <w:tc>
          <w:tcPr>
            <w:tcW w:w="1600" w:type="dxa"/>
            <w:vAlign w:val="bottom"/>
            <w:shd w:val="clear" w:color="auto" w:fill="CFF0FC"/>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(265,775)</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(258,814)</w:t>
            </w:r>
          </w:p>
        </w:tc>
        <w:tc>
          <w:tcPr>
            <w:tcW w:w="40" w:type="dxa"/>
            <w:vAlign w:val="bottom"/>
          </w:tcPr>
          <w:p>
            <w:pPr>
              <w:spacing w:after="0"/>
              <w:rPr>
                <w:sz w:val="19"/>
                <w:szCs w:val="19"/>
                <w:color w:val="auto"/>
              </w:rPr>
            </w:pPr>
          </w:p>
        </w:tc>
      </w:tr>
      <w:tr>
        <w:trPr>
          <w:trHeight w:val="223"/>
        </w:trPr>
        <w:tc>
          <w:tcPr>
            <w:tcW w:w="40" w:type="dxa"/>
            <w:vAlign w:val="bottom"/>
          </w:tcPr>
          <w:p>
            <w:pPr>
              <w:spacing w:after="0"/>
              <w:rPr>
                <w:sz w:val="19"/>
                <w:szCs w:val="19"/>
                <w:color w:val="auto"/>
              </w:rPr>
            </w:pPr>
          </w:p>
        </w:tc>
        <w:tc>
          <w:tcPr>
            <w:tcW w:w="58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stockholders' equity</w:t>
            </w:r>
          </w:p>
        </w:tc>
        <w:tc>
          <w:tcPr>
            <w:tcW w:w="1600" w:type="dxa"/>
            <w:vAlign w:val="bottom"/>
            <w:tcBorders>
              <w:bottom w:val="single" w:sz="8" w:color="CFF0FC"/>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36,432</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41,166</w:t>
            </w:r>
          </w:p>
        </w:tc>
        <w:tc>
          <w:tcPr>
            <w:tcW w:w="120" w:type="dxa"/>
            <w:vAlign w:val="bottom"/>
            <w:tcBorders>
              <w:bottom w:val="single" w:sz="8" w:color="CCEEFF"/>
            </w:tcBorders>
          </w:tcPr>
          <w:p>
            <w:pPr>
              <w:spacing w:after="0"/>
              <w:rPr>
                <w:sz w:val="19"/>
                <w:szCs w:val="19"/>
                <w:color w:val="auto"/>
              </w:rPr>
            </w:pPr>
          </w:p>
        </w:tc>
        <w:tc>
          <w:tcPr>
            <w:tcW w:w="40" w:type="dxa"/>
            <w:vAlign w:val="bottom"/>
          </w:tcPr>
          <w:p>
            <w:pPr>
              <w:spacing w:after="0"/>
              <w:rPr>
                <w:sz w:val="19"/>
                <w:szCs w:val="19"/>
                <w:color w:val="auto"/>
              </w:rPr>
            </w:pPr>
          </w:p>
        </w:tc>
      </w:tr>
      <w:tr>
        <w:trPr>
          <w:trHeight w:val="223"/>
        </w:trPr>
        <w:tc>
          <w:tcPr>
            <w:tcW w:w="40" w:type="dxa"/>
            <w:vAlign w:val="bottom"/>
          </w:tcPr>
          <w:p>
            <w:pPr>
              <w:spacing w:after="0"/>
              <w:rPr>
                <w:sz w:val="19"/>
                <w:szCs w:val="19"/>
                <w:color w:val="auto"/>
              </w:rPr>
            </w:pPr>
          </w:p>
        </w:tc>
        <w:tc>
          <w:tcPr>
            <w:tcW w:w="58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liabilities and stockholders' equity</w:t>
            </w:r>
          </w:p>
        </w:tc>
        <w:tc>
          <w:tcPr>
            <w:tcW w:w="160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115,486</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121,070</w:t>
            </w:r>
          </w:p>
        </w:tc>
        <w:tc>
          <w:tcPr>
            <w:tcW w:w="120" w:type="dxa"/>
            <w:vAlign w:val="bottom"/>
            <w:tcBorders>
              <w:bottom w:val="single" w:sz="8" w:color="CCEEFF"/>
            </w:tcBorders>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0"/>
        </w:trPr>
        <w:tc>
          <w:tcPr>
            <w:tcW w:w="40" w:type="dxa"/>
            <w:vAlign w:val="bottom"/>
          </w:tcPr>
          <w:p>
            <w:pPr>
              <w:spacing w:after="0" w:line="20" w:lineRule="exact"/>
              <w:rPr>
                <w:sz w:val="1"/>
                <w:szCs w:val="1"/>
                <w:color w:val="auto"/>
              </w:rPr>
            </w:pPr>
          </w:p>
        </w:tc>
        <w:tc>
          <w:tcPr>
            <w:tcW w:w="58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757"/>
        </w:trPr>
        <w:tc>
          <w:tcPr>
            <w:tcW w:w="40" w:type="dxa"/>
            <w:vAlign w:val="bottom"/>
            <w:tcBorders>
              <w:bottom w:val="single" w:sz="8" w:color="9A9A9A"/>
            </w:tcBorders>
          </w:tcPr>
          <w:p>
            <w:pPr>
              <w:spacing w:after="0"/>
              <w:rPr>
                <w:sz w:val="24"/>
                <w:szCs w:val="24"/>
                <w:color w:val="auto"/>
              </w:rPr>
            </w:pPr>
          </w:p>
        </w:tc>
        <w:tc>
          <w:tcPr>
            <w:tcW w:w="5800" w:type="dxa"/>
            <w:vAlign w:val="bottom"/>
            <w:tcBorders>
              <w:bottom w:val="single" w:sz="8" w:color="9A9A9A"/>
            </w:tcBorders>
          </w:tcPr>
          <w:p>
            <w:pPr>
              <w:spacing w:after="0"/>
              <w:rPr>
                <w:sz w:val="24"/>
                <w:szCs w:val="24"/>
                <w:color w:val="auto"/>
              </w:rPr>
            </w:pPr>
          </w:p>
        </w:tc>
        <w:tc>
          <w:tcPr>
            <w:tcW w:w="160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5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60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18" w:right="319" w:bottom="1440" w:gutter="0" w:footer="0" w:header="0"/>
        </w:sectPr>
      </w:pPr>
    </w:p>
    <w:bookmarkStart w:id="8" w:name="page9"/>
    <w:bookmarkEnd w:id="8"/>
    <w:p>
      <w:pPr>
        <w:spacing w:after="0" w:line="25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2651125</wp:posOffset>
            </wp:positionH>
            <wp:positionV relativeFrom="page">
              <wp:posOffset>88900</wp:posOffset>
            </wp:positionV>
            <wp:extent cx="2245995" cy="7029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2245995" cy="70294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20"/>
          <w:szCs w:val="20"/>
          <w:b w:val="1"/>
          <w:bCs w:val="1"/>
          <w:color w:val="auto"/>
        </w:rPr>
        <w:t>Biodesix,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Condensed Statements of Operations (unaudited)</w:t>
      </w:r>
    </w:p>
    <w:p>
      <w:pPr>
        <w:jc w:val="center"/>
        <w:spacing w:after="0"/>
        <w:rPr>
          <w:sz w:val="20"/>
          <w:szCs w:val="20"/>
          <w:color w:val="auto"/>
        </w:rPr>
      </w:pPr>
      <w:r>
        <w:rPr>
          <w:rFonts w:ascii="Arial" w:cs="Arial" w:eastAsia="Arial" w:hAnsi="Arial"/>
          <w:sz w:val="20"/>
          <w:szCs w:val="20"/>
          <w:b w:val="1"/>
          <w:bCs w:val="1"/>
          <w:color w:val="auto"/>
        </w:rPr>
        <w:t>(in thousands, except share data)</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0" w:type="dxa"/>
            <w:vAlign w:val="bottom"/>
            <w:gridSpan w:val="6"/>
          </w:tcPr>
          <w:p>
            <w:pPr>
              <w:jc w:val="right"/>
              <w:ind w:right="1020"/>
              <w:spacing w:after="0"/>
              <w:rPr>
                <w:sz w:val="20"/>
                <w:szCs w:val="20"/>
                <w:color w:val="auto"/>
              </w:rPr>
            </w:pPr>
            <w:r>
              <w:rPr>
                <w:rFonts w:ascii="Arial" w:cs="Arial" w:eastAsia="Arial" w:hAnsi="Arial"/>
                <w:sz w:val="18"/>
                <w:szCs w:val="18"/>
                <w:b w:val="1"/>
                <w:bCs w:val="1"/>
                <w:color w:val="auto"/>
              </w:rPr>
              <w:t>Three Months Ended</w:t>
            </w:r>
          </w:p>
        </w:tc>
      </w:tr>
      <w:tr>
        <w:trPr>
          <w:trHeight w:val="223"/>
        </w:trPr>
        <w:tc>
          <w:tcPr>
            <w:tcW w:w="75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600" w:type="dxa"/>
            <w:vAlign w:val="bottom"/>
            <w:tcBorders>
              <w:top w:val="single" w:sz="8" w:color="auto"/>
            </w:tcBorders>
            <w:gridSpan w:val="2"/>
          </w:tcPr>
          <w:p>
            <w:pPr>
              <w:jc w:val="right"/>
              <w:ind w:right="360"/>
              <w:spacing w:after="0"/>
              <w:rPr>
                <w:sz w:val="20"/>
                <w:szCs w:val="20"/>
                <w:color w:val="auto"/>
              </w:rPr>
            </w:pPr>
            <w:r>
              <w:rPr>
                <w:rFonts w:ascii="Arial" w:cs="Arial" w:eastAsia="Arial" w:hAnsi="Arial"/>
                <w:sz w:val="18"/>
                <w:szCs w:val="18"/>
                <w:b w:val="1"/>
                <w:bCs w:val="1"/>
                <w:color w:val="auto"/>
                <w:w w:val="95"/>
              </w:rPr>
              <w:t>March 31, 2021</w:t>
            </w:r>
          </w:p>
        </w:tc>
        <w:tc>
          <w:tcPr>
            <w:tcW w:w="12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44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5"/>
              </w:rPr>
              <w:t>March 31, 2020</w:t>
            </w:r>
          </w:p>
        </w:tc>
        <w:tc>
          <w:tcPr>
            <w:tcW w:w="120" w:type="dxa"/>
            <w:vAlign w:val="bottom"/>
          </w:tcPr>
          <w:p>
            <w:pPr>
              <w:spacing w:after="0"/>
              <w:rPr>
                <w:sz w:val="19"/>
                <w:szCs w:val="19"/>
                <w:color w:val="auto"/>
              </w:rPr>
            </w:pPr>
          </w:p>
        </w:tc>
      </w:tr>
      <w:tr>
        <w:trPr>
          <w:trHeight w:val="223"/>
        </w:trPr>
        <w:tc>
          <w:tcPr>
            <w:tcW w:w="75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1420" w:type="dxa"/>
            <w:vAlign w:val="bottom"/>
            <w:tcBorders>
              <w:top w:val="single" w:sz="8" w:color="auto"/>
            </w:tcBorders>
            <w:shd w:val="clear" w:color="auto" w:fill="CCEEFF"/>
          </w:tcPr>
          <w:p>
            <w:pPr>
              <w:spacing w:after="0"/>
              <w:rPr>
                <w:sz w:val="19"/>
                <w:szCs w:val="19"/>
                <w:color w:val="auto"/>
              </w:rPr>
            </w:pPr>
          </w:p>
        </w:tc>
        <w:tc>
          <w:tcPr>
            <w:tcW w:w="18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14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r>
      <w:tr>
        <w:trPr>
          <w:trHeight w:val="229"/>
        </w:trPr>
        <w:tc>
          <w:tcPr>
            <w:tcW w:w="7540" w:type="dxa"/>
            <w:vAlign w:val="bottom"/>
          </w:tcPr>
          <w:p>
            <w:pPr>
              <w:ind w:left="180"/>
              <w:spacing w:after="0"/>
              <w:rPr>
                <w:sz w:val="20"/>
                <w:szCs w:val="20"/>
                <w:color w:val="auto"/>
              </w:rPr>
            </w:pPr>
            <w:r>
              <w:rPr>
                <w:rFonts w:ascii="Arial" w:cs="Arial" w:eastAsia="Arial" w:hAnsi="Arial"/>
                <w:sz w:val="18"/>
                <w:szCs w:val="18"/>
                <w:color w:val="auto"/>
              </w:rPr>
              <w:t>COVID-19</w:t>
            </w:r>
          </w:p>
        </w:tc>
        <w:tc>
          <w:tcPr>
            <w:tcW w:w="18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23,232</w:t>
            </w:r>
          </w:p>
        </w:tc>
        <w:tc>
          <w:tcPr>
            <w:tcW w:w="180" w:type="dxa"/>
            <w:vAlign w:val="bottom"/>
          </w:tcPr>
          <w:p>
            <w:pPr>
              <w:spacing w:after="0"/>
              <w:rPr>
                <w:sz w:val="19"/>
                <w:szCs w:val="19"/>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7540" w:type="dxa"/>
            <w:vAlign w:val="bottom"/>
            <w:shd w:val="clear" w:color="auto" w:fill="CFF0FC"/>
          </w:tcPr>
          <w:p>
            <w:pPr>
              <w:ind w:left="180"/>
              <w:spacing w:after="0"/>
              <w:rPr>
                <w:sz w:val="20"/>
                <w:szCs w:val="20"/>
                <w:color w:val="auto"/>
              </w:rPr>
            </w:pPr>
            <w:r>
              <w:rPr>
                <w:rFonts w:ascii="Arial" w:cs="Arial" w:eastAsia="Arial" w:hAnsi="Arial"/>
                <w:sz w:val="18"/>
                <w:szCs w:val="18"/>
                <w:color w:val="auto"/>
              </w:rPr>
              <w:t>Lung diagnostic</w:t>
            </w:r>
          </w:p>
        </w:tc>
        <w:tc>
          <w:tcPr>
            <w:tcW w:w="18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3,963</w:t>
            </w: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3,603</w:t>
            </w:r>
          </w:p>
        </w:tc>
        <w:tc>
          <w:tcPr>
            <w:tcW w:w="120" w:type="dxa"/>
            <w:vAlign w:val="bottom"/>
            <w:shd w:val="clear" w:color="auto" w:fill="CCEEFF"/>
          </w:tcPr>
          <w:p>
            <w:pPr>
              <w:spacing w:after="0"/>
              <w:rPr>
                <w:sz w:val="19"/>
                <w:szCs w:val="19"/>
                <w:color w:val="auto"/>
              </w:rPr>
            </w:pPr>
          </w:p>
        </w:tc>
      </w:tr>
      <w:tr>
        <w:trPr>
          <w:trHeight w:val="223"/>
        </w:trPr>
        <w:tc>
          <w:tcPr>
            <w:tcW w:w="7540" w:type="dxa"/>
            <w:vAlign w:val="bottom"/>
          </w:tcPr>
          <w:p>
            <w:pPr>
              <w:ind w:left="280"/>
              <w:spacing w:after="0"/>
              <w:rPr>
                <w:sz w:val="20"/>
                <w:szCs w:val="20"/>
                <w:color w:val="auto"/>
              </w:rPr>
            </w:pPr>
            <w:r>
              <w:rPr>
                <w:rFonts w:ascii="Arial" w:cs="Arial" w:eastAsia="Arial" w:hAnsi="Arial"/>
                <w:sz w:val="18"/>
                <w:szCs w:val="18"/>
                <w:color w:val="auto"/>
              </w:rPr>
              <w:t>Diagnostic testing revenue</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27,195</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3,603</w:t>
            </w:r>
          </w:p>
        </w:tc>
        <w:tc>
          <w:tcPr>
            <w:tcW w:w="120" w:type="dxa"/>
            <w:vAlign w:val="bottom"/>
          </w:tcPr>
          <w:p>
            <w:pPr>
              <w:spacing w:after="0"/>
              <w:rPr>
                <w:sz w:val="19"/>
                <w:szCs w:val="19"/>
                <w:color w:val="auto"/>
              </w:rPr>
            </w:pPr>
          </w:p>
        </w:tc>
      </w:tr>
      <w:tr>
        <w:trPr>
          <w:trHeight w:val="230"/>
        </w:trPr>
        <w:tc>
          <w:tcPr>
            <w:tcW w:w="7540" w:type="dxa"/>
            <w:vAlign w:val="bottom"/>
            <w:shd w:val="clear" w:color="auto" w:fill="CFF0FC"/>
          </w:tcPr>
          <w:p>
            <w:pPr>
              <w:ind w:left="180"/>
              <w:spacing w:after="0"/>
              <w:rPr>
                <w:sz w:val="20"/>
                <w:szCs w:val="20"/>
                <w:color w:val="auto"/>
              </w:rPr>
            </w:pPr>
            <w:r>
              <w:rPr>
                <w:rFonts w:ascii="Arial" w:cs="Arial" w:eastAsia="Arial" w:hAnsi="Arial"/>
                <w:sz w:val="18"/>
                <w:szCs w:val="18"/>
                <w:color w:val="auto"/>
              </w:rPr>
              <w:t>Biopharma services</w:t>
            </w:r>
          </w:p>
        </w:tc>
        <w:tc>
          <w:tcPr>
            <w:tcW w:w="18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1,671</w:t>
            </w: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1,493</w:t>
            </w:r>
          </w:p>
        </w:tc>
        <w:tc>
          <w:tcPr>
            <w:tcW w:w="120" w:type="dxa"/>
            <w:vAlign w:val="bottom"/>
            <w:shd w:val="clear" w:color="auto" w:fill="CCEEFF"/>
          </w:tcPr>
          <w:p>
            <w:pPr>
              <w:spacing w:after="0"/>
              <w:rPr>
                <w:sz w:val="19"/>
                <w:szCs w:val="19"/>
                <w:color w:val="auto"/>
              </w:rPr>
            </w:pPr>
          </w:p>
        </w:tc>
      </w:tr>
      <w:tr>
        <w:trPr>
          <w:trHeight w:val="223"/>
        </w:trPr>
        <w:tc>
          <w:tcPr>
            <w:tcW w:w="7540" w:type="dxa"/>
            <w:vAlign w:val="bottom"/>
          </w:tcPr>
          <w:p>
            <w:pPr>
              <w:spacing w:after="0"/>
              <w:rPr>
                <w:sz w:val="20"/>
                <w:szCs w:val="20"/>
                <w:color w:val="auto"/>
              </w:rPr>
            </w:pPr>
            <w:r>
              <w:rPr>
                <w:rFonts w:ascii="Arial" w:cs="Arial" w:eastAsia="Arial" w:hAnsi="Arial"/>
                <w:sz w:val="18"/>
                <w:szCs w:val="18"/>
                <w:color w:val="auto"/>
              </w:rPr>
              <w:t>Total revenues</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28,866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5,096</w:t>
            </w:r>
          </w:p>
        </w:tc>
        <w:tc>
          <w:tcPr>
            <w:tcW w:w="120" w:type="dxa"/>
            <w:vAlign w:val="bottom"/>
          </w:tcPr>
          <w:p>
            <w:pPr>
              <w:spacing w:after="0"/>
              <w:rPr>
                <w:sz w:val="19"/>
                <w:szCs w:val="19"/>
                <w:color w:val="auto"/>
              </w:rPr>
            </w:pPr>
          </w:p>
        </w:tc>
      </w:tr>
      <w:tr>
        <w:trPr>
          <w:trHeight w:val="230"/>
        </w:trPr>
        <w:tc>
          <w:tcPr>
            <w:tcW w:w="7540" w:type="dxa"/>
            <w:vAlign w:val="bottom"/>
            <w:shd w:val="clear" w:color="auto" w:fill="CFF0FC"/>
          </w:tcPr>
          <w:p>
            <w:pPr>
              <w:ind w:left="180"/>
              <w:spacing w:after="0"/>
              <w:rPr>
                <w:sz w:val="20"/>
                <w:szCs w:val="20"/>
                <w:color w:val="auto"/>
              </w:rPr>
            </w:pPr>
            <w:r>
              <w:rPr>
                <w:rFonts w:ascii="Arial" w:cs="Arial" w:eastAsia="Arial" w:hAnsi="Arial"/>
                <w:sz w:val="18"/>
                <w:szCs w:val="18"/>
                <w:color w:val="auto"/>
              </w:rPr>
              <w:t>Direct costs and expenses</w:t>
            </w:r>
          </w:p>
        </w:tc>
        <w:tc>
          <w:tcPr>
            <w:tcW w:w="180" w:type="dxa"/>
            <w:vAlign w:val="bottom"/>
            <w:shd w:val="clear" w:color="auto" w:fill="CFF0FC"/>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18,218</w:t>
            </w: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1,581</w:t>
            </w:r>
          </w:p>
        </w:tc>
        <w:tc>
          <w:tcPr>
            <w:tcW w:w="120" w:type="dxa"/>
            <w:vAlign w:val="bottom"/>
            <w:shd w:val="clear" w:color="auto" w:fill="CCEEFF"/>
          </w:tcPr>
          <w:p>
            <w:pPr>
              <w:spacing w:after="0"/>
              <w:rPr>
                <w:sz w:val="19"/>
                <w:szCs w:val="19"/>
                <w:color w:val="auto"/>
              </w:rPr>
            </w:pPr>
          </w:p>
        </w:tc>
      </w:tr>
      <w:tr>
        <w:trPr>
          <w:trHeight w:val="229"/>
        </w:trPr>
        <w:tc>
          <w:tcPr>
            <w:tcW w:w="7540" w:type="dxa"/>
            <w:vAlign w:val="bottom"/>
          </w:tcPr>
          <w:p>
            <w:pPr>
              <w:ind w:left="180"/>
              <w:spacing w:after="0"/>
              <w:rPr>
                <w:sz w:val="20"/>
                <w:szCs w:val="20"/>
                <w:color w:val="auto"/>
              </w:rPr>
            </w:pPr>
            <w:r>
              <w:rPr>
                <w:rFonts w:ascii="Arial" w:cs="Arial" w:eastAsia="Arial" w:hAnsi="Arial"/>
                <w:sz w:val="18"/>
                <w:szCs w:val="18"/>
                <w:color w:val="auto"/>
              </w:rPr>
              <w:t>Research and development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3,321</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2,900</w:t>
            </w:r>
          </w:p>
        </w:tc>
        <w:tc>
          <w:tcPr>
            <w:tcW w:w="120" w:type="dxa"/>
            <w:vAlign w:val="bottom"/>
          </w:tcPr>
          <w:p>
            <w:pPr>
              <w:spacing w:after="0"/>
              <w:rPr>
                <w:sz w:val="19"/>
                <w:szCs w:val="19"/>
                <w:color w:val="auto"/>
              </w:rPr>
            </w:pPr>
          </w:p>
        </w:tc>
      </w:tr>
      <w:tr>
        <w:trPr>
          <w:trHeight w:val="229"/>
        </w:trPr>
        <w:tc>
          <w:tcPr>
            <w:tcW w:w="7540" w:type="dxa"/>
            <w:vAlign w:val="bottom"/>
            <w:shd w:val="clear" w:color="auto" w:fill="CFF0FC"/>
          </w:tcPr>
          <w:p>
            <w:pPr>
              <w:ind w:left="180"/>
              <w:spacing w:after="0"/>
              <w:rPr>
                <w:sz w:val="20"/>
                <w:szCs w:val="20"/>
                <w:color w:val="auto"/>
              </w:rPr>
            </w:pPr>
            <w:r>
              <w:rPr>
                <w:rFonts w:ascii="Arial" w:cs="Arial" w:eastAsia="Arial" w:hAnsi="Arial"/>
                <w:sz w:val="18"/>
                <w:szCs w:val="18"/>
                <w:color w:val="auto"/>
              </w:rPr>
              <w:t>Sales, marketing, general and administrative</w:t>
            </w:r>
          </w:p>
        </w:tc>
        <w:tc>
          <w:tcPr>
            <w:tcW w:w="180" w:type="dxa"/>
            <w:vAlign w:val="bottom"/>
            <w:shd w:val="clear" w:color="auto" w:fill="CFF0FC"/>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11,927</w:t>
            </w: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8,080</w:t>
            </w:r>
          </w:p>
        </w:tc>
        <w:tc>
          <w:tcPr>
            <w:tcW w:w="120" w:type="dxa"/>
            <w:vAlign w:val="bottom"/>
            <w:shd w:val="clear" w:color="auto" w:fill="CCEEFF"/>
          </w:tcPr>
          <w:p>
            <w:pPr>
              <w:spacing w:after="0"/>
              <w:rPr>
                <w:sz w:val="19"/>
                <w:szCs w:val="19"/>
                <w:color w:val="auto"/>
              </w:rPr>
            </w:pPr>
          </w:p>
        </w:tc>
      </w:tr>
      <w:tr>
        <w:trPr>
          <w:trHeight w:val="230"/>
        </w:trPr>
        <w:tc>
          <w:tcPr>
            <w:tcW w:w="7540" w:type="dxa"/>
            <w:vAlign w:val="bottom"/>
            <w:tcBorders>
              <w:bottom w:val="single" w:sz="8" w:color="CFF0FC"/>
            </w:tcBorders>
          </w:tcPr>
          <w:p>
            <w:pPr>
              <w:ind w:left="180"/>
              <w:spacing w:after="0"/>
              <w:rPr>
                <w:sz w:val="20"/>
                <w:szCs w:val="20"/>
                <w:color w:val="auto"/>
              </w:rPr>
            </w:pPr>
            <w:r>
              <w:rPr>
                <w:rFonts w:ascii="Arial" w:cs="Arial" w:eastAsia="Arial" w:hAnsi="Arial"/>
                <w:sz w:val="18"/>
                <w:szCs w:val="18"/>
                <w:color w:val="auto"/>
              </w:rPr>
              <w:t>Change in fair value of contingent consideration</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983</w:t>
            </w:r>
          </w:p>
        </w:tc>
        <w:tc>
          <w:tcPr>
            <w:tcW w:w="18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957</w:t>
            </w:r>
          </w:p>
        </w:tc>
        <w:tc>
          <w:tcPr>
            <w:tcW w:w="120" w:type="dxa"/>
            <w:vAlign w:val="bottom"/>
            <w:tcBorders>
              <w:bottom w:val="single" w:sz="8" w:color="CCEEFF"/>
            </w:tcBorders>
          </w:tcPr>
          <w:p>
            <w:pPr>
              <w:spacing w:after="0"/>
              <w:rPr>
                <w:sz w:val="19"/>
                <w:szCs w:val="19"/>
                <w:color w:val="auto"/>
              </w:rPr>
            </w:pPr>
          </w:p>
        </w:tc>
      </w:tr>
      <w:tr>
        <w:trPr>
          <w:trHeight w:val="223"/>
        </w:trPr>
        <w:tc>
          <w:tcPr>
            <w:tcW w:w="7540" w:type="dxa"/>
            <w:vAlign w:val="bottom"/>
            <w:shd w:val="clear" w:color="auto" w:fill="CFF0FC"/>
          </w:tcPr>
          <w:p>
            <w:pPr>
              <w:spacing w:after="0"/>
              <w:rPr>
                <w:sz w:val="20"/>
                <w:szCs w:val="20"/>
                <w:color w:val="auto"/>
              </w:rPr>
            </w:pPr>
            <w:r>
              <w:rPr>
                <w:rFonts w:ascii="Arial" w:cs="Arial" w:eastAsia="Arial" w:hAnsi="Arial"/>
                <w:sz w:val="18"/>
                <w:szCs w:val="18"/>
                <w:color w:val="auto"/>
              </w:rPr>
              <w:t>Total operating expenses</w:t>
            </w:r>
          </w:p>
        </w:tc>
        <w:tc>
          <w:tcPr>
            <w:tcW w:w="18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34,449</w:t>
            </w: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13,518</w:t>
            </w:r>
          </w:p>
        </w:tc>
        <w:tc>
          <w:tcPr>
            <w:tcW w:w="120" w:type="dxa"/>
            <w:vAlign w:val="bottom"/>
            <w:shd w:val="clear" w:color="auto" w:fill="CCEEFF"/>
          </w:tcPr>
          <w:p>
            <w:pPr>
              <w:spacing w:after="0"/>
              <w:rPr>
                <w:sz w:val="19"/>
                <w:szCs w:val="19"/>
                <w:color w:val="auto"/>
              </w:rPr>
            </w:pPr>
          </w:p>
        </w:tc>
      </w:tr>
      <w:tr>
        <w:trPr>
          <w:trHeight w:val="223"/>
        </w:trPr>
        <w:tc>
          <w:tcPr>
            <w:tcW w:w="7540" w:type="dxa"/>
            <w:vAlign w:val="bottom"/>
          </w:tcPr>
          <w:p>
            <w:pPr>
              <w:spacing w:after="0"/>
              <w:rPr>
                <w:sz w:val="20"/>
                <w:szCs w:val="20"/>
                <w:color w:val="auto"/>
              </w:rPr>
            </w:pPr>
            <w:r>
              <w:rPr>
                <w:rFonts w:ascii="Arial" w:cs="Arial" w:eastAsia="Arial" w:hAnsi="Arial"/>
                <w:sz w:val="18"/>
                <w:szCs w:val="18"/>
                <w:color w:val="auto"/>
              </w:rPr>
              <w:t>Loss from operations</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(5,583)</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(8,422)</w:t>
            </w:r>
          </w:p>
        </w:tc>
        <w:tc>
          <w:tcPr>
            <w:tcW w:w="120" w:type="dxa"/>
            <w:vAlign w:val="bottom"/>
          </w:tcPr>
          <w:p>
            <w:pPr>
              <w:spacing w:after="0"/>
              <w:rPr>
                <w:sz w:val="19"/>
                <w:szCs w:val="19"/>
                <w:color w:val="auto"/>
              </w:rPr>
            </w:pPr>
          </w:p>
        </w:tc>
      </w:tr>
      <w:tr>
        <w:trPr>
          <w:trHeight w:val="229"/>
        </w:trPr>
        <w:tc>
          <w:tcPr>
            <w:tcW w:w="7540" w:type="dxa"/>
            <w:vAlign w:val="bottom"/>
            <w:shd w:val="clear" w:color="auto" w:fill="CFF0FC"/>
          </w:tcPr>
          <w:p>
            <w:pPr>
              <w:spacing w:after="0"/>
              <w:rPr>
                <w:sz w:val="20"/>
                <w:szCs w:val="20"/>
                <w:color w:val="auto"/>
              </w:rPr>
            </w:pPr>
            <w:r>
              <w:rPr>
                <w:rFonts w:ascii="Arial" w:cs="Arial" w:eastAsia="Arial" w:hAnsi="Arial"/>
                <w:sz w:val="18"/>
                <w:szCs w:val="18"/>
                <w:color w:val="auto"/>
              </w:rPr>
              <w:t>Other income (expense):</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540" w:type="dxa"/>
            <w:vAlign w:val="bottom"/>
          </w:tcPr>
          <w:p>
            <w:pPr>
              <w:ind w:left="180"/>
              <w:spacing w:after="0"/>
              <w:rPr>
                <w:sz w:val="20"/>
                <w:szCs w:val="20"/>
                <w:color w:val="auto"/>
              </w:rPr>
            </w:pPr>
            <w:r>
              <w:rPr>
                <w:rFonts w:ascii="Arial" w:cs="Arial" w:eastAsia="Arial" w:hAnsi="Arial"/>
                <w:sz w:val="18"/>
                <w:szCs w:val="18"/>
                <w:color w:val="auto"/>
              </w:rPr>
              <w:t>Interest expense</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gridSpan w:val="2"/>
          </w:tcPr>
          <w:p>
            <w:pPr>
              <w:jc w:val="right"/>
              <w:ind w:right="120"/>
              <w:spacing w:after="0"/>
              <w:rPr>
                <w:sz w:val="20"/>
                <w:szCs w:val="20"/>
                <w:color w:val="auto"/>
              </w:rPr>
            </w:pPr>
            <w:r>
              <w:rPr>
                <w:rFonts w:ascii="Arial" w:cs="Arial" w:eastAsia="Arial" w:hAnsi="Arial"/>
                <w:sz w:val="18"/>
                <w:szCs w:val="18"/>
                <w:color w:val="auto"/>
              </w:rPr>
              <w:t>(651)</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gridSpan w:val="2"/>
          </w:tcPr>
          <w:p>
            <w:pPr>
              <w:jc w:val="right"/>
              <w:ind w:right="60"/>
              <w:spacing w:after="0"/>
              <w:rPr>
                <w:sz w:val="20"/>
                <w:szCs w:val="20"/>
                <w:color w:val="auto"/>
              </w:rPr>
            </w:pPr>
            <w:r>
              <w:rPr>
                <w:rFonts w:ascii="Arial" w:cs="Arial" w:eastAsia="Arial" w:hAnsi="Arial"/>
                <w:sz w:val="18"/>
                <w:szCs w:val="18"/>
                <w:color w:val="auto"/>
              </w:rPr>
              <w:t>(1,457)</w:t>
            </w:r>
          </w:p>
        </w:tc>
      </w:tr>
      <w:tr>
        <w:trPr>
          <w:trHeight w:val="229"/>
        </w:trPr>
        <w:tc>
          <w:tcPr>
            <w:tcW w:w="7540" w:type="dxa"/>
            <w:vAlign w:val="bottom"/>
            <w:shd w:val="clear" w:color="auto" w:fill="CFF0FC"/>
          </w:tcPr>
          <w:p>
            <w:pPr>
              <w:ind w:left="180"/>
              <w:spacing w:after="0"/>
              <w:rPr>
                <w:sz w:val="20"/>
                <w:szCs w:val="20"/>
                <w:color w:val="auto"/>
              </w:rPr>
            </w:pPr>
            <w:r>
              <w:rPr>
                <w:rFonts w:ascii="Arial" w:cs="Arial" w:eastAsia="Arial" w:hAnsi="Arial"/>
                <w:sz w:val="18"/>
                <w:szCs w:val="18"/>
                <w:color w:val="auto"/>
              </w:rPr>
              <w:t>Change in fair value of warrant liability</w:t>
            </w:r>
          </w:p>
        </w:tc>
        <w:tc>
          <w:tcPr>
            <w:tcW w:w="180" w:type="dxa"/>
            <w:vAlign w:val="bottom"/>
            <w:shd w:val="clear" w:color="auto" w:fill="CFF0FC"/>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20" w:type="dxa"/>
            <w:vAlign w:val="bottom"/>
            <w:shd w:val="clear" w:color="auto" w:fill="CCEEFF"/>
          </w:tcPr>
          <w:p>
            <w:pPr>
              <w:spacing w:after="0"/>
              <w:rPr>
                <w:sz w:val="19"/>
                <w:szCs w:val="19"/>
                <w:color w:val="auto"/>
              </w:rPr>
            </w:pPr>
          </w:p>
        </w:tc>
      </w:tr>
      <w:tr>
        <w:trPr>
          <w:trHeight w:val="230"/>
        </w:trPr>
        <w:tc>
          <w:tcPr>
            <w:tcW w:w="7540" w:type="dxa"/>
            <w:vAlign w:val="bottom"/>
          </w:tcPr>
          <w:p>
            <w:pPr>
              <w:ind w:left="180"/>
              <w:spacing w:after="0"/>
              <w:rPr>
                <w:sz w:val="20"/>
                <w:szCs w:val="20"/>
                <w:color w:val="auto"/>
              </w:rPr>
            </w:pPr>
            <w:r>
              <w:rPr>
                <w:rFonts w:ascii="Arial" w:cs="Arial" w:eastAsia="Arial" w:hAnsi="Arial"/>
                <w:sz w:val="18"/>
                <w:szCs w:val="18"/>
                <w:color w:val="auto"/>
              </w:rPr>
              <w:t>Loss on debt extinguishment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gridSpan w:val="2"/>
          </w:tcPr>
          <w:p>
            <w:pPr>
              <w:jc w:val="right"/>
              <w:ind w:right="120"/>
              <w:spacing w:after="0"/>
              <w:rPr>
                <w:sz w:val="20"/>
                <w:szCs w:val="20"/>
                <w:color w:val="auto"/>
              </w:rPr>
            </w:pPr>
            <w:r>
              <w:rPr>
                <w:rFonts w:ascii="Arial" w:cs="Arial" w:eastAsia="Arial" w:hAnsi="Arial"/>
                <w:sz w:val="18"/>
                <w:szCs w:val="18"/>
                <w:color w:val="auto"/>
              </w:rPr>
              <w:t>(728)</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29"/>
        </w:trPr>
        <w:tc>
          <w:tcPr>
            <w:tcW w:w="7540" w:type="dxa"/>
            <w:vAlign w:val="bottom"/>
            <w:shd w:val="clear" w:color="auto" w:fill="CFF0FC"/>
          </w:tcPr>
          <w:p>
            <w:pPr>
              <w:ind w:left="180"/>
              <w:spacing w:after="0"/>
              <w:rPr>
                <w:sz w:val="20"/>
                <w:szCs w:val="20"/>
                <w:color w:val="auto"/>
              </w:rPr>
            </w:pPr>
            <w:r>
              <w:rPr>
                <w:rFonts w:ascii="Arial" w:cs="Arial" w:eastAsia="Arial" w:hAnsi="Arial"/>
                <w:sz w:val="18"/>
                <w:szCs w:val="18"/>
                <w:color w:val="auto"/>
              </w:rPr>
              <w:t>Other income, net</w:t>
            </w:r>
          </w:p>
        </w:tc>
        <w:tc>
          <w:tcPr>
            <w:tcW w:w="18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20" w:type="dxa"/>
            <w:vAlign w:val="bottom"/>
            <w:shd w:val="clear" w:color="auto" w:fill="CCEEFF"/>
          </w:tcPr>
          <w:p>
            <w:pPr>
              <w:spacing w:after="0"/>
              <w:rPr>
                <w:sz w:val="19"/>
                <w:szCs w:val="19"/>
                <w:color w:val="auto"/>
              </w:rPr>
            </w:pPr>
          </w:p>
        </w:tc>
      </w:tr>
      <w:tr>
        <w:trPr>
          <w:trHeight w:val="223"/>
        </w:trPr>
        <w:tc>
          <w:tcPr>
            <w:tcW w:w="7540" w:type="dxa"/>
            <w:vAlign w:val="bottom"/>
          </w:tcPr>
          <w:p>
            <w:pPr>
              <w:spacing w:after="0"/>
              <w:rPr>
                <w:sz w:val="20"/>
                <w:szCs w:val="20"/>
                <w:color w:val="auto"/>
              </w:rPr>
            </w:pPr>
            <w:r>
              <w:rPr>
                <w:rFonts w:ascii="Arial" w:cs="Arial" w:eastAsia="Arial" w:hAnsi="Arial"/>
                <w:sz w:val="18"/>
                <w:szCs w:val="18"/>
                <w:color w:val="auto"/>
              </w:rPr>
              <w:t>Total other expense</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(1,378)</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(1,283)</w:t>
            </w:r>
          </w:p>
        </w:tc>
        <w:tc>
          <w:tcPr>
            <w:tcW w:w="120" w:type="dxa"/>
            <w:vAlign w:val="bottom"/>
          </w:tcPr>
          <w:p>
            <w:pPr>
              <w:spacing w:after="0"/>
              <w:rPr>
                <w:sz w:val="19"/>
                <w:szCs w:val="19"/>
                <w:color w:val="auto"/>
              </w:rPr>
            </w:pPr>
          </w:p>
        </w:tc>
      </w:tr>
      <w:tr>
        <w:trPr>
          <w:trHeight w:val="229"/>
        </w:trPr>
        <w:tc>
          <w:tcPr>
            <w:tcW w:w="75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r>
      <w:tr>
        <w:trPr>
          <w:trHeight w:val="263"/>
        </w:trPr>
        <w:tc>
          <w:tcPr>
            <w:tcW w:w="75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Net loss</w:t>
            </w:r>
          </w:p>
        </w:tc>
        <w:tc>
          <w:tcPr>
            <w:tcW w:w="18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(6,961)</w:t>
            </w:r>
          </w:p>
        </w:tc>
        <w:tc>
          <w:tcPr>
            <w:tcW w:w="18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(9,705)</w:t>
            </w:r>
          </w:p>
        </w:tc>
        <w:tc>
          <w:tcPr>
            <w:tcW w:w="120" w:type="dxa"/>
            <w:vAlign w:val="bottom"/>
            <w:tcBorders>
              <w:bottom w:val="single" w:sz="8" w:color="CCEEFF"/>
            </w:tcBorders>
          </w:tcPr>
          <w:p>
            <w:pPr>
              <w:spacing w:after="0"/>
              <w:rPr>
                <w:sz w:val="22"/>
                <w:szCs w:val="22"/>
                <w:color w:val="auto"/>
              </w:rPr>
            </w:pPr>
          </w:p>
        </w:tc>
      </w:tr>
      <w:tr>
        <w:trPr>
          <w:trHeight w:val="223"/>
        </w:trPr>
        <w:tc>
          <w:tcPr>
            <w:tcW w:w="7540" w:type="dxa"/>
            <w:vAlign w:val="bottom"/>
            <w:shd w:val="clear" w:color="auto" w:fill="CFF0FC"/>
          </w:tcPr>
          <w:p>
            <w:pPr>
              <w:spacing w:after="0"/>
              <w:rPr>
                <w:sz w:val="20"/>
                <w:szCs w:val="20"/>
                <w:color w:val="auto"/>
              </w:rPr>
            </w:pPr>
            <w:r>
              <w:rPr>
                <w:rFonts w:ascii="Arial" w:cs="Arial" w:eastAsia="Arial" w:hAnsi="Arial"/>
                <w:sz w:val="18"/>
                <w:szCs w:val="18"/>
                <w:color w:val="auto"/>
              </w:rPr>
              <w:t>Net loss per share, basic and diluted</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(0.26)</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(37.18)</w:t>
            </w:r>
          </w:p>
        </w:tc>
      </w:tr>
      <w:tr>
        <w:trPr>
          <w:trHeight w:val="243"/>
        </w:trPr>
        <w:tc>
          <w:tcPr>
            <w:tcW w:w="7540" w:type="dxa"/>
            <w:vAlign w:val="bottom"/>
          </w:tcPr>
          <w:p>
            <w:pPr>
              <w:spacing w:after="0"/>
              <w:rPr>
                <w:sz w:val="20"/>
                <w:szCs w:val="20"/>
                <w:color w:val="auto"/>
              </w:rPr>
            </w:pPr>
            <w:r>
              <w:rPr>
                <w:rFonts w:ascii="Arial" w:cs="Arial" w:eastAsia="Arial" w:hAnsi="Arial"/>
                <w:sz w:val="18"/>
                <w:szCs w:val="18"/>
                <w:color w:val="auto"/>
              </w:rPr>
              <w:t>Weighted-average shares outstanding, basic and diluted</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26,604</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261</w:t>
            </w:r>
          </w:p>
        </w:tc>
        <w:tc>
          <w:tcPr>
            <w:tcW w:w="120" w:type="dxa"/>
            <w:vAlign w:val="bottom"/>
          </w:tcPr>
          <w:p>
            <w:pPr>
              <w:spacing w:after="0"/>
              <w:rPr>
                <w:sz w:val="21"/>
                <w:szCs w:val="21"/>
                <w:color w:val="auto"/>
              </w:rPr>
            </w:pPr>
          </w:p>
        </w:tc>
      </w:tr>
    </w:tbl>
    <w:p>
      <w:pPr>
        <w:spacing w:after="0" w:line="1" w:lineRule="exact"/>
        <w:rPr>
          <w:sz w:val="20"/>
          <w:szCs w:val="20"/>
          <w:color w:val="auto"/>
        </w:rPr>
      </w:pP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lvl w:ilvl="1">
      <w:lvlJc w:val="left"/>
      <w:lvlText w:val="☐"/>
      <w:numFmt w:val="bullet"/>
      <w:start w:val="1"/>
    </w:lvl>
  </w:abstractNum>
  <w:abstractNum w:abstractNumId="1">
    <w:nsid w:val="2AE8944A"/>
    <w:multiLevelType w:val="hybridMultilevel"/>
    <w:lvl w:ilvl="0">
      <w:lvlJc w:val="left"/>
      <w:lvlText w:val="(%1)"/>
      <w:numFmt w:val="lowerLetter"/>
      <w:start w:val="4"/>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2021-05-11T16:12:17Z</dcterms:created>
  <dcterms:modified xsi:type="dcterms:W3CDTF">2021-05-11T16:12:17Z</dcterms:modified>
</cp:coreProperties>
</file>