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May 27, 2026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20549-3720 </w:t>
      </w:r>
    </w:p>
    <w:p>
      <w:pPr>
        <w:pStyle w:val="TextBody"/>
        <w:bidi w:val="0"/>
        <w:spacing w:before="240" w:after="0"/>
        <w:jc w:val="left"/>
        <w:rPr>
          <w:rFonts w:ascii="Times New Roman" w:hAnsi="Times New Roman"/>
          <w:sz w:val="20"/>
        </w:rPr>
      </w:pPr>
      <w:r>
        <w:rPr>
          <w:rFonts w:ascii="Times New Roman" w:hAnsi="Times New Roman"/>
          <w:sz w:val="20"/>
        </w:rPr>
        <w:t xml:space="preserve">Attention: Nicholas O’Leary </w:t>
      </w:r>
    </w:p>
    <w:p>
      <w:pPr>
        <w:pStyle w:val="TextBody"/>
        <w:bidi w:val="0"/>
        <w:spacing w:before="240" w:after="0"/>
        <w:jc w:val="left"/>
        <w:rPr>
          <w:rFonts w:ascii="Times New Roman" w:hAnsi="Times New Roman"/>
          <w:sz w:val="20"/>
        </w:rPr>
      </w:pPr>
      <w:r>
        <w:rPr>
          <w:rFonts w:ascii="Times New Roman" w:hAnsi="Times New Roman"/>
          <w:sz w:val="20"/>
        </w:rPr>
        <w:t>Re: </w:t>
      </w:r>
      <w:r>
        <w:rPr>
          <w:rFonts w:ascii="Times New Roman" w:hAnsi="Times New Roman"/>
          <w:sz w:val="20"/>
          <w:u w:val="single"/>
        </w:rPr>
        <w:t>Acceleration Request for Biodesix, Inc. Registration Statement on Form S-3 (File No. 333-296122)</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Pursuant to Rule 461 under the Securities Act of 1933, as amended, Biodesix, Inc. (the “</w:t>
      </w:r>
      <w:r>
        <w:rPr>
          <w:rFonts w:ascii="Times New Roman" w:hAnsi="Times New Roman"/>
          <w:b/>
          <w:sz w:val="20"/>
        </w:rPr>
        <w:t>Company</w:t>
      </w:r>
      <w:r>
        <w:rPr>
          <w:rFonts w:ascii="Times New Roman" w:hAnsi="Times New Roman"/>
          <w:sz w:val="20"/>
        </w:rPr>
        <w:t>”), hereby requests that the effective date of the Company’s Registration Statement on Form S-3, Registration Number 333-296122, (the “</w:t>
      </w:r>
      <w:r>
        <w:rPr>
          <w:rFonts w:ascii="Times New Roman" w:hAnsi="Times New Roman"/>
          <w:b/>
          <w:sz w:val="20"/>
        </w:rPr>
        <w:t>Registration Statement</w:t>
      </w:r>
      <w:r>
        <w:rPr>
          <w:rFonts w:ascii="Times New Roman" w:hAnsi="Times New Roman"/>
          <w:sz w:val="20"/>
        </w:rPr>
        <w:t xml:space="preserve">”) be accelerated so that the Company’s Registration Statement will become effective at 4:00 P.M., Eastern Time or as soon thereafter as practicable, on May 29, 2026, or at such later time as the Company or its counsel may orally request via telephone call to the staff of the Division of Corporation Finance of the U.S. Securities and Exchange Commission.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Immediately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We would appreciate it if, as soon as the Registration Statement is declared effective, you would so inform Frank F. Rahmani of Sidley Austin LLP at (650) 565-7050.</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Robin Harper Cowie</w:t>
            </w:r>
          </w:p>
        </w:tc>
      </w:tr>
      <w:tr>
        <w:trPr/>
        <w:tc>
          <w:tcPr>
            <w:tcW w:w="4082" w:type="dxa"/>
            <w:tcBorders/>
          </w:tcPr>
          <w:p>
            <w:pPr>
              <w:pStyle w:val="TableContents"/>
              <w:bidi w:val="0"/>
              <w:spacing w:before="0" w:after="283"/>
              <w:jc w:val="left"/>
              <w:rPr/>
            </w:pPr>
            <w:r>
              <w:rPr/>
              <w:t>Robin Harper Cowie</w:t>
            </w:r>
          </w:p>
        </w:tc>
      </w:tr>
      <w:tr>
        <w:trPr/>
        <w:tc>
          <w:tcPr>
            <w:tcW w:w="4082"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Scott Hutton, Biodesix,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Frank F. Rahmani, Sidley Austin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Words>
  <Characters>1065</Characters>
  <CharactersWithSpaces>1252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