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30, 2025</w:t>
      </w:r>
    </w:p>
    <w:p>
      <w:pPr>
        <w:spacing w:after="0" w:line="31"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5900" w:type="dxa"/>
            <w:vAlign w:val="bottom"/>
          </w:tcPr>
          <w:p>
            <w:pPr>
              <w:jc w:val="center"/>
              <w:ind w:right="33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2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20-3986492</w:t>
            </w:r>
          </w:p>
        </w:tc>
      </w:tr>
      <w:tr>
        <w:trPr>
          <w:trHeight w:val="148"/>
        </w:trPr>
        <w:tc>
          <w:tcPr>
            <w:tcW w:w="5900" w:type="dxa"/>
            <w:vAlign w:val="bottom"/>
          </w:tcPr>
          <w:p>
            <w:pPr>
              <w:jc w:val="center"/>
              <w:ind w:right="33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00" w:type="dxa"/>
            <w:vAlign w:val="bottom"/>
          </w:tcPr>
          <w:p>
            <w:pPr>
              <w:jc w:val="center"/>
              <w:ind w:right="33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5900" w:type="dxa"/>
            <w:vAlign w:val="bottom"/>
          </w:tcPr>
          <w:p>
            <w:pPr>
              <w:jc w:val="center"/>
              <w:ind w:right="3339"/>
              <w:spacing w:after="0"/>
              <w:rPr>
                <w:sz w:val="20"/>
                <w:szCs w:val="20"/>
                <w:color w:val="auto"/>
              </w:rPr>
            </w:pPr>
            <w:r>
              <w:rPr>
                <w:rFonts w:ascii="Times New Roman" w:cs="Times New Roman" w:eastAsia="Times New Roman" w:hAnsi="Times New Roman"/>
                <w:sz w:val="18"/>
                <w:szCs w:val="18"/>
                <w:b w:val="1"/>
                <w:bCs w:val="1"/>
                <w:color w:val="auto"/>
                <w:w w:val="97"/>
              </w:rPr>
              <w:t>919 W. Dillon Road</w:t>
            </w:r>
          </w:p>
        </w:tc>
        <w:tc>
          <w:tcPr>
            <w:tcW w:w="1620" w:type="dxa"/>
            <w:vAlign w:val="bottom"/>
          </w:tcPr>
          <w:p>
            <w:pPr>
              <w:spacing w:after="0"/>
              <w:rPr>
                <w:sz w:val="24"/>
                <w:szCs w:val="24"/>
                <w:color w:val="auto"/>
              </w:rPr>
            </w:pPr>
          </w:p>
        </w:tc>
      </w:tr>
      <w:tr>
        <w:trPr>
          <w:trHeight w:val="227"/>
        </w:trPr>
        <w:tc>
          <w:tcPr>
            <w:tcW w:w="5900" w:type="dxa"/>
            <w:vAlign w:val="bottom"/>
          </w:tcPr>
          <w:p>
            <w:pPr>
              <w:jc w:val="center"/>
              <w:ind w:right="3339"/>
              <w:spacing w:after="0"/>
              <w:rPr>
                <w:sz w:val="20"/>
                <w:szCs w:val="20"/>
                <w:color w:val="auto"/>
              </w:rPr>
            </w:pPr>
            <w:r>
              <w:rPr>
                <w:rFonts w:ascii="Times New Roman" w:cs="Times New Roman" w:eastAsia="Times New Roman" w:hAnsi="Times New Roman"/>
                <w:sz w:val="18"/>
                <w:szCs w:val="18"/>
                <w:b w:val="1"/>
                <w:bCs w:val="1"/>
                <w:color w:val="auto"/>
                <w:w w:val="99"/>
              </w:rPr>
              <w:t>Louisville, Colorado</w:t>
            </w:r>
          </w:p>
        </w:tc>
        <w:tc>
          <w:tcPr>
            <w:tcW w:w="162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80027</w:t>
            </w:r>
          </w:p>
        </w:tc>
      </w:tr>
      <w:tr>
        <w:trPr>
          <w:trHeight w:val="190"/>
        </w:trPr>
        <w:tc>
          <w:tcPr>
            <w:tcW w:w="5900" w:type="dxa"/>
            <w:vAlign w:val="bottom"/>
          </w:tcPr>
          <w:p>
            <w:pPr>
              <w:jc w:val="center"/>
              <w:ind w:right="33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5900" w:type="dxa"/>
            <w:vAlign w:val="bottom"/>
          </w:tcPr>
          <w:p>
            <w:pPr>
              <w:jc w:val="center"/>
              <w:ind w:left="1959"/>
              <w:spacing w:after="0"/>
              <w:rPr>
                <w:sz w:val="20"/>
                <w:szCs w:val="20"/>
                <w:color w:val="auto"/>
              </w:rPr>
            </w:pPr>
            <w:r>
              <w:rPr>
                <w:rFonts w:ascii="Times New Roman" w:cs="Times New Roman" w:eastAsia="Times New Roman" w:hAnsi="Times New Roman"/>
                <w:sz w:val="18"/>
                <w:szCs w:val="18"/>
                <w:b w:val="1"/>
                <w:bCs w:val="1"/>
                <w:color w:val="auto"/>
                <w:w w:val="99"/>
              </w:rPr>
              <w:t>Biodesix, Inc. Employee Stock Purchase Plan</w:t>
            </w:r>
          </w:p>
        </w:tc>
        <w:tc>
          <w:tcPr>
            <w:tcW w:w="1620" w:type="dxa"/>
            <w:vAlign w:val="bottom"/>
          </w:tcPr>
          <w:p>
            <w:pPr>
              <w:spacing w:after="0"/>
              <w:rPr>
                <w:sz w:val="24"/>
                <w:szCs w:val="24"/>
                <w:color w:val="auto"/>
              </w:rPr>
            </w:pPr>
          </w:p>
        </w:tc>
      </w:tr>
      <w:tr>
        <w:trPr>
          <w:trHeight w:val="190"/>
        </w:trPr>
        <w:tc>
          <w:tcPr>
            <w:tcW w:w="5900" w:type="dxa"/>
            <w:vAlign w:val="bottom"/>
          </w:tcPr>
          <w:p>
            <w:pPr>
              <w:jc w:val="center"/>
              <w:ind w:left="1939"/>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620" w:type="dxa"/>
            <w:vAlign w:val="bottom"/>
          </w:tcPr>
          <w:p>
            <w:pPr>
              <w:spacing w:after="0"/>
              <w:rPr>
                <w:sz w:val="16"/>
                <w:szCs w:val="16"/>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Scott Hutton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919 W. Dillon Road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Louisville, Colorado 80027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(303) 417-0500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On April 15, 2025, the board of directors of Biodesix, Inc. (the “Registrant”) adopted, subject to stockholder approval, an amendment and restatement ( the “2025 Amendment and Restatement”) of the Biodesix, Inc. Employee Stock Purchase Plan (the “ESPP”), which increased the total number of shares of the Registrant’s common stock, par value $0.001 per share (the “Common Stock”) issuable under the ESPP by 1,451,500 shares of Common Stock. On May 20, 2025, at the Registrant’s 2025 annual meeting of stockholders (the “Annual Meeting”), a majority of the Registrant’s stockholders present in person or by proxy and entitled to vote on such matter at the Annual Meeting voted to approve the 2025 Amendment and Restatement, and the 2025 Amendment and Restatement became effective. This Registration Statement is being filed to register such additional 1,451,500 shares of Common Stock issuable under the ESPP.</w:t>
      </w:r>
    </w:p>
    <w:p>
      <w:pPr>
        <w:spacing w:after="0" w:line="189"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The shares of the Registrant’s Common Stock previously reserved for issuance under the ESPP were registered on the Registrant’s Registration Statement on Form S-8 filed with the Securities and Exchange Commission (the “Commission”) on November 2, 2020 (File No. 333-249805) (the “2020 Prior Form S-8”), the Registrant’s Registration Statement on Form S-8 filed with the Commission on February 2, 2023 (File No. 333-269536) (the “2023 Prior Form S-8”), the Registrant’s Registration Statement on Form S-8 filed with the Commission on February 2, 2024 (File</w:t>
      </w:r>
    </w:p>
    <w:p>
      <w:pPr>
        <w:spacing w:after="0" w:line="3"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No. 333-276842) (the “2024 Prior Form S-8”), and the Registrant’s Registration Statement on Form S-8 filed with the Commission on February 7, 2025 (File No. 333- 284767), (the “2025 Prior Form S-8”, together with the 2020 Prior Form S-8, the 2023 Prior Form S-8, and the 2024 Prior Form S-8, the “Prior Forms S-8”)</w:t>
      </w:r>
    </w:p>
    <w:p>
      <w:pPr>
        <w:spacing w:after="0" w:line="18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relates to securities of the same class as that to which the Prior Forms S-8 relate, and is submitted in accordance with General Instruction E to Form S-8 regarding Registration of Additional Securities. Pursuant to General Instruction E of Form S-8, the contents of the Prior Forms S-8, to the extent relating to the registration of Common Stock issuable under the ESPP, are incorporated herein by reference and made part of this Registration Statement on Form S-8, except as modified or superseded hereby or by any subsequently filed document that is incorporated by reference herein or therein.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Registrant hereby incorporates by reference in this Registration Statement the following documents and information previously filed with the Commission (excluding any portions of such documents that have been “furnished” but not “filed” for purposes of the Securities Exchange Act of 1934, as amended (the “Exchange Act”):</w:t>
      </w:r>
    </w:p>
    <w:p>
      <w:pPr>
        <w:spacing w:after="0" w:line="81" w:lineRule="exact"/>
        <w:rPr>
          <w:sz w:val="20"/>
          <w:szCs w:val="20"/>
          <w:color w:val="auto"/>
        </w:rPr>
      </w:pPr>
    </w:p>
    <w:p>
      <w:pPr>
        <w:ind w:left="960" w:right="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3, 2025, including all material incorporated by reference therein;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quarters ended </w:t>
      </w:r>
      <w:hyperlink r:id="rId18">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filed with the Commission on May 13, 2025;</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19">
        <w:r>
          <w:rPr>
            <w:rFonts w:ascii="Times New Roman" w:cs="Times New Roman" w:eastAsia="Times New Roman" w:hAnsi="Times New Roman"/>
            <w:sz w:val="18"/>
            <w:szCs w:val="18"/>
            <w:u w:val="single" w:color="auto"/>
            <w:color w:val="0000EE"/>
          </w:rPr>
          <w:t>March 28, 2025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April 17,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May 21,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October 26, 2020, pursuant to Section 12(b) of the Exchange Act, including any amendment or report for the purpose of updating such description.</w:t>
      </w:r>
    </w:p>
    <w:p>
      <w:pPr>
        <w:spacing w:after="0" w:line="176" w:lineRule="exact"/>
        <w:rPr>
          <w:rFonts w:ascii="Times New Roman" w:cs="Times New Roman" w:eastAsia="Times New Roman" w:hAnsi="Times New Roman"/>
          <w:sz w:val="18"/>
          <w:szCs w:val="18"/>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w:t>
      </w:r>
    </w:p>
    <w:p>
      <w:pPr>
        <w:sectPr>
          <w:pgSz w:w="11900" w:h="16838" w:orient="portrait"/>
          <w:cols w:equalWidth="0" w:num="1">
            <w:col w:w="10980"/>
          </w:cols>
          <w:pgMar w:left="440" w:top="266" w:right="479" w:bottom="1440" w:gutter="0" w:footer="0" w:header="0"/>
        </w:sectPr>
      </w:pPr>
    </w:p>
    <w:bookmarkStart w:id="2" w:name="page3"/>
    <w:bookmarkEnd w:id="2"/>
    <w:p>
      <w:pPr>
        <w:ind w:left="4" w:right="1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302"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4" w:right="86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24">
        <w:r>
          <w:rPr>
            <w:rFonts w:ascii="Times New Roman" w:cs="Times New Roman" w:eastAsia="Times New Roman" w:hAnsi="Times New Roman"/>
            <w:sz w:val="18"/>
            <w:szCs w:val="18"/>
            <w:u w:val="single" w:color="auto"/>
            <w:color w:val="0000EE"/>
          </w:rPr>
          <w:t>Amended and Restated Certificate of Incorporation of Biodesix, Inc. (incorporated by reference to Exhibit 3.2 of the Registrant’s</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Registration Statement on Form S-1 (No. 333-249260), filed with the Commission on October 21, 2020).</w:t>
        </w:r>
      </w:hyperlink>
    </w:p>
    <w:p>
      <w:pPr>
        <w:spacing w:after="0" w:line="53" w:lineRule="exact"/>
        <w:rPr>
          <w:rFonts w:ascii="Times New Roman" w:cs="Times New Roman" w:eastAsia="Times New Roman" w:hAnsi="Times New Roman"/>
          <w:sz w:val="18"/>
          <w:szCs w:val="18"/>
          <w:u w:val="single" w:color="auto"/>
          <w:color w:val="0000EE"/>
        </w:rPr>
      </w:pPr>
    </w:p>
    <w:p>
      <w:pPr>
        <w:ind w:left="884" w:right="38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25">
        <w:r>
          <w:rPr>
            <w:rFonts w:ascii="Times New Roman" w:cs="Times New Roman" w:eastAsia="Times New Roman" w:hAnsi="Times New Roman"/>
            <w:sz w:val="18"/>
            <w:szCs w:val="18"/>
            <w:u w:val="single" w:color="auto"/>
            <w:color w:val="0000EE"/>
          </w:rPr>
          <w:t>Amended and Restated Bylaws of Biodesix, Inc. (incorporated by reference to Exhibit 3.4 of the Registrant’s Registration Statement on</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Form S-1 (No. 333-249260), filed with the Commission on October 21, 2020).</w:t>
        </w:r>
      </w:hyperlink>
    </w:p>
    <w:p>
      <w:pPr>
        <w:spacing w:after="0" w:line="53" w:lineRule="exact"/>
        <w:rPr>
          <w:rFonts w:ascii="Times New Roman" w:cs="Times New Roman" w:eastAsia="Times New Roman" w:hAnsi="Times New Roman"/>
          <w:sz w:val="18"/>
          <w:szCs w:val="18"/>
          <w:u w:val="single" w:color="auto"/>
          <w:color w:val="0000EE"/>
        </w:rPr>
      </w:pPr>
    </w:p>
    <w:p>
      <w:pPr>
        <w:ind w:left="884" w:right="14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26">
        <w:r>
          <w:rPr>
            <w:rFonts w:ascii="Times New Roman" w:cs="Times New Roman" w:eastAsia="Times New Roman" w:hAnsi="Times New Roman"/>
            <w:sz w:val="18"/>
            <w:szCs w:val="18"/>
            <w:u w:val="single" w:color="auto"/>
            <w:color w:val="0000EE"/>
          </w:rPr>
          <w:t>Biodesix, Inc. 2020 Employee Stock Purchase Plan (incorporated by reference to Exhibit 10.6 to the Company’s Registration Statement on</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Form S-1/A filed with the Commission on October 26, 2020).</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Sidley Austin LLP with respect to validity of issuance of securities.</w:t>
      </w:r>
    </w:p>
    <w:p>
      <w:pPr>
        <w:spacing w:after="0" w:line="129"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Sidley Austin LLP (included in Exhibit 5.1).</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of the Registration Statement).</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Exhibit.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marked with an asterisk is filed herewith.</w:t>
      </w:r>
    </w:p>
    <w:p>
      <w:pPr>
        <w:sectPr>
          <w:pgSz w:w="11900" w:h="16838" w:orient="portrait"/>
          <w:cols w:equalWidth="0" w:num="1">
            <w:col w:w="11024"/>
          </w:cols>
          <w:pgMar w:left="436" w:top="270"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Louisville, Colorado, on the 30th day of May,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Scott Hutton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4960" w:type="dxa"/>
            <w:vAlign w:val="bottom"/>
            <w:gridSpan w:val="2"/>
          </w:tcPr>
          <w:p>
            <w:pPr>
              <w:ind w:left="2220"/>
              <w:spacing w:after="0"/>
              <w:rPr>
                <w:sz w:val="20"/>
                <w:szCs w:val="20"/>
                <w:color w:val="auto"/>
              </w:rPr>
            </w:pPr>
            <w:r>
              <w:rPr>
                <w:rFonts w:ascii="Times New Roman" w:cs="Times New Roman" w:eastAsia="Times New Roman" w:hAnsi="Times New Roman"/>
                <w:sz w:val="14"/>
                <w:szCs w:val="14"/>
                <w:color w:val="auto"/>
              </w:rPr>
              <w:t>TITLE</w:t>
            </w:r>
          </w:p>
        </w:tc>
        <w:tc>
          <w:tcPr>
            <w:tcW w:w="17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DATE</w:t>
            </w:r>
          </w:p>
        </w:tc>
      </w:tr>
      <w:tr>
        <w:trPr>
          <w:trHeight w:val="210"/>
        </w:trPr>
        <w:tc>
          <w:tcPr>
            <w:tcW w:w="4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Hutton</w:t>
            </w:r>
          </w:p>
        </w:tc>
        <w:tc>
          <w:tcPr>
            <w:tcW w:w="120" w:type="dxa"/>
            <w:vAlign w:val="bottom"/>
          </w:tcPr>
          <w:p>
            <w:pPr>
              <w:spacing w:after="0"/>
              <w:rPr>
                <w:sz w:val="18"/>
                <w:szCs w:val="18"/>
                <w:color w:val="auto"/>
              </w:rPr>
            </w:pPr>
          </w:p>
        </w:tc>
        <w:tc>
          <w:tcPr>
            <w:tcW w:w="4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30,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Hutton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Robin Harper Cowie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 Harper Cowie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C. Vazquez</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Christopher C. Vazquez</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Patience</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Patience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 Faiz Kayyem</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 Faiz Kayyem,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r>
    </w:tbl>
    <w:p>
      <w:pPr>
        <w:sectPr>
          <w:pgSz w:w="11900" w:h="16838" w:orient="portrait"/>
          <w:cols w:equalWidth="0" w:num="1">
            <w:col w:w="11020"/>
          </w:cols>
          <w:pgMar w:left="440" w:top="266" w:right="439" w:bottom="1440" w:gutter="0" w:footer="0" w:header="0"/>
        </w:sectPr>
      </w:pPr>
    </w:p>
    <w:bookmarkStart w:id="4" w:name="page5"/>
    <w:bookmarkEnd w:id="4"/>
    <w:p>
      <w:pPr>
        <w:ind w:left="68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15240</wp:posOffset>
            </wp:positionV>
            <wp:extent cx="2657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Lawrence T.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24765</wp:posOffset>
            </wp:positionV>
            <wp:extent cx="2657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Lawrence T. Kennedy, Jr.</w:t>
      </w:r>
    </w:p>
    <w:p>
      <w:pPr>
        <w:spacing w:after="0" w:line="2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 Hany Massarany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wp:posOffset>
            </wp:positionV>
            <wp:extent cx="2657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Hany Massarany</w:t>
      </w:r>
    </w:p>
    <w:p>
      <w:pPr>
        <w:spacing w:after="0" w:line="2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 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wp:posOffset>
            </wp:positionV>
            <wp:extent cx="2657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Matthew Strobeck, Ph.D.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DATE</w:t>
            </w:r>
          </w:p>
        </w:tc>
      </w:tr>
      <w:tr>
        <w:trPr>
          <w:trHeight w:val="65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r>
      <w:tr>
        <w:trPr>
          <w:trHeight w:val="67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r>
      <w:tr>
        <w:trPr>
          <w:trHeight w:val="67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-1482725</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2580" w:space="720"/>
            <w:col w:w="6720"/>
          </w:cols>
          <w:pgMar w:left="1440" w:top="265"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128587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85875" cy="386080"/>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2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W. Dillon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CO 80027</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1,451,500 Shares of Common Stock, $0.001 par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We refer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by Biodesix,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1,451,500 shares of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which may be issued under the Biodesix, Inc.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together with the shares of Common Stock to be registered under the Registration Statement, the “</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ESPP, the Registration Statement, the Amended and Restated Certificate of Incorporation of the Company, the Amended and Restated Bylaws of the Company, the resolutions of the Company’s Board of Directors authorizing the ESPP and the issuance of the Registered Shares thereunder and the resolutions of the Company’s stockholders authorizing the ESPP.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Based on the foregoing, we are of the opinion that each Registered Share that is newly issued pursuant to the ESPP will be validly issued, fully paid and non-assessable when: (i) the Registration Statement, as finally amended, shall have become effective under the Securities Act; (ii) such Registered Share shall have been duly issued and delivered in accordance with the ESPP; and (iii) certificates representing such Registered Share shall have 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ESPP.</w:t>
      </w:r>
    </w:p>
    <w:p>
      <w:pPr>
        <w:spacing w:after="0" w:line="18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4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860"/>
          </w:cols>
          <w:pgMar w:left="440" w:top="270" w:right="5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We consent to the use of our report dated March 3, 2025, with respect to the financial statements of Biodesix, Inc., incorporated herein by reference.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2025</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600" w:type="dxa"/>
            <w:vAlign w:val="bottom"/>
            <w:tcBorders>
              <w:top w:val="single" w:sz="8" w:color="auto"/>
              <w:lef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Maximum</w:t>
            </w:r>
          </w:p>
        </w:tc>
        <w:tc>
          <w:tcPr>
            <w:tcW w:w="10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0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40" w:type="dxa"/>
            <w:vAlign w:val="bottom"/>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40" w:type="dxa"/>
            <w:vAlign w:val="bottom"/>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bottom w:val="single" w:sz="8" w:color="auto"/>
            </w:tcBorders>
          </w:tcPr>
          <w:p>
            <w:pPr>
              <w:jc w:val="center"/>
              <w:ind w:left="744"/>
              <w:spacing w:after="0"/>
              <w:rPr>
                <w:sz w:val="20"/>
                <w:szCs w:val="20"/>
                <w:color w:val="auto"/>
              </w:rPr>
            </w:pPr>
            <w:r>
              <w:rPr>
                <w:rFonts w:ascii="Times New Roman" w:cs="Times New Roman" w:eastAsia="Times New Roman" w:hAnsi="Times New Roman"/>
                <w:sz w:val="13"/>
                <w:szCs w:val="13"/>
                <w:color w:val="auto"/>
                <w:w w:val="95"/>
              </w:rPr>
              <w:t>Security Type</w:t>
            </w:r>
          </w:p>
        </w:tc>
        <w:tc>
          <w:tcPr>
            <w:tcW w:w="6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Rule</w:t>
            </w:r>
          </w:p>
        </w:tc>
        <w:tc>
          <w:tcPr>
            <w:tcW w:w="10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4"/>
              </w:rPr>
              <w:t>Registered</w:t>
            </w:r>
            <w:r>
              <w:rPr>
                <w:rFonts w:ascii="Times New Roman" w:cs="Times New Roman" w:eastAsia="Times New Roman" w:hAnsi="Times New Roman"/>
                <w:sz w:val="18"/>
                <w:szCs w:val="18"/>
                <w:color w:val="auto"/>
                <w:w w:val="94"/>
                <w:vertAlign w:val="superscript"/>
              </w:rPr>
              <w:t>(1)</w:t>
            </w:r>
          </w:p>
        </w:tc>
        <w:tc>
          <w:tcPr>
            <w:tcW w:w="6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86"/>
              </w:rPr>
              <w:t>Unit</w:t>
            </w:r>
            <w:r>
              <w:rPr>
                <w:rFonts w:ascii="Times New Roman" w:cs="Times New Roman" w:eastAsia="Times New Roman" w:hAnsi="Times New Roman"/>
                <w:sz w:val="18"/>
                <w:szCs w:val="18"/>
                <w:color w:val="auto"/>
                <w:w w:val="86"/>
                <w:vertAlign w:val="superscript"/>
              </w:rPr>
              <w:t>(2)</w:t>
            </w:r>
          </w:p>
        </w:tc>
        <w:tc>
          <w:tcPr>
            <w:tcW w:w="108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3"/>
              </w:rPr>
              <w:t>Price</w:t>
            </w:r>
            <w:r>
              <w:rPr>
                <w:rFonts w:ascii="Times New Roman" w:cs="Times New Roman" w:eastAsia="Times New Roman" w:hAnsi="Times New Roman"/>
                <w:sz w:val="18"/>
                <w:szCs w:val="18"/>
                <w:color w:val="auto"/>
                <w:w w:val="93"/>
                <w:vertAlign w:val="superscript"/>
              </w:rPr>
              <w:t>(2)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0" w:type="dxa"/>
            <w:vAlign w:val="bottom"/>
          </w:tcPr>
          <w:p>
            <w:pPr>
              <w:spacing w:after="0"/>
              <w:rPr>
                <w:sz w:val="1"/>
                <w:szCs w:val="1"/>
                <w:color w:val="auto"/>
              </w:rPr>
            </w:pPr>
          </w:p>
        </w:tc>
      </w:tr>
      <w:tr>
        <w:trPr>
          <w:trHeight w:val="205"/>
        </w:trPr>
        <w:tc>
          <w:tcPr>
            <w:tcW w:w="1600" w:type="dxa"/>
            <w:vAlign w:val="bottom"/>
            <w:tcBorders>
              <w:left w:val="single" w:sz="8" w:color="auto"/>
            </w:tcBorders>
          </w:tcPr>
          <w:p>
            <w:pPr>
              <w:jc w:val="center"/>
              <w:ind w:left="764"/>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Common</w:t>
            </w:r>
          </w:p>
        </w:tc>
        <w:tc>
          <w:tcPr>
            <w:tcW w:w="4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40" w:type="dxa"/>
            <w:vAlign w:val="bottom"/>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40" w:type="dxa"/>
            <w:vAlign w:val="bottom"/>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$0.001</w:t>
            </w:r>
          </w:p>
        </w:tc>
        <w:tc>
          <w:tcPr>
            <w:tcW w:w="40" w:type="dxa"/>
            <w:vAlign w:val="bottom"/>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Rule</w:t>
            </w: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5"/>
              </w:rPr>
              <w:t>1,451,500</w:t>
            </w:r>
            <w:r>
              <w:rPr>
                <w:rFonts w:ascii="Times New Roman" w:cs="Times New Roman" w:eastAsia="Times New Roman" w:hAnsi="Times New Roman"/>
                <w:sz w:val="26"/>
                <w:szCs w:val="26"/>
                <w:color w:val="auto"/>
                <w:w w:val="95"/>
                <w:vertAlign w:val="superscript"/>
              </w:rPr>
              <w:t>(3)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$0.33</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$478,995.00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$73.33</w:t>
            </w:r>
          </w:p>
        </w:tc>
        <w:tc>
          <w:tcPr>
            <w:tcW w:w="0" w:type="dxa"/>
            <w:vAlign w:val="bottom"/>
          </w:tcPr>
          <w:p>
            <w:pPr>
              <w:spacing w:after="0"/>
              <w:rPr>
                <w:sz w:val="1"/>
                <w:szCs w:val="1"/>
                <w:color w:val="auto"/>
              </w:rPr>
            </w:pPr>
          </w:p>
        </w:tc>
      </w:tr>
      <w:tr>
        <w:trPr>
          <w:trHeight w:val="232"/>
        </w:trPr>
        <w:tc>
          <w:tcPr>
            <w:tcW w:w="1600" w:type="dxa"/>
            <w:vAlign w:val="bottom"/>
            <w:tcBorders>
              <w:left w:val="single" w:sz="8" w:color="auto"/>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382"/>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$478,995.00</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$73.33</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600" w:type="dxa"/>
            <w:vAlign w:val="bottom"/>
            <w:tcBorders>
              <w:left w:val="single" w:sz="8" w:color="auto"/>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Net Fee Due</w:t>
            </w: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80" w:hanging="424"/>
        <w:spacing w:after="0" w:line="227"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Pursuant to Rule 416 of the Securities Act of 1933, as amended (the “Securities Act”), this Registration Statement also covers such additional and indeterminate number of shares of common stock, par value $0.001 per share (the “Common Stock”) of Biodesix, Inc., a Delaware corporation (the “Registrant”), as may become issuable pursuant to the provisions of the plans relating to adjustments for changes resulting from a share dividend, share split or similar change.</w:t>
      </w:r>
    </w:p>
    <w:p>
      <w:pPr>
        <w:spacing w:after="0" w:line="226" w:lineRule="exact"/>
        <w:rPr>
          <w:rFonts w:ascii="Times New Roman" w:cs="Times New Roman" w:eastAsia="Times New Roman" w:hAnsi="Times New Roman"/>
          <w:sz w:val="27"/>
          <w:szCs w:val="27"/>
          <w:color w:val="auto"/>
          <w:vertAlign w:val="superscript"/>
        </w:rPr>
      </w:pPr>
    </w:p>
    <w:p>
      <w:pPr>
        <w:jc w:val="both"/>
        <w:ind w:left="424" w:right="180" w:hanging="424"/>
        <w:spacing w:after="0" w:line="22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Estimated pursuant to Rule 457(h) under the Securities Act solely for the purpose of calculating the registration fee. The price of $0.33 per share represents the average high and low prices of the Common Stock as quoted on the Nasdaq Global Select Market on May 27, 2025, a date within five business days prior to the filing of this Registration Statement, in accordance with Rule 457(c) of the Securities Act.</w:t>
      </w:r>
    </w:p>
    <w:p>
      <w:pPr>
        <w:spacing w:after="0" w:line="226" w:lineRule="exact"/>
        <w:rPr>
          <w:rFonts w:ascii="Times New Roman" w:cs="Times New Roman" w:eastAsia="Times New Roman" w:hAnsi="Times New Roman"/>
          <w:sz w:val="27"/>
          <w:szCs w:val="27"/>
          <w:color w:val="auto"/>
          <w:vertAlign w:val="superscript"/>
        </w:rPr>
      </w:pPr>
    </w:p>
    <w:p>
      <w:pPr>
        <w:ind w:left="424" w:right="160" w:hanging="424"/>
        <w:spacing w:after="0" w:line="22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of Common Stock that were authorized for issuance under the Biodesix, Inc. Employee Stock Purchase Plan (the “ESPP”) on May 20, 2025 following stockholder approval of an amendment and restatement of the ESPP to increase the number of shares of Common Stock authorized for issuance under the ESPP by 1,451,500 shares.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jpeg"/><Relationship Id="rId36" Type="http://schemas.openxmlformats.org/officeDocument/2006/relationships/image" Target="media/image20.png"/><Relationship Id="rId37" Type="http://schemas.openxmlformats.org/officeDocument/2006/relationships/image" Target="media/image21.png"/><Relationship Id="rId17" Type="http://schemas.openxmlformats.org/officeDocument/2006/relationships/hyperlink" Target="http://www.sec.gov/ix?doc=/Archives/edgar/data/0001439725/000095017025030835/bdsx-20241231.htm" TargetMode="External"/><Relationship Id="rId18" Type="http://schemas.openxmlformats.org/officeDocument/2006/relationships/hyperlink" Target="http://www.sec.gov/ix?doc=/Archives/edgar/data/0001439725/000095017025070339/bdsx-20250331.htm" TargetMode="External"/><Relationship Id="rId19" Type="http://schemas.openxmlformats.org/officeDocument/2006/relationships/hyperlink" Target="http://www.sec.gov/ix?doc=/Archives/edgar/data/0001439725/000095017025046748/bdsx-20250324.htm" TargetMode="External"/><Relationship Id="rId20" Type="http://schemas.openxmlformats.org/officeDocument/2006/relationships/hyperlink" Target="http://www.sec.gov/ix?doc=/Archives/edgar/data/0001439725/000119312525084319/d861784d8k.htm" TargetMode="External"/><Relationship Id="rId21" Type="http://schemas.openxmlformats.org/officeDocument/2006/relationships/hyperlink" Target="http://www.sec.gov/ix?doc=/Archives/edgar/data/0001439725/000119312525124047/d19624d8k.htm" TargetMode="External"/><Relationship Id="rId22" Type="http://schemas.openxmlformats.org/officeDocument/2006/relationships/hyperlink" Target="http://www.sec.gov/Archives/edgar/data/1439725/000119312520275716/d94177d8a12b.htm" TargetMode="External"/><Relationship Id="rId24" Type="http://schemas.openxmlformats.org/officeDocument/2006/relationships/hyperlink" Target="http://www.sec.gov/Archives/edgar/data/1439725/000119312520273369/d937421dex32.htm" TargetMode="External"/><Relationship Id="rId25" Type="http://schemas.openxmlformats.org/officeDocument/2006/relationships/hyperlink" Target="http://www.sec.gov/Archives/edgar/data/1439725/000119312520273369/d937421dex34.htm" TargetMode="External"/><Relationship Id="rId26" Type="http://schemas.openxmlformats.org/officeDocument/2006/relationships/hyperlink" Target="http://www.sec.gov/Archives/edgar/data/1439725/000119312520275630/d937421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2025-05-30T15:20:27Z</dcterms:created>
  <dcterms:modified xsi:type="dcterms:W3CDTF">2025-05-30T15:20:27Z</dcterms:modified>
</cp:coreProperties>
</file>