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BioDesix,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1076325</wp:posOffset>
            </wp:positionH>
            <wp:positionV relativeFrom="paragraph">
              <wp:posOffset>27940</wp:posOffset>
            </wp:positionV>
            <wp:extent cx="49974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997450" cy="17145"/>
                    </a:xfrm>
                    <a:prstGeom prst="rect">
                      <a:avLst/>
                    </a:prstGeom>
                    <a:noFill/>
                  </pic:spPr>
                </pic:pic>
              </a:graphicData>
            </a:graphic>
          </wp:anchor>
        </w:drawing>
      </w:r>
    </w:p>
    <w:p>
      <w:pPr>
        <w:spacing w:after="0" w:line="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17"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color w:val="auto"/>
        </w:rPr>
        <w:t>Common Stock, $0.001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1076325</wp:posOffset>
            </wp:positionH>
            <wp:positionV relativeFrom="paragraph">
              <wp:posOffset>17145</wp:posOffset>
            </wp:positionV>
            <wp:extent cx="499745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997450" cy="17145"/>
                    </a:xfrm>
                    <a:prstGeom prst="rect">
                      <a:avLst/>
                    </a:prstGeom>
                    <a:noFill/>
                  </pic:spPr>
                </pic:pic>
              </a:graphicData>
            </a:graphic>
          </wp:anchor>
        </w:drawing>
      </w:r>
    </w:p>
    <w:p>
      <w:pPr>
        <w:spacing w:after="0" w:line="16"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09075X108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1076325</wp:posOffset>
            </wp:positionH>
            <wp:positionV relativeFrom="paragraph">
              <wp:posOffset>17145</wp:posOffset>
            </wp:positionV>
            <wp:extent cx="499745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997450" cy="17145"/>
                    </a:xfrm>
                    <a:prstGeom prst="rect">
                      <a:avLst/>
                    </a:prstGeom>
                    <a:noFill/>
                  </pic:spPr>
                </pic:pic>
              </a:graphicData>
            </a:graphic>
          </wp:anchor>
        </w:drawing>
      </w:r>
    </w:p>
    <w:p>
      <w:pPr>
        <w:spacing w:after="0" w:line="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November 21,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1076325</wp:posOffset>
            </wp:positionH>
            <wp:positionV relativeFrom="paragraph">
              <wp:posOffset>17145</wp:posOffset>
            </wp:positionV>
            <wp:extent cx="499745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997450" cy="17145"/>
                    </a:xfrm>
                    <a:prstGeom prst="rect">
                      <a:avLst/>
                    </a:prstGeom>
                    <a:noFill/>
                  </pic:spPr>
                </pic:pic>
              </a:graphicData>
            </a:graphic>
          </wp:anchor>
        </w:drawing>
      </w:r>
    </w:p>
    <w:p>
      <w:pPr>
        <w:spacing w:after="0" w:line="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jc w:val="both"/>
        <w:ind w:right="9900" w:firstLine="8"/>
        <w:spacing w:after="0" w:line="226" w:lineRule="exact"/>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Rule 13d-1(b)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Rule 13d-1(c)</w:t>
      </w: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0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4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474980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CUSIP No. 09075X108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55721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5572125"/>
                    </a:xfrm>
                    <a:prstGeom prst="rect">
                      <a:avLst/>
                    </a:prstGeom>
                    <a:noFill/>
                  </pic:spPr>
                </pic:pic>
              </a:graphicData>
            </a:graphic>
          </wp:anchor>
        </w:drawing>
      </w:r>
    </w:p>
    <w:p>
      <w:pPr>
        <w:spacing w:after="0" w:line="232" w:lineRule="exact"/>
        <w:rPr>
          <w:sz w:val="20"/>
          <w:szCs w:val="20"/>
          <w:color w:val="auto"/>
        </w:rPr>
      </w:pPr>
    </w:p>
    <w:p>
      <w:pPr>
        <w:ind w:left="800" w:right="5860" w:hanging="482"/>
        <w:spacing w:after="0" w:line="282" w:lineRule="auto"/>
        <w:tabs>
          <w:tab w:leader="none" w:pos="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 AIGH Capital Management, LLC I.R.S. Identification Nos. of above persons (entities only).</w:t>
      </w:r>
    </w:p>
    <w:p>
      <w:pPr>
        <w:spacing w:after="0" w:line="184" w:lineRule="exact"/>
        <w:rPr>
          <w:rFonts w:ascii="Times New Roman" w:cs="Times New Roman" w:eastAsia="Times New Roman" w:hAnsi="Times New Roman"/>
          <w:sz w:val="18"/>
          <w:szCs w:val="18"/>
          <w:color w:val="auto"/>
        </w:rPr>
      </w:pPr>
    </w:p>
    <w:p>
      <w:pPr>
        <w:ind w:left="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27-4413262</w:t>
      </w:r>
    </w:p>
    <w:p>
      <w:pPr>
        <w:spacing w:after="0" w:line="40" w:lineRule="exact"/>
        <w:rPr>
          <w:rFonts w:ascii="Times New Roman" w:cs="Times New Roman" w:eastAsia="Times New Roman" w:hAnsi="Times New Roman"/>
          <w:sz w:val="18"/>
          <w:szCs w:val="18"/>
          <w:color w:val="auto"/>
        </w:rPr>
      </w:pPr>
    </w:p>
    <w:p>
      <w:pPr>
        <w:ind w:left="800" w:hanging="482"/>
        <w:spacing w:after="0"/>
        <w:tabs>
          <w:tab w:leader="none" w:pos="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3" w:lineRule="exact"/>
        <w:rPr>
          <w:rFonts w:ascii="Times New Roman" w:cs="Times New Roman" w:eastAsia="Times New Roman" w:hAnsi="Times New Roman"/>
          <w:sz w:val="18"/>
          <w:szCs w:val="18"/>
          <w:color w:val="auto"/>
        </w:rPr>
      </w:pPr>
    </w:p>
    <w:p>
      <w:pPr>
        <w:ind w:left="1040" w:hanging="244"/>
        <w:spacing w:after="0" w:line="207" w:lineRule="exact"/>
        <w:tabs>
          <w:tab w:leader="none" w:pos="1040" w:val="left"/>
        </w:tabs>
        <w:numPr>
          <w:ilvl w:val="1"/>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57" w:lineRule="exact"/>
        <w:rPr>
          <w:rFonts w:ascii="Times New Roman" w:cs="Times New Roman" w:eastAsia="Times New Roman" w:hAnsi="Times New Roman"/>
          <w:sz w:val="18"/>
          <w:szCs w:val="18"/>
          <w:color w:val="auto"/>
        </w:rPr>
      </w:pPr>
    </w:p>
    <w:p>
      <w:pPr>
        <w:ind w:left="1060" w:hanging="264"/>
        <w:spacing w:after="0" w:line="207" w:lineRule="exact"/>
        <w:tabs>
          <w:tab w:leader="none" w:pos="1060" w:val="left"/>
        </w:tabs>
        <w:numPr>
          <w:ilvl w:val="1"/>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7" w:lineRule="exact"/>
        <w:rPr>
          <w:rFonts w:ascii="Times New Roman" w:cs="Times New Roman" w:eastAsia="Times New Roman" w:hAnsi="Times New Roman"/>
          <w:sz w:val="18"/>
          <w:szCs w:val="18"/>
          <w:color w:val="auto"/>
        </w:rPr>
      </w:pPr>
    </w:p>
    <w:p>
      <w:pPr>
        <w:ind w:left="800" w:hanging="482"/>
        <w:spacing w:after="0"/>
        <w:tabs>
          <w:tab w:leader="none" w:pos="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67" w:lineRule="exact"/>
        <w:rPr>
          <w:rFonts w:ascii="Times New Roman" w:cs="Times New Roman" w:eastAsia="Times New Roman" w:hAnsi="Times New Roman"/>
          <w:sz w:val="18"/>
          <w:szCs w:val="18"/>
          <w:color w:val="auto"/>
        </w:rPr>
      </w:pPr>
    </w:p>
    <w:p>
      <w:pPr>
        <w:ind w:left="800" w:hanging="482"/>
        <w:spacing w:after="0"/>
        <w:tabs>
          <w:tab w:leader="none" w:pos="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of Place of Organization</w:t>
      </w:r>
    </w:p>
    <w:p>
      <w:pPr>
        <w:spacing w:after="0" w:line="248" w:lineRule="exact"/>
        <w:rPr>
          <w:rFonts w:ascii="Times New Roman" w:cs="Times New Roman" w:eastAsia="Times New Roman" w:hAnsi="Times New Roman"/>
          <w:sz w:val="18"/>
          <w:szCs w:val="18"/>
          <w:color w:val="auto"/>
        </w:rPr>
      </w:pPr>
    </w:p>
    <w:p>
      <w:pPr>
        <w:ind w:left="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Maryland</w:t>
      </w:r>
    </w:p>
    <w:p>
      <w:pPr>
        <w:spacing w:after="0" w:line="40" w:lineRule="exact"/>
        <w:rPr>
          <w:rFonts w:ascii="Times New Roman" w:cs="Times New Roman" w:eastAsia="Times New Roman" w:hAnsi="Times New Roman"/>
          <w:sz w:val="18"/>
          <w:szCs w:val="18"/>
          <w:color w:val="auto"/>
        </w:rPr>
      </w:pPr>
    </w:p>
    <w:p>
      <w:pPr>
        <w:ind w:left="2500" w:hanging="481"/>
        <w:spacing w:after="0"/>
        <w:tabs>
          <w:tab w:leader="none" w:pos="250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48" w:lineRule="exact"/>
        <w:rPr>
          <w:rFonts w:ascii="Times New Roman" w:cs="Times New Roman" w:eastAsia="Times New Roman" w:hAnsi="Times New Roman"/>
          <w:sz w:val="18"/>
          <w:szCs w:val="18"/>
          <w:color w:val="auto"/>
        </w:rPr>
      </w:pPr>
    </w:p>
    <w:p>
      <w:pPr>
        <w:ind w:left="2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5,568,901</w:t>
      </w:r>
    </w:p>
    <w:p>
      <w:pPr>
        <w:spacing w:after="0" w:line="42" w:lineRule="exact"/>
        <w:rPr>
          <w:rFonts w:ascii="Times New Roman" w:cs="Times New Roman" w:eastAsia="Times New Roman" w:hAnsi="Times New Roman"/>
          <w:sz w:val="18"/>
          <w:szCs w:val="18"/>
          <w:color w:val="auto"/>
        </w:rPr>
      </w:pPr>
    </w:p>
    <w:p>
      <w:pPr>
        <w:ind w:left="2500" w:hanging="481"/>
        <w:spacing w:after="0"/>
        <w:tabs>
          <w:tab w:leader="none" w:pos="250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Voting Power</w:t>
      </w:r>
    </w:p>
    <w:tbl>
      <w:tblPr>
        <w:tblLayout w:type="fixed"/>
        <w:tblInd w:w="220" w:type="dxa"/>
        <w:tblCellMar>
          <w:top w:w="0" w:type="dxa"/>
          <w:left w:w="0" w:type="dxa"/>
          <w:bottom w:w="0" w:type="dxa"/>
          <w:right w:w="0" w:type="dxa"/>
        </w:tblCellMar>
      </w:tblPr>
      <w:tr>
        <w:trPr>
          <w:trHeight w:val="196"/>
        </w:trPr>
        <w:tc>
          <w:tcPr>
            <w:tcW w:w="1480" w:type="dxa"/>
            <w:vAlign w:val="bottom"/>
          </w:tcPr>
          <w:p>
            <w:pPr>
              <w:jc w:val="center"/>
              <w:ind w:right="90"/>
              <w:spacing w:after="0" w:line="196" w:lineRule="exact"/>
              <w:rPr>
                <w:sz w:val="20"/>
                <w:szCs w:val="20"/>
                <w:color w:val="auto"/>
              </w:rPr>
            </w:pPr>
            <w:r>
              <w:rPr>
                <w:rFonts w:ascii="Times New Roman" w:cs="Times New Roman" w:eastAsia="Times New Roman" w:hAnsi="Times New Roman"/>
                <w:sz w:val="18"/>
                <w:szCs w:val="18"/>
                <w:color w:val="auto"/>
                <w:w w:val="99"/>
              </w:rPr>
              <w:t>Number of Shares</w:t>
            </w:r>
          </w:p>
        </w:tc>
        <w:tc>
          <w:tcPr>
            <w:tcW w:w="620" w:type="dxa"/>
            <w:vAlign w:val="bottom"/>
          </w:tcPr>
          <w:p>
            <w:pPr>
              <w:spacing w:after="0"/>
              <w:rPr>
                <w:sz w:val="17"/>
                <w:szCs w:val="17"/>
                <w:color w:val="auto"/>
              </w:rPr>
            </w:pPr>
          </w:p>
        </w:tc>
        <w:tc>
          <w:tcPr>
            <w:tcW w:w="8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Beneficially</w:t>
            </w:r>
          </w:p>
        </w:tc>
        <w:tc>
          <w:tcPr>
            <w:tcW w:w="620" w:type="dxa"/>
            <w:vAlign w:val="bottom"/>
          </w:tcPr>
          <w:p>
            <w:pPr>
              <w:spacing w:after="0"/>
              <w:rPr>
                <w:sz w:val="18"/>
                <w:szCs w:val="18"/>
                <w:color w:val="auto"/>
              </w:rPr>
            </w:pPr>
          </w:p>
        </w:tc>
        <w:tc>
          <w:tcPr>
            <w:tcW w:w="8920" w:type="dxa"/>
            <w:vAlign w:val="bottom"/>
            <w:vMerge w:val="restart"/>
          </w:tcPr>
          <w:p>
            <w:pPr>
              <w:ind w:left="180"/>
              <w:spacing w:after="0"/>
              <w:rPr>
                <w:sz w:val="20"/>
                <w:szCs w:val="20"/>
                <w:color w:val="auto"/>
              </w:rPr>
            </w:pPr>
            <w:r>
              <w:rPr>
                <w:rFonts w:ascii="Calibri" w:cs="Calibri" w:eastAsia="Calibri" w:hAnsi="Calibri"/>
                <w:sz w:val="20"/>
                <w:szCs w:val="20"/>
                <w:color w:val="auto"/>
              </w:rPr>
              <w:t>0</w:t>
            </w:r>
          </w:p>
        </w:tc>
        <w:tc>
          <w:tcPr>
            <w:tcW w:w="0" w:type="dxa"/>
            <w:vAlign w:val="bottom"/>
          </w:tcPr>
          <w:p>
            <w:pPr>
              <w:spacing w:after="0"/>
              <w:rPr>
                <w:sz w:val="1"/>
                <w:szCs w:val="1"/>
                <w:color w:val="auto"/>
              </w:rPr>
            </w:pPr>
          </w:p>
        </w:tc>
      </w:tr>
      <w:tr>
        <w:trPr>
          <w:trHeight w:val="93"/>
        </w:trPr>
        <w:tc>
          <w:tcPr>
            <w:tcW w:w="148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color w:val="auto"/>
                <w:w w:val="99"/>
              </w:rPr>
              <w:t>Owned by Each</w:t>
            </w:r>
          </w:p>
        </w:tc>
        <w:tc>
          <w:tcPr>
            <w:tcW w:w="620" w:type="dxa"/>
            <w:vAlign w:val="bottom"/>
          </w:tcPr>
          <w:p>
            <w:pPr>
              <w:spacing w:after="0"/>
              <w:rPr>
                <w:sz w:val="8"/>
                <w:szCs w:val="8"/>
                <w:color w:val="auto"/>
              </w:rPr>
            </w:pPr>
          </w:p>
        </w:tc>
        <w:tc>
          <w:tcPr>
            <w:tcW w:w="8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0"/>
        </w:trPr>
        <w:tc>
          <w:tcPr>
            <w:tcW w:w="1480" w:type="dxa"/>
            <w:vAlign w:val="bottom"/>
            <w:vMerge w:val="continue"/>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63"/>
        </w:trPr>
        <w:tc>
          <w:tcPr>
            <w:tcW w:w="1480" w:type="dxa"/>
            <w:vAlign w:val="bottom"/>
            <w:vMerge w:val="continue"/>
          </w:tcPr>
          <w:p>
            <w:pPr>
              <w:spacing w:after="0"/>
              <w:rPr>
                <w:sz w:val="5"/>
                <w:szCs w:val="5"/>
                <w:color w:val="auto"/>
              </w:rPr>
            </w:pPr>
          </w:p>
        </w:tc>
        <w:tc>
          <w:tcPr>
            <w:tcW w:w="62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7.</w:t>
            </w:r>
          </w:p>
        </w:tc>
        <w:tc>
          <w:tcPr>
            <w:tcW w:w="892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72"/>
        </w:trPr>
        <w:tc>
          <w:tcPr>
            <w:tcW w:w="148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color w:val="auto"/>
              </w:rPr>
              <w:t>Reporting Person</w:t>
            </w:r>
          </w:p>
        </w:tc>
        <w:tc>
          <w:tcPr>
            <w:tcW w:w="620" w:type="dxa"/>
            <w:vAlign w:val="bottom"/>
            <w:vMerge w:val="continue"/>
          </w:tcPr>
          <w:p>
            <w:pPr>
              <w:spacing w:after="0"/>
              <w:rPr>
                <w:sz w:val="14"/>
                <w:szCs w:val="14"/>
                <w:color w:val="auto"/>
              </w:rPr>
            </w:pPr>
          </w:p>
        </w:tc>
        <w:tc>
          <w:tcPr>
            <w:tcW w:w="8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14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8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4"/>
        </w:trPr>
        <w:tc>
          <w:tcPr>
            <w:tcW w:w="14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4"/>
              </w:rPr>
              <w:t>With</w:t>
            </w:r>
          </w:p>
        </w:tc>
        <w:tc>
          <w:tcPr>
            <w:tcW w:w="620" w:type="dxa"/>
            <w:vAlign w:val="bottom"/>
          </w:tcPr>
          <w:p>
            <w:pPr>
              <w:spacing w:after="0"/>
              <w:rPr>
                <w:sz w:val="20"/>
                <w:szCs w:val="20"/>
                <w:color w:val="auto"/>
              </w:rPr>
            </w:pPr>
          </w:p>
        </w:tc>
        <w:tc>
          <w:tcPr>
            <w:tcW w:w="892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5,568,901</w:t>
            </w:r>
          </w:p>
        </w:tc>
        <w:tc>
          <w:tcPr>
            <w:tcW w:w="0" w:type="dxa"/>
            <w:vAlign w:val="bottom"/>
          </w:tcPr>
          <w:p>
            <w:pPr>
              <w:spacing w:after="0"/>
              <w:rPr>
                <w:sz w:val="1"/>
                <w:szCs w:val="1"/>
                <w:color w:val="auto"/>
              </w:rPr>
            </w:pPr>
          </w:p>
        </w:tc>
      </w:tr>
      <w:tr>
        <w:trPr>
          <w:trHeight w:val="162"/>
        </w:trPr>
        <w:tc>
          <w:tcPr>
            <w:tcW w:w="1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2500" w:hanging="481"/>
        <w:spacing w:after="0"/>
        <w:tabs>
          <w:tab w:leader="none" w:pos="25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w:t>
      </w:r>
    </w:p>
    <w:p>
      <w:pPr>
        <w:spacing w:after="0" w:line="200" w:lineRule="exact"/>
        <w:rPr>
          <w:rFonts w:ascii="Times New Roman" w:cs="Times New Roman" w:eastAsia="Times New Roman" w:hAnsi="Times New Roman"/>
          <w:sz w:val="18"/>
          <w:szCs w:val="18"/>
          <w:color w:val="auto"/>
        </w:rPr>
      </w:pPr>
    </w:p>
    <w:p>
      <w:pPr>
        <w:spacing w:after="0" w:line="322" w:lineRule="exact"/>
        <w:rPr>
          <w:rFonts w:ascii="Times New Roman" w:cs="Times New Roman" w:eastAsia="Times New Roman" w:hAnsi="Times New Roman"/>
          <w:sz w:val="18"/>
          <w:szCs w:val="18"/>
          <w:color w:val="auto"/>
        </w:rPr>
      </w:pPr>
    </w:p>
    <w:p>
      <w:pPr>
        <w:ind w:left="800" w:hanging="482"/>
        <w:spacing w:after="0"/>
        <w:tabs>
          <w:tab w:leader="none" w:pos="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48" w:lineRule="exact"/>
        <w:rPr>
          <w:rFonts w:ascii="Times New Roman" w:cs="Times New Roman" w:eastAsia="Times New Roman" w:hAnsi="Times New Roman"/>
          <w:sz w:val="18"/>
          <w:szCs w:val="18"/>
          <w:color w:val="auto"/>
        </w:rPr>
      </w:pPr>
    </w:p>
    <w:p>
      <w:pPr>
        <w:ind w:left="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5,568,901</w:t>
      </w:r>
    </w:p>
    <w:p>
      <w:pPr>
        <w:spacing w:after="0" w:line="31" w:lineRule="exact"/>
        <w:rPr>
          <w:sz w:val="20"/>
          <w:szCs w:val="20"/>
          <w:color w:val="auto"/>
        </w:rPr>
      </w:pPr>
    </w:p>
    <w:p>
      <w:pPr>
        <w:ind w:left="800" w:hanging="526"/>
        <w:spacing w:after="0" w:line="207" w:lineRule="exact"/>
        <w:tabs>
          <w:tab w:leader="none" w:pos="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the Aggregate Amount in Row (9) Excludes Certain Shares </w:t>
      </w:r>
      <w:r>
        <w:rPr>
          <w:rFonts w:ascii="MS PGothic" w:cs="MS PGothic" w:eastAsia="MS PGothic" w:hAnsi="MS PGothic"/>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330" w:lineRule="exact"/>
        <w:rPr>
          <w:rFonts w:ascii="Times New Roman" w:cs="Times New Roman" w:eastAsia="Times New Roman" w:hAnsi="Times New Roman"/>
          <w:sz w:val="18"/>
          <w:szCs w:val="18"/>
          <w:color w:val="auto"/>
        </w:rPr>
      </w:pPr>
    </w:p>
    <w:p>
      <w:pPr>
        <w:ind w:left="800" w:right="6780" w:hanging="523"/>
        <w:spacing w:after="0" w:line="406" w:lineRule="auto"/>
        <w:tabs>
          <w:tab w:leader="none" w:pos="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7.1%</w:t>
      </w:r>
    </w:p>
    <w:p>
      <w:pPr>
        <w:spacing w:after="0" w:line="1" w:lineRule="exact"/>
        <w:rPr>
          <w:rFonts w:ascii="Times New Roman" w:cs="Times New Roman" w:eastAsia="Times New Roman" w:hAnsi="Times New Roman"/>
          <w:sz w:val="18"/>
          <w:szCs w:val="18"/>
          <w:color w:val="auto"/>
        </w:rPr>
      </w:pPr>
    </w:p>
    <w:p>
      <w:pPr>
        <w:ind w:left="800" w:hanging="526"/>
        <w:spacing w:after="0"/>
        <w:tabs>
          <w:tab w:leader="none" w:pos="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48" w:lineRule="exact"/>
        <w:rPr>
          <w:rFonts w:ascii="Times New Roman" w:cs="Times New Roman" w:eastAsia="Times New Roman" w:hAnsi="Times New Roman"/>
          <w:sz w:val="18"/>
          <w:szCs w:val="18"/>
          <w:color w:val="auto"/>
        </w:rPr>
      </w:pPr>
    </w:p>
    <w:p>
      <w:pPr>
        <w:ind w:left="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CUSIP No. 09075X108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55892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5589270"/>
                    </a:xfrm>
                    <a:prstGeom prst="rect">
                      <a:avLst/>
                    </a:prstGeom>
                    <a:noFill/>
                  </pic:spPr>
                </pic:pic>
              </a:graphicData>
            </a:graphic>
          </wp:anchor>
        </w:drawing>
      </w:r>
    </w:p>
    <w:p>
      <w:pPr>
        <w:spacing w:after="0" w:line="232" w:lineRule="exact"/>
        <w:rPr>
          <w:sz w:val="20"/>
          <w:szCs w:val="20"/>
          <w:color w:val="auto"/>
        </w:rPr>
      </w:pPr>
    </w:p>
    <w:p>
      <w:pPr>
        <w:ind w:left="800" w:hanging="482"/>
        <w:spacing w:after="0"/>
        <w:tabs>
          <w:tab w:leader="none" w:pos="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 Orin Hirschman</w:t>
      </w:r>
    </w:p>
    <w:p>
      <w:pPr>
        <w:spacing w:after="0" w:line="27" w:lineRule="exact"/>
        <w:rPr>
          <w:rFonts w:ascii="Times New Roman" w:cs="Times New Roman" w:eastAsia="Times New Roman" w:hAnsi="Times New Roman"/>
          <w:sz w:val="18"/>
          <w:szCs w:val="18"/>
          <w:color w:val="auto"/>
        </w:rPr>
      </w:pPr>
    </w:p>
    <w:p>
      <w:pPr>
        <w:ind w:left="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w:t>
      </w:r>
    </w:p>
    <w:p>
      <w:pPr>
        <w:spacing w:after="0" w:line="200" w:lineRule="exact"/>
        <w:rPr>
          <w:rFonts w:ascii="Times New Roman" w:cs="Times New Roman" w:eastAsia="Times New Roman" w:hAnsi="Times New Roman"/>
          <w:sz w:val="18"/>
          <w:szCs w:val="18"/>
          <w:color w:val="auto"/>
        </w:rPr>
      </w:pPr>
    </w:p>
    <w:p>
      <w:pPr>
        <w:spacing w:after="0" w:line="303" w:lineRule="exact"/>
        <w:rPr>
          <w:rFonts w:ascii="Times New Roman" w:cs="Times New Roman" w:eastAsia="Times New Roman" w:hAnsi="Times New Roman"/>
          <w:sz w:val="18"/>
          <w:szCs w:val="18"/>
          <w:color w:val="auto"/>
        </w:rPr>
      </w:pPr>
    </w:p>
    <w:p>
      <w:pPr>
        <w:ind w:left="800" w:hanging="482"/>
        <w:spacing w:after="0"/>
        <w:tabs>
          <w:tab w:leader="none" w:pos="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3" w:lineRule="exact"/>
        <w:rPr>
          <w:rFonts w:ascii="Times New Roman" w:cs="Times New Roman" w:eastAsia="Times New Roman" w:hAnsi="Times New Roman"/>
          <w:sz w:val="18"/>
          <w:szCs w:val="18"/>
          <w:color w:val="auto"/>
        </w:rPr>
      </w:pPr>
    </w:p>
    <w:p>
      <w:pPr>
        <w:ind w:left="1040" w:hanging="244"/>
        <w:spacing w:after="0" w:line="207" w:lineRule="exact"/>
        <w:tabs>
          <w:tab w:leader="none" w:pos="1040" w:val="left"/>
        </w:tabs>
        <w:numPr>
          <w:ilvl w:val="1"/>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57" w:lineRule="exact"/>
        <w:rPr>
          <w:rFonts w:ascii="Times New Roman" w:cs="Times New Roman" w:eastAsia="Times New Roman" w:hAnsi="Times New Roman"/>
          <w:sz w:val="18"/>
          <w:szCs w:val="18"/>
          <w:color w:val="auto"/>
        </w:rPr>
      </w:pPr>
    </w:p>
    <w:p>
      <w:pPr>
        <w:ind w:left="1060" w:hanging="264"/>
        <w:spacing w:after="0" w:line="207" w:lineRule="exact"/>
        <w:tabs>
          <w:tab w:leader="none" w:pos="1060" w:val="left"/>
        </w:tabs>
        <w:numPr>
          <w:ilvl w:val="1"/>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7" w:lineRule="exact"/>
        <w:rPr>
          <w:rFonts w:ascii="Times New Roman" w:cs="Times New Roman" w:eastAsia="Times New Roman" w:hAnsi="Times New Roman"/>
          <w:sz w:val="18"/>
          <w:szCs w:val="18"/>
          <w:color w:val="auto"/>
        </w:rPr>
      </w:pPr>
    </w:p>
    <w:p>
      <w:pPr>
        <w:ind w:left="800" w:hanging="482"/>
        <w:spacing w:after="0"/>
        <w:tabs>
          <w:tab w:leader="none" w:pos="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67" w:lineRule="exact"/>
        <w:rPr>
          <w:rFonts w:ascii="Times New Roman" w:cs="Times New Roman" w:eastAsia="Times New Roman" w:hAnsi="Times New Roman"/>
          <w:sz w:val="18"/>
          <w:szCs w:val="18"/>
          <w:color w:val="auto"/>
        </w:rPr>
      </w:pPr>
    </w:p>
    <w:p>
      <w:pPr>
        <w:ind w:left="800" w:hanging="482"/>
        <w:spacing w:after="0"/>
        <w:tabs>
          <w:tab w:leader="none" w:pos="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of Place of Organization</w:t>
      </w:r>
    </w:p>
    <w:p>
      <w:pPr>
        <w:spacing w:after="0" w:line="248" w:lineRule="exact"/>
        <w:rPr>
          <w:rFonts w:ascii="Times New Roman" w:cs="Times New Roman" w:eastAsia="Times New Roman" w:hAnsi="Times New Roman"/>
          <w:sz w:val="18"/>
          <w:szCs w:val="18"/>
          <w:color w:val="auto"/>
        </w:rPr>
      </w:pPr>
    </w:p>
    <w:p>
      <w:pPr>
        <w:ind w:left="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United States</w:t>
      </w:r>
    </w:p>
    <w:p>
      <w:pPr>
        <w:spacing w:after="0" w:line="40" w:lineRule="exact"/>
        <w:rPr>
          <w:rFonts w:ascii="Times New Roman" w:cs="Times New Roman" w:eastAsia="Times New Roman" w:hAnsi="Times New Roman"/>
          <w:sz w:val="18"/>
          <w:szCs w:val="18"/>
          <w:color w:val="auto"/>
        </w:rPr>
      </w:pPr>
    </w:p>
    <w:p>
      <w:pPr>
        <w:ind w:left="2500" w:hanging="481"/>
        <w:spacing w:after="0"/>
        <w:tabs>
          <w:tab w:leader="none" w:pos="2500"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48" w:lineRule="exact"/>
        <w:rPr>
          <w:rFonts w:ascii="Times New Roman" w:cs="Times New Roman" w:eastAsia="Times New Roman" w:hAnsi="Times New Roman"/>
          <w:sz w:val="18"/>
          <w:szCs w:val="18"/>
          <w:color w:val="auto"/>
        </w:rPr>
      </w:pPr>
    </w:p>
    <w:p>
      <w:pPr>
        <w:ind w:left="2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5,568,901</w:t>
      </w:r>
    </w:p>
    <w:p>
      <w:pPr>
        <w:spacing w:after="0" w:line="42" w:lineRule="exact"/>
        <w:rPr>
          <w:rFonts w:ascii="Times New Roman" w:cs="Times New Roman" w:eastAsia="Times New Roman" w:hAnsi="Times New Roman"/>
          <w:sz w:val="18"/>
          <w:szCs w:val="18"/>
          <w:color w:val="auto"/>
        </w:rPr>
      </w:pPr>
    </w:p>
    <w:p>
      <w:pPr>
        <w:ind w:left="2500" w:hanging="481"/>
        <w:spacing w:after="0"/>
        <w:tabs>
          <w:tab w:leader="none" w:pos="2500"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Voting Power</w:t>
      </w:r>
    </w:p>
    <w:p>
      <w:pPr>
        <w:jc w:val="center"/>
        <w:ind w:right="8399"/>
        <w:spacing w:after="0"/>
        <w:rPr>
          <w:sz w:val="20"/>
          <w:szCs w:val="20"/>
          <w:color w:val="auto"/>
        </w:rPr>
      </w:pPr>
      <w:r>
        <w:rPr>
          <w:rFonts w:ascii="Times New Roman" w:cs="Times New Roman" w:eastAsia="Times New Roman" w:hAnsi="Times New Roman"/>
          <w:sz w:val="18"/>
          <w:szCs w:val="18"/>
          <w:color w:val="auto"/>
        </w:rPr>
        <w:t>Number of Shares</w:t>
      </w:r>
    </w:p>
    <w:p>
      <w:pPr>
        <w:spacing w:after="0" w:line="7" w:lineRule="exact"/>
        <w:rPr>
          <w:sz w:val="20"/>
          <w:szCs w:val="20"/>
          <w:color w:val="auto"/>
        </w:rPr>
      </w:pPr>
    </w:p>
    <w:p>
      <w:pPr>
        <w:jc w:val="center"/>
        <w:ind w:right="8399"/>
        <w:spacing w:after="0"/>
        <w:rPr>
          <w:sz w:val="20"/>
          <w:szCs w:val="20"/>
          <w:color w:val="auto"/>
        </w:rPr>
      </w:pPr>
      <w:r>
        <w:rPr>
          <w:rFonts w:ascii="Times New Roman" w:cs="Times New Roman" w:eastAsia="Times New Roman" w:hAnsi="Times New Roman"/>
          <w:sz w:val="18"/>
          <w:szCs w:val="18"/>
          <w:color w:val="auto"/>
        </w:rPr>
        <w:t>Beneficially</w:t>
      </w:r>
    </w:p>
    <w:p>
      <w:pPr>
        <w:jc w:val="center"/>
        <w:ind w:right="8399"/>
        <w:spacing w:after="0" w:line="190" w:lineRule="auto"/>
        <w:rPr>
          <w:sz w:val="20"/>
          <w:szCs w:val="20"/>
          <w:color w:val="auto"/>
        </w:rPr>
      </w:pPr>
      <w:r>
        <w:rPr>
          <w:rFonts w:ascii="Times New Roman" w:cs="Times New Roman" w:eastAsia="Times New Roman" w:hAnsi="Times New Roman"/>
          <w:sz w:val="16"/>
          <w:szCs w:val="16"/>
          <w:color w:val="auto"/>
        </w:rPr>
        <w:t>Owned by Each</w:t>
      </w:r>
    </w:p>
    <w:p>
      <w:pPr>
        <w:ind w:left="240"/>
        <w:spacing w:after="0"/>
        <w:tabs>
          <w:tab w:leader="none" w:pos="2000" w:val="left"/>
          <w:tab w:leader="none" w:pos="2480" w:val="left"/>
        </w:tabs>
        <w:rPr>
          <w:sz w:val="20"/>
          <w:szCs w:val="20"/>
          <w:color w:val="auto"/>
        </w:rPr>
      </w:pPr>
      <w:r>
        <w:rPr>
          <w:rFonts w:ascii="Times New Roman" w:cs="Times New Roman" w:eastAsia="Times New Roman" w:hAnsi="Times New Roman"/>
          <w:sz w:val="34"/>
          <w:szCs w:val="34"/>
          <w:color w:val="auto"/>
          <w:vertAlign w:val="subscript"/>
        </w:rPr>
        <w:t>Reporting Person</w:t>
      </w:r>
      <w:r>
        <w:rPr>
          <w:sz w:val="20"/>
          <w:szCs w:val="20"/>
          <w:color w:val="auto"/>
        </w:rPr>
        <w:tab/>
      </w:r>
      <w:r>
        <w:rPr>
          <w:rFonts w:ascii="Times New Roman" w:cs="Times New Roman" w:eastAsia="Times New Roman" w:hAnsi="Times New Roman"/>
          <w:sz w:val="18"/>
          <w:szCs w:val="18"/>
          <w:color w:val="auto"/>
        </w:rPr>
        <w:t>7.</w:t>
      </w:r>
      <w:r>
        <w:rPr>
          <w:sz w:val="20"/>
          <w:szCs w:val="20"/>
          <w:color w:val="auto"/>
        </w:rPr>
        <w:tab/>
      </w:r>
      <w:r>
        <w:rPr>
          <w:rFonts w:ascii="Times New Roman" w:cs="Times New Roman" w:eastAsia="Times New Roman" w:hAnsi="Times New Roman"/>
          <w:sz w:val="17"/>
          <w:szCs w:val="17"/>
          <w:color w:val="auto"/>
        </w:rPr>
        <w:t>Sole Dispositive Power</w:t>
      </w:r>
    </w:p>
    <w:p>
      <w:pPr>
        <w:ind w:left="700"/>
        <w:spacing w:after="0" w:line="190" w:lineRule="auto"/>
        <w:rPr>
          <w:sz w:val="20"/>
          <w:szCs w:val="20"/>
          <w:color w:val="auto"/>
        </w:rPr>
      </w:pPr>
      <w:r>
        <w:rPr>
          <w:rFonts w:ascii="Times New Roman" w:cs="Times New Roman" w:eastAsia="Times New Roman" w:hAnsi="Times New Roman"/>
          <w:sz w:val="18"/>
          <w:szCs w:val="18"/>
          <w:color w:val="auto"/>
        </w:rPr>
        <w:t>With</w:t>
      </w:r>
    </w:p>
    <w:p>
      <w:pPr>
        <w:ind w:left="2500"/>
        <w:spacing w:after="0"/>
        <w:rPr>
          <w:sz w:val="20"/>
          <w:szCs w:val="20"/>
          <w:color w:val="auto"/>
        </w:rPr>
      </w:pPr>
      <w:r>
        <w:rPr>
          <w:rFonts w:ascii="Times New Roman" w:cs="Times New Roman" w:eastAsia="Times New Roman" w:hAnsi="Times New Roman"/>
          <w:sz w:val="18"/>
          <w:szCs w:val="18"/>
          <w:b w:val="1"/>
          <w:bCs w:val="1"/>
          <w:color w:val="auto"/>
        </w:rPr>
        <w:t>5,568,901</w:t>
      </w:r>
    </w:p>
    <w:p>
      <w:pPr>
        <w:spacing w:after="0" w:line="16" w:lineRule="exact"/>
        <w:rPr>
          <w:sz w:val="20"/>
          <w:szCs w:val="20"/>
          <w:color w:val="auto"/>
        </w:rPr>
      </w:pPr>
    </w:p>
    <w:p>
      <w:pPr>
        <w:ind w:left="2500" w:hanging="481"/>
        <w:spacing w:after="0"/>
        <w:tabs>
          <w:tab w:leader="none" w:pos="25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w:t>
      </w:r>
    </w:p>
    <w:p>
      <w:pPr>
        <w:spacing w:after="0" w:line="200" w:lineRule="exact"/>
        <w:rPr>
          <w:rFonts w:ascii="Times New Roman" w:cs="Times New Roman" w:eastAsia="Times New Roman" w:hAnsi="Times New Roman"/>
          <w:sz w:val="18"/>
          <w:szCs w:val="18"/>
          <w:color w:val="auto"/>
        </w:rPr>
      </w:pPr>
    </w:p>
    <w:p>
      <w:pPr>
        <w:spacing w:after="0" w:line="322" w:lineRule="exact"/>
        <w:rPr>
          <w:rFonts w:ascii="Times New Roman" w:cs="Times New Roman" w:eastAsia="Times New Roman" w:hAnsi="Times New Roman"/>
          <w:sz w:val="18"/>
          <w:szCs w:val="18"/>
          <w:color w:val="auto"/>
        </w:rPr>
      </w:pPr>
    </w:p>
    <w:p>
      <w:pPr>
        <w:ind w:left="800" w:hanging="482"/>
        <w:spacing w:after="0"/>
        <w:tabs>
          <w:tab w:leader="none" w:pos="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48" w:lineRule="exact"/>
        <w:rPr>
          <w:rFonts w:ascii="Times New Roman" w:cs="Times New Roman" w:eastAsia="Times New Roman" w:hAnsi="Times New Roman"/>
          <w:sz w:val="18"/>
          <w:szCs w:val="18"/>
          <w:color w:val="auto"/>
        </w:rPr>
      </w:pPr>
    </w:p>
    <w:p>
      <w:pPr>
        <w:ind w:left="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5,568,901</w:t>
      </w:r>
    </w:p>
    <w:p>
      <w:pPr>
        <w:spacing w:after="0" w:line="31" w:lineRule="exact"/>
        <w:rPr>
          <w:sz w:val="20"/>
          <w:szCs w:val="20"/>
          <w:color w:val="auto"/>
        </w:rPr>
      </w:pPr>
    </w:p>
    <w:p>
      <w:pPr>
        <w:ind w:left="800" w:hanging="526"/>
        <w:spacing w:after="0" w:line="196" w:lineRule="exact"/>
        <w:tabs>
          <w:tab w:leader="none" w:pos="8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Check if the Aggregate Amount in Row (9) Excludes Certain Shares </w:t>
      </w:r>
      <w:r>
        <w:rPr>
          <w:rFonts w:ascii="MS PGothic" w:cs="MS PGothic" w:eastAsia="MS PGothic" w:hAnsi="MS PGothic"/>
          <w:sz w:val="17"/>
          <w:szCs w:val="17"/>
          <w:color w:val="auto"/>
        </w:rPr>
        <w:t>☐</w:t>
      </w:r>
    </w:p>
    <w:p>
      <w:pPr>
        <w:spacing w:after="0" w:line="200" w:lineRule="exact"/>
        <w:rPr>
          <w:rFonts w:ascii="Times New Roman" w:cs="Times New Roman" w:eastAsia="Times New Roman" w:hAnsi="Times New Roman"/>
          <w:sz w:val="17"/>
          <w:szCs w:val="17"/>
          <w:color w:val="auto"/>
        </w:rPr>
      </w:pPr>
    </w:p>
    <w:p>
      <w:pPr>
        <w:spacing w:after="0" w:line="342" w:lineRule="exact"/>
        <w:rPr>
          <w:rFonts w:ascii="Times New Roman" w:cs="Times New Roman" w:eastAsia="Times New Roman" w:hAnsi="Times New Roman"/>
          <w:sz w:val="17"/>
          <w:szCs w:val="17"/>
          <w:color w:val="auto"/>
        </w:rPr>
      </w:pPr>
    </w:p>
    <w:p>
      <w:pPr>
        <w:ind w:left="800" w:right="5679" w:hanging="523"/>
        <w:spacing w:after="0" w:line="406" w:lineRule="auto"/>
        <w:tabs>
          <w:tab w:leader="none" w:pos="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7.1%</w:t>
      </w:r>
    </w:p>
    <w:p>
      <w:pPr>
        <w:spacing w:after="0" w:line="1" w:lineRule="exact"/>
        <w:rPr>
          <w:rFonts w:ascii="Times New Roman" w:cs="Times New Roman" w:eastAsia="Times New Roman" w:hAnsi="Times New Roman"/>
          <w:sz w:val="18"/>
          <w:szCs w:val="18"/>
          <w:color w:val="auto"/>
        </w:rPr>
      </w:pPr>
    </w:p>
    <w:p>
      <w:pPr>
        <w:ind w:left="800" w:hanging="526"/>
        <w:spacing w:after="0"/>
        <w:tabs>
          <w:tab w:leader="none" w:pos="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48" w:lineRule="exact"/>
        <w:rPr>
          <w:rFonts w:ascii="Times New Roman" w:cs="Times New Roman" w:eastAsia="Times New Roman" w:hAnsi="Times New Roman"/>
          <w:sz w:val="18"/>
          <w:szCs w:val="18"/>
          <w:color w:val="auto"/>
        </w:rPr>
      </w:pPr>
    </w:p>
    <w:p>
      <w:pPr>
        <w:ind w:left="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688"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ITEM 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(a) Name of Issuer: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BioDesix, Inc.</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(b) Address of Issuer’s Principal Executive Offices: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2970 Wilderness Place, Suite 100, Boulder, Colorado 80301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(a) Name of Person Filing:</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This Schedule 13G is being jointly filed by each of the following persons pursuant to Rule 13d-1 promulgated by the Securities and</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Exchange Commission pursuant to Section 13 of the Securities Exchange Act of 1934, as amended (the “Act”):</w:t>
      </w:r>
    </w:p>
    <w:p>
      <w:pPr>
        <w:spacing w:after="0" w:line="207" w:lineRule="exact"/>
        <w:rPr>
          <w:sz w:val="20"/>
          <w:szCs w:val="20"/>
          <w:color w:val="auto"/>
        </w:rPr>
      </w:pPr>
    </w:p>
    <w:p>
      <w:pPr>
        <w:jc w:val="both"/>
        <w:ind w:left="2600" w:hanging="324"/>
        <w:spacing w:after="0" w:line="261" w:lineRule="auto"/>
        <w:tabs>
          <w:tab w:leader="none" w:pos="26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AIGH Capital Management, LLC, a Maryland limited liability company (“AIGH CM”), as an Advisor or Sub-Advisor with respect to shares of Common Stock (as defined in Item 2(d) below) held by AIGH Investment Partners, L.P., WVP Emerging Manger Onshore Fund, LLC – AIGH Series, and WVP Emerging Manger Onshore Fund, LLC- Optimized Equity Series;</w:t>
      </w:r>
    </w:p>
    <w:p>
      <w:pPr>
        <w:spacing w:after="0" w:line="179" w:lineRule="exact"/>
        <w:rPr>
          <w:rFonts w:ascii="Times New Roman" w:cs="Times New Roman" w:eastAsia="Times New Roman" w:hAnsi="Times New Roman"/>
          <w:sz w:val="18"/>
          <w:szCs w:val="18"/>
          <w:color w:val="auto"/>
        </w:rPr>
      </w:pPr>
    </w:p>
    <w:p>
      <w:pPr>
        <w:ind w:left="2600" w:right="20" w:hanging="324"/>
        <w:spacing w:after="0" w:line="282" w:lineRule="auto"/>
        <w:tabs>
          <w:tab w:leader="none" w:pos="26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AIGH Investment Partners, L.L.C., a Delaware limited liability company (“AIGH LLC”), with respect to shares of Common Stock (as defined in Item 2(d) below) directly held by it;</w:t>
      </w:r>
    </w:p>
    <w:p>
      <w:pPr>
        <w:spacing w:after="0" w:line="161" w:lineRule="exact"/>
        <w:rPr>
          <w:rFonts w:ascii="Times New Roman" w:cs="Times New Roman" w:eastAsia="Times New Roman" w:hAnsi="Times New Roman"/>
          <w:sz w:val="18"/>
          <w:szCs w:val="18"/>
          <w:color w:val="auto"/>
        </w:rPr>
      </w:pPr>
    </w:p>
    <w:p>
      <w:pPr>
        <w:jc w:val="both"/>
        <w:ind w:left="2600" w:hanging="324"/>
        <w:spacing w:after="0" w:line="266" w:lineRule="auto"/>
        <w:tabs>
          <w:tab w:leader="none" w:pos="26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Orin Hirschman (“Mr. Hirschman”), who is the Managing Member of AIGH Capital Management, LLC and president of AIGH LLC, with respect to shares of Common Stock (as defined in Item 2(d) below) indirectly held through AIGH CM, directly by AIGH LLC and Mr. Hirschman and his family directly.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AIGH Capital Management LLC., AIGH Investment Partners LLC, and Mr. Hirschman are hereinafter sometimes collectively referred to as the “Reporting Persons.” Any disclosures herein with respect to persons other than the Reporting Persons are made on information and belief after making inquiry to the appropriate party.</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(b) Address of Principal Business Office or, if None, Residence:</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principal office and business address of AIGH Capital Management LLC, AIGH Investment Partners LLC, and Mr. Hirschman is: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6006 Berkeley Avenue</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Baltimore MD 21209</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 Citizenship:</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See Item 2(a) above and Item 4 of each cover page.</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(d) Title of Class of Securities:</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Common Stock, $0.001 par value per share</w:t>
      </w:r>
    </w:p>
    <w:p>
      <w:pPr>
        <w:spacing w:after="0" w:line="221" w:lineRule="exact"/>
        <w:rPr>
          <w:sz w:val="20"/>
          <w:szCs w:val="20"/>
          <w:color w:val="auto"/>
        </w:rPr>
      </w:pPr>
    </w:p>
    <w:p>
      <w:pPr>
        <w:jc w:val="right"/>
        <w:ind w:left="1300" w:right="9060" w:hanging="644"/>
        <w:spacing w:after="0" w:line="582" w:lineRule="auto"/>
        <w:tabs>
          <w:tab w:leader="none" w:pos="897" w:val="left"/>
        </w:tabs>
        <w:numPr>
          <w:ilvl w:val="0"/>
          <w:numId w:val="1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CUSIP Number: </w:t>
      </w:r>
      <w:r>
        <w:rPr>
          <w:rFonts w:ascii="Times New Roman" w:cs="Times New Roman" w:eastAsia="Times New Roman" w:hAnsi="Times New Roman"/>
          <w:sz w:val="17"/>
          <w:szCs w:val="17"/>
          <w:color w:val="auto"/>
        </w:rPr>
        <w:t>09075X108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 w:name="page5"/>
    <w:bookmarkEnd w:id="4"/>
    <w:p>
      <w:pPr>
        <w:spacing w:after="0" w:line="286" w:lineRule="auto"/>
        <w:rPr>
          <w:sz w:val="20"/>
          <w:szCs w:val="20"/>
          <w:color w:val="auto"/>
        </w:rPr>
      </w:pPr>
      <w:r>
        <w:rPr>
          <w:rFonts w:ascii="Times New Roman" w:cs="Times New Roman" w:eastAsia="Times New Roman" w:hAnsi="Times New Roman"/>
          <w:sz w:val="18"/>
          <w:szCs w:val="18"/>
          <w:b w:val="1"/>
          <w:bCs w:val="1"/>
          <w:color w:val="auto"/>
        </w:rPr>
        <w:t>ITEM 3: IF THIS STATEMENT IS FILED PURSUANT TO §§240.13D-1(B) OR 240.13D-2(B) OR (C), CHECK WHETHER THE PERSON FILING IS A:</w:t>
      </w:r>
    </w:p>
    <w:p>
      <w:pPr>
        <w:spacing w:after="0" w:line="130" w:lineRule="exact"/>
        <w:rPr>
          <w:sz w:val="20"/>
          <w:szCs w:val="20"/>
          <w:color w:val="auto"/>
        </w:rPr>
      </w:pPr>
    </w:p>
    <w:p>
      <w:pPr>
        <w:ind w:left="1300" w:hanging="644"/>
        <w:spacing w:after="0" w:line="207" w:lineRule="exact"/>
        <w:tabs>
          <w:tab w:leader="none" w:pos="1300" w:val="left"/>
        </w:tabs>
        <w:numPr>
          <w:ilvl w:val="0"/>
          <w:numId w:val="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Broker or dealer registered under section 15 of the Act (15 U.S.C. 78o);</w:t>
      </w:r>
    </w:p>
    <w:p>
      <w:pPr>
        <w:spacing w:after="0" w:line="225" w:lineRule="exact"/>
        <w:rPr>
          <w:rFonts w:ascii="Times New Roman" w:cs="Times New Roman" w:eastAsia="Times New Roman" w:hAnsi="Times New Roman"/>
          <w:sz w:val="18"/>
          <w:szCs w:val="18"/>
          <w:color w:val="auto"/>
        </w:rPr>
      </w:pPr>
    </w:p>
    <w:p>
      <w:pPr>
        <w:ind w:left="1300" w:hanging="644"/>
        <w:spacing w:after="0" w:line="207" w:lineRule="exact"/>
        <w:tabs>
          <w:tab w:leader="none" w:pos="1300" w:val="left"/>
        </w:tabs>
        <w:numPr>
          <w:ilvl w:val="0"/>
          <w:numId w:val="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Bank as defined in section 3(a)(6) of the Act (15 U.S.C. 78c);</w:t>
      </w:r>
    </w:p>
    <w:p>
      <w:pPr>
        <w:spacing w:after="0" w:line="225" w:lineRule="exact"/>
        <w:rPr>
          <w:rFonts w:ascii="Times New Roman" w:cs="Times New Roman" w:eastAsia="Times New Roman" w:hAnsi="Times New Roman"/>
          <w:sz w:val="18"/>
          <w:szCs w:val="18"/>
          <w:color w:val="auto"/>
        </w:rPr>
      </w:pPr>
    </w:p>
    <w:p>
      <w:pPr>
        <w:ind w:left="1300" w:hanging="644"/>
        <w:spacing w:after="0" w:line="207" w:lineRule="exact"/>
        <w:tabs>
          <w:tab w:leader="none" w:pos="1300" w:val="left"/>
        </w:tabs>
        <w:numPr>
          <w:ilvl w:val="0"/>
          <w:numId w:val="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Insurance company as defined in section 3(a)(19) of the Act (15 U.S.C. 78c);</w:t>
      </w:r>
    </w:p>
    <w:p>
      <w:pPr>
        <w:spacing w:after="0" w:line="225" w:lineRule="exact"/>
        <w:rPr>
          <w:rFonts w:ascii="Times New Roman" w:cs="Times New Roman" w:eastAsia="Times New Roman" w:hAnsi="Times New Roman"/>
          <w:sz w:val="18"/>
          <w:szCs w:val="18"/>
          <w:color w:val="auto"/>
        </w:rPr>
      </w:pPr>
    </w:p>
    <w:p>
      <w:pPr>
        <w:ind w:left="1300" w:hanging="644"/>
        <w:spacing w:after="0" w:line="207" w:lineRule="exact"/>
        <w:tabs>
          <w:tab w:leader="none" w:pos="1300" w:val="left"/>
        </w:tabs>
        <w:numPr>
          <w:ilvl w:val="0"/>
          <w:numId w:val="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Investment company registered under section 8 of the Investment Company Act of 1940 (15 U.S.C 80a-8);</w:t>
      </w:r>
    </w:p>
    <w:p>
      <w:pPr>
        <w:spacing w:after="0" w:line="225" w:lineRule="exact"/>
        <w:rPr>
          <w:rFonts w:ascii="Times New Roman" w:cs="Times New Roman" w:eastAsia="Times New Roman" w:hAnsi="Times New Roman"/>
          <w:sz w:val="18"/>
          <w:szCs w:val="18"/>
          <w:color w:val="auto"/>
        </w:rPr>
      </w:pPr>
    </w:p>
    <w:p>
      <w:pPr>
        <w:ind w:left="1300" w:hanging="644"/>
        <w:spacing w:after="0" w:line="207" w:lineRule="exact"/>
        <w:tabs>
          <w:tab w:leader="none" w:pos="1300" w:val="left"/>
        </w:tabs>
        <w:numPr>
          <w:ilvl w:val="0"/>
          <w:numId w:val="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An investment adviser in accordance with §240.13d-1(b)(1)(ii)(E);</w:t>
      </w:r>
    </w:p>
    <w:p>
      <w:pPr>
        <w:spacing w:after="0" w:line="225" w:lineRule="exact"/>
        <w:rPr>
          <w:rFonts w:ascii="Times New Roman" w:cs="Times New Roman" w:eastAsia="Times New Roman" w:hAnsi="Times New Roman"/>
          <w:sz w:val="18"/>
          <w:szCs w:val="18"/>
          <w:color w:val="auto"/>
        </w:rPr>
      </w:pPr>
    </w:p>
    <w:p>
      <w:pPr>
        <w:ind w:left="1300" w:hanging="644"/>
        <w:spacing w:after="0" w:line="207" w:lineRule="exact"/>
        <w:tabs>
          <w:tab w:leader="none" w:pos="1300" w:val="left"/>
        </w:tabs>
        <w:numPr>
          <w:ilvl w:val="0"/>
          <w:numId w:val="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An employee benefit plan or endowment fund in accordance with §240.13d-1(b)(1)(ii)(F);</w:t>
      </w:r>
    </w:p>
    <w:p>
      <w:pPr>
        <w:spacing w:after="0" w:line="225" w:lineRule="exact"/>
        <w:rPr>
          <w:rFonts w:ascii="Times New Roman" w:cs="Times New Roman" w:eastAsia="Times New Roman" w:hAnsi="Times New Roman"/>
          <w:sz w:val="18"/>
          <w:szCs w:val="18"/>
          <w:color w:val="auto"/>
        </w:rPr>
      </w:pPr>
    </w:p>
    <w:p>
      <w:pPr>
        <w:ind w:left="1300" w:hanging="644"/>
        <w:spacing w:after="0" w:line="207" w:lineRule="exact"/>
        <w:tabs>
          <w:tab w:leader="none" w:pos="1300" w:val="left"/>
        </w:tabs>
        <w:numPr>
          <w:ilvl w:val="0"/>
          <w:numId w:val="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A parent holding company or control person in accordance with § 240.13d-1(b)(1)(ii)(G);</w:t>
      </w:r>
    </w:p>
    <w:p>
      <w:pPr>
        <w:spacing w:after="0" w:line="225" w:lineRule="exact"/>
        <w:rPr>
          <w:rFonts w:ascii="Times New Roman" w:cs="Times New Roman" w:eastAsia="Times New Roman" w:hAnsi="Times New Roman"/>
          <w:sz w:val="18"/>
          <w:szCs w:val="18"/>
          <w:color w:val="auto"/>
        </w:rPr>
      </w:pPr>
    </w:p>
    <w:p>
      <w:pPr>
        <w:ind w:left="1300" w:hanging="644"/>
        <w:spacing w:after="0" w:line="207" w:lineRule="exact"/>
        <w:tabs>
          <w:tab w:leader="none" w:pos="1300" w:val="left"/>
        </w:tabs>
        <w:numPr>
          <w:ilvl w:val="0"/>
          <w:numId w:val="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A savings associations as defined in Section 3(b) of the Federal Deposit Insurance Act (12 U.S.C. 1813);</w:t>
      </w:r>
    </w:p>
    <w:p>
      <w:pPr>
        <w:spacing w:after="0" w:line="225" w:lineRule="exact"/>
        <w:rPr>
          <w:rFonts w:ascii="Times New Roman" w:cs="Times New Roman" w:eastAsia="Times New Roman" w:hAnsi="Times New Roman"/>
          <w:sz w:val="18"/>
          <w:szCs w:val="18"/>
          <w:color w:val="auto"/>
        </w:rPr>
      </w:pPr>
    </w:p>
    <w:p>
      <w:pPr>
        <w:ind w:left="1960" w:right="20" w:hanging="1304"/>
        <w:spacing w:after="0" w:line="226" w:lineRule="exact"/>
        <w:tabs>
          <w:tab w:leader="none" w:pos="1312" w:val="left"/>
        </w:tabs>
        <w:numPr>
          <w:ilvl w:val="0"/>
          <w:numId w:val="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 church plan that is excluded from the definition of an investment company under section 3(c)(14) of the Investment Company Act of 1940 (15 U.S.C. 80a-3);</w:t>
      </w:r>
    </w:p>
    <w:p>
      <w:pPr>
        <w:spacing w:after="0" w:line="197" w:lineRule="exact"/>
        <w:rPr>
          <w:rFonts w:ascii="Times New Roman" w:cs="Times New Roman" w:eastAsia="Times New Roman" w:hAnsi="Times New Roman"/>
          <w:sz w:val="18"/>
          <w:szCs w:val="18"/>
          <w:color w:val="auto"/>
        </w:rPr>
      </w:pPr>
    </w:p>
    <w:p>
      <w:pPr>
        <w:ind w:left="1300" w:hanging="644"/>
        <w:spacing w:after="0" w:line="207" w:lineRule="exact"/>
        <w:tabs>
          <w:tab w:leader="none" w:pos="1300" w:val="left"/>
        </w:tabs>
        <w:numPr>
          <w:ilvl w:val="0"/>
          <w:numId w:val="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A non-U.S. institution, in accordance with §240.13d-1(b)(1)(ii)(J);</w:t>
      </w:r>
    </w:p>
    <w:p>
      <w:pPr>
        <w:spacing w:after="0" w:line="225" w:lineRule="exact"/>
        <w:rPr>
          <w:rFonts w:ascii="Times New Roman" w:cs="Times New Roman" w:eastAsia="Times New Roman" w:hAnsi="Times New Roman"/>
          <w:sz w:val="18"/>
          <w:szCs w:val="18"/>
          <w:color w:val="auto"/>
        </w:rPr>
      </w:pPr>
    </w:p>
    <w:p>
      <w:pPr>
        <w:ind w:left="1300" w:hanging="644"/>
        <w:spacing w:after="0" w:line="207" w:lineRule="exact"/>
        <w:tabs>
          <w:tab w:leader="none" w:pos="1300" w:val="left"/>
        </w:tabs>
        <w:numPr>
          <w:ilvl w:val="0"/>
          <w:numId w:val="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Group, in accordance with §240.13d-1(b)(1)(ii)(K).</w:t>
      </w:r>
    </w:p>
    <w:p>
      <w:pPr>
        <w:spacing w:after="0" w:line="25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If filing  as  a  non-U.S.  institution  in  accordance  with  §240.13d-1(b)(1)(ii)(J),  please  specify  the  type  of  institution:</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OWNERSHIP.</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Item s 5,6,7,8 and 9 of each cover page.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OWNERSHIP OF FIVE PERCENT OR LESS OF A CLASS.</w:t>
      </w:r>
    </w:p>
    <w:p>
      <w:pPr>
        <w:spacing w:after="0" w:line="229" w:lineRule="exact"/>
        <w:rPr>
          <w:sz w:val="20"/>
          <w:szCs w:val="20"/>
          <w:color w:val="auto"/>
        </w:rPr>
      </w:pPr>
    </w:p>
    <w:p>
      <w:pPr>
        <w:jc w:val="both"/>
        <w:ind w:left="660" w:right="20"/>
        <w:spacing w:after="0" w:line="235" w:lineRule="exact"/>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OWNERSHIP OF MORE THAN FIVE PERCENT ON BEHALF OF ANOTHER PERSON.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ITEM 7: IDENTIFICATION AND CLASSIFICATION OF THE SUBSIDIARY WHICH ACQUIRED THE SECURITY BEING REPORTED ON BY THE PARENT HOLDING COMPANY.</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IDENTIFICATION AND CLASSIFICATION OF MEMBERS OF THE GROUP.</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NOTICE OF DISSOLUTION OF GROUP.</w:t>
      </w:r>
    </w:p>
    <w:p>
      <w:pPr>
        <w:spacing w:after="0" w:line="229" w:lineRule="exact"/>
        <w:rPr>
          <w:sz w:val="20"/>
          <w:szCs w:val="20"/>
          <w:color w:val="auto"/>
        </w:rPr>
      </w:pPr>
    </w:p>
    <w:p>
      <w:pPr>
        <w:jc w:val="center"/>
        <w:ind w:right="88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CERTIFICATIONS.</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5"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Dated: March 21, 2023</w:t>
      </w:r>
      <w:r>
        <w:rPr>
          <w:sz w:val="20"/>
          <w:szCs w:val="20"/>
          <w:color w:val="auto"/>
        </w:rPr>
        <w:tab/>
      </w: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Orin Hirschman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8"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Orin Hirschman,</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Individually and as (a) managing member of AIGH Capital Management</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LLC.: and (b) president of AIGH Investment 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2">
    <w:nsid w:val="79E2A9E3"/>
    <w:multiLevelType w:val="hybridMultilevel"/>
    <w:lvl w:ilvl="0">
      <w:lvlJc w:val="left"/>
      <w:lvlText w:val="%1"/>
      <w:numFmt w:val="decimal"/>
      <w:start w:val="1"/>
    </w:lvl>
    <w:lvl w:ilvl="1">
      <w:lvlJc w:val="left"/>
      <w:lvlText w:val="%2."/>
      <w:numFmt w:val="decimal"/>
      <w:start w:val="8"/>
    </w:lvl>
  </w:abstractNum>
  <w:abstractNum w:abstractNumId="3">
    <w:nsid w:val="7545E146"/>
    <w:multiLevelType w:val="hybridMultilevel"/>
    <w:lvl w:ilvl="0">
      <w:lvlJc w:val="left"/>
      <w:lvlText w:val="%1."/>
      <w:numFmt w:val="decimal"/>
      <w:start w:val="9"/>
    </w:lvl>
    <w:lvl w:ilvl="1">
      <w:lvlJc w:val="left"/>
      <w:lvlText w:val="%2"/>
      <w:numFmt w:val="decimal"/>
      <w:start w:val="1"/>
    </w:lvl>
  </w:abstractNum>
  <w:abstractNum w:abstractNumId="4">
    <w:nsid w:val="515F007C"/>
    <w:multiLevelType w:val="hybridMultilevel"/>
    <w:lvl w:ilvl="0">
      <w:lvlJc w:val="left"/>
      <w:lvlText w:val="%1."/>
      <w:numFmt w:val="decimal"/>
      <w:start w:val="10"/>
    </w:lvl>
  </w:abstractNum>
  <w:abstractNum w:abstractNumId="5">
    <w:nsid w:val="5BD062C2"/>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6">
    <w:nsid w:val="12200854"/>
    <w:multiLevelType w:val="hybridMultilevel"/>
    <w:lvl w:ilvl="0">
      <w:lvlJc w:val="left"/>
      <w:lvlText w:val="%1"/>
      <w:numFmt w:val="decimal"/>
      <w:start w:val="1"/>
    </w:lvl>
    <w:lvl w:ilvl="1">
      <w:lvlJc w:val="left"/>
      <w:lvlText w:val="%2."/>
      <w:numFmt w:val="decimal"/>
      <w:start w:val="8"/>
    </w:lvl>
  </w:abstractNum>
  <w:abstractNum w:abstractNumId="7">
    <w:nsid w:val="4DB127F8"/>
    <w:multiLevelType w:val="hybridMultilevel"/>
    <w:lvl w:ilvl="0">
      <w:lvlJc w:val="left"/>
      <w:lvlText w:val="%1."/>
      <w:numFmt w:val="decimal"/>
      <w:start w:val="9"/>
    </w:lvl>
    <w:lvl w:ilvl="1">
      <w:lvlJc w:val="left"/>
      <w:lvlText w:val="%2"/>
      <w:numFmt w:val="decimal"/>
      <w:start w:val="1"/>
    </w:lvl>
  </w:abstractNum>
  <w:abstractNum w:abstractNumId="8">
    <w:nsid w:val="216231B"/>
    <w:multiLevelType w:val="hybridMultilevel"/>
    <w:lvl w:ilvl="0">
      <w:lvlJc w:val="left"/>
      <w:lvlText w:val="%1."/>
      <w:numFmt w:val="decimal"/>
      <w:start w:val="10"/>
    </w:lvl>
  </w:abstractNum>
  <w:abstractNum w:abstractNumId="9">
    <w:nsid w:val="1F16E9E8"/>
    <w:multiLevelType w:val="hybridMultilevel"/>
    <w:lvl w:ilvl="0">
      <w:lvlJc w:val="left"/>
      <w:lvlText w:val="(%1)"/>
      <w:numFmt w:val="lowerRoman"/>
      <w:start w:val="1"/>
    </w:lvl>
  </w:abstractNum>
  <w:abstractNum w:abstractNumId="10">
    <w:nsid w:val="1190CDE7"/>
    <w:multiLevelType w:val="hybridMultilevel"/>
    <w:lvl w:ilvl="0">
      <w:lvlJc w:val="left"/>
      <w:lvlText w:val="(%1)"/>
      <w:numFmt w:val="lowerLetter"/>
      <w:start w:val="5"/>
    </w:lvl>
  </w:abstractNum>
  <w:abstractNum w:abstractNumId="11">
    <w:nsid w:val="66EF438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2023-03-21T15:22:04Z</dcterms:created>
  <dcterms:modified xsi:type="dcterms:W3CDTF">2023-03-21T15:22:04Z</dcterms:modified>
</cp:coreProperties>
</file>