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 2025</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840" w:space="720"/>
            <w:col w:w="2540"/>
          </w:cols>
          <w:pgMar w:left="320" w:top="14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Louisville, Colorado</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80027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47"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40" w:firstLine="197"/>
        <w:spacing w:after="0" w:line="404" w:lineRule="auto"/>
        <w:tabs>
          <w:tab w:leader="none" w:pos="41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2025, Biodesix, Inc. (the Company) issued a press release announcing the financial and operating results of the Company for the fourth quarter and fiscal year ended December 31, 2024. A copy of the press release is furnished as Exhibit 99.1 to this report and is incorporated herein by reference.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5"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7"/>
          <w:szCs w:val="17"/>
          <w:b w:val="1"/>
          <w:bCs w:val="1"/>
          <w:color w:val="auto"/>
        </w:rPr>
        <w:t>Exhibit</w:t>
      </w:r>
    </w:p>
    <w:p>
      <w:pPr>
        <w:spacing w:after="0" w:line="31" w:lineRule="exact"/>
        <w:rPr>
          <w:rFonts w:ascii="Times New Roman" w:cs="Times New Roman" w:eastAsia="Times New Roman" w:hAnsi="Times New Roman"/>
          <w:sz w:val="18"/>
          <w:szCs w:val="18"/>
          <w:i w:val="1"/>
          <w:iCs w:val="1"/>
          <w:color w:val="auto"/>
        </w:rPr>
      </w:pPr>
    </w:p>
    <w:p>
      <w:pPr>
        <w:ind w:left="2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FF"/>
        </w:rPr>
        <w:t>Press Release issued by Biodesix, Inc. dated March 3, 2025</w:t>
      </w:r>
    </w:p>
    <w:p>
      <w:pPr>
        <w:spacing w:after="0" w:line="22"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-156210</wp:posOffset>
            </wp:positionV>
            <wp:extent cx="272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224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3, 2025</w:t>
            </w:r>
          </w:p>
        </w:tc>
        <w:tc>
          <w:tcPr>
            <w:tcW w:w="73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392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3920" w:type="dxa"/>
            <w:vAlign w:val="bottom"/>
          </w:tcPr>
          <w:p>
            <w:pPr>
              <w:spacing w:after="0"/>
              <w:rPr>
                <w:sz w:val="16"/>
                <w:szCs w:val="16"/>
                <w:color w:val="auto"/>
              </w:rPr>
            </w:pPr>
          </w:p>
        </w:tc>
        <w:tc>
          <w:tcPr>
            <w:tcW w:w="3100" w:type="dxa"/>
            <w:vAlign w:val="bottom"/>
          </w:tcPr>
          <w:p>
            <w:pPr>
              <w:ind w:left="2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3920" w:type="dxa"/>
            <w:vAlign w:val="bottom"/>
          </w:tcPr>
          <w:p>
            <w:pPr>
              <w:spacing w:after="0"/>
              <w:rPr>
                <w:sz w:val="20"/>
                <w:szCs w:val="20"/>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9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20955</wp:posOffset>
            </wp:positionV>
            <wp:extent cx="154305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Biodesix Announces Fourth Quarter and Fiscal Year 2024 Results</w:t>
      </w:r>
    </w:p>
    <w:p>
      <w:pPr>
        <w:spacing w:after="0" w:line="223" w:lineRule="exact"/>
        <w:rPr>
          <w:sz w:val="20"/>
          <w:szCs w:val="20"/>
          <w:color w:val="auto"/>
        </w:rPr>
      </w:pPr>
    </w:p>
    <w:p>
      <w:pPr>
        <w:jc w:val="center"/>
        <w:spacing w:after="0" w:line="426" w:lineRule="auto"/>
        <w:rPr>
          <w:sz w:val="20"/>
          <w:szCs w:val="20"/>
          <w:color w:val="auto"/>
        </w:rPr>
      </w:pPr>
      <w:r>
        <w:rPr>
          <w:rFonts w:ascii="Times New Roman" w:cs="Times New Roman" w:eastAsia="Times New Roman" w:hAnsi="Times New Roman"/>
          <w:sz w:val="22"/>
          <w:szCs w:val="22"/>
          <w:i w:val="1"/>
          <w:iCs w:val="1"/>
          <w:color w:val="auto"/>
        </w:rPr>
        <w:t>Total Revenue of $71.3 million for FY2024, growing 45% over FY2023; Gross margins of 78% for FY2024, up 5% points over FY2023; FY2025 Total Revenue Guidance of $92-95 million; Conference Call and Webcast Today at 4:30 p.m. ET</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LOUISVILLE, CO, March 3, 2025 – </w:t>
      </w:r>
      <w:r>
        <w:rPr>
          <w:rFonts w:ascii="Times New Roman" w:cs="Times New Roman" w:eastAsia="Times New Roman" w:hAnsi="Times New Roman"/>
          <w:sz w:val="20"/>
          <w:szCs w:val="20"/>
          <w:color w:val="auto"/>
        </w:rPr>
        <w:t>Biodesix, Inc. (Nasdaq: BDSX), a leading diagnostic solutions company, today announced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and operating results for the fourth quarter and year ended December 31, 2024 (fiscal 2024).</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"Biodesix concluded a strong 2024, advancing our key initiatives and delivering on our financial and operational goals," said Scott Hutton, Chief Executive Officer. "We exceeded our revenue targets, with total revenue reaching $71.3 million, driven by a 43% increase in Lung Diagnostics and a 70% growth in Biopharma Services. Our team successfully implemented operational efficiencies improving our Gross Margins to 78% for the year, strengthened clinical and commercial capabilities, and secured new partnerships and reimbursement coverage. We are well-positioned for continued growth and success and expect that 2025 will be a transformative year for Biodesix."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2024 Financial Results</w:t>
      </w:r>
    </w:p>
    <w:p>
      <w:pPr>
        <w:spacing w:after="0" w:line="220" w:lineRule="exact"/>
        <w:rPr>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$20.4 million and $71.3 million for the fourth quarter and fiscal 2024, respectively, an increase of 39% and 45% over the respective prior year comparable periods;</w:t>
      </w:r>
    </w:p>
    <w:p>
      <w:pPr>
        <w:spacing w:after="0" w:line="47" w:lineRule="exact"/>
        <w:rPr>
          <w:rFonts w:ascii="Times New Roman" w:cs="Times New Roman" w:eastAsia="Times New Roman" w:hAnsi="Times New Roman"/>
          <w:sz w:val="20"/>
          <w:szCs w:val="20"/>
          <w:color w:val="auto"/>
        </w:rPr>
      </w:pPr>
    </w:p>
    <w:p>
      <w:pPr>
        <w:ind w:left="1540" w:hanging="509"/>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Lung Diagnostic Testing revenue of $17.2 million and $64.7 million for the fourth quarter and fiscal 2024, respectively, an increase of 34% and 43% over the respective prior year comparable periods; primarily driven by an increase in total tests delivered;</w:t>
      </w:r>
    </w:p>
    <w:p>
      <w:pPr>
        <w:spacing w:after="0" w:line="60" w:lineRule="exact"/>
        <w:rPr>
          <w:rFonts w:ascii="Times New Roman" w:cs="Times New Roman" w:eastAsia="Times New Roman" w:hAnsi="Times New Roman"/>
          <w:sz w:val="20"/>
          <w:szCs w:val="20"/>
          <w:color w:val="auto"/>
        </w:rPr>
      </w:pPr>
    </w:p>
    <w:p>
      <w:pPr>
        <w:ind w:left="154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Diagnostic Development Services revenue of $3.2 million and $6.6 million for the fourth quarter and fiscal 2024, respectively, an increase of 72% and 70% over the respective prior year comparable periods;</w:t>
      </w:r>
    </w:p>
    <w:p>
      <w:pPr>
        <w:spacing w:after="0" w:line="47" w:lineRule="exact"/>
        <w:rPr>
          <w:rFonts w:ascii="Times New Roman" w:cs="Times New Roman" w:eastAsia="Times New Roman" w:hAnsi="Times New Roman"/>
          <w:sz w:val="20"/>
          <w:szCs w:val="20"/>
          <w:color w:val="auto"/>
        </w:rPr>
      </w:pPr>
    </w:p>
    <w:p>
      <w:pPr>
        <w:jc w:val="both"/>
        <w:ind w:left="1020" w:hanging="503"/>
        <w:spacing w:after="0" w:line="24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$16.1 million or 79% and $55.8 million or 78% for the fourth quarter and fiscal 2024, respectively, as a percentage of revenue compared to 77% and 73% in the prior year comparable periods, primarily driven by growth in Lung Diagnostic testing and optimization of testing workflows that resulted in improvements in costs per test and the ongoing expansion of our Diagnostic Development Services business;</w:t>
      </w:r>
    </w:p>
    <w:p>
      <w:pPr>
        <w:spacing w:after="0" w:line="7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(excluding direct costs and expenses) of $22.7 million and $90.2 million for the fourth quarter and fiscal 2024, an increase of 25% and 17% over the respective prior year comparable periods;</w:t>
      </w:r>
    </w:p>
    <w:p>
      <w:pPr>
        <w:spacing w:after="0" w:line="47" w:lineRule="exact"/>
        <w:rPr>
          <w:rFonts w:ascii="Times New Roman" w:cs="Times New Roman" w:eastAsia="Times New Roman" w:hAnsi="Times New Roman"/>
          <w:sz w:val="20"/>
          <w:szCs w:val="20"/>
          <w:color w:val="auto"/>
        </w:rPr>
      </w:pPr>
    </w:p>
    <w:p>
      <w:pPr>
        <w:ind w:left="154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Increase in operating expenses is primarily attributed to an increase in sales and marketing costs to support Lung Diagnostic sales growth, as well as to enhance Biodesix awareness and drive product adoption;</w:t>
      </w:r>
    </w:p>
    <w:p>
      <w:pPr>
        <w:spacing w:after="0" w:line="43" w:lineRule="exact"/>
        <w:rPr>
          <w:rFonts w:ascii="Times New Roman" w:cs="Times New Roman" w:eastAsia="Times New Roman" w:hAnsi="Times New Roman"/>
          <w:sz w:val="20"/>
          <w:szCs w:val="20"/>
          <w:color w:val="auto"/>
        </w:rPr>
      </w:pPr>
    </w:p>
    <w:p>
      <w:pPr>
        <w:ind w:left="154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Includes non-cash stock compensation expense of $1.3 million and $6.6 million during the fourth quarter and fiscal 2024, respectively, an increase of 17% and 24% over the respective prior year comparable periods;</w:t>
      </w:r>
    </w:p>
    <w:p>
      <w:pPr>
        <w:spacing w:after="0" w:line="4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$8.3 million and $42.9 million for the fourth quarter and fiscal 2024, respectively, an improvement of 10% and 18% over the respective prior year comparable periods;</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a loss of $3.9 million and $22.1 million for the fourth quarter and fiscal 2024, respectively, an improvement of 19% and 32% over the respective prior year comparable periods;</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of $26.2 million as of December 31, 2024. Subsequent to quarter end, we amended our term loan facility with Perceptive Advisors to extend the availability of the $10 million Tranche C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2025 Financial Outlook</w:t>
      </w:r>
    </w:p>
    <w:p>
      <w:pPr>
        <w:spacing w:after="0" w:line="112"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anticipates generating between $92 million to $95 million in total revenue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Listeners can register for the webcast via this link. Analysts who wish to participate in the question-and-answer session should use this link. A replay of the webcast will be available via the Company’s investor relations page on the website approximately two hours after the call’s conclusion. Participants are advised to join 15 minutes prior to the start time.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full list of Biodesix press releases and webinars, please visit biodesix.com.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Biodesix</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Biodesix is a leading diagnostic solutions company, driven to improve clinical care and outcomes for patients. ​Biodesix Diagnostic Tests, marketed as Nodify Lung® Nodule Risk Assessment and IQLung™ Cancer Treatment Guidance, support clinical decisions to expedite personalized care and improve outcomes for patients with lung disease. Biodesix Diagnostic Development Services enable the world’s leading biopharmaceutical, life sciences, and research institutions with scientific, technological, and operational capabilities that fuel the development of diagnostic tests, tools, and therapeutics. ​For more information, visit biodesix.com.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Biodesix, Biodesix Logo, Nodify Lung, and IQLung are trademarks or registered trademarks of Biodesix,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Biodesix reported results are presented in accordance with generally accepted accounting principles in the United States (GAAP). Biodesix has provided in this press release financial information that has not been prepared in accordance with GAAP. Biodesix uses the non-GAAP financial measure, </w:t>
      </w:r>
      <w:r>
        <w:rPr>
          <w:rFonts w:ascii="Times New Roman" w:cs="Times New Roman" w:eastAsia="Times New Roman" w:hAnsi="Times New Roman"/>
          <w:sz w:val="20"/>
          <w:szCs w:val="20"/>
          <w:b w:val="1"/>
          <w:bCs w:val="1"/>
          <w:i w:val="1"/>
          <w:iCs w:val="1"/>
          <w:color w:val="auto"/>
        </w:rPr>
        <w:t>Adjusted EBITDA</w:t>
      </w:r>
      <w:r>
        <w:rPr>
          <w:rFonts w:ascii="Times New Roman" w:cs="Times New Roman" w:eastAsia="Times New Roman" w:hAnsi="Times New Roman"/>
          <w:sz w:val="20"/>
          <w:szCs w:val="20"/>
          <w:color w:val="auto"/>
        </w:rPr>
        <w:t>, internally in analyzing its financial results and believes that use of this non-GAAP financial measure is useful to investors as an additional tool to evaluate ongoing operating results and trends and in comparing Biodesix financial results with other companies in its industry, many of which present similar non-GAAP financial measures. Non-GAAP financial measures are not meant to be considered in isolation or as a substitute for comparable GAAP financial measures and should be read only in conjunction with Biodesix financial statements prepared in accordance with GAAP. A reconciliation of Biodesix historical non-GAAP financial measure to the most directly comparable GAAP measure has been provided in the financial statement tables included in this press release, and investors are encouraged to review the reconciliation.</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loss or Loss from operations. Our management recognizes that Adjusted EBITDA has inherent limitations because of the excluded items and may not be directly comparable to similarly titled metrics used by other companies.</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calculate Adjusted EBITDA as Net loss adjusted to exclude interest, income tax expense, if any, depreciation and amortization, share-based compensation expense, loss on debt extinguishments, net, COVID-19 revenue, COVID-19 direct costs and expenses, change in fair value of warrant liabilities, net, other income, net, and other non-recurring items. Non-recurring items are excluded as they are not representative of our underlying operating performance. We also exclude revenue and direct costs and expenses associated with COVID-19 because we believe that these revenues and expenses do not reflect expected future operating results as they do not represent our Lung Diagnostic Testing and Diagnostic Development Services business. Adjusted EBITDA should be viewed as a measure of operating performance that is a supplement to, and not a substitute for Loss from operations, Net loss, and other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Note Regarding 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backlog and the timing and assumptions regarding collection of revenues on projections, availability of funds and future capital including under the term loan facility, the anticipated impact and benefits of new clinical data, reimbursement coverage and research partnerships, and the impact of a pandemic, epidemic, or outbreak on Biodesix and its operations and financial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Biodesix most recent annual report on Form 10-K, filed March 3, 2025.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rPr>
          <w:sz w:val="20"/>
          <w:szCs w:val="20"/>
          <w:color w:val="auto"/>
        </w:rPr>
      </w:pPr>
      <w:r>
        <w:rPr>
          <w:rFonts w:ascii="Times New Roman" w:cs="Times New Roman" w:eastAsia="Times New Roman" w:hAnsi="Times New Roman"/>
          <w:sz w:val="20"/>
          <w:szCs w:val="20"/>
          <w:color w:val="auto"/>
        </w:rPr>
        <w:t>Natalie St. Denis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natalie.stdenis@biodesix.com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(720) 925-9285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Brinzey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100" w:type="dxa"/>
            <w:vAlign w:val="bottom"/>
            <w:shd w:val="clear" w:color="auto" w:fill="CFF0FC"/>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$481 and $65</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39,683</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2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0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r>
      <w:tr>
        <w:trPr>
          <w:trHeight w:val="210"/>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36,408</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ind w:left="2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Pr>
          <w:p>
            <w:pPr>
              <w:spacing w:after="0"/>
              <w:rPr>
                <w:sz w:val="18"/>
                <w:szCs w:val="18"/>
                <w:color w:val="auto"/>
              </w:rPr>
            </w:pPr>
          </w:p>
        </w:tc>
      </w:tr>
      <w:tr>
        <w:trPr>
          <w:trHeight w:val="210"/>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94,516</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 (2024 and 2023) issued and outstanding</w:t>
            </w:r>
          </w:p>
        </w:tc>
        <w:tc>
          <w:tcPr>
            <w:tcW w:w="180" w:type="dxa"/>
            <w:vAlign w:val="bottom"/>
          </w:tcPr>
          <w:p>
            <w:pPr>
              <w:spacing w:after="0"/>
              <w:rPr>
                <w:sz w:val="20"/>
                <w:szCs w:val="20"/>
                <w:color w:val="auto"/>
              </w:rPr>
            </w:pPr>
          </w:p>
        </w:tc>
        <w:tc>
          <w:tcPr>
            <w:tcW w:w="2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145,491,569 (2024) and 96,235,883 (2023) shares issued and outstanding</w:t>
            </w: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r>
      <w:tr>
        <w:trPr>
          <w:trHeight w:val="216"/>
        </w:trPr>
        <w:tc>
          <w:tcPr>
            <w:tcW w:w="71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(462,497 )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(419,566 )</w:t>
            </w:r>
          </w:p>
        </w:tc>
      </w:tr>
      <w:tr>
        <w:trPr>
          <w:trHeight w:val="210"/>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Borders>
              <w:top w:val="single" w:sz="8" w:color="CCEEFF"/>
            </w:tcBorders>
          </w:tcPr>
          <w:p>
            <w:pPr>
              <w:spacing w:after="0"/>
              <w:rPr>
                <w:sz w:val="18"/>
                <w:szCs w:val="18"/>
                <w:color w:val="auto"/>
              </w:rPr>
            </w:pPr>
          </w:p>
        </w:tc>
      </w:tr>
      <w:tr>
        <w:trPr>
          <w:trHeight w:val="249"/>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203"/>
        </w:trPr>
        <w:tc>
          <w:tcPr>
            <w:tcW w:w="7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-5845810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-5845810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-4731385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-2493645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-1104900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-814070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-796290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Operations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78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4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48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Lung Diagnostic Testing</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0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 Services</w:t>
            </w: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shd w:val="clear" w:color="auto" w:fill="CCEE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120" w:type="dxa"/>
            <w:vAlign w:val="bottom"/>
            <w:shd w:val="clear" w:color="auto" w:fill="CCEE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10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0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(6,870 )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(34,498 )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(41,342 )</w:t>
            </w: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(2,329 )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(8,258 )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(9,536 )</w:t>
            </w: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(1,274 )</w:t>
            </w:r>
          </w:p>
        </w:tc>
      </w:tr>
      <w:tr>
        <w:trPr>
          <w:trHeight w:val="216"/>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(2,269 )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(8,433 )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(10,804 )</w:t>
            </w:r>
          </w:p>
        </w:tc>
      </w:tr>
      <w:tr>
        <w:trPr>
          <w:trHeight w:val="216"/>
        </w:trPr>
        <w:tc>
          <w:tcPr>
            <w:tcW w:w="48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(8,251 )</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(9,139 )</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(52,146 )</w:t>
            </w:r>
          </w:p>
        </w:tc>
      </w:tr>
      <w:tr>
        <w:trPr>
          <w:trHeight w:val="20"/>
        </w:trPr>
        <w:tc>
          <w:tcPr>
            <w:tcW w:w="4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(0.64 )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82,113</w:t>
            </w:r>
          </w:p>
        </w:tc>
        <w:tc>
          <w:tcPr>
            <w:tcW w:w="100" w:type="dxa"/>
            <w:vAlign w:val="bottom"/>
          </w:tcPr>
          <w:p>
            <w:pPr>
              <w:spacing w:after="0"/>
              <w:rPr>
                <w:sz w:val="21"/>
                <w:szCs w:val="21"/>
                <w:color w:val="auto"/>
              </w:rPr>
            </w:pPr>
          </w:p>
        </w:tc>
      </w:tr>
      <w:tr>
        <w:trPr>
          <w:trHeight w:val="1222"/>
        </w:trPr>
        <w:tc>
          <w:tcPr>
            <w:tcW w:w="4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-3222625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-3222625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-3222625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-2382520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-2382520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-2382520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-1551305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-1551305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-1551305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-1268095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-1268095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-1268095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Loss to Adjusted EBITDA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0" w:type="dxa"/>
            <w:vAlign w:val="bottom"/>
          </w:tcPr>
          <w:p>
            <w:pPr>
              <w:spacing w:after="0"/>
              <w:rPr>
                <w:sz w:val="20"/>
                <w:szCs w:val="20"/>
                <w:color w:val="auto"/>
              </w:rPr>
            </w:pPr>
          </w:p>
        </w:tc>
        <w:tc>
          <w:tcPr>
            <w:tcW w:w="32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39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(8,251 )</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(9,139 )</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(42,931 )</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(52,146 )</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COVID-19 Revenue</w:t>
            </w:r>
          </w:p>
        </w:tc>
        <w:tc>
          <w:tcPr>
            <w:tcW w:w="10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COVID-19 Direct costs and expenses</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0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(58 )</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39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(4,856 )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(22,087 )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(32,697 )</w:t>
            </w:r>
          </w:p>
        </w:tc>
      </w:tr>
      <w:tr>
        <w:trPr>
          <w:trHeight w:val="20"/>
        </w:trPr>
        <w:tc>
          <w:tcPr>
            <w:tcW w:w="3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3"/>
        </w:trPr>
        <w:tc>
          <w:tcPr>
            <w:tcW w:w="39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-959485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-959485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-959485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2025-03-03T15:14:18Z</dcterms:created>
  <dcterms:modified xsi:type="dcterms:W3CDTF">2025-03-03T15:14:18Z</dcterms:modified>
</cp:coreProperties>
</file>