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10, 2021</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Biodesix, Inc.</w:t>
      </w:r>
    </w:p>
    <w:p>
      <w:pPr>
        <w:spacing w:after="0" w:line="5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571" w:right="339" w:bottom="1440" w:gutter="0" w:footer="0" w:header="0"/>
        </w:sectPr>
      </w:pPr>
    </w:p>
    <w:p>
      <w:pPr>
        <w:spacing w:after="0" w:line="143"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001-39659</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20-3986492</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400" w:space="720"/>
            <w:col w:w="2840" w:space="720"/>
            <w:col w:w="2560"/>
          </w:cols>
          <w:pgMar w:left="320" w:top="571" w:right="33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2970 Wilderness Place, Suite 100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Boulder, Colorado</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80301</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162" w:lineRule="exact"/>
        <w:rPr>
          <w:sz w:val="24"/>
          <w:szCs w:val="24"/>
          <w:color w:val="auto"/>
        </w:rPr>
      </w:pPr>
    </w:p>
    <w:p>
      <w:pPr>
        <w:sectPr>
          <w:pgSz w:w="11900" w:h="16838" w:orient="portrait"/>
          <w:cols w:equalWidth="0" w:num="2">
            <w:col w:w="7300" w:space="720"/>
            <w:col w:w="3220"/>
          </w:cols>
          <w:pgMar w:left="320" w:top="571" w:right="339" w:bottom="1440" w:gutter="0" w:footer="0" w:header="0"/>
          <w:type w:val="continuous"/>
        </w:sectPr>
      </w:pPr>
    </w:p>
    <w:p>
      <w:pPr>
        <w:ind w:left="31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(303) 417-0500</w:t>
      </w:r>
    </w:p>
    <w:p>
      <w:pPr>
        <w:spacing w:after="0" w:line="14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250"/>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44" w:lineRule="exact"/>
        <w:rPr>
          <w:rFonts w:ascii="MS PGothic" w:cs="MS PGothic" w:eastAsia="MS PGothic" w:hAnsi="MS PGothic"/>
          <w:sz w:val="18"/>
          <w:szCs w:val="18"/>
          <w:color w:val="auto"/>
        </w:rPr>
      </w:pPr>
    </w:p>
    <w:p>
      <w:pPr>
        <w:ind w:right="2860" w:firstLine="183"/>
        <w:spacing w:after="0" w:line="404" w:lineRule="auto"/>
        <w:tabs>
          <w:tab w:leader="none" w:pos="405"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of $0.001 per share</w:t>
            </w:r>
          </w:p>
        </w:tc>
        <w:tc>
          <w:tcPr>
            <w:tcW w:w="10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BDSX</w:t>
            </w:r>
          </w:p>
        </w:tc>
        <w:tc>
          <w:tcPr>
            <w:tcW w:w="80" w:type="dxa"/>
            <w:vAlign w:val="bottom"/>
          </w:tcPr>
          <w:p>
            <w:pPr>
              <w:spacing w:after="0"/>
              <w:rPr>
                <w:sz w:val="20"/>
                <w:szCs w:val="20"/>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33"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5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2.02. Results of Operations and Financial Condition.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August 10, 2021, Biodesix, Inc. (the “Company”) issued a press release announcing the financial and operating results of the Company for the second quarter ended June 30, 2021. A copy of the press release is furnished as Exhibit 99.1 to this report and is incorporated herein by reference.</w:t>
      </w:r>
    </w:p>
    <w:p>
      <w:pPr>
        <w:spacing w:after="0" w:line="16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information contained in Item 2.02 to this Current Report on Form 8-K and Exhibit 99.1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8"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No.</w:t>
      </w:r>
      <w:r>
        <w:rPr>
          <w:rFonts w:ascii="Arial" w:cs="Arial" w:eastAsia="Arial" w:hAnsi="Arial"/>
          <w:sz w:val="16"/>
          <w:szCs w:val="16"/>
          <w:b w:val="1"/>
          <w:bCs w:val="1"/>
          <w:color w:val="auto"/>
        </w:rPr>
        <w:t>Exhibit</w:t>
      </w:r>
    </w:p>
    <w:p>
      <w:pPr>
        <w:spacing w:after="0" w:line="27" w:lineRule="exact"/>
        <w:rPr>
          <w:rFonts w:ascii="Arial" w:cs="Arial" w:eastAsia="Arial" w:hAnsi="Arial"/>
          <w:sz w:val="18"/>
          <w:szCs w:val="18"/>
          <w:i w:val="1"/>
          <w:iCs w:val="1"/>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issued by Biodesix, Inc. dated August 10, 2021</w:t>
        </w:r>
      </w:hyperlink>
    </w:p>
    <w:p>
      <w:pPr>
        <w:spacing w:after="0" w:line="22"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Dated: August 10, 2021</w:t>
            </w:r>
          </w:p>
        </w:tc>
        <w:tc>
          <w:tcPr>
            <w:tcW w:w="7180" w:type="dxa"/>
            <w:vAlign w:val="bottom"/>
            <w:gridSpan w:val="2"/>
          </w:tcPr>
          <w:p>
            <w:pPr>
              <w:ind w:left="2300"/>
              <w:spacing w:after="0"/>
              <w:rPr>
                <w:sz w:val="20"/>
                <w:szCs w:val="20"/>
                <w:color w:val="auto"/>
              </w:rPr>
            </w:pPr>
            <w:r>
              <w:rPr>
                <w:rFonts w:ascii="Arial" w:cs="Arial" w:eastAsia="Arial" w:hAnsi="Arial"/>
                <w:sz w:val="18"/>
                <w:szCs w:val="18"/>
                <w:color w:val="auto"/>
              </w:rPr>
              <w:t>BIODESIX, INC.</w:t>
            </w:r>
          </w:p>
        </w:tc>
      </w:tr>
      <w:tr>
        <w:trPr>
          <w:trHeight w:val="432"/>
        </w:trPr>
        <w:tc>
          <w:tcPr>
            <w:tcW w:w="4060" w:type="dxa"/>
            <w:vAlign w:val="bottom"/>
          </w:tcPr>
          <w:p>
            <w:pPr>
              <w:spacing w:after="0"/>
              <w:rPr>
                <w:sz w:val="24"/>
                <w:szCs w:val="24"/>
                <w:color w:val="auto"/>
              </w:rPr>
            </w:pPr>
          </w:p>
        </w:tc>
        <w:tc>
          <w:tcPr>
            <w:tcW w:w="2960" w:type="dxa"/>
            <w:vAlign w:val="bottom"/>
          </w:tcPr>
          <w:p>
            <w:pPr>
              <w:ind w:left="23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195"/>
        </w:trPr>
        <w:tc>
          <w:tcPr>
            <w:tcW w:w="4060" w:type="dxa"/>
            <w:vAlign w:val="bottom"/>
          </w:tcPr>
          <w:p>
            <w:pPr>
              <w:spacing w:after="0"/>
              <w:rPr>
                <w:sz w:val="16"/>
                <w:szCs w:val="16"/>
                <w:color w:val="auto"/>
              </w:rPr>
            </w:pPr>
          </w:p>
        </w:tc>
        <w:tc>
          <w:tcPr>
            <w:tcW w:w="2960" w:type="dxa"/>
            <w:vAlign w:val="bottom"/>
          </w:tcPr>
          <w:p>
            <w:pPr>
              <w:ind w:left="2300"/>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Robin Harper Cowie</w:t>
            </w:r>
          </w:p>
        </w:tc>
      </w:tr>
      <w:tr>
        <w:trPr>
          <w:trHeight w:val="230"/>
        </w:trPr>
        <w:tc>
          <w:tcPr>
            <w:tcW w:w="4060" w:type="dxa"/>
            <w:vAlign w:val="bottom"/>
          </w:tcPr>
          <w:p>
            <w:pPr>
              <w:spacing w:after="0"/>
              <w:rPr>
                <w:sz w:val="20"/>
                <w:szCs w:val="20"/>
                <w:color w:val="auto"/>
              </w:rPr>
            </w:pPr>
          </w:p>
        </w:tc>
        <w:tc>
          <w:tcPr>
            <w:tcW w:w="2960" w:type="dxa"/>
            <w:vAlign w:val="bottom"/>
          </w:tcPr>
          <w:p>
            <w:pPr>
              <w:ind w:left="2300"/>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8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13970</wp:posOffset>
            </wp:positionV>
            <wp:extent cx="2245995" cy="702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Biodesix Announces Second Quarter 2021 Results and Highlights</w:t>
      </w:r>
    </w:p>
    <w:p>
      <w:pPr>
        <w:spacing w:after="0" w:line="349" w:lineRule="exact"/>
        <w:rPr>
          <w:sz w:val="20"/>
          <w:szCs w:val="20"/>
          <w:color w:val="auto"/>
        </w:rPr>
      </w:pPr>
    </w:p>
    <w:p>
      <w:pPr>
        <w:jc w:val="center"/>
        <w:spacing w:after="0" w:line="250" w:lineRule="auto"/>
        <w:rPr>
          <w:sz w:val="20"/>
          <w:szCs w:val="20"/>
          <w:color w:val="auto"/>
        </w:rPr>
      </w:pPr>
      <w:r>
        <w:rPr>
          <w:rFonts w:ascii="Arial" w:cs="Arial" w:eastAsia="Arial" w:hAnsi="Arial"/>
          <w:sz w:val="22"/>
          <w:szCs w:val="22"/>
          <w:i w:val="1"/>
          <w:iCs w:val="1"/>
          <w:color w:val="auto"/>
        </w:rPr>
        <w:t>Second Quarter 2021 Revenue of $11.9 Million Increased 180% and Lung Diagnostic Revenue of $4.8 Million Increased 109% over Second Quarter 2020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Announcing Acceleration of the Launch of the 72-hour liquid NGS Test to Early First Quarter 2022</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and Webcast Today at 4:30 p.m. ET</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BOULDER, CO, August 10, 2021 – </w:t>
      </w:r>
      <w:r>
        <w:rPr>
          <w:rFonts w:ascii="Arial" w:cs="Arial" w:eastAsia="Arial" w:hAnsi="Arial"/>
          <w:sz w:val="22"/>
          <w:szCs w:val="22"/>
          <w:u w:val="single" w:color="auto"/>
          <w:color w:val="0000FF"/>
        </w:rPr>
        <w:t>Biodesix, Inc.</w:t>
      </w:r>
      <w:r>
        <w:rPr>
          <w:rFonts w:ascii="Arial" w:cs="Arial" w:eastAsia="Arial" w:hAnsi="Arial"/>
          <w:sz w:val="22"/>
          <w:szCs w:val="22"/>
          <w:b w:val="1"/>
          <w:bCs w:val="1"/>
          <w:color w:val="auto"/>
        </w:rPr>
        <w:t xml:space="preserve"> </w:t>
      </w:r>
      <w:r>
        <w:rPr>
          <w:rFonts w:ascii="Arial" w:cs="Arial" w:eastAsia="Arial" w:hAnsi="Arial"/>
          <w:sz w:val="22"/>
          <w:szCs w:val="22"/>
          <w:color w:val="auto"/>
        </w:rPr>
        <w:t>(Nasdaq: BDSX), a leading data-driven diagnostic solutions company with a</w:t>
      </w:r>
      <w:r>
        <w:rPr>
          <w:rFonts w:ascii="Arial" w:cs="Arial" w:eastAsia="Arial" w:hAnsi="Arial"/>
          <w:sz w:val="22"/>
          <w:szCs w:val="22"/>
          <w:b w:val="1"/>
          <w:bCs w:val="1"/>
          <w:color w:val="auto"/>
        </w:rPr>
        <w:t xml:space="preserve"> </w:t>
      </w:r>
      <w:r>
        <w:rPr>
          <w:rFonts w:ascii="Arial" w:cs="Arial" w:eastAsia="Arial" w:hAnsi="Arial"/>
          <w:sz w:val="22"/>
          <w:szCs w:val="22"/>
          <w:color w:val="auto"/>
        </w:rPr>
        <w:t>focus in lung disease, today announced its financial and operating results for the second quarter ended June 30, 2021 and provided a corporate update.</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“It was a productive quarter with 180% year over year growth in total revenue. Our first four blood-based tests which make up our core lung diagnostic testing, grew 109% year over year and 20% over the prior quarter,” said Scott Hutton, CEO of Biodesix. “We expect growth in core lung diagnostic testing to continue through 2021 driven by the U.S.’s emergence from the pandemic, productivity from our growing salesforce, and our efforts to build on the body of evidence supporting the use of our tests. Beyond our currently marketed products, we also continue to develop our Diagnostic Cortex® Artificial Intelligence (AI) platform and expand our pipeline of products capable of providing broad lung diagnostics to address patients' needs over the course of their disease. The launch of our 72-hour liquid NGS test is now projected for the first quarter of 2022 and will supplement our 36-hour VeriStrat and GeneStrat tests. With this accelerated launch and multiple studies underway for our Risk of Recurrence (ROR) and Primary Immune Response (PIR) tests as well as our ALTITUDE, BEACON, INSIGHT, and ORACLE prospective studies actively enrolling or following patients, we look forward to a productive and exciting second half of the year.”</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2021 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For the three-month period ended June 30, 2021, as compared to the same period of 2020 (where applicable):</w:t>
      </w:r>
    </w:p>
    <w:p>
      <w:pPr>
        <w:spacing w:after="0" w:line="110" w:lineRule="exact"/>
        <w:rPr>
          <w:sz w:val="20"/>
          <w:szCs w:val="20"/>
          <w:color w:val="auto"/>
        </w:rPr>
      </w:pPr>
    </w:p>
    <w:p>
      <w:pPr>
        <w:ind w:left="440" w:hanging="432"/>
        <w:spacing w:after="0"/>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Total revenue of $11.9 million, an increase of 180%;</w:t>
      </w:r>
    </w:p>
    <w:p>
      <w:pPr>
        <w:spacing w:after="0" w:line="8" w:lineRule="exact"/>
        <w:rPr>
          <w:rFonts w:ascii="Arial" w:cs="Arial" w:eastAsia="Arial" w:hAnsi="Arial"/>
          <w:sz w:val="22"/>
          <w:szCs w:val="22"/>
          <w:color w:val="auto"/>
        </w:rPr>
      </w:pPr>
    </w:p>
    <w:p>
      <w:pPr>
        <w:ind w:left="440" w:hanging="432"/>
        <w:spacing w:after="0" w:line="230" w:lineRule="auto"/>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Core lung diagnostic revenue of $4.8 million, an increase of 109%;</w:t>
      </w:r>
    </w:p>
    <w:p>
      <w:pPr>
        <w:ind w:left="880" w:hanging="440"/>
        <w:spacing w:after="0" w:line="230" w:lineRule="auto"/>
        <w:tabs>
          <w:tab w:leader="none" w:pos="880" w:val="left"/>
        </w:tabs>
        <w:numPr>
          <w:ilvl w:val="1"/>
          <w:numId w:val="3"/>
        </w:numPr>
        <w:rPr>
          <w:rFonts w:ascii="Arial" w:cs="Arial" w:eastAsia="Arial" w:hAnsi="Arial"/>
          <w:sz w:val="22"/>
          <w:szCs w:val="22"/>
          <w:color w:val="auto"/>
        </w:rPr>
      </w:pPr>
      <w:r>
        <w:rPr>
          <w:rFonts w:ascii="Arial" w:cs="Arial" w:eastAsia="Arial" w:hAnsi="Arial"/>
          <w:sz w:val="22"/>
          <w:szCs w:val="22"/>
          <w:i w:val="1"/>
          <w:iCs w:val="1"/>
          <w:color w:val="auto"/>
        </w:rPr>
        <w:t>Continued sequential recovery from initial rapid uptake of COVID-19 immunizations.</w:t>
      </w:r>
    </w:p>
    <w:p>
      <w:pPr>
        <w:ind w:left="880" w:hanging="440"/>
        <w:spacing w:after="0" w:line="230" w:lineRule="auto"/>
        <w:tabs>
          <w:tab w:leader="none" w:pos="880" w:val="left"/>
        </w:tabs>
        <w:numPr>
          <w:ilvl w:val="1"/>
          <w:numId w:val="3"/>
        </w:numPr>
        <w:rPr>
          <w:rFonts w:ascii="Arial" w:cs="Arial" w:eastAsia="Arial" w:hAnsi="Arial"/>
          <w:sz w:val="22"/>
          <w:szCs w:val="22"/>
          <w:color w:val="auto"/>
        </w:rPr>
      </w:pPr>
      <w:r>
        <w:rPr>
          <w:rFonts w:ascii="Arial" w:cs="Arial" w:eastAsia="Arial" w:hAnsi="Arial"/>
          <w:sz w:val="22"/>
          <w:szCs w:val="22"/>
          <w:i w:val="1"/>
          <w:iCs w:val="1"/>
          <w:color w:val="auto"/>
        </w:rPr>
        <w:t>Growth driven primarily by Nodify XL2® and Nodify CDT®.</w:t>
      </w:r>
    </w:p>
    <w:p>
      <w:pPr>
        <w:jc w:val="both"/>
        <w:ind w:left="880" w:hanging="440"/>
        <w:spacing w:after="0" w:line="230" w:lineRule="auto"/>
        <w:tabs>
          <w:tab w:leader="none" w:pos="880" w:val="left"/>
        </w:tabs>
        <w:numPr>
          <w:ilvl w:val="1"/>
          <w:numId w:val="3"/>
        </w:numPr>
        <w:rPr>
          <w:rFonts w:ascii="Arial" w:cs="Arial" w:eastAsia="Arial" w:hAnsi="Arial"/>
          <w:sz w:val="22"/>
          <w:szCs w:val="22"/>
          <w:color w:val="auto"/>
        </w:rPr>
      </w:pPr>
      <w:r>
        <w:rPr>
          <w:rFonts w:ascii="Arial" w:cs="Arial" w:eastAsia="Arial" w:hAnsi="Arial"/>
          <w:sz w:val="22"/>
          <w:szCs w:val="22"/>
          <w:i w:val="1"/>
          <w:iCs w:val="1"/>
          <w:color w:val="auto"/>
        </w:rPr>
        <w:t>Nodify XL2 growth triggered the previously disclosed milestone resulting in a $37 million obligation payable by us over six quarterly installments of approximately $4.6 million beginning January 2022 and a final payment of approximately $9.3 million in July 2023.</w:t>
      </w:r>
    </w:p>
    <w:p>
      <w:pPr>
        <w:spacing w:after="0" w:line="1" w:lineRule="exact"/>
        <w:rPr>
          <w:rFonts w:ascii="Arial" w:cs="Arial" w:eastAsia="Arial" w:hAnsi="Arial"/>
          <w:sz w:val="22"/>
          <w:szCs w:val="22"/>
          <w:color w:val="auto"/>
        </w:rPr>
      </w:pPr>
    </w:p>
    <w:p>
      <w:pPr>
        <w:ind w:left="440" w:hanging="432"/>
        <w:spacing w:after="0" w:line="230" w:lineRule="auto"/>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COVID-19 testing revenue of $6.1 million, an increase of 345%;</w:t>
      </w:r>
    </w:p>
    <w:p>
      <w:pPr>
        <w:ind w:left="880" w:hanging="440"/>
        <w:spacing w:after="0" w:line="236" w:lineRule="auto"/>
        <w:tabs>
          <w:tab w:leader="none" w:pos="880" w:val="left"/>
        </w:tabs>
        <w:numPr>
          <w:ilvl w:val="1"/>
          <w:numId w:val="3"/>
        </w:numPr>
        <w:rPr>
          <w:rFonts w:ascii="Arial" w:cs="Arial" w:eastAsia="Arial" w:hAnsi="Arial"/>
          <w:sz w:val="22"/>
          <w:szCs w:val="22"/>
          <w:color w:val="auto"/>
        </w:rPr>
      </w:pPr>
      <w:r>
        <w:rPr>
          <w:rFonts w:ascii="Arial" w:cs="Arial" w:eastAsia="Arial" w:hAnsi="Arial"/>
          <w:sz w:val="22"/>
          <w:szCs w:val="22"/>
          <w:i w:val="1"/>
          <w:iCs w:val="1"/>
          <w:color w:val="auto"/>
        </w:rPr>
        <w:t>Sequential quarter over quarter decline commensurate with our prior commentary as US immunizations accelerated in second quarter.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88900</wp:posOffset>
            </wp:positionV>
            <wp:extent cx="2245995"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ind w:left="440" w:hanging="432"/>
        <w:spacing w:after="0"/>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Services revenue of $1.0 million, an increase of 76%;</w:t>
      </w:r>
    </w:p>
    <w:p>
      <w:pPr>
        <w:spacing w:after="0" w:line="8" w:lineRule="exact"/>
        <w:rPr>
          <w:rFonts w:ascii="Arial" w:cs="Arial" w:eastAsia="Arial" w:hAnsi="Arial"/>
          <w:sz w:val="22"/>
          <w:szCs w:val="22"/>
          <w:color w:val="auto"/>
        </w:rPr>
      </w:pPr>
    </w:p>
    <w:p>
      <w:pPr>
        <w:ind w:left="880" w:hanging="440"/>
        <w:spacing w:after="0" w:line="230" w:lineRule="auto"/>
        <w:tabs>
          <w:tab w:leader="none" w:pos="880" w:val="left"/>
        </w:tabs>
        <w:numPr>
          <w:ilvl w:val="1"/>
          <w:numId w:val="4"/>
        </w:numPr>
        <w:rPr>
          <w:rFonts w:ascii="Arial" w:cs="Arial" w:eastAsia="Arial" w:hAnsi="Arial"/>
          <w:sz w:val="22"/>
          <w:szCs w:val="22"/>
          <w:color w:val="auto"/>
        </w:rPr>
      </w:pPr>
      <w:r>
        <w:rPr>
          <w:rFonts w:ascii="Arial" w:cs="Arial" w:eastAsia="Arial" w:hAnsi="Arial"/>
          <w:sz w:val="22"/>
          <w:szCs w:val="22"/>
          <w:i w:val="1"/>
          <w:iCs w:val="1"/>
          <w:color w:val="auto"/>
        </w:rPr>
        <w:t>Clinical trial services showed improvement and we expect further recovery in clinical trial enrollments in second half of 2021.</w:t>
      </w:r>
    </w:p>
    <w:p>
      <w:pPr>
        <w:spacing w:after="0" w:line="1" w:lineRule="exact"/>
        <w:rPr>
          <w:rFonts w:ascii="Arial" w:cs="Arial" w:eastAsia="Arial" w:hAnsi="Arial"/>
          <w:sz w:val="22"/>
          <w:szCs w:val="22"/>
          <w:color w:val="auto"/>
        </w:rPr>
      </w:pPr>
    </w:p>
    <w:p>
      <w:pPr>
        <w:ind w:left="440" w:hanging="432"/>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Gross profit of $4.8 million, an increase of 103%, and gross margin percentage of 40% as compared to 56% representing a decline primarily attributable to the lower gross margin COVID-19 testing;</w:t>
      </w:r>
    </w:p>
    <w:p>
      <w:pPr>
        <w:spacing w:after="0" w:line="1" w:lineRule="exact"/>
        <w:rPr>
          <w:rFonts w:ascii="Arial" w:cs="Arial" w:eastAsia="Arial" w:hAnsi="Arial"/>
          <w:sz w:val="22"/>
          <w:szCs w:val="22"/>
          <w:color w:val="auto"/>
        </w:rPr>
      </w:pPr>
    </w:p>
    <w:p>
      <w:pPr>
        <w:ind w:left="440" w:hanging="432"/>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Operating expenses (excluding direct costs and expenses) of $15.4 million, which includes an investment in the planned expansion of our sales force, increased 93% over second quarter 2020;</w:t>
      </w:r>
    </w:p>
    <w:p>
      <w:pPr>
        <w:spacing w:after="0" w:line="1" w:lineRule="exact"/>
        <w:rPr>
          <w:rFonts w:ascii="Arial" w:cs="Arial" w:eastAsia="Arial" w:hAnsi="Arial"/>
          <w:sz w:val="22"/>
          <w:szCs w:val="22"/>
          <w:color w:val="auto"/>
        </w:rPr>
      </w:pPr>
    </w:p>
    <w:p>
      <w:pPr>
        <w:ind w:left="880" w:hanging="440"/>
        <w:spacing w:after="0" w:line="230" w:lineRule="auto"/>
        <w:tabs>
          <w:tab w:leader="none" w:pos="880" w:val="left"/>
        </w:tabs>
        <w:numPr>
          <w:ilvl w:val="1"/>
          <w:numId w:val="4"/>
        </w:numPr>
        <w:rPr>
          <w:rFonts w:ascii="Arial" w:cs="Arial" w:eastAsia="Arial" w:hAnsi="Arial"/>
          <w:sz w:val="22"/>
          <w:szCs w:val="22"/>
          <w:color w:val="auto"/>
        </w:rPr>
      </w:pPr>
      <w:r>
        <w:rPr>
          <w:rFonts w:ascii="Arial" w:cs="Arial" w:eastAsia="Arial" w:hAnsi="Arial"/>
          <w:sz w:val="22"/>
          <w:szCs w:val="22"/>
          <w:i w:val="1"/>
          <w:iCs w:val="1"/>
          <w:color w:val="auto"/>
        </w:rPr>
        <w:t>On track to double size of lung focused direct and dedicated sales force in 2021.</w:t>
      </w:r>
    </w:p>
    <w:p>
      <w:pPr>
        <w:ind w:left="880" w:hanging="440"/>
        <w:spacing w:after="0" w:line="230" w:lineRule="auto"/>
        <w:tabs>
          <w:tab w:leader="none" w:pos="880" w:val="left"/>
        </w:tabs>
        <w:numPr>
          <w:ilvl w:val="1"/>
          <w:numId w:val="4"/>
        </w:numPr>
        <w:rPr>
          <w:rFonts w:ascii="Arial" w:cs="Arial" w:eastAsia="Arial" w:hAnsi="Arial"/>
          <w:sz w:val="22"/>
          <w:szCs w:val="22"/>
          <w:color w:val="auto"/>
        </w:rPr>
      </w:pPr>
      <w:r>
        <w:rPr>
          <w:rFonts w:ascii="Arial" w:cs="Arial" w:eastAsia="Arial" w:hAnsi="Arial"/>
          <w:sz w:val="22"/>
          <w:szCs w:val="22"/>
          <w:i w:val="1"/>
          <w:iCs w:val="1"/>
          <w:color w:val="auto"/>
        </w:rPr>
        <w:t>Non-cash stock compensation expense of $0.5 million as compared to $0.1 million.</w:t>
      </w:r>
    </w:p>
    <w:p>
      <w:pPr>
        <w:ind w:left="880" w:hanging="440"/>
        <w:spacing w:after="0" w:line="230" w:lineRule="auto"/>
        <w:tabs>
          <w:tab w:leader="none" w:pos="880" w:val="left"/>
        </w:tabs>
        <w:numPr>
          <w:ilvl w:val="1"/>
          <w:numId w:val="4"/>
        </w:numPr>
        <w:rPr>
          <w:rFonts w:ascii="Arial" w:cs="Arial" w:eastAsia="Arial" w:hAnsi="Arial"/>
          <w:sz w:val="22"/>
          <w:szCs w:val="22"/>
          <w:color w:val="auto"/>
        </w:rPr>
      </w:pPr>
      <w:r>
        <w:rPr>
          <w:rFonts w:ascii="Arial" w:cs="Arial" w:eastAsia="Arial" w:hAnsi="Arial"/>
          <w:sz w:val="22"/>
          <w:szCs w:val="22"/>
          <w:i w:val="1"/>
          <w:iCs w:val="1"/>
          <w:color w:val="auto"/>
        </w:rPr>
        <w:t>Non-cash expense for change in fair value of contingent consideration of $0.6 million as compared to a gain of $1.0 million.</w:t>
      </w:r>
    </w:p>
    <w:p>
      <w:pPr>
        <w:spacing w:after="0" w:line="1" w:lineRule="exact"/>
        <w:rPr>
          <w:rFonts w:ascii="Arial" w:cs="Arial" w:eastAsia="Arial" w:hAnsi="Arial"/>
          <w:sz w:val="22"/>
          <w:szCs w:val="22"/>
          <w:color w:val="auto"/>
        </w:rPr>
      </w:pPr>
    </w:p>
    <w:p>
      <w:pPr>
        <w:ind w:left="440" w:hanging="432"/>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Net loss of $11.4 million, an increase of 38% over second quarter of 2020; and</w:t>
      </w:r>
    </w:p>
    <w:p>
      <w:pPr>
        <w:ind w:left="440" w:hanging="432"/>
        <w:spacing w:after="0" w:line="236"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Maintained fiscal discipline and strong liquidity with cash and cash equivalents of $56.3 million as of June 30, 2021 and expect to qualify for PPP loan forgiveness of $3.1 million later in 2021.</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 a full list of Biodesix’s press releases and webinars, please visit Biodesix.com.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and webcast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Management will host an investor conference call and webcast today, August 10, 2021 at 4:30 p.m. Eastern Time.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tcPr>
          <w:p>
            <w:pPr>
              <w:spacing w:after="0"/>
              <w:rPr>
                <w:sz w:val="20"/>
                <w:szCs w:val="20"/>
                <w:color w:val="auto"/>
              </w:rPr>
            </w:pPr>
            <w:r>
              <w:rPr>
                <w:rFonts w:ascii="Arial" w:cs="Arial" w:eastAsia="Arial" w:hAnsi="Arial"/>
                <w:sz w:val="22"/>
                <w:szCs w:val="22"/>
                <w:color w:val="auto"/>
              </w:rPr>
              <w:t>Investor dial-in (domestic):</w:t>
            </w:r>
          </w:p>
        </w:tc>
        <w:tc>
          <w:tcPr>
            <w:tcW w:w="4140" w:type="dxa"/>
            <w:vAlign w:val="bottom"/>
          </w:tcPr>
          <w:p>
            <w:pPr>
              <w:spacing w:after="0"/>
              <w:rPr>
                <w:sz w:val="20"/>
                <w:szCs w:val="20"/>
                <w:color w:val="auto"/>
              </w:rPr>
            </w:pPr>
            <w:r>
              <w:rPr>
                <w:rFonts w:ascii="Arial" w:cs="Arial" w:eastAsia="Arial" w:hAnsi="Arial"/>
                <w:sz w:val="22"/>
                <w:szCs w:val="22"/>
                <w:color w:val="auto"/>
              </w:rPr>
              <w:t>833-665-0678</w:t>
            </w: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Investor dial-in (international):</w:t>
            </w:r>
          </w:p>
        </w:tc>
        <w:tc>
          <w:tcPr>
            <w:tcW w:w="4140" w:type="dxa"/>
            <w:vAlign w:val="bottom"/>
          </w:tcPr>
          <w:p>
            <w:pPr>
              <w:spacing w:after="0" w:line="243" w:lineRule="exact"/>
              <w:rPr>
                <w:sz w:val="20"/>
                <w:szCs w:val="20"/>
                <w:color w:val="auto"/>
              </w:rPr>
            </w:pPr>
            <w:r>
              <w:rPr>
                <w:rFonts w:ascii="Arial" w:cs="Arial" w:eastAsia="Arial" w:hAnsi="Arial"/>
                <w:sz w:val="22"/>
                <w:szCs w:val="22"/>
                <w:color w:val="auto"/>
              </w:rPr>
              <w:t>929-517-0173</w:t>
            </w: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Conference ID:</w:t>
            </w:r>
          </w:p>
        </w:tc>
        <w:tc>
          <w:tcPr>
            <w:tcW w:w="4140" w:type="dxa"/>
            <w:vAlign w:val="bottom"/>
          </w:tcPr>
          <w:p>
            <w:pPr>
              <w:spacing w:after="0" w:line="243" w:lineRule="exact"/>
              <w:rPr>
                <w:sz w:val="20"/>
                <w:szCs w:val="20"/>
                <w:color w:val="auto"/>
              </w:rPr>
            </w:pPr>
            <w:r>
              <w:rPr>
                <w:rFonts w:ascii="Arial" w:cs="Arial" w:eastAsia="Arial" w:hAnsi="Arial"/>
                <w:sz w:val="22"/>
                <w:szCs w:val="22"/>
                <w:color w:val="auto"/>
              </w:rPr>
              <w:t>6519549</w:t>
            </w:r>
          </w:p>
        </w:tc>
      </w:tr>
      <w:tr>
        <w:trPr>
          <w:trHeight w:val="224"/>
        </w:trPr>
        <w:tc>
          <w:tcPr>
            <w:tcW w:w="4320" w:type="dxa"/>
            <w:vAlign w:val="bottom"/>
          </w:tcPr>
          <w:p>
            <w:pPr>
              <w:spacing w:after="0" w:line="224" w:lineRule="exact"/>
              <w:rPr>
                <w:sz w:val="20"/>
                <w:szCs w:val="20"/>
                <w:color w:val="auto"/>
              </w:rPr>
            </w:pPr>
            <w:r>
              <w:rPr>
                <w:rFonts w:ascii="Arial" w:cs="Arial" w:eastAsia="Arial" w:hAnsi="Arial"/>
                <w:sz w:val="22"/>
                <w:szCs w:val="22"/>
                <w:color w:val="auto"/>
              </w:rPr>
              <w:t>Webcast:</w:t>
            </w:r>
          </w:p>
        </w:tc>
        <w:tc>
          <w:tcPr>
            <w:tcW w:w="414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8"/>
              </w:rPr>
              <w:t>https://edge.media-server.com/mmc/p/2hp2grhc</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An archived replay of the webcast will be available on the Company’s website for a period of 90 days.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Biodesix</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Biodesix is a leading data-driven diagnostic solutions company with a focus in lung disease. The Company develops diagnostic tests addressing important clinical questions by combining multi-omics through the power of artificial intelligence. Biodesix is the first company to offer seven non-invasive tests for patients with diseases of the lung. Biodesix launched the SARS-CoV-2 ddPCR™ test, the Platelia SARS-CoV-2 Total Ab, and the cPass ™ SARS-CoV-2 Neutralization Antibody test (cPass™ Neutralization Test Kit, GenScript, Inc,) in response to the global pandemic and virus that impacts the lung and causes COVID-</w:t>
      </w:r>
    </w:p>
    <w:p>
      <w:pPr>
        <w:spacing w:after="0" w:line="4" w:lineRule="exact"/>
        <w:rPr>
          <w:sz w:val="20"/>
          <w:szCs w:val="20"/>
          <w:color w:val="auto"/>
        </w:rPr>
      </w:pPr>
    </w:p>
    <w:p>
      <w:pPr>
        <w:jc w:val="both"/>
        <w:ind w:firstLine="8"/>
        <w:spacing w:after="0" w:line="234" w:lineRule="auto"/>
        <w:tabs>
          <w:tab w:leader="none" w:pos="336"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blood-based Biodesix Lung Reflex® strategy for lung cancer patients integrates the GeneStrat® and VeriStrat® tests to support treatment decisions with results in 36 hours, expediting time to treatment. The blood-based Nodify Lung® nodule risk assessment testing strategy, consisting of the Nodify XL2® and the Nodify CDT™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88900</wp:posOffset>
            </wp:positionV>
            <wp:extent cx="2245995"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jc w:val="both"/>
        <w:spacing w:after="0" w:line="238" w:lineRule="auto"/>
        <w:rPr>
          <w:sz w:val="20"/>
          <w:szCs w:val="20"/>
          <w:color w:val="auto"/>
        </w:rPr>
      </w:pPr>
      <w:r>
        <w:rPr>
          <w:rFonts w:ascii="Arial" w:cs="Arial" w:eastAsia="Arial" w:hAnsi="Arial"/>
          <w:sz w:val="22"/>
          <w:szCs w:val="22"/>
          <w:color w:val="auto"/>
        </w:rPr>
        <w:t>tests, evaluates the risk of malignancy in incidental pulmonary nodules, enabling physicians to better triage patients to the most appropriate course of action. Biodesix also leverages the proprietary and advanced Diagnostic Cortex® AI platform, to collaborate with many of the world’s leading biotechnology and pharmaceutical companies to solve complex diagnostic challenges in lung disease. For more information about Biodesix, visit biodesix.com.</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Regarding Forward-Looking Statements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the impact of the COVID-19 pandemic on Biodesix and its operations, it is possible or assumed future results of operations, including descriptions of its revenues, profitability, outlook and overall business strategy. Forward-looking statements are inherently subject to risks and uncertainties, some of which cannot be predicted or quantified. Factors that could cause actual results to differ materially from those contemplated in this press release can be found in the Risk Factors section of Biodesix’s most recent annual report on Form 10-K, filed March 16, 2021 or subsequent quarterly reports on Form 10-Q during 2021, if applicable.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Bobbi Coffin</w:t>
      </w:r>
    </w:p>
    <w:p>
      <w:pPr>
        <w:spacing w:after="0" w:line="230" w:lineRule="auto"/>
        <w:rPr>
          <w:sz w:val="20"/>
          <w:szCs w:val="20"/>
          <w:color w:val="auto"/>
        </w:rPr>
      </w:pPr>
      <w:r>
        <w:rPr>
          <w:rFonts w:ascii="Arial" w:cs="Arial" w:eastAsia="Arial" w:hAnsi="Arial"/>
          <w:sz w:val="22"/>
          <w:szCs w:val="22"/>
          <w:u w:val="single" w:color="auto"/>
          <w:color w:val="auto"/>
        </w:rPr>
        <w:t>bobbi.coffin@biodesix.com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(303) 892-3203</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Chris Brinzey</w:t>
      </w:r>
    </w:p>
    <w:p>
      <w:pPr>
        <w:spacing w:after="0" w:line="230" w:lineRule="auto"/>
        <w:rPr>
          <w:sz w:val="20"/>
          <w:szCs w:val="20"/>
          <w:color w:val="auto"/>
        </w:rPr>
      </w:pPr>
      <w:r>
        <w:rPr>
          <w:rFonts w:ascii="Arial" w:cs="Arial" w:eastAsia="Arial" w:hAnsi="Arial"/>
          <w:sz w:val="22"/>
          <w:szCs w:val="22"/>
          <w:u w:val="single" w:color="auto"/>
          <w:color w:val="auto"/>
        </w:rPr>
        <w:t>chris.brinzey@westwicke.com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(339) 970-2843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88900</wp:posOffset>
            </wp:positionV>
            <wp:extent cx="224599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Biodesix,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Balance Sheets (unaudited)</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2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200" w:type="dxa"/>
            <w:vAlign w:val="bottom"/>
            <w:shd w:val="clear" w:color="auto" w:fill="CFF0FC"/>
          </w:tcPr>
          <w:p>
            <w:pPr>
              <w:ind w:left="53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56,349</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62,126</w:t>
            </w:r>
          </w:p>
        </w:tc>
        <w:tc>
          <w:tcPr>
            <w:tcW w:w="120" w:type="dxa"/>
            <w:vAlign w:val="bottom"/>
            <w:shd w:val="clear" w:color="auto" w:fill="CCEEFF"/>
          </w:tcPr>
          <w:p>
            <w:pPr>
              <w:spacing w:after="0"/>
              <w:rPr>
                <w:sz w:val="19"/>
                <w:szCs w:val="19"/>
                <w:color w:val="auto"/>
              </w:rPr>
            </w:pPr>
          </w:p>
        </w:tc>
      </w:tr>
      <w:tr>
        <w:trPr>
          <w:trHeight w:val="229"/>
        </w:trPr>
        <w:tc>
          <w:tcPr>
            <w:tcW w:w="720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 $168 and $180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15,304</w:t>
            </w:r>
          </w:p>
        </w:tc>
        <w:tc>
          <w:tcPr>
            <w:tcW w:w="120" w:type="dxa"/>
            <w:vAlign w:val="bottom"/>
          </w:tcPr>
          <w:p>
            <w:pPr>
              <w:spacing w:after="0"/>
              <w:rPr>
                <w:sz w:val="19"/>
                <w:szCs w:val="19"/>
                <w:color w:val="auto"/>
              </w:rPr>
            </w:pPr>
          </w:p>
        </w:tc>
      </w:tr>
      <w:tr>
        <w:trPr>
          <w:trHeight w:val="229"/>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19"/>
                <w:szCs w:val="19"/>
                <w:color w:val="auto"/>
              </w:rPr>
            </w:pPr>
          </w:p>
        </w:tc>
      </w:tr>
      <w:tr>
        <w:trPr>
          <w:trHeight w:val="223"/>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86,140</w:t>
            </w:r>
          </w:p>
        </w:tc>
        <w:tc>
          <w:tcPr>
            <w:tcW w:w="120" w:type="dxa"/>
            <w:vAlign w:val="bottom"/>
          </w:tcPr>
          <w:p>
            <w:pPr>
              <w:spacing w:after="0"/>
              <w:rPr>
                <w:sz w:val="19"/>
                <w:szCs w:val="19"/>
                <w:color w:val="auto"/>
              </w:rPr>
            </w:pPr>
          </w:p>
        </w:tc>
      </w:tr>
      <w:tr>
        <w:trPr>
          <w:trHeight w:val="229"/>
        </w:trPr>
        <w:tc>
          <w:tcPr>
            <w:tcW w:w="720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19"/>
                <w:szCs w:val="19"/>
                <w:color w:val="auto"/>
              </w:rPr>
            </w:pPr>
          </w:p>
        </w:tc>
      </w:tr>
      <w:tr>
        <w:trPr>
          <w:trHeight w:val="229"/>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120" w:type="dxa"/>
            <w:vAlign w:val="bottom"/>
            <w:shd w:val="clear" w:color="auto" w:fill="CCEEFF"/>
          </w:tcPr>
          <w:p>
            <w:pPr>
              <w:spacing w:after="0"/>
              <w:rPr>
                <w:sz w:val="19"/>
                <w:szCs w:val="19"/>
                <w:color w:val="auto"/>
              </w:rPr>
            </w:pPr>
          </w:p>
        </w:tc>
      </w:tr>
      <w:tr>
        <w:trPr>
          <w:trHeight w:val="229"/>
        </w:trPr>
        <w:tc>
          <w:tcPr>
            <w:tcW w:w="720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20" w:type="dxa"/>
            <w:vAlign w:val="bottom"/>
            <w:shd w:val="clear" w:color="auto" w:fill="CCEEFF"/>
          </w:tcPr>
          <w:p>
            <w:pPr>
              <w:spacing w:after="0"/>
              <w:rPr>
                <w:sz w:val="19"/>
                <w:szCs w:val="19"/>
                <w:color w:val="auto"/>
              </w:rPr>
            </w:pPr>
          </w:p>
        </w:tc>
      </w:tr>
      <w:tr>
        <w:trPr>
          <w:trHeight w:val="223"/>
        </w:trPr>
        <w:tc>
          <w:tcPr>
            <w:tcW w:w="7200" w:type="dxa"/>
            <w:vAlign w:val="bottom"/>
            <w:tcBorders>
              <w:bottom w:val="single" w:sz="8" w:color="CFF0FC"/>
            </w:tcBorders>
          </w:tcPr>
          <w:p>
            <w:pPr>
              <w:ind w:left="50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34,930</w:t>
            </w:r>
          </w:p>
        </w:tc>
        <w:tc>
          <w:tcPr>
            <w:tcW w:w="120" w:type="dxa"/>
            <w:vAlign w:val="bottom"/>
            <w:tcBorders>
              <w:bottom w:val="single" w:sz="8" w:color="CCEEFF"/>
            </w:tcBorders>
          </w:tcPr>
          <w:p>
            <w:pPr>
              <w:spacing w:after="0"/>
              <w:rPr>
                <w:sz w:val="19"/>
                <w:szCs w:val="19"/>
                <w:color w:val="auto"/>
              </w:rPr>
            </w:pPr>
          </w:p>
        </w:tc>
      </w:tr>
      <w:tr>
        <w:trPr>
          <w:trHeight w:val="223"/>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121,070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200" w:type="dxa"/>
            <w:vAlign w:val="bottom"/>
            <w:shd w:val="clear" w:color="auto" w:fill="CFF0FC"/>
          </w:tcPr>
          <w:p>
            <w:pPr>
              <w:ind w:left="4180"/>
              <w:spacing w:after="0"/>
              <w:rPr>
                <w:sz w:val="20"/>
                <w:szCs w:val="20"/>
                <w:color w:val="auto"/>
              </w:rPr>
            </w:pPr>
            <w:r>
              <w:rPr>
                <w:rFonts w:ascii="Arial" w:cs="Arial" w:eastAsia="Arial" w:hAnsi="Arial"/>
                <w:sz w:val="18"/>
                <w:szCs w:val="18"/>
                <w:b w:val="1"/>
                <w:bCs w:val="1"/>
                <w:color w:val="auto"/>
                <w:w w:val="98"/>
              </w:rPr>
              <w:t>Liabilities and Stockholders' Equity</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20" w:type="dxa"/>
            <w:vAlign w:val="bottom"/>
            <w:shd w:val="clear" w:color="auto" w:fill="CCEEFF"/>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7,789</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20" w:type="dxa"/>
            <w:vAlign w:val="bottom"/>
            <w:shd w:val="clear" w:color="auto" w:fill="CCEEFF"/>
          </w:tcPr>
          <w:p>
            <w:pPr>
              <w:spacing w:after="0"/>
              <w:rPr>
                <w:sz w:val="19"/>
                <w:szCs w:val="19"/>
                <w:color w:val="auto"/>
              </w:rPr>
            </w:pPr>
          </w:p>
        </w:tc>
      </w:tr>
      <w:tr>
        <w:trPr>
          <w:trHeight w:val="229"/>
        </w:trPr>
        <w:tc>
          <w:tcPr>
            <w:tcW w:w="7200" w:type="dxa"/>
            <w:vAlign w:val="bottom"/>
          </w:tcPr>
          <w:p>
            <w:pPr>
              <w:ind w:left="260"/>
              <w:spacing w:after="0"/>
              <w:rPr>
                <w:sz w:val="20"/>
                <w:szCs w:val="20"/>
                <w:color w:val="auto"/>
              </w:rPr>
            </w:pPr>
            <w:r>
              <w:rPr>
                <w:rFonts w:ascii="Arial" w:cs="Arial" w:eastAsia="Arial" w:hAnsi="Arial"/>
                <w:sz w:val="18"/>
                <w:szCs w:val="18"/>
                <w:color w:val="auto"/>
              </w:rPr>
              <w:t>Current portion of contingent consideration</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shd w:val="clear" w:color="auto" w:fill="CCEEFF"/>
          </w:tcPr>
          <w:p>
            <w:pPr>
              <w:spacing w:after="0"/>
              <w:rPr>
                <w:sz w:val="19"/>
                <w:szCs w:val="19"/>
                <w:color w:val="auto"/>
              </w:rPr>
            </w:pPr>
          </w:p>
        </w:tc>
      </w:tr>
      <w:tr>
        <w:trPr>
          <w:trHeight w:val="223"/>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32,125</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ind w:left="2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notes payable, net of current portion</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15,926</w:t>
            </w:r>
          </w:p>
        </w:tc>
        <w:tc>
          <w:tcPr>
            <w:tcW w:w="120" w:type="dxa"/>
            <w:vAlign w:val="bottom"/>
          </w:tcPr>
          <w:p>
            <w:pPr>
              <w:spacing w:after="0"/>
              <w:rPr>
                <w:sz w:val="19"/>
                <w:szCs w:val="19"/>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FF0FC"/>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23,217</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shd w:val="clear" w:color="auto" w:fill="CCEEFF"/>
          </w:tcPr>
          <w:p>
            <w:pPr>
              <w:spacing w:after="0"/>
              <w:rPr>
                <w:sz w:val="19"/>
                <w:szCs w:val="19"/>
                <w:color w:val="auto"/>
              </w:rPr>
            </w:pPr>
          </w:p>
        </w:tc>
      </w:tr>
      <w:tr>
        <w:trPr>
          <w:trHeight w:val="229"/>
        </w:trPr>
        <w:tc>
          <w:tcPr>
            <w:tcW w:w="7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Borders>
              <w:bottom w:val="single" w:sz="8" w:color="CCEEFF"/>
            </w:tcBorders>
          </w:tcPr>
          <w:p>
            <w:pPr>
              <w:spacing w:after="0"/>
              <w:rPr>
                <w:sz w:val="19"/>
                <w:szCs w:val="19"/>
                <w:color w:val="auto"/>
              </w:rPr>
            </w:pPr>
          </w:p>
        </w:tc>
      </w:tr>
      <w:tr>
        <w:trPr>
          <w:trHeight w:val="223"/>
        </w:trPr>
        <w:tc>
          <w:tcPr>
            <w:tcW w:w="7200" w:type="dxa"/>
            <w:vAlign w:val="bottom"/>
            <w:shd w:val="clear" w:color="auto" w:fill="CFF0FC"/>
          </w:tcPr>
          <w:p>
            <w:pPr>
              <w:ind w:left="50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54,759</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47,779</w:t>
            </w:r>
          </w:p>
        </w:tc>
        <w:tc>
          <w:tcPr>
            <w:tcW w:w="120" w:type="dxa"/>
            <w:vAlign w:val="bottom"/>
            <w:shd w:val="clear" w:color="auto" w:fill="CCEEFF"/>
          </w:tcPr>
          <w:p>
            <w:pPr>
              <w:spacing w:after="0"/>
              <w:rPr>
                <w:sz w:val="19"/>
                <w:szCs w:val="19"/>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76,031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79,904</w:t>
            </w:r>
          </w:p>
        </w:tc>
        <w:tc>
          <w:tcPr>
            <w:tcW w:w="120" w:type="dxa"/>
            <w:vAlign w:val="bottom"/>
          </w:tcPr>
          <w:p>
            <w:pPr>
              <w:spacing w:after="0"/>
              <w:rPr>
                <w:sz w:val="19"/>
                <w:szCs w:val="19"/>
                <w:color w:val="auto"/>
              </w:rPr>
            </w:pPr>
          </w:p>
        </w:tc>
      </w:tr>
      <w:tr>
        <w:trPr>
          <w:trHeight w:val="229"/>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5,000,000 shares authorized;</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2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0 (2021 and 2020) shares issued and outstanding</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200" w:type="dxa"/>
            <w:vAlign w:val="bottom"/>
          </w:tcPr>
          <w:p>
            <w:pPr>
              <w:ind w:left="260"/>
              <w:spacing w:after="0"/>
              <w:rPr>
                <w:sz w:val="20"/>
                <w:szCs w:val="20"/>
                <w:color w:val="auto"/>
              </w:rPr>
            </w:pPr>
            <w:r>
              <w:rPr>
                <w:rFonts w:ascii="Arial" w:cs="Arial" w:eastAsia="Arial" w:hAnsi="Arial"/>
                <w:sz w:val="18"/>
                <w:szCs w:val="18"/>
                <w:color w:val="auto"/>
              </w:rPr>
              <w:t>Common stock, $0.001 par value, 200,000,000 shares authorized;</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200" w:type="dxa"/>
            <w:vAlign w:val="bottom"/>
          </w:tcPr>
          <w:p>
            <w:pPr>
              <w:ind w:left="440"/>
              <w:spacing w:after="0"/>
              <w:rPr>
                <w:sz w:val="20"/>
                <w:szCs w:val="20"/>
                <w:color w:val="auto"/>
              </w:rPr>
            </w:pPr>
            <w:r>
              <w:rPr>
                <w:rFonts w:ascii="Arial" w:cs="Arial" w:eastAsia="Arial" w:hAnsi="Arial"/>
                <w:sz w:val="18"/>
                <w:szCs w:val="18"/>
                <w:color w:val="auto"/>
              </w:rPr>
              <w:t>26,948,879 (2021) and 26,561,504 (2020) shares issued and outstanding</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r>
      <w:tr>
        <w:trPr>
          <w:trHeight w:val="230"/>
        </w:trPr>
        <w:tc>
          <w:tcPr>
            <w:tcW w:w="7200" w:type="dxa"/>
            <w:vAlign w:val="bottom"/>
            <w:shd w:val="clear" w:color="auto" w:fill="CFF0FC"/>
          </w:tcPr>
          <w:p>
            <w:pPr>
              <w:ind w:left="26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240" w:type="dxa"/>
            <w:vAlign w:val="bottom"/>
            <w:shd w:val="clear" w:color="auto" w:fill="CFF0FC"/>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302,923</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299,953</w:t>
            </w:r>
          </w:p>
        </w:tc>
        <w:tc>
          <w:tcPr>
            <w:tcW w:w="120" w:type="dxa"/>
            <w:vAlign w:val="bottom"/>
            <w:shd w:val="clear" w:color="auto" w:fill="CCEEFF"/>
          </w:tcPr>
          <w:p>
            <w:pPr>
              <w:spacing w:after="0"/>
              <w:rPr>
                <w:sz w:val="19"/>
                <w:szCs w:val="19"/>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(277,177)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(258,814)</w:t>
            </w:r>
          </w:p>
        </w:tc>
      </w:tr>
      <w:tr>
        <w:trPr>
          <w:trHeight w:val="223"/>
        </w:trPr>
        <w:tc>
          <w:tcPr>
            <w:tcW w:w="7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41,166</w:t>
            </w:r>
          </w:p>
        </w:tc>
        <w:tc>
          <w:tcPr>
            <w:tcW w:w="120" w:type="dxa"/>
            <w:vAlign w:val="bottom"/>
            <w:tcBorders>
              <w:top w:val="single" w:sz="8" w:color="CCEEFF"/>
            </w:tcBorders>
            <w:shd w:val="clear" w:color="auto" w:fill="CCEEFF"/>
          </w:tcPr>
          <w:p>
            <w:pPr>
              <w:spacing w:after="0"/>
              <w:rPr>
                <w:sz w:val="19"/>
                <w:szCs w:val="19"/>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101,804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121,070</w:t>
            </w:r>
          </w:p>
        </w:tc>
        <w:tc>
          <w:tcPr>
            <w:tcW w:w="12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88900</wp:posOffset>
            </wp:positionV>
            <wp:extent cx="2245995" cy="70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Biodesix,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Statements of Operations (unaudited)</w:t>
      </w:r>
    </w:p>
    <w:p>
      <w:pPr>
        <w:jc w:val="center"/>
        <w:spacing w:after="0"/>
        <w:rPr>
          <w:sz w:val="20"/>
          <w:szCs w:val="20"/>
          <w:color w:val="auto"/>
        </w:rPr>
      </w:pPr>
      <w:r>
        <w:rPr>
          <w:rFonts w:ascii="Arial" w:cs="Arial" w:eastAsia="Arial" w:hAnsi="Arial"/>
          <w:sz w:val="20"/>
          <w:szCs w:val="20"/>
          <w:b w:val="1"/>
          <w:b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23"/>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COVID-19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6,064</w:t>
            </w:r>
          </w:p>
        </w:tc>
        <w:tc>
          <w:tcPr>
            <w:tcW w:w="2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29,296</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r>
      <w:tr>
        <w:trPr>
          <w:trHeight w:val="230"/>
        </w:trPr>
        <w:tc>
          <w:tcPr>
            <w:tcW w:w="58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Lung diagnostic</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100" w:type="dxa"/>
            <w:vAlign w:val="bottom"/>
            <w:shd w:val="clear" w:color="auto" w:fill="CCEEFF"/>
          </w:tcPr>
          <w:p>
            <w:pPr>
              <w:spacing w:after="0"/>
              <w:rPr>
                <w:sz w:val="19"/>
                <w:szCs w:val="19"/>
                <w:color w:val="auto"/>
              </w:rPr>
            </w:pPr>
          </w:p>
        </w:tc>
      </w:tr>
      <w:tr>
        <w:trPr>
          <w:trHeight w:val="223"/>
        </w:trPr>
        <w:tc>
          <w:tcPr>
            <w:tcW w:w="5840" w:type="dxa"/>
            <w:vAlign w:val="bottom"/>
            <w:gridSpan w:val="2"/>
          </w:tcPr>
          <w:p>
            <w:pPr>
              <w:ind w:left="280"/>
              <w:spacing w:after="0"/>
              <w:rPr>
                <w:sz w:val="20"/>
                <w:szCs w:val="20"/>
                <w:color w:val="auto"/>
              </w:rPr>
            </w:pPr>
            <w:r>
              <w:rPr>
                <w:rFonts w:ascii="Arial" w:cs="Arial" w:eastAsia="Arial" w:hAnsi="Arial"/>
                <w:sz w:val="18"/>
                <w:szCs w:val="18"/>
                <w:color w:val="auto"/>
              </w:rPr>
              <w:t>Diagnostic testing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10,838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19"/>
                <w:szCs w:val="19"/>
                <w:color w:val="auto"/>
              </w:rPr>
            </w:pPr>
          </w:p>
        </w:tc>
      </w:tr>
      <w:tr>
        <w:trPr>
          <w:trHeight w:val="230"/>
        </w:trPr>
        <w:tc>
          <w:tcPr>
            <w:tcW w:w="58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Biopharma services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9"/>
                <w:szCs w:val="19"/>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11,885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9,335</w:t>
            </w:r>
          </w:p>
        </w:tc>
        <w:tc>
          <w:tcPr>
            <w:tcW w:w="100" w:type="dxa"/>
            <w:vAlign w:val="bottom"/>
          </w:tcPr>
          <w:p>
            <w:pPr>
              <w:spacing w:after="0"/>
              <w:rPr>
                <w:sz w:val="19"/>
                <w:szCs w:val="19"/>
                <w:color w:val="auto"/>
              </w:rPr>
            </w:pPr>
          </w:p>
        </w:tc>
      </w:tr>
      <w:tr>
        <w:trPr>
          <w:trHeight w:val="229"/>
        </w:trPr>
        <w:tc>
          <w:tcPr>
            <w:tcW w:w="58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Direct costs and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5,007</w:t>
            </w:r>
          </w:p>
        </w:tc>
        <w:tc>
          <w:tcPr>
            <w:tcW w:w="100" w:type="dxa"/>
            <w:vAlign w:val="bottom"/>
          </w:tcPr>
          <w:p>
            <w:pPr>
              <w:spacing w:after="0"/>
              <w:rPr>
                <w:sz w:val="19"/>
                <w:szCs w:val="19"/>
                <w:color w:val="auto"/>
              </w:rPr>
            </w:pPr>
          </w:p>
        </w:tc>
      </w:tr>
      <w:tr>
        <w:trPr>
          <w:trHeight w:val="229"/>
        </w:trPr>
        <w:tc>
          <w:tcPr>
            <w:tcW w:w="58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Sales, marketing, general and administrative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100" w:type="dxa"/>
            <w:vAlign w:val="bottom"/>
            <w:shd w:val="clear" w:color="auto" w:fill="CCEEFF"/>
          </w:tcPr>
          <w:p>
            <w:pPr>
              <w:spacing w:after="0"/>
              <w:rPr>
                <w:sz w:val="19"/>
                <w:szCs w:val="19"/>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22,472</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56,921</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23,376</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(10,587)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(14,041)</w:t>
            </w:r>
          </w:p>
        </w:tc>
        <w:tc>
          <w:tcPr>
            <w:tcW w:w="100" w:type="dxa"/>
            <w:vAlign w:val="bottom"/>
          </w:tcPr>
          <w:p>
            <w:pPr>
              <w:spacing w:after="0"/>
              <w:rPr>
                <w:sz w:val="19"/>
                <w:szCs w:val="19"/>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(815)</w:t>
            </w: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(2,784)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(4,241)</w:t>
            </w:r>
          </w:p>
        </w:tc>
      </w:tr>
      <w:tr>
        <w:trPr>
          <w:trHeight w:val="229"/>
        </w:trPr>
        <w:tc>
          <w:tcPr>
            <w:tcW w:w="58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(11,402)</w:t>
            </w:r>
          </w:p>
        </w:tc>
        <w:tc>
          <w:tcPr>
            <w:tcW w:w="2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(18,363)</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(17,971)</w:t>
            </w:r>
          </w:p>
        </w:tc>
        <w:tc>
          <w:tcPr>
            <w:tcW w:w="100" w:type="dxa"/>
            <w:vAlign w:val="bottom"/>
            <w:tcBorders>
              <w:bottom w:val="single" w:sz="8" w:color="CCEEFF"/>
            </w:tcBorders>
          </w:tcPr>
          <w:p>
            <w:pPr>
              <w:spacing w:after="0"/>
              <w:rPr>
                <w:sz w:val="22"/>
                <w:szCs w:val="22"/>
                <w:color w:val="auto"/>
              </w:rPr>
            </w:pPr>
          </w:p>
        </w:tc>
      </w:tr>
      <w:tr>
        <w:trPr>
          <w:trHeight w:val="224"/>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(30.06)</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(68.85)</w:t>
            </w: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27,730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27,020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2021-08-10T15:20:20Z</dcterms:created>
  <dcterms:modified xsi:type="dcterms:W3CDTF">2021-08-10T15:20:20Z</dcterms:modified>
</cp:coreProperties>
</file>