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30930.htm"/>
      <w:bookmarkStart w:id="1" w:name="ksbdsx2023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52" w:type="dxa"/>
        <w:jc w:val="left"/>
        <w:tblInd w:w="0" w:type="dxa"/>
        <w:tblLayout w:type="fixed"/>
        <w:tblCellMar>
          <w:top w:w="28" w:type="dxa"/>
          <w:left w:w="28" w:type="dxa"/>
          <w:bottom w:w="28" w:type="dxa"/>
          <w:right w:w="28" w:type="dxa"/>
        </w:tblCellMar>
      </w:tblPr>
      <w:tblGrid>
        <w:gridCol w:w="2506"/>
        <w:gridCol w:w="1246"/>
      </w:tblGrid>
      <w:tr>
        <w:trPr/>
        <w:tc>
          <w:tcPr>
            <w:tcW w:w="25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0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color w:val="000000"/>
                <w:sz w:val="16"/>
              </w:rPr>
              <w:t>2970 Wilderness Place,</w:t>
            </w:r>
            <w:r>
              <w:rPr>
                <w:rFonts w:ascii="Times New Roman" w:hAnsi="Times New Roman"/>
                <w:color w:val="000000"/>
                <w:sz w:val="20"/>
              </w:rPr>
              <w:t xml:space="preserve"> </w:t>
            </w:r>
            <w:r>
              <w:rPr>
                <w:rFonts w:ascii="Times New Roman" w:hAnsi="Times New Roman"/>
                <w:b/>
                <w:color w:val="000000"/>
                <w:sz w:val="16"/>
              </w:rPr>
              <w:t>Suite 100</w:t>
            </w:r>
          </w:p>
          <w:p>
            <w:pPr>
              <w:pStyle w:val="TableContents"/>
              <w:bidi w:val="0"/>
              <w:spacing w:before="0" w:after="283"/>
              <w:jc w:val="center"/>
              <w:rPr>
                <w:rFonts w:ascii="Times New Roman" w:hAnsi="Times New Roman"/>
                <w:sz w:val="20"/>
              </w:rPr>
            </w:pPr>
            <w:r>
              <w:rPr>
                <w:rFonts w:ascii="Times New Roman" w:hAnsi="Times New Roman"/>
                <w:b/>
                <w:color w:val="000000"/>
                <w:sz w:val="16"/>
              </w:rPr>
              <w:t>Boulder, Colorado</w:t>
            </w:r>
            <w:r>
              <w:rPr>
                <w:rFonts w:ascii="Times New Roman" w:hAnsi="Times New Roman"/>
                <w:color w:val="000000"/>
                <w:sz w:val="20"/>
              </w:rPr>
              <w:t> </w:t>
            </w:r>
            <w:r>
              <w:rPr>
                <w:rFonts w:ascii="Times New Roman" w:hAnsi="Times New Roman"/>
                <w:b/>
                <w:color w:val="000000"/>
                <w:sz w:val="16"/>
              </w:rPr>
              <w:t>80301</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80301</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20" w:after="283"/>
              <w:jc w:val="center"/>
              <w:rPr>
                <w:rFonts w:ascii="Times New Roman" w:hAnsi="Times New Roman"/>
                <w:b w:val="false"/>
                <w:color w:val="000000"/>
                <w:sz w:val="20"/>
              </w:rPr>
            </w:pPr>
            <w:r>
              <w:rPr>
                <w:rFonts w:ascii="Times New Roman" w:hAnsi="Times New Roman"/>
                <w:b w:val="false"/>
                <w:color w:val="000000"/>
                <w:sz w:val="20"/>
              </w:rPr>
              <w:t>Common Stock, par value $0.001 per share</w:t>
            </w:r>
          </w:p>
        </w:tc>
        <w:tc>
          <w:tcPr>
            <w:tcW w:w="146" w:type="dxa"/>
            <w:tcBorders/>
            <w:vAlign w:val="center"/>
          </w:tcPr>
          <w:p>
            <w:pPr>
              <w:pStyle w:val="TableContents"/>
              <w:bidi w:val="0"/>
              <w:spacing w:before="20" w:after="283"/>
              <w:jc w:val="center"/>
              <w:rPr/>
            </w:pPr>
            <w:r>
              <w:rPr/>
              <w:t> </w:t>
            </w:r>
          </w:p>
        </w:tc>
        <w:tc>
          <w:tcPr>
            <w:tcW w:w="826" w:type="dxa"/>
            <w:tcBorders/>
            <w:vAlign w:val="center"/>
          </w:tcPr>
          <w:p>
            <w:pPr>
              <w:pStyle w:val="TableContents"/>
              <w:bidi w:val="0"/>
              <w:spacing w:before="20" w:after="283"/>
              <w:jc w:val="center"/>
              <w:rPr>
                <w:rFonts w:ascii="Times New Roman" w:hAnsi="Times New Roman"/>
                <w:b w:val="false"/>
                <w:color w:val="000000"/>
                <w:sz w:val="20"/>
              </w:rPr>
            </w:pPr>
            <w:r>
              <w:rPr>
                <w:rFonts w:ascii="Times New Roman" w:hAnsi="Times New Roman"/>
                <w:b w:val="false"/>
                <w:color w:val="000000"/>
                <w:sz w:val="20"/>
              </w:rPr>
              <w:t>BDSX</w:t>
            </w:r>
          </w:p>
        </w:tc>
        <w:tc>
          <w:tcPr>
            <w:tcW w:w="146" w:type="dxa"/>
            <w:tcBorders/>
            <w:vAlign w:val="center"/>
          </w:tcPr>
          <w:p>
            <w:pPr>
              <w:pStyle w:val="TableContents"/>
              <w:bidi w:val="0"/>
              <w:spacing w:before="20" w:after="283"/>
              <w:jc w:val="center"/>
              <w:rPr/>
            </w:pPr>
            <w:r>
              <w:rPr/>
              <w:t> </w:t>
            </w:r>
          </w:p>
        </w:tc>
        <w:tc>
          <w:tcPr>
            <w:tcW w:w="3316" w:type="dxa"/>
            <w:tcBorders/>
            <w:vAlign w:val="center"/>
          </w:tcPr>
          <w:p>
            <w:pPr>
              <w:pStyle w:val="TableContents"/>
              <w:bidi w:val="0"/>
              <w:spacing w:before="20" w:after="283"/>
              <w:jc w:val="center"/>
              <w:rPr>
                <w:rFonts w:ascii="Times New Roman" w:hAnsi="Times New Roman"/>
                <w:b w:val="false"/>
                <w:color w:val="000000"/>
                <w:sz w:val="20"/>
              </w:rPr>
            </w:pPr>
            <w:r>
              <w:rPr>
                <w:rFonts w:ascii="Times New Roman" w:hAnsi="Times New Roman"/>
                <w:b w:val="false"/>
                <w:color w:val="000000"/>
                <w:sz w:val="20"/>
              </w:rPr>
              <w:t>The NASDAQ Global Market</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00" w:after="283"/>
        <w:jc w:val="both"/>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00" w:after="283"/>
        <w:jc w:val="both"/>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b w:val="false"/>
          <w:color w:val="000000"/>
          <w:sz w:val="18"/>
        </w:rPr>
      </w:pPr>
      <w:r>
        <w:rPr>
          <w:rFonts w:ascii="Times New Roman" w:hAnsi="Times New Roman"/>
          <w:b w:val="false"/>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283"/>
        <w:jc w:val="both"/>
        <w:rPr>
          <w:rFonts w:ascii="Times New Roman" w:hAnsi="Times New Roman"/>
          <w:sz w:val="20"/>
        </w:rPr>
      </w:pPr>
      <w:r>
        <w:rPr>
          <w:rFonts w:ascii="Times New Roman" w:hAnsi="Times New Roman"/>
          <w:b w:val="false"/>
          <w:color w:val="000000"/>
          <w:sz w:val="18"/>
        </w:rPr>
        <w:t>As of November 1, 2023, the Registrant had 90,476,295</w:t>
      </w:r>
      <w:r>
        <w:rPr>
          <w:rFonts w:ascii="Times New Roman" w:hAnsi="Times New Roman"/>
          <w:color w:val="000000"/>
          <w:sz w:val="20"/>
        </w:rPr>
        <w:t xml:space="preserve"> </w:t>
      </w:r>
      <w:r>
        <w:rPr>
          <w:rFonts w:ascii="Times New Roman" w:hAnsi="Times New Roman"/>
          <w:b w:val="false"/>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3"/>
        <w:gridCol w:w="8840"/>
        <w:gridCol w:w="512"/>
      </w:tblGrid>
      <w:tr>
        <w:trPr/>
        <w:tc>
          <w:tcPr>
            <w:tcW w:w="853" w:type="dxa"/>
            <w:tcBorders/>
            <w:vAlign w:val="center"/>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b w:val="false"/>
                  <w:color w:val="0000FF"/>
                  <w:sz w:val="20"/>
                  <w:u w:val="single"/>
                </w:rPr>
                <w:t>Condensed Balance Sheets as of September 30, 2023 and December 31,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b w:val="false"/>
                  <w:color w:val="0000FF"/>
                  <w:sz w:val="20"/>
                  <w:u w:val="single"/>
                </w:rPr>
                <w:t>Condensed Statements of Operations for the Three and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hanges_in_converti">
              <w:r>
                <w:rPr>
                  <w:rStyle w:val="InternetLink"/>
                  <w:rFonts w:ascii="Times New Roman" w:hAnsi="Times New Roman"/>
                  <w:b w:val="false"/>
                  <w:color w:val="0000FF"/>
                  <w:sz w:val="20"/>
                  <w:u w:val="single"/>
                </w:rPr>
                <w:t>Condensed Statements Stockholders' (Deficit) Equity for the Three and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b w:val="false"/>
                  <w:color w:val="0000FF"/>
                  <w:sz w:val="20"/>
                  <w:u w:val="single"/>
                </w:rPr>
                <w:t>Condensed Statements of Cash Flows for the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b w:val="false"/>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2022, regarding,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unaudited financial statements include a statement that there is a substantial doubt about our ability to continue as a going concern, and a continuation of negative financial trends could result in our inability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attain significant market acceptance among payers, providers, clinics, patients, and biopharmaceutical companies for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difficulties managing our growth, which could disrupt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maintain our current relationships, or enter into new relationships, with biopharmaceutical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significant fluctuation in our operating results, causing our operating results to fall below expectations or any guidance we provide;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 performance and reliability to maintain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third-party suppliers, including courier services, contract manufacturers and single source suppliers, making us vulnerable to supply problems and price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a pandemic, epidemic, or outbreak of an infectious disease in the United States (U.S.) or worldwide, including the COVID-19 pandemic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natural or man-made disasters and other similar events negatively impacting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inability to continue to innovate and improve our diagnostic tests and services we offer;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security or data privacy breaches or other unauthorized or improper access;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significant disruptions in our information technology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incurrence of substantial liabilities and limiting or halting the marketing and sale of our diagnostic tests due to product liability lawsuits;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inability to compete successfully with competition from many sources, including larger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performance issues, service interruptions or price increases by our shipping carriers and warehousing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cost-containment efforts of our customers, purchasing groups and integrated delivery networks having a material adverse effect on our sales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potential effects of litigation and other proceedings;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economic and financial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attract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current and future debt financing placing restrictions on our operating and financial flexibility;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need to raise additional capital to fund our existing operations, develop our platform, commercialize new diagnostic tests, or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acquisition of other businesses, which could require significant management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uncertainty of the insurance coverage and reimbursement status of newly approved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future healthcare reform measures that could hinder or prevent the commercial success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anti-corruption, anti-bribery, anti-money laundering and similar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healthcare fraud and abuse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future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volatility of the trading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 risks, uncertainties and factors, including those set forth under "Risk Factors".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71"/>
        <w:gridCol w:w="146"/>
        <w:gridCol w:w="333"/>
        <w:gridCol w:w="1327"/>
        <w:gridCol w:w="166"/>
        <w:gridCol w:w="146"/>
        <w:gridCol w:w="325"/>
        <w:gridCol w:w="1297"/>
        <w:gridCol w:w="594"/>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4" w:type="dxa"/>
            <w:gridSpan w:val="6"/>
            <w:tcBorders/>
            <w:shd w:fill="FFFFFF" w:val="cle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5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vAlign w:val="center"/>
          </w:tcPr>
          <w:p>
            <w:pPr>
              <w:pStyle w:val="TableContents"/>
              <w:bidi w:val="0"/>
              <w:spacing w:before="0" w:after="283"/>
              <w:jc w:val="center"/>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6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both"/>
              <w:rPr/>
            </w:pPr>
            <w:r>
              <w:rPr/>
              <w:t> </w:t>
            </w:r>
          </w:p>
        </w:tc>
        <w:tc>
          <w:tcPr>
            <w:tcW w:w="1622"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19,841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43,088</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net of allowance for doubtful accounts of $57</w:t>
            </w:r>
            <w:r>
              <w:rPr>
                <w:rFonts w:ascii="Times New Roman" w:hAnsi="Times New Roman"/>
                <w:color w:val="000000"/>
                <w:sz w:val="20"/>
              </w:rPr>
              <w:t> </w:t>
            </w:r>
            <w:r>
              <w:rPr>
                <w:rFonts w:ascii="Times New Roman" w:hAnsi="Times New Roman"/>
                <w:b w:val="false"/>
                <w:color w:val="000000"/>
                <w:sz w:val="20"/>
              </w:rPr>
              <w:t>and $118</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53,334</w:t>
            </w:r>
          </w:p>
        </w:tc>
        <w:tc>
          <w:tcPr>
            <w:tcW w:w="594" w:type="dxa"/>
            <w:tcBorders/>
            <w:shd w:fill="FFFFFF" w:val="clear"/>
            <w:vAlign w:val="center"/>
          </w:tcPr>
          <w:p>
            <w:pPr>
              <w:pStyle w:val="TableContents"/>
              <w:bidi w:val="0"/>
              <w:spacing w:before="0" w:after="283"/>
              <w:jc w:val="left"/>
              <w:rPr/>
            </w:pPr>
            <w:r>
              <w:rPr/>
              <w:t> </w:t>
            </w:r>
          </w:p>
        </w:tc>
      </w:tr>
      <w:tr>
        <w:trPr/>
        <w:tc>
          <w:tcPr>
            <w:tcW w:w="5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w:t>
              <w:noBreakHyphen/>
              <w:t>current assets</w:t>
            </w:r>
          </w:p>
        </w:tc>
        <w:tc>
          <w:tcPr>
            <w:tcW w:w="146" w:type="dxa"/>
            <w:tcBorders/>
            <w:shd w:fill="CFF0FC" w:val="clear"/>
            <w:vAlign w:val="center"/>
          </w:tcPr>
          <w:p>
            <w:pPr>
              <w:pStyle w:val="TableContents"/>
              <w:bidi w:val="0"/>
              <w:spacing w:before="0" w:after="283"/>
              <w:jc w:val="left"/>
              <w:rPr/>
            </w:pPr>
            <w:r>
              <w:rPr/>
              <w:t> </w:t>
            </w:r>
          </w:p>
        </w:tc>
        <w:tc>
          <w:tcPr>
            <w:tcW w:w="16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2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9,797</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15,031</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non</w:t>
              <w:noBreakHyphen/>
              <w:t>current assets</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39,572</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92,906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6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9611"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 Equity</w:t>
            </w:r>
          </w:p>
        </w:tc>
        <w:tc>
          <w:tcPr>
            <w:tcW w:w="594" w:type="dxa"/>
            <w:tcBorders/>
            <w:shd w:fill="FFFFFF" w:val="clear"/>
            <w:vAlign w:val="center"/>
          </w:tcPr>
          <w:p>
            <w:pPr>
              <w:pStyle w:val="TableContents"/>
              <w:bidi w:val="0"/>
              <w:spacing w:before="0" w:after="283"/>
              <w:jc w:val="center"/>
              <w:rPr/>
            </w:pPr>
            <w:r>
              <w:rPr/>
              <w:t> </w:t>
            </w:r>
          </w:p>
        </w:tc>
      </w:tr>
      <w:tr>
        <w:trPr/>
        <w:tc>
          <w:tcPr>
            <w:tcW w:w="5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6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62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8,218</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1,543</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contingent consideration</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notes payable</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32,649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22,839</w:t>
            </w:r>
          </w:p>
        </w:tc>
        <w:tc>
          <w:tcPr>
            <w:tcW w:w="594" w:type="dxa"/>
            <w:tcBorders/>
            <w:shd w:fill="CCEEFF" w:val="clear"/>
            <w:vAlign w:val="center"/>
          </w:tcPr>
          <w:p>
            <w:pPr>
              <w:pStyle w:val="TableContents"/>
              <w:bidi w:val="0"/>
              <w:spacing w:before="0" w:after="283"/>
              <w:jc w:val="left"/>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w:t>
              <w:noBreakHyphen/>
              <w:t>current liabilities</w:t>
            </w:r>
          </w:p>
        </w:tc>
        <w:tc>
          <w:tcPr>
            <w:tcW w:w="146" w:type="dxa"/>
            <w:tcBorders/>
            <w:shd w:fill="FFFFFF" w:val="clear"/>
            <w:vAlign w:val="center"/>
          </w:tcPr>
          <w:p>
            <w:pPr>
              <w:pStyle w:val="TableContents"/>
              <w:bidi w:val="0"/>
              <w:spacing w:before="0" w:after="283"/>
              <w:jc w:val="left"/>
              <w:rPr/>
            </w:pPr>
            <w:r>
              <w:rPr/>
              <w:t> </w:t>
            </w:r>
          </w:p>
        </w:tc>
        <w:tc>
          <w:tcPr>
            <w:tcW w:w="16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22"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w:t>
              <w:noBreakHyphen/>
              <w:t>term notes payable, net of current portion</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25,004</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5,254</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18,645</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non</w:t>
              <w:noBreakHyphen/>
              <w:t>current liabilities</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49,461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72,300</w:t>
            </w:r>
          </w:p>
        </w:tc>
        <w:tc>
          <w:tcPr>
            <w:tcW w:w="594" w:type="dxa"/>
            <w:tcBorders/>
            <w:shd w:fill="FFFFFF" w:val="clear"/>
            <w:vAlign w:val="center"/>
          </w:tcPr>
          <w:p>
            <w:pPr>
              <w:pStyle w:val="TableContents"/>
              <w:bidi w:val="0"/>
              <w:spacing w:before="0" w:after="283"/>
              <w:jc w:val="left"/>
              <w:rPr/>
            </w:pPr>
            <w:r>
              <w:rPr/>
              <w:t> </w:t>
            </w:r>
          </w:p>
        </w:tc>
      </w:tr>
      <w:tr>
        <w:trPr/>
        <w:tc>
          <w:tcPr>
            <w:tcW w:w="5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6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2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6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22"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5,000,000</w:t>
            </w:r>
            <w:r>
              <w:rPr>
                <w:rFonts w:ascii="Times New Roman" w:hAnsi="Times New Roman"/>
                <w:color w:val="000000"/>
                <w:sz w:val="20"/>
              </w:rPr>
              <w:t> </w:t>
            </w:r>
            <w:r>
              <w:rPr>
                <w:rFonts w:ascii="Times New Roman" w:hAnsi="Times New Roman"/>
                <w:b w:val="false"/>
                <w:color w:val="000000"/>
                <w:sz w:val="20"/>
              </w:rPr>
              <w:t xml:space="preserve">authorized; </w:t>
              <w:br/>
              <w:t>    0</w:t>
            </w:r>
            <w:r>
              <w:rPr>
                <w:rFonts w:ascii="Times New Roman" w:hAnsi="Times New Roman"/>
                <w:color w:val="000000"/>
                <w:sz w:val="20"/>
              </w:rPr>
              <w:t> </w:t>
            </w:r>
            <w:r>
              <w:rPr>
                <w:rFonts w:ascii="Times New Roman" w:hAnsi="Times New Roman"/>
                <w:b w:val="false"/>
                <w:color w:val="000000"/>
                <w:sz w:val="20"/>
              </w:rPr>
              <w:t>(2023 and 2022) issued and outstanding</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color w:val="000000"/>
              </w:rPr>
            </w:pPr>
            <w:r>
              <w:rPr>
                <w:color w:val="000000"/>
              </w:rPr>
              <w:t>—</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200,000,000</w:t>
            </w:r>
            <w:r>
              <w:rPr>
                <w:rFonts w:ascii="Times New Roman" w:hAnsi="Times New Roman"/>
                <w:color w:val="000000"/>
                <w:sz w:val="20"/>
              </w:rPr>
              <w:t> </w:t>
            </w:r>
            <w:r>
              <w:rPr>
                <w:rFonts w:ascii="Times New Roman" w:hAnsi="Times New Roman"/>
                <w:b w:val="false"/>
                <w:color w:val="000000"/>
                <w:sz w:val="20"/>
              </w:rPr>
              <w:t xml:space="preserve">authorized; </w:t>
              <w:br/>
              <w:t>    88,315,802</w:t>
            </w:r>
            <w:r>
              <w:rPr>
                <w:rFonts w:ascii="Times New Roman" w:hAnsi="Times New Roman"/>
                <w:color w:val="000000"/>
                <w:sz w:val="20"/>
              </w:rPr>
              <w:t> </w:t>
            </w:r>
            <w:r>
              <w:rPr>
                <w:rFonts w:ascii="Times New Roman" w:hAnsi="Times New Roman"/>
                <w:b w:val="false"/>
                <w:color w:val="000000"/>
                <w:sz w:val="20"/>
              </w:rPr>
              <w:t>(2023) and 77,614,358</w:t>
            </w:r>
            <w:r>
              <w:rPr>
                <w:rFonts w:ascii="Times New Roman" w:hAnsi="Times New Roman"/>
                <w:color w:val="000000"/>
                <w:sz w:val="20"/>
              </w:rPr>
              <w:t> </w:t>
            </w:r>
            <w:r>
              <w:rPr>
                <w:rFonts w:ascii="Times New Roman" w:hAnsi="Times New Roman"/>
                <w:b w:val="false"/>
                <w:color w:val="000000"/>
                <w:sz w:val="20"/>
              </w:rPr>
              <w:t>(2022) shares issued and outstanding</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w:t>
              <w:noBreakHyphen/>
              <w:t>in capital</w:t>
            </w:r>
          </w:p>
        </w:tc>
        <w:tc>
          <w:tcPr>
            <w:tcW w:w="146" w:type="dxa"/>
            <w:tcBorders/>
            <w:shd w:fill="CFF0FC"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408,893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387,948</w:t>
            </w:r>
          </w:p>
        </w:tc>
        <w:tc>
          <w:tcPr>
            <w:tcW w:w="594" w:type="dxa"/>
            <w:tcBorders/>
            <w:shd w:fill="CCEEFF" w:val="clear"/>
            <w:vAlign w:val="center"/>
          </w:tcPr>
          <w:p>
            <w:pPr>
              <w:pStyle w:val="TableContents"/>
              <w:bidi w:val="0"/>
              <w:spacing w:before="0" w:after="283"/>
              <w:ind w:left="0" w:right="0" w:firstLine="200"/>
              <w:jc w:val="left"/>
              <w:rPr/>
            </w:pPr>
            <w:r>
              <w:rPr/>
              <w:t> </w:t>
            </w:r>
          </w:p>
        </w:tc>
      </w:tr>
      <w:tr>
        <w:trPr/>
        <w:tc>
          <w:tcPr>
            <w:tcW w:w="5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(367,420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8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(deficit) equity</w:t>
            </w:r>
          </w:p>
        </w:tc>
        <w:tc>
          <w:tcPr>
            <w:tcW w:w="146" w:type="dxa"/>
            <w:tcBorders/>
            <w:shd w:fill="CCEEFF" w:val="clear"/>
            <w:vAlign w:val="center"/>
          </w:tcPr>
          <w:p>
            <w:pPr>
              <w:pStyle w:val="TableContents"/>
              <w:bidi w:val="0"/>
              <w:spacing w:before="0" w:after="283"/>
              <w:jc w:val="left"/>
              <w:rPr/>
            </w:pPr>
            <w:r>
              <w:rPr/>
              <w:t> </w:t>
            </w:r>
          </w:p>
        </w:tc>
        <w:tc>
          <w:tcPr>
            <w:tcW w:w="3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20,606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(deficit) equity</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92,906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33"/>
        <w:gridCol w:w="146"/>
        <w:gridCol w:w="271"/>
        <w:gridCol w:w="949"/>
        <w:gridCol w:w="213"/>
        <w:gridCol w:w="187"/>
        <w:gridCol w:w="271"/>
        <w:gridCol w:w="949"/>
        <w:gridCol w:w="166"/>
        <w:gridCol w:w="146"/>
        <w:gridCol w:w="264"/>
        <w:gridCol w:w="921"/>
        <w:gridCol w:w="207"/>
        <w:gridCol w:w="182"/>
        <w:gridCol w:w="264"/>
        <w:gridCol w:w="921"/>
        <w:gridCol w:w="415"/>
      </w:tblGrid>
      <w:tr>
        <w:trPr/>
        <w:tc>
          <w:tcPr>
            <w:tcW w:w="3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7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13,491</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34,419</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28,605</w:t>
            </w:r>
          </w:p>
        </w:tc>
        <w:tc>
          <w:tcPr>
            <w:tcW w:w="415" w:type="dxa"/>
            <w:tcBorders/>
            <w:shd w:fill="CCEEFF" w:val="clear"/>
            <w:vAlign w:val="center"/>
          </w:tcPr>
          <w:p>
            <w:pPr>
              <w:pStyle w:val="TableContents"/>
              <w:bidi w:val="0"/>
              <w:spacing w:before="0" w:after="283"/>
              <w:jc w:val="left"/>
              <w:rPr/>
            </w:pPr>
            <w:r>
              <w:rPr/>
              <w:t> </w:t>
            </w:r>
          </w:p>
        </w:tc>
      </w:tr>
      <w:tr>
        <w:trPr/>
        <w:tc>
          <w:tcPr>
            <w:tcW w:w="37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ind w:left="0" w:right="0" w:firstLine="200"/>
              <w:jc w:val="right"/>
              <w:rPr/>
            </w:pPr>
            <w:r>
              <w:rPr/>
              <w:t> </w:t>
            </w:r>
          </w:p>
        </w:tc>
      </w:tr>
      <w:tr>
        <w:trPr/>
        <w:tc>
          <w:tcPr>
            <w:tcW w:w="37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Direct costs and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3,229</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9,636</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w:t>
            </w:r>
          </w:p>
        </w:tc>
        <w:tc>
          <w:tcPr>
            <w:tcW w:w="415" w:type="dxa"/>
            <w:tcBorders/>
            <w:shd w:fill="CCEEFF" w:val="clear"/>
            <w:vAlign w:val="center"/>
          </w:tcPr>
          <w:p>
            <w:pPr>
              <w:pStyle w:val="TableContents"/>
              <w:bidi w:val="0"/>
              <w:spacing w:before="0" w:after="283"/>
              <w:ind w:left="0" w:right="0" w:firstLine="200"/>
              <w:jc w:val="left"/>
              <w:rPr/>
            </w:pPr>
            <w:r>
              <w:rPr/>
              <w:t> </w:t>
            </w:r>
          </w:p>
        </w:tc>
      </w:tr>
      <w:tr>
        <w:trPr/>
        <w:tc>
          <w:tcPr>
            <w:tcW w:w="37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1,938</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8,099</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9,537</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37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marketing, general and administrative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15,496</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51,136</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44,836</w:t>
            </w:r>
          </w:p>
        </w:tc>
        <w:tc>
          <w:tcPr>
            <w:tcW w:w="415" w:type="dxa"/>
            <w:tcBorders/>
            <w:shd w:fill="CCEEFF" w:val="clear"/>
            <w:vAlign w:val="center"/>
          </w:tcPr>
          <w:p>
            <w:pPr>
              <w:pStyle w:val="TableContents"/>
              <w:bidi w:val="0"/>
              <w:spacing w:before="0" w:after="283"/>
              <w:ind w:left="0" w:right="0" w:firstLine="200"/>
              <w:jc w:val="left"/>
              <w:rPr/>
            </w:pPr>
            <w:r>
              <w:rPr/>
              <w:t> </w:t>
            </w:r>
          </w:p>
        </w:tc>
      </w:tr>
      <w:tr>
        <w:trPr/>
        <w:tc>
          <w:tcPr>
            <w:tcW w:w="37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loss on intangible assets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68,891</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65,302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(7,172</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(34,472</w:t>
            </w:r>
          </w:p>
        </w:tc>
        <w:tc>
          <w:tcPr>
            <w:tcW w:w="2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(36,697</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left"/>
              <w:rPr>
                <w:sz w:val="4"/>
                <w:szCs w:val="4"/>
              </w:rPr>
            </w:pPr>
            <w:r>
              <w:rPr>
                <w:sz w:val="4"/>
                <w:szCs w:val="4"/>
              </w:rPr>
            </w:r>
          </w:p>
        </w:tc>
        <w:tc>
          <w:tcPr>
            <w:tcW w:w="213"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sz w:val="4"/>
                <w:szCs w:val="4"/>
              </w:rPr>
            </w:pPr>
            <w:r>
              <w:rPr>
                <w:sz w:val="4"/>
                <w:szCs w:val="4"/>
              </w:rPr>
            </w:r>
          </w:p>
        </w:tc>
        <w:tc>
          <w:tcPr>
            <w:tcW w:w="207"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sz w:val="4"/>
                <w:szCs w:val="4"/>
              </w:rPr>
            </w:pPr>
            <w:r>
              <w:rPr>
                <w:sz w:val="4"/>
                <w:szCs w:val="4"/>
              </w:rPr>
            </w:r>
          </w:p>
        </w:tc>
        <w:tc>
          <w:tcPr>
            <w:tcW w:w="415" w:type="dxa"/>
            <w:tcBorders/>
            <w:shd w:fill="CFF0FC" w:val="clear"/>
            <w:vAlign w:val="center"/>
          </w:tcPr>
          <w:p>
            <w:pPr>
              <w:pStyle w:val="TableContents"/>
              <w:bidi w:val="0"/>
              <w:spacing w:before="0" w:after="283"/>
              <w:ind w:left="0" w:right="0" w:firstLine="200"/>
              <w:jc w:val="right"/>
              <w:rPr/>
            </w:pPr>
            <w:r>
              <w:rPr/>
              <w:t> </w:t>
            </w:r>
          </w:p>
        </w:tc>
      </w:tr>
      <w:tr>
        <w:trPr/>
        <w:tc>
          <w:tcPr>
            <w:tcW w:w="37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(2,386</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(7,207</w:t>
            </w:r>
          </w:p>
        </w:tc>
        <w:tc>
          <w:tcPr>
            <w:tcW w:w="2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(5,522</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liabilities, net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color w:val="000000"/>
              </w:rPr>
            </w:pPr>
            <w:r>
              <w:rPr>
                <w:color w:val="000000"/>
              </w:rPr>
              <w:t>—</w:t>
            </w:r>
          </w:p>
        </w:tc>
        <w:tc>
          <w:tcPr>
            <w:tcW w:w="213" w:type="dxa"/>
            <w:tcBorders/>
            <w:shd w:fill="CCEEFF"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color w:val="000000"/>
              </w:rPr>
            </w:pPr>
            <w:r>
              <w:rPr>
                <w:color w:val="000000"/>
              </w:rPr>
              <w:t>—</w:t>
            </w:r>
          </w:p>
        </w:tc>
        <w:tc>
          <w:tcPr>
            <w:tcW w:w="207" w:type="dxa"/>
            <w:tcBorders/>
            <w:shd w:fill="CCEEFF"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(3,004</w:t>
            </w:r>
          </w:p>
        </w:tc>
        <w:tc>
          <w:tcPr>
            <w:tcW w:w="415"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 net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2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37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expense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(3,777</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(8,535</w:t>
            </w:r>
          </w:p>
        </w:tc>
        <w:tc>
          <w:tcPr>
            <w:tcW w:w="2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(8,412</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(43,007</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(45,109</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(0.14</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(0.55</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79,709</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78,672</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36,953</w:t>
            </w:r>
          </w:p>
        </w:tc>
        <w:tc>
          <w:tcPr>
            <w:tcW w:w="4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(Deficit)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3"/>
        <w:gridCol w:w="146"/>
        <w:gridCol w:w="146"/>
        <w:gridCol w:w="676"/>
        <w:gridCol w:w="146"/>
        <w:gridCol w:w="146"/>
        <w:gridCol w:w="295"/>
        <w:gridCol w:w="486"/>
        <w:gridCol w:w="146"/>
        <w:gridCol w:w="146"/>
        <w:gridCol w:w="268"/>
        <w:gridCol w:w="1000"/>
        <w:gridCol w:w="166"/>
        <w:gridCol w:w="146"/>
        <w:gridCol w:w="243"/>
        <w:gridCol w:w="973"/>
        <w:gridCol w:w="166"/>
        <w:gridCol w:w="146"/>
        <w:gridCol w:w="386"/>
        <w:gridCol w:w="1352"/>
        <w:gridCol w:w="213"/>
      </w:tblGrid>
      <w:tr>
        <w:trPr/>
        <w:tc>
          <w:tcPr>
            <w:tcW w:w="2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213" w:type="dxa"/>
            <w:tcBorders/>
            <w:shd w:fill="FFFFFF" w:val="clear"/>
            <w:vAlign w:val="center"/>
          </w:tcPr>
          <w:p>
            <w:pPr>
              <w:pStyle w:val="TableContents"/>
              <w:bidi w:val="0"/>
              <w:spacing w:before="0" w:after="283"/>
              <w:jc w:val="center"/>
              <w:rPr/>
            </w:pPr>
            <w:r>
              <w:rPr/>
              <w:t> </w:t>
            </w:r>
          </w:p>
        </w:tc>
      </w:tr>
      <w:tr>
        <w:trPr/>
        <w:tc>
          <w:tcPr>
            <w:tcW w:w="28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387,948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(367,420</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20,606</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employee stock purchase plan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restricted stock units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color w:val="000000"/>
              </w:rPr>
            </w:pPr>
            <w:r>
              <w:rPr>
                <w:color w:val="000000"/>
              </w:rPr>
              <w:t>—</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2,281</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(18,702</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(386,122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4,550</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warrants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(13,356</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(6,993</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net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15,316</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81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6"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w:t>
            </w:r>
          </w:p>
        </w:tc>
        <w:tc>
          <w:tcPr>
            <w:tcW w:w="213" w:type="dxa"/>
            <w:tcBorders/>
            <w:shd w:fill="CCEEFF"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13"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2023</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88,316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408,893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(410,427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(1,446</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7"/>
        <w:gridCol w:w="146"/>
        <w:gridCol w:w="146"/>
        <w:gridCol w:w="676"/>
        <w:gridCol w:w="146"/>
        <w:gridCol w:w="146"/>
        <w:gridCol w:w="295"/>
        <w:gridCol w:w="486"/>
        <w:gridCol w:w="146"/>
        <w:gridCol w:w="146"/>
        <w:gridCol w:w="268"/>
        <w:gridCol w:w="1001"/>
        <w:gridCol w:w="146"/>
        <w:gridCol w:w="146"/>
        <w:gridCol w:w="243"/>
        <w:gridCol w:w="973"/>
        <w:gridCol w:w="166"/>
        <w:gridCol w:w="146"/>
        <w:gridCol w:w="387"/>
        <w:gridCol w:w="1356"/>
        <w:gridCol w:w="213"/>
      </w:tblGrid>
      <w:tr>
        <w:trPr/>
        <w:tc>
          <w:tcPr>
            <w:tcW w:w="2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213" w:type="dxa"/>
            <w:tcBorders/>
            <w:shd w:fill="FFFFFF" w:val="clear"/>
            <w:vAlign w:val="center"/>
          </w:tcPr>
          <w:p>
            <w:pPr>
              <w:pStyle w:val="TableContents"/>
              <w:bidi w:val="0"/>
              <w:spacing w:before="0" w:after="283"/>
              <w:jc w:val="center"/>
              <w:rPr/>
            </w:pPr>
            <w:r>
              <w:rPr/>
              <w:t> </w:t>
            </w:r>
          </w:p>
        </w:tc>
      </w:tr>
      <w:tr>
        <w:trPr/>
        <w:tc>
          <w:tcPr>
            <w:tcW w:w="28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7"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321,669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(301,973</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38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19,727</w:t>
            </w:r>
          </w:p>
        </w:tc>
        <w:tc>
          <w:tcPr>
            <w:tcW w:w="213" w:type="dxa"/>
            <w:tcBorders/>
            <w:shd w:fill="CCEEFF"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employee stock purchase plan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213" w:type="dxa"/>
            <w:tcBorders/>
            <w:shd w:fill="CCEEFF"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for deferred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87"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13" w:type="dxa"/>
            <w:tcBorders/>
            <w:shd w:fill="CCEEFF"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(15,586</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2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(317,559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7,781</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14,329</w:t>
            </w:r>
          </w:p>
        </w:tc>
        <w:tc>
          <w:tcPr>
            <w:tcW w:w="213" w:type="dxa"/>
            <w:tcBorders/>
            <w:shd w:fill="CFF0FC"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2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(333,383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7,671</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213" w:type="dxa"/>
            <w:tcBorders/>
            <w:shd w:fill="CFF0FC"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1,745</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213" w:type="dxa"/>
            <w:tcBorders/>
            <w:shd w:fill="CFF0FC"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w:t>
              <w:noBreakHyphen/>
              <w:t>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w:t>
            </w:r>
          </w:p>
        </w:tc>
        <w:tc>
          <w:tcPr>
            <w:tcW w:w="213" w:type="dxa"/>
            <w:tcBorders/>
            <w:shd w:fill="CFF0FC" w:val="clear"/>
            <w:vAlign w:val="center"/>
          </w:tcPr>
          <w:p>
            <w:pPr>
              <w:pStyle w:val="TableContents"/>
              <w:bidi w:val="0"/>
              <w:spacing w:before="0" w:after="283"/>
              <w:jc w:val="left"/>
              <w:rPr/>
            </w:pPr>
            <w:r>
              <w:rPr/>
              <w:t> </w:t>
            </w:r>
          </w:p>
        </w:tc>
      </w:tr>
      <w:tr>
        <w:trPr/>
        <w:tc>
          <w:tcPr>
            <w:tcW w:w="2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2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490"/>
        <w:gridCol w:w="146"/>
        <w:gridCol w:w="283"/>
        <w:gridCol w:w="987"/>
        <w:gridCol w:w="221"/>
        <w:gridCol w:w="195"/>
        <w:gridCol w:w="283"/>
        <w:gridCol w:w="987"/>
        <w:gridCol w:w="613"/>
      </w:tblGrid>
      <w:tr>
        <w:trPr/>
        <w:tc>
          <w:tcPr>
            <w:tcW w:w="6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4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tc>
        <w:tc>
          <w:tcPr>
            <w:tcW w:w="146"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ind w:left="0" w:right="0" w:firstLine="200"/>
              <w:jc w:val="righ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(43,007</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(45,109</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cash equivalents, and restricted</w:t>
              <w:br/>
              <w:t>   cash used in operating activities</w:t>
            </w:r>
          </w:p>
        </w:tc>
        <w:tc>
          <w:tcPr>
            <w:tcW w:w="146"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ind w:left="0" w:right="0" w:firstLine="400"/>
              <w:jc w:val="righ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2,699</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lease right-of-use assets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1,851</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w:t>
            </w:r>
          </w:p>
        </w:tc>
        <w:tc>
          <w:tcPr>
            <w:tcW w:w="613" w:type="dxa"/>
            <w:tcBorders/>
            <w:shd w:fill="CCEEFF" w:val="cle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on extinguishment of liabilities, net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3,004</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Share</w:t>
              <w:noBreakHyphen/>
              <w:t>based compensation expense</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3,884</w:t>
            </w:r>
          </w:p>
        </w:tc>
        <w:tc>
          <w:tcPr>
            <w:tcW w:w="613" w:type="dxa"/>
            <w:tcBorders/>
            <w:shd w:fill="CCEEFF" w:val="cle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 in fair value of warrant liability, net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doubtful accounts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613" w:type="dxa"/>
            <w:tcBorders/>
            <w:shd w:fill="CCEE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interest, amortization of debt issuance costs and other</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3,954</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5,011</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Inventory excess and obsolescence</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w:t>
            </w:r>
          </w:p>
        </w:tc>
        <w:tc>
          <w:tcPr>
            <w:tcW w:w="613" w:type="dxa"/>
            <w:tcBorders/>
            <w:shd w:fill="CCEEFF" w:val="cle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loss on intangible assets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ind w:left="0" w:right="0" w:firstLine="400"/>
              <w:jc w:val="righ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(1,178</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6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w:t>
            </w:r>
          </w:p>
        </w:tc>
        <w:tc>
          <w:tcPr>
            <w:tcW w:w="613" w:type="dxa"/>
            <w:tcBorders/>
            <w:shd w:fill="CCEEFF" w:val="cle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(3,645</w:t>
            </w:r>
          </w:p>
        </w:tc>
        <w:tc>
          <w:tcPr>
            <w:tcW w:w="6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and other accrued liabilities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2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w:t>
            </w:r>
          </w:p>
        </w:tc>
        <w:tc>
          <w:tcPr>
            <w:tcW w:w="613" w:type="dxa"/>
            <w:tcBorders/>
            <w:shd w:fill="CCEE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w:t>
            </w:r>
          </w:p>
        </w:tc>
        <w:tc>
          <w:tcPr>
            <w:tcW w:w="6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Tenant improvement allowances received</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18,323</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color w:val="000000"/>
              </w:rPr>
            </w:pPr>
            <w:r>
              <w:rPr>
                <w:color w:val="000000"/>
              </w:rPr>
              <w:t>—</w:t>
            </w:r>
          </w:p>
        </w:tc>
        <w:tc>
          <w:tcPr>
            <w:tcW w:w="613" w:type="dxa"/>
            <w:tcBorders/>
            <w:shd w:fill="CCEEFF" w:val="cle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Current and 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and restricted cash used in operating activities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(10,587</w:t>
            </w:r>
          </w:p>
        </w:tc>
        <w:tc>
          <w:tcPr>
            <w:tcW w:w="22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(33,024</w:t>
            </w:r>
          </w:p>
        </w:tc>
        <w:tc>
          <w:tcPr>
            <w:tcW w:w="613" w:type="dxa"/>
            <w:tcBorders/>
            <w:shd w:fill="CCEE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49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tc>
        <w:tc>
          <w:tcPr>
            <w:tcW w:w="146"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ind w:left="0" w:right="0" w:firstLine="200"/>
              <w:jc w:val="righ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(19,935</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Patent costs and intangible asset acquisition, net</w:t>
            </w:r>
          </w:p>
        </w:tc>
        <w:tc>
          <w:tcPr>
            <w:tcW w:w="146"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and restricted cash used in investing activities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(20,061</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w:t>
            </w:r>
          </w:p>
        </w:tc>
        <w:tc>
          <w:tcPr>
            <w:tcW w:w="6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70" w:type="dxa"/>
            <w:gridSpan w:val="2"/>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issuance of common stock</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15,316</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17,966</w:t>
            </w:r>
          </w:p>
        </w:tc>
        <w:tc>
          <w:tcPr>
            <w:tcW w:w="613" w:type="dxa"/>
            <w:tcBorders/>
            <w:shd w:fill="CCEEFF"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613" w:type="dxa"/>
            <w:tcBorders/>
            <w:shd w:fill="CCEEFF"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contingent consideration</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(7,591</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(8,691</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term loan and notes payable</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color w:val="000000"/>
              </w:rPr>
            </w:pPr>
            <w:r>
              <w:rPr>
                <w:color w:val="000000"/>
              </w:rPr>
              <w:t>—</w:t>
            </w:r>
          </w:p>
        </w:tc>
        <w:tc>
          <w:tcPr>
            <w:tcW w:w="2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15,102</w:t>
            </w:r>
          </w:p>
        </w:tc>
        <w:tc>
          <w:tcPr>
            <w:tcW w:w="613" w:type="dxa"/>
            <w:tcBorders/>
            <w:shd w:fill="CCEEFF"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Repayment of term loan and notes payable</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debt issuance costs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w:t>
            </w:r>
          </w:p>
        </w:tc>
        <w:tc>
          <w:tcPr>
            <w:tcW w:w="22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(2,249</w:t>
            </w:r>
          </w:p>
        </w:tc>
        <w:tc>
          <w:tcPr>
            <w:tcW w:w="613"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offering costs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 financing costs</w:t>
            </w:r>
          </w:p>
        </w:tc>
        <w:tc>
          <w:tcPr>
            <w:tcW w:w="14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22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613"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and restricted cash provided by financing activities</w:t>
            </w:r>
          </w:p>
        </w:tc>
        <w:tc>
          <w:tcPr>
            <w:tcW w:w="146"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7,401</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17,034</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(23,247</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(17,537</w:t>
            </w:r>
          </w:p>
        </w:tc>
        <w:tc>
          <w:tcPr>
            <w:tcW w:w="6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Cash, cash equivalents, and restricted cash </w:t>
              <w:noBreakHyphen/>
              <w:t xml:space="preserve"> beginning of period</w:t>
            </w:r>
          </w:p>
        </w:tc>
        <w:tc>
          <w:tcPr>
            <w:tcW w:w="146"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43,174</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32,798</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Cash, cash equivalents, and restricted cash </w:t>
              <w:noBreakHyphen/>
              <w:t xml:space="preserve"> end of period</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19,927</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15,261</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053"/>
        <w:gridCol w:w="146"/>
        <w:gridCol w:w="319"/>
        <w:gridCol w:w="865"/>
        <w:gridCol w:w="221"/>
        <w:gridCol w:w="221"/>
        <w:gridCol w:w="319"/>
        <w:gridCol w:w="865"/>
        <w:gridCol w:w="196"/>
      </w:tblGrid>
      <w:tr>
        <w:trPr/>
        <w:tc>
          <w:tcPr>
            <w:tcW w:w="7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issued for deferred offering costs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CEEFF" w:val="clear"/>
            <w:vAlign w:val="center"/>
          </w:tcPr>
          <w:p>
            <w:pPr>
              <w:pStyle w:val="TableContents"/>
              <w:bidi w:val="0"/>
              <w:spacing w:before="0" w:after="283"/>
              <w:jc w:val="right"/>
              <w:rPr>
                <w:color w:val="000000"/>
              </w:rPr>
            </w:pPr>
            <w:r>
              <w:rPr>
                <w:color w:val="000000"/>
              </w:rPr>
              <w:t>—</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196" w:type="dxa"/>
            <w:tcBorders/>
            <w:shd w:fill="CCEEFF" w:val="clear"/>
            <w:vAlign w:val="center"/>
          </w:tcPr>
          <w:p>
            <w:pPr>
              <w:pStyle w:val="TableContents"/>
              <w:bidi w:val="0"/>
              <w:spacing w:before="0" w:after="283"/>
              <w:jc w:val="left"/>
              <w:rPr/>
            </w:pPr>
            <w:r>
              <w:rPr/>
              <w:t> </w:t>
            </w:r>
          </w:p>
        </w:tc>
      </w:tr>
      <w:tr>
        <w:trPr/>
        <w:tc>
          <w:tcPr>
            <w:tcW w:w="70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offering costs amortized against Additional paid-in capital</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221"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96" w:type="dxa"/>
            <w:tcBorders/>
            <w:shd w:fill="FFFFFF" w:val="clear"/>
            <w:vAlign w:val="center"/>
          </w:tcPr>
          <w:p>
            <w:pPr>
              <w:pStyle w:val="TableContents"/>
              <w:bidi w:val="0"/>
              <w:spacing w:before="0" w:after="283"/>
              <w:jc w:val="left"/>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Original issue discount associated with Promissory Note One</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color w:val="000000"/>
              </w:rPr>
            </w:pPr>
            <w:r>
              <w:rPr>
                <w:color w:val="000000"/>
              </w:rPr>
              <w:t>—</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w:t>
            </w:r>
          </w:p>
        </w:tc>
        <w:tc>
          <w:tcPr>
            <w:tcW w:w="196" w:type="dxa"/>
            <w:tcBorders/>
            <w:shd w:fill="CCEEFF" w:val="clear"/>
            <w:vAlign w:val="center"/>
          </w:tcPr>
          <w:p>
            <w:pPr>
              <w:pStyle w:val="TableContents"/>
              <w:bidi w:val="0"/>
              <w:spacing w:before="0" w:after="283"/>
              <w:jc w:val="left"/>
              <w:rPr/>
            </w:pPr>
            <w:r>
              <w:rPr/>
              <w:t> </w:t>
            </w:r>
          </w:p>
        </w:tc>
      </w:tr>
      <w:tr>
        <w:trPr/>
        <w:tc>
          <w:tcPr>
            <w:tcW w:w="70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Perceptive Warrants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w:t>
            </w:r>
          </w:p>
        </w:tc>
        <w:tc>
          <w:tcPr>
            <w:tcW w:w="221"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financing costs included in accounts payable and other accrued liabilities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color w:val="000000"/>
              </w:rPr>
            </w:pPr>
            <w:r>
              <w:rPr>
                <w:color w:val="000000"/>
              </w:rPr>
              <w:t>—</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96" w:type="dxa"/>
            <w:tcBorders/>
            <w:shd w:fill="CCEEFF" w:val="clear"/>
            <w:vAlign w:val="center"/>
          </w:tcPr>
          <w:p>
            <w:pPr>
              <w:pStyle w:val="TableContents"/>
              <w:bidi w:val="0"/>
              <w:spacing w:before="0" w:after="283"/>
              <w:jc w:val="left"/>
              <w:rPr/>
            </w:pPr>
            <w:r>
              <w:rPr/>
              <w:t> </w:t>
            </w:r>
          </w:p>
        </w:tc>
      </w:tr>
      <w:tr>
        <w:trPr/>
        <w:tc>
          <w:tcPr>
            <w:tcW w:w="70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 obtained in exchange for lease liabilities at adoption of ASC 842</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221"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1,269</w:t>
            </w:r>
          </w:p>
        </w:tc>
        <w:tc>
          <w:tcPr>
            <w:tcW w:w="196" w:type="dxa"/>
            <w:tcBorders/>
            <w:shd w:fill="FFFFFF" w:val="clear"/>
            <w:vAlign w:val="center"/>
          </w:tcPr>
          <w:p>
            <w:pPr>
              <w:pStyle w:val="TableContents"/>
              <w:bidi w:val="0"/>
              <w:spacing w:before="0" w:after="283"/>
              <w:jc w:val="left"/>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 obtained in exchange for lease liabilities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3,694</w:t>
            </w:r>
          </w:p>
        </w:tc>
        <w:tc>
          <w:tcPr>
            <w:tcW w:w="196" w:type="dxa"/>
            <w:tcBorders/>
            <w:shd w:fill="CCEEFF" w:val="clear"/>
            <w:vAlign w:val="center"/>
          </w:tcPr>
          <w:p>
            <w:pPr>
              <w:pStyle w:val="TableContents"/>
              <w:bidi w:val="0"/>
              <w:spacing w:before="0" w:after="283"/>
              <w:jc w:val="left"/>
              <w:rPr/>
            </w:pPr>
            <w:r>
              <w:rPr/>
              <w:t> </w:t>
            </w:r>
          </w:p>
        </w:tc>
      </w:tr>
      <w:tr>
        <w:trPr/>
        <w:tc>
          <w:tcPr>
            <w:tcW w:w="70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right-of-use assets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w:t>
            </w:r>
          </w:p>
        </w:tc>
        <w:tc>
          <w:tcPr>
            <w:tcW w:w="221"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96" w:type="dxa"/>
            <w:tcBorders/>
            <w:shd w:fill="FFFFFF" w:val="clear"/>
            <w:vAlign w:val="center"/>
          </w:tcPr>
          <w:p>
            <w:pPr>
              <w:pStyle w:val="TableContents"/>
              <w:bidi w:val="0"/>
              <w:spacing w:before="0" w:after="283"/>
              <w:jc w:val="left"/>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w:t>
            </w:r>
          </w:p>
        </w:tc>
        <w:tc>
          <w:tcPr>
            <w:tcW w:w="196" w:type="dxa"/>
            <w:tcBorders/>
            <w:shd w:fill="CCEEFF" w:val="clear"/>
            <w:vAlign w:val="center"/>
          </w:tcPr>
          <w:p>
            <w:pPr>
              <w:pStyle w:val="TableContents"/>
              <w:bidi w:val="0"/>
              <w:spacing w:before="0" w:after="283"/>
              <w:jc w:val="left"/>
              <w:rPr/>
            </w:pPr>
            <w:r>
              <w:rPr/>
              <w:t> </w:t>
            </w:r>
          </w:p>
        </w:tc>
      </w:tr>
      <w:tr>
        <w:trPr/>
        <w:tc>
          <w:tcPr>
            <w:tcW w:w="70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&amp; equipment included in accrued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w:t>
            </w:r>
          </w:p>
        </w:tc>
        <w:tc>
          <w:tcPr>
            <w:tcW w:w="221"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96" w:type="dxa"/>
            <w:tcBorders/>
            <w:shd w:fill="FFFFFF" w:val="clear"/>
            <w:vAlign w:val="center"/>
          </w:tcPr>
          <w:p>
            <w:pPr>
              <w:pStyle w:val="TableContents"/>
              <w:bidi w:val="0"/>
              <w:spacing w:before="0" w:after="283"/>
              <w:jc w:val="left"/>
              <w:rPr/>
            </w:pPr>
            <w:r>
              <w:rPr/>
              <w:t> </w:t>
            </w:r>
          </w:p>
        </w:tc>
      </w:tr>
      <w:tr>
        <w:trPr/>
        <w:tc>
          <w:tcPr>
            <w:tcW w:w="705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costs included in accrued liabilities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color w:val="000000"/>
              </w:rPr>
            </w:pPr>
            <w:r>
              <w:rPr>
                <w:color w:val="000000"/>
              </w:rPr>
              <w:t>—</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96" w:type="dxa"/>
            <w:tcBorders/>
            <w:shd w:fill="CCEE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 Organization and Description of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Biodesix, Inc. (the “Company”, “Biodesix”, “we” “us” and “our”), formerly Elston Technologies, Inc., was incorporated in Delaware in 2005. The Company’s headquarters are in Colorado and the Company performs its blood-based diagnostic tests in its laboratory facilities, which are located in Boulder, Colorado and De Soto, Kansas. The Company conducts all of its operations within a single legal entity. Biodesix is a leading diagnostic solutions company leveraging state of the art technologies with its proprietary artificial intelligence platform to discover, develop, and commercialize solutions for clinical unmet needs, with a primary focus in lung disease. The Company develops diagnostic tests addressing important clinical questions by combining multi-omics through the power of artificial intelligence. We derive our revenue from two sources: (i) providing diagnostic testing services associated with (a) blood-based lung tests and (b) prior to May 11, 2023,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(Services and other). Biodesix offers five Medicare-covered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ddPCR test, the GeneStrat NGS test and the VeriStrat® test to support treatment decisions across all stages of lung cancer.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to diagnostic tests, the Company provides biopharmaceutical companies with services that include diagnostic research, clinical trial testing, and the discovery, development, and commercialization of companion diagnostics. The Company leverages the proprietary and advanced Diagnostic Cortex® AI (Artificial Intelligence) platform, to collaborate with many of the world’s leading biotechnology and pharmaceutical companies to solve complex diagnostic challenges in lung disease. In addition, other revenue includes amounts derived from licensing our digital sequencing technologies to our international laboratory partners.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also offered three SARS-CoV-2 tests. The Bio-Rad SARS-CoV-2 ddPCR test, the cPASS</w:t>
      </w:r>
      <w:r>
        <w:rPr>
          <w:rFonts w:ascii="Times New Roman" w:hAnsi="Times New Roman"/>
          <w:b w:val="false"/>
          <w:i/>
          <w:color w:val="000000"/>
          <w:sz w:val="20"/>
        </w:rPr>
        <w:t xml:space="preserve"> </w:t>
      </w:r>
      <w:r>
        <w:rPr>
          <w:rFonts w:ascii="Times New Roman" w:hAnsi="Times New Roman"/>
          <w:b w:val="false"/>
          <w:color w:val="000000"/>
          <w:sz w:val="20"/>
        </w:rPr>
        <w:t>neutralization antibody test kit, and the Platelia SARS-CoV-2 Total Ab test have been granted Emergency Use Authorization (EUA) by the Federal Drug Administration (FDA) under Section 564 of the Federal Food, Drug, and Cosmetic Act (FDCA).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expiration of the Public Health Emergency declaration under Section 319, the Company no longer provides commercial COVID-19 diagnostic testing services.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Blood-Based Lung Tests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offers five</w:t>
      </w:r>
      <w:r>
        <w:rPr>
          <w:rFonts w:ascii="Times New Roman" w:hAnsi="Times New Roman"/>
          <w:color w:val="000000"/>
          <w:sz w:val="20"/>
        </w:rPr>
        <w:t xml:space="preserve"> </w:t>
      </w:r>
      <w:r>
        <w:rPr>
          <w:rFonts w:ascii="Times New Roman" w:hAnsi="Times New Roman"/>
          <w:b w:val="false"/>
          <w:color w:val="000000"/>
          <w:sz w:val="20"/>
        </w:rPr>
        <w:t>blood-based lung cancer tests across the lung cancer continuum of care:</w:t>
      </w:r>
    </w:p>
    <w:p>
      <w:pPr>
        <w:pStyle w:val="TextBody"/>
        <w:bidi w:val="0"/>
        <w:spacing w:before="120" w:after="283"/>
        <w:jc w:val="both"/>
        <w:rPr>
          <w:rFonts w:ascii="Times New Roman" w:hAnsi="Times New Roman"/>
          <w:b w:val="false"/>
          <w:i/>
          <w:color w:val="000000"/>
          <w:sz w:val="20"/>
          <w:u w:val="single"/>
        </w:rPr>
      </w:pPr>
      <w:r>
        <w:rPr>
          <w:rFonts w:ascii="Times New Roman" w:hAnsi="Times New Roman"/>
          <w:b w:val="false"/>
          <w:i/>
          <w:color w:val="000000"/>
          <w:sz w:val="20"/>
          <w:u w:val="single"/>
        </w:rPr>
        <w:t>Diagnosis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Nodify XL2 </w:t>
      </w:r>
      <w:r>
        <w:rPr>
          <w:rFonts w:ascii="Times New Roman" w:hAnsi="Times New Roman"/>
          <w:b w:val="false"/>
          <w:color w:val="000000"/>
          <w:sz w:val="20"/>
        </w:rPr>
        <w:t xml:space="preserve">and </w:t>
      </w:r>
      <w:r>
        <w:rPr>
          <w:rFonts w:ascii="Times New Roman" w:hAnsi="Times New Roman"/>
          <w:b w:val="false"/>
          <w:i/>
          <w:color w:val="000000"/>
          <w:sz w:val="20"/>
        </w:rPr>
        <w:t>Nodify CDT</w:t>
      </w:r>
      <w:r>
        <w:rPr>
          <w:rFonts w:ascii="Times New Roman" w:hAnsi="Times New Roman"/>
          <w:color w:val="000000"/>
          <w:sz w:val="20"/>
        </w:rPr>
        <w:t xml:space="preserve"> </w:t>
      </w:r>
      <w:r>
        <w:rPr>
          <w:rFonts w:ascii="Times New Roman" w:hAnsi="Times New Roman"/>
          <w:b w:val="false"/>
          <w:color w:val="000000"/>
          <w:sz w:val="20"/>
        </w:rPr>
        <w:t>tests, marketed as our Nodify Lung Nodule Risk Assessment testing strategy, assess a suspicious lung nodule's risk of lung cancer to help identify the most appropriate treatment pathway. We believe we are the only company to offer two</w:t>
      </w:r>
      <w:r>
        <w:rPr>
          <w:rFonts w:ascii="Times New Roman" w:hAnsi="Times New Roman"/>
          <w:color w:val="000000"/>
          <w:sz w:val="20"/>
        </w:rPr>
        <w:t xml:space="preserve"> </w:t>
      </w:r>
      <w:r>
        <w:rPr>
          <w:rFonts w:ascii="Times New Roman" w:hAnsi="Times New Roman"/>
          <w:b w:val="false"/>
          <w:color w:val="000000"/>
          <w:sz w:val="20"/>
        </w:rPr>
        <w:t>commercial blood-based tests to help physicians reclassify risk of malignancy in patients with suspicious lung nodules.</w:t>
      </w:r>
    </w:p>
    <w:p>
      <w:pPr>
        <w:pStyle w:val="TextBody"/>
        <w:bidi w:val="0"/>
        <w:spacing w:before="120" w:after="283"/>
        <w:jc w:val="both"/>
        <w:rPr>
          <w:rFonts w:ascii="Times New Roman" w:hAnsi="Times New Roman"/>
          <w:b w:val="false"/>
          <w:i/>
          <w:color w:val="000000"/>
          <w:sz w:val="20"/>
          <w:u w:val="single"/>
        </w:rPr>
      </w:pPr>
      <w:r>
        <w:rPr>
          <w:rFonts w:ascii="Times New Roman" w:hAnsi="Times New Roman"/>
          <w:b w:val="false"/>
          <w:i/>
          <w:color w:val="000000"/>
          <w:sz w:val="20"/>
          <w:u w:val="single"/>
        </w:rPr>
        <w:t>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GeneStrat ddPCR </w:t>
      </w:r>
      <w:r>
        <w:rPr>
          <w:rFonts w:ascii="Times New Roman" w:hAnsi="Times New Roman"/>
          <w:b w:val="false"/>
          <w:color w:val="000000"/>
          <w:sz w:val="20"/>
        </w:rPr>
        <w:t xml:space="preserve">and </w:t>
      </w:r>
      <w:r>
        <w:rPr>
          <w:rFonts w:ascii="Times New Roman" w:hAnsi="Times New Roman"/>
          <w:b w:val="false"/>
          <w:i/>
          <w:color w:val="000000"/>
          <w:sz w:val="20"/>
        </w:rPr>
        <w:t>VeriStrat</w:t>
      </w:r>
      <w:r>
        <w:rPr>
          <w:rFonts w:ascii="Times New Roman" w:hAnsi="Times New Roman"/>
          <w:color w:val="000000"/>
          <w:sz w:val="20"/>
        </w:rPr>
        <w:t xml:space="preserve"> </w:t>
      </w:r>
      <w:r>
        <w:rPr>
          <w:rFonts w:ascii="Times New Roman" w:hAnsi="Times New Roman"/>
          <w:b w:val="false"/>
          <w:color w:val="000000"/>
          <w:sz w:val="20"/>
        </w:rPr>
        <w:t>tests, marketed as part of our IQLung testing strategy, are used following diagnosis of lung cancer to measure the presence of mutations in the tumor and the state of the patient’s immune system to establish the patient’s prognosis and help guide treatment decisions. The GeneStrat ddPCR tumor profiling test and the VeriStrat immune profiling test have a turnaround time of two business days, providing physicians with timely results to facilitate treatment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GeneStrat NGS </w:t>
      </w:r>
      <w:r>
        <w:rPr>
          <w:rFonts w:ascii="Times New Roman" w:hAnsi="Times New Roman"/>
          <w:b w:val="false"/>
          <w:color w:val="000000"/>
          <w:sz w:val="20"/>
        </w:rPr>
        <w:t xml:space="preserve">(NGS) test, also marketed as part of our IQLung testing strategy, is our blood-based NGS test with results in three business days. The NGS test was launched in November 2021 to a select group of physicians, with national launch in January 2022. The 52-gene panel includes guideline recommended mutations to help physicians treating advanced-stage lung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cancer patients identify targeted therapy mutations in genes, such as EGFR, ALK, KRAS, MET, NTRK, ERBB2, and others, and delivers them in an expedited timeframe so patient treatment can begin sooner.</w:t>
      </w:r>
    </w:p>
    <w:p>
      <w:pPr>
        <w:pStyle w:val="TextBody"/>
        <w:bidi w:val="0"/>
        <w:spacing w:before="120" w:after="283"/>
        <w:jc w:val="both"/>
        <w:rPr>
          <w:rFonts w:ascii="Times New Roman" w:hAnsi="Times New Roman"/>
          <w:sz w:val="20"/>
        </w:rPr>
      </w:pPr>
      <w:r>
        <w:rPr>
          <w:rFonts w:ascii="Times New Roman" w:hAnsi="Times New Roman"/>
          <w:b/>
          <w:color w:val="000000"/>
          <w:sz w:val="20"/>
        </w:rPr>
        <w:t>COVID-19 Tests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operated and commercialized the Biodesix WorkSafe testing program, under which the Company offered three</w:t>
      </w:r>
      <w:r>
        <w:rPr>
          <w:rFonts w:ascii="Times New Roman" w:hAnsi="Times New Roman"/>
          <w:color w:val="000000"/>
          <w:sz w:val="20"/>
        </w:rPr>
        <w:t xml:space="preserve"> </w:t>
      </w:r>
      <w:r>
        <w:rPr>
          <w:rFonts w:ascii="Times New Roman" w:hAnsi="Times New Roman"/>
          <w:b w:val="false"/>
          <w:color w:val="000000"/>
          <w:sz w:val="20"/>
        </w:rPr>
        <w:t>SARS-CoV-2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Bio-Rad SARS-CoV-2 ddPCR </w:t>
      </w:r>
      <w:r>
        <w:rPr>
          <w:rFonts w:ascii="Times New Roman" w:hAnsi="Times New Roman"/>
          <w:b w:val="false"/>
          <w:color w:val="000000"/>
          <w:sz w:val="20"/>
        </w:rPr>
        <w:t>test, which is FDA EUA authorized to be performed by Clinical Laboratory Institute Amendments (CLIA) authorized laboratories that perform high complexity tests. The ddPCR test is designed to detect the presence of current infection by the SARS-CoV-2 virus.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Platelia SARS-CoV-2 Total Ab </w:t>
      </w:r>
      <w:r>
        <w:rPr>
          <w:rFonts w:ascii="Times New Roman" w:hAnsi="Times New Roman"/>
          <w:b w:val="false"/>
          <w:color w:val="000000"/>
          <w:sz w:val="20"/>
        </w:rPr>
        <w:t>test, which is an antibody test, FDA EUA authorized by the FDA, intended for detecting a B-cell immune response to SARS-CoV-2, indicating recent or prior infection.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 xml:space="preserve">cPass SARS-CoV-2 Neutralization Antibody </w:t>
      </w:r>
      <w:r>
        <w:rPr>
          <w:rFonts w:ascii="Times New Roman" w:hAnsi="Times New Roman"/>
          <w:b w:val="false"/>
          <w:color w:val="000000"/>
          <w:sz w:val="20"/>
        </w:rPr>
        <w:t>test, which is the first blood-based surrogate neutralizing antibody test with FDA EUA and uses 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tests under the Biodesix WorkSafe testing program were utilized by healthcare providers, including hospitals and nursing homes, and were also offered to businesses and educational systems.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developing the Company's products, the Company has built or gained access to regulatory approvals, product development know-how, unique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2022.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2022 was derived from the audited financial statements.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we maintained cash and cash equivalents of $19.8</w:t>
      </w:r>
      <w:r>
        <w:rPr>
          <w:rFonts w:ascii="Times New Roman" w:hAnsi="Times New Roman"/>
          <w:color w:val="000000"/>
          <w:sz w:val="20"/>
        </w:rPr>
        <w:t xml:space="preserve"> </w:t>
      </w:r>
      <w:r>
        <w:rPr>
          <w:rFonts w:ascii="Times New Roman" w:hAnsi="Times New Roman"/>
          <w:b w:val="false"/>
          <w:color w:val="000000"/>
          <w:sz w:val="20"/>
        </w:rPr>
        <w:t>million and we have $30.0</w:t>
      </w:r>
      <w:r>
        <w:rPr>
          <w:rFonts w:ascii="Times New Roman" w:hAnsi="Times New Roman"/>
          <w:color w:val="000000"/>
          <w:sz w:val="20"/>
        </w:rPr>
        <w:t xml:space="preserve"> </w:t>
      </w:r>
      <w:r>
        <w:rPr>
          <w:rFonts w:ascii="Times New Roman" w:hAnsi="Times New Roman"/>
          <w:b w:val="false"/>
          <w:color w:val="000000"/>
          <w:sz w:val="20"/>
        </w:rPr>
        <w:t xml:space="preserve">million in outstanding aggregate principal amount on our Perceptive Term Loan Facility (see Note </w:t>
      </w:r>
      <w:r>
        <w:rPr>
          <w:rFonts w:ascii="Times New Roman" w:hAnsi="Times New Roman"/>
          <w:b w:val="false"/>
          <w:i/>
          <w:color w:val="000000"/>
          <w:sz w:val="20"/>
        </w:rPr>
        <w:t>6</w:t>
      </w:r>
      <w:r>
        <w:rPr>
          <w:rFonts w:ascii="Times New Roman" w:hAnsi="Times New Roman"/>
          <w:color w:val="000000"/>
          <w:sz w:val="20"/>
        </w:rPr>
        <w:t xml:space="preserve"> – </w:t>
      </w:r>
      <w:r>
        <w:rPr>
          <w:rFonts w:ascii="Times New Roman" w:hAnsi="Times New Roman"/>
          <w:b w:val="false"/>
          <w:i/>
          <w:color w:val="000000"/>
          <w:sz w:val="20"/>
        </w:rPr>
        <w:t>Debt</w:t>
      </w:r>
      <w:r>
        <w:rPr>
          <w:rFonts w:ascii="Times New Roman" w:hAnsi="Times New Roman"/>
          <w:b w:val="false"/>
          <w:color w:val="000000"/>
          <w:sz w:val="20"/>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hAnsi="Times New Roman"/>
          <w:b w:val="false"/>
          <w:i/>
          <w:color w:val="000000"/>
          <w:sz w:val="20"/>
        </w:rPr>
        <w:t>Presentation of Financial Statements - Going Concern: Disclosure of Uncertainties about an Entity’s Ability to Continue as a Going Concern</w:t>
      </w:r>
      <w:r>
        <w:rPr>
          <w:rFonts w:ascii="Times New Roman" w:hAnsi="Times New Roman"/>
          <w:b w:val="false"/>
          <w:color w:val="000000"/>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Our ability to meet our obligations as they come due may be impacted by our ability to remain compliant with financial covenants in our Perceptive Term Loan Facility (see Note 6 – </w:t>
      </w:r>
      <w:r>
        <w:rPr>
          <w:rFonts w:ascii="Times New Roman" w:hAnsi="Times New Roman"/>
          <w:b w:val="false"/>
          <w:i/>
          <w:color w:val="000000"/>
          <w:sz w:val="20"/>
        </w:rPr>
        <w:t>Debt</w:t>
      </w:r>
      <w:r>
        <w:rPr>
          <w:rFonts w:ascii="Times New Roman" w:hAnsi="Times New Roman"/>
          <w:b w:val="false"/>
          <w:color w:val="000000"/>
          <w:sz w:val="20"/>
        </w:rPr>
        <w:t>) or to obtain waivers or amendments that impact the related covenants. As of September 30, 2023, the Company was in compliance with all restrictive and financial covenants associated with its borrowings.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Based on our current operating plan, unless we continue to raise additional capital (debt or equity) and meet certain agreed upon revenue covenants, or obtain a waiver from complying with such financial covenants,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 The Perceptive Term Loan Facility requires the Company to recognize revenue in amounts agreed to between the Company and Perceptive as of the last day of each fiscal quarter, which commenced with the fiscal quarter ending March 31, 2023. On May 10, 2023 (the First Amendment Effective Date), the Company entered into the First Amendment to the Credit Agreement (the First Amendment), whereby subject to the terms and conditions of the First Amendment, the Minimum Net Revenue Covenant (as defined in the Credit Agreement) was amended to reduce the relevant threshold through the twelve month period ended March 31, 2024. On August 4, 2023, the Company entered into a second amendment to the Perceptive Term Loan Facility, whereby subject to the terms and conditions of the second amendment, the Minimum Net Revenue Covenant was amended to reduce the relevant threshold through the twelve month period ended December 31, 2025 (see Note 6 - </w:t>
      </w:r>
      <w:r>
        <w:rPr>
          <w:rFonts w:ascii="Times New Roman" w:hAnsi="Times New Roman"/>
          <w:b w:val="false"/>
          <w:i/>
          <w:color w:val="000000"/>
          <w:sz w:val="20"/>
        </w:rPr>
        <w:t>Debt</w:t>
      </w:r>
      <w:r>
        <w:rPr>
          <w:rFonts w:ascii="Times New Roman" w:hAnsi="Times New Roman"/>
          <w:b w:val="false"/>
          <w:color w:val="000000"/>
          <w:sz w:val="20"/>
        </w:rPr>
        <w:t>) and raised approximately $15.3</w:t>
      </w:r>
      <w:r>
        <w:rPr>
          <w:rFonts w:ascii="Times New Roman" w:hAnsi="Times New Roman"/>
          <w:color w:val="000000"/>
          <w:sz w:val="20"/>
        </w:rPr>
        <w:t xml:space="preserve"> </w:t>
      </w:r>
      <w:r>
        <w:rPr>
          <w:rFonts w:ascii="Times New Roman" w:hAnsi="Times New Roman"/>
          <w:b w:val="false"/>
          <w:color w:val="000000"/>
          <w:sz w:val="20"/>
        </w:rPr>
        <w:t xml:space="preserve">million in net proceeds through a private placement equity offering (see Note 8 - </w:t>
      </w:r>
      <w:r>
        <w:rPr>
          <w:rFonts w:ascii="Times New Roman" w:hAnsi="Times New Roman"/>
          <w:b w:val="false"/>
          <w:i/>
          <w:color w:val="000000"/>
          <w:sz w:val="20"/>
        </w:rPr>
        <w:t>Equity</w:t>
      </w:r>
      <w:r>
        <w:rPr>
          <w:rFonts w:ascii="Times New Roman" w:hAnsi="Times New Roman"/>
          <w:b w:val="false"/>
          <w:color w:val="000000"/>
          <w:sz w:val="2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a discussion of credit risk concentration of accounts receivable as of September 30, 2023 and December 31, 2022, see Note 9</w:t>
      </w:r>
      <w:r>
        <w:rPr>
          <w:rFonts w:ascii="Times New Roman" w:hAnsi="Times New Roman"/>
          <w:color w:val="000000"/>
          <w:sz w:val="20"/>
        </w:rPr>
        <w:t xml:space="preserve"> – </w:t>
      </w:r>
      <w:r>
        <w:rPr>
          <w:rFonts w:ascii="Times New Roman" w:hAnsi="Times New Roman"/>
          <w:b w:val="false"/>
          <w:i/>
          <w:color w:val="000000"/>
          <w:sz w:val="20"/>
        </w:rPr>
        <w:t>Revenue and Accounts Receivable Credit Concentration</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Restricted cash consists of deposits related to the Company’s corporate credit card. As of September 30, 2023 and December 31, 2022, the Company</w:t>
      </w:r>
      <w:r>
        <w:rPr>
          <w:rFonts w:ascii="Times New Roman" w:hAnsi="Times New Roman"/>
          <w:color w:val="000000"/>
          <w:sz w:val="20"/>
        </w:rPr>
        <w:t xml:space="preserve"> </w:t>
      </w:r>
      <w:r>
        <w:rPr>
          <w:rFonts w:ascii="Times New Roman" w:hAnsi="Times New Roman"/>
          <w:b w:val="false"/>
          <w:color w:val="000000"/>
          <w:sz w:val="20"/>
        </w:rPr>
        <w:t>had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restricted cash, respectively, which was included in ‘Other current assets</w:t>
      </w:r>
      <w:r>
        <w:rPr>
          <w:rFonts w:ascii="Times New Roman" w:hAnsi="Times New Roman"/>
          <w:color w:val="000000"/>
          <w:sz w:val="20"/>
        </w:rPr>
        <w:t xml:space="preserve">’ </w:t>
      </w:r>
      <w:r>
        <w:rPr>
          <w:rFonts w:ascii="Times New Roman" w:hAnsi="Times New Roman"/>
          <w:b w:val="false"/>
          <w:color w:val="000000"/>
          <w:sz w:val="20"/>
        </w:rPr>
        <w:t>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Inventory consists primarily of material supplies, which are consumed in the performance of testing services and charged to ‘Direct costs and expenses’. Inventory is stated at cost and reported within ‘Other current assets’ in the condensed balance sheets and was $1.3</w:t>
      </w:r>
      <w:r>
        <w:rPr>
          <w:rFonts w:ascii="Times New Roman" w:hAnsi="Times New Roman"/>
          <w:color w:val="000000"/>
          <w:sz w:val="20"/>
        </w:rPr>
        <w:t xml:space="preserve"> </w:t>
      </w:r>
      <w:r>
        <w:rPr>
          <w:rFonts w:ascii="Times New Roman" w:hAnsi="Times New Roman"/>
          <w:b w:val="false"/>
          <w:color w:val="000000"/>
          <w:sz w:val="20"/>
        </w:rPr>
        <w:t>million and $1.4</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The Company recorded a reserve for excess inventory of zero</w:t>
      </w:r>
      <w:r>
        <w:rPr>
          <w:rFonts w:ascii="Times New Roman" w:hAnsi="Times New Roman"/>
          <w:color w:val="000000"/>
          <w:sz w:val="20"/>
        </w:rPr>
        <w:t xml:space="preserve"> </w:t>
      </w:r>
      <w:r>
        <w:rPr>
          <w:rFonts w:ascii="Times New Roman" w:hAnsi="Times New Roman"/>
          <w:b w:val="false"/>
          <w:color w:val="000000"/>
          <w:sz w:val="20"/>
        </w:rPr>
        <w:t>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During the nine months ended September 30, 2023 and 2022, the Company recorded</w:t>
      </w:r>
      <w:r>
        <w:rPr>
          <w:rFonts w:ascii="Times New Roman" w:hAnsi="Times New Roman"/>
          <w:color w:val="000000"/>
          <w:sz w:val="20"/>
        </w:rPr>
        <w:t xml:space="preserve"> </w:t>
      </w:r>
      <w:r>
        <w:rPr>
          <w:rFonts w:ascii="Times New Roman" w:hAnsi="Times New Roman"/>
          <w:b w:val="false"/>
          <w:color w:val="000000"/>
          <w:sz w:val="20"/>
        </w:rPr>
        <w:t>$0.1</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respectively, to the condensed statement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acts as a lessee under all its lease agreements and holds various real estate leases for its headquarters and laboratory facilities in Boulder, Colorado and De Soto, Kansas and other various copier leases. The Company also leases a building in Louisville, Colorado for office and laboratory space. The purpose of this lease is to replace the Company’s corporate headquarters in Boulder, Colorado. The Company intends to relocate by the end of 2023.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Company elected the following practical expedients as part of the adoption of ASC 842, </w:t>
      </w:r>
      <w:r>
        <w:rPr>
          <w:rFonts w:ascii="Times New Roman" w:hAnsi="Times New Roman"/>
          <w:b w:val="false"/>
          <w:i/>
          <w:color w:val="000000"/>
          <w:sz w:val="20"/>
        </w:rPr>
        <w:t>Leases</w:t>
      </w:r>
      <w:r>
        <w:rPr>
          <w:rFonts w:ascii="Times New Roman" w:hAnsi="Times New Roman"/>
          <w:b w:val="false"/>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Package of practical expedients which allows the Company to carry forward the historical lease classification;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Hindsight practical expedient which allows the Company to use hindsight in determining the lease term, in assessing purchase options, and in assessing impairment of right-of-use (ROU)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Short-term lease practical expedient which allows the Company to capitalize only those leases with an initial term of twelve months or more;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practical expedient to account for lease and non-lease components (such as common area maintenance, utilities, insurance and taxes) as a single lease component for all classes of underlying assets.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Additional information and disclosures required by this standard are contained in Note 7 </w:t>
      </w:r>
      <w:r>
        <w:rPr>
          <w:rFonts w:ascii="Times New Roman" w:hAnsi="Times New Roman"/>
          <w:color w:val="000000"/>
          <w:sz w:val="20"/>
        </w:rPr>
        <w:t xml:space="preserve">— </w:t>
      </w:r>
      <w:r>
        <w:rPr>
          <w:rFonts w:ascii="Times New Roman" w:hAnsi="Times New Roman"/>
          <w:b w:val="false"/>
          <w:i/>
          <w:color w:val="000000"/>
          <w:sz w:val="20"/>
        </w:rPr>
        <w:t>Leases</w:t>
      </w:r>
      <w:r>
        <w:rPr>
          <w:rFonts w:ascii="Times New Roman" w:hAnsi="Times New Roman"/>
          <w:b w:val="false"/>
          <w:color w:val="000000"/>
          <w:sz w:val="20"/>
        </w:rPr>
        <w: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and December 31, 2022, the Company has a $5.0</w:t>
      </w:r>
      <w:r>
        <w:rPr>
          <w:rFonts w:ascii="Times New Roman" w:hAnsi="Times New Roman"/>
          <w:color w:val="000000"/>
          <w:sz w:val="20"/>
        </w:rPr>
        <w:t xml:space="preserve"> </w:t>
      </w:r>
      <w:r>
        <w:rPr>
          <w:rFonts w:ascii="Times New Roman" w:hAnsi="Times New Roman"/>
          <w:b w:val="false"/>
          <w:color w:val="000000"/>
          <w:sz w:val="20"/>
        </w:rPr>
        <w:t xml:space="preserve">million cash refundable deposit to secure the performance of the Company’s obligations associated with the operating lease agreement with Centennial Valley Properties I, LLC (see Note 7 – </w:t>
      </w:r>
      <w:r>
        <w:rPr>
          <w:rFonts w:ascii="Times New Roman" w:hAnsi="Times New Roman"/>
          <w:b w:val="false"/>
          <w:i/>
          <w:color w:val="000000"/>
          <w:sz w:val="20"/>
        </w:rPr>
        <w:t>Leases</w:t>
      </w:r>
      <w:r>
        <w:rPr>
          <w:rFonts w:ascii="Times New Roman" w:hAnsi="Times New Roman"/>
          <w:b w:val="false"/>
          <w:color w:val="000000"/>
          <w:sz w:val="20"/>
        </w:rPr>
        <w:t>). The $5.0</w:t>
      </w:r>
      <w:r>
        <w:rPr>
          <w:rFonts w:ascii="Times New Roman" w:hAnsi="Times New Roman"/>
          <w:color w:val="000000"/>
          <w:sz w:val="20"/>
        </w:rPr>
        <w:t xml:space="preserve"> </w:t>
      </w:r>
      <w:r>
        <w:rPr>
          <w:rFonts w:ascii="Times New Roman" w:hAnsi="Times New Roman"/>
          <w:b w:val="false"/>
          <w:color w:val="000000"/>
          <w:sz w:val="20"/>
        </w:rPr>
        <w:t>million refundable deposit is reported within 'Other long-term assets' in the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Unadjusted quoted prices in active markets for identical assets and liabilities.</w:t>
            </w:r>
          </w:p>
        </w:tc>
      </w:tr>
      <w:tr>
        <w:trPr/>
        <w:tc>
          <w:tcPr>
            <w:tcW w:w="6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146" w:type="dxa"/>
            <w:tcBorders/>
            <w:vAlign w:val="center"/>
          </w:tcPr>
          <w:p>
            <w:pPr>
              <w:pStyle w:val="TableContents"/>
              <w:bidi w:val="0"/>
              <w:spacing w:before="0" w:after="283"/>
              <w:jc w:val="left"/>
              <w:rPr/>
            </w:pPr>
            <w:r>
              <w:rPr/>
              <w:t> </w:t>
            </w:r>
          </w:p>
        </w:tc>
        <w:tc>
          <w:tcPr>
            <w:tcW w:w="82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Unadjusted quoted prices in active markets for similar assets and liabilities;</w:t>
            </w:r>
          </w:p>
        </w:tc>
      </w:tr>
      <w:tr>
        <w:trPr/>
        <w:tc>
          <w:tcPr>
            <w:tcW w:w="6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Unadjusted quoted prices for identical or similar assets or liabilities in markets that are not active; or</w:t>
            </w:r>
          </w:p>
        </w:tc>
      </w:tr>
      <w:tr>
        <w:trPr/>
        <w:tc>
          <w:tcPr>
            <w:tcW w:w="6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Inputs other than quoted prices that are observable for the asset or liability.</w:t>
            </w:r>
          </w:p>
        </w:tc>
      </w:tr>
      <w:tr>
        <w:trPr/>
        <w:tc>
          <w:tcPr>
            <w:tcW w:w="6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Unobservable inputs for the asset or liability.</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See Note 4 </w:t>
      </w:r>
      <w:r>
        <w:rPr>
          <w:rFonts w:ascii="Times New Roman" w:hAnsi="Times New Roman"/>
          <w:color w:val="000000"/>
          <w:sz w:val="20"/>
        </w:rPr>
        <w:t xml:space="preserve">— </w:t>
      </w:r>
      <w:r>
        <w:rPr>
          <w:rFonts w:ascii="Times New Roman" w:hAnsi="Times New Roman"/>
          <w:b w:val="false"/>
          <w:i/>
          <w:color w:val="000000"/>
          <w:sz w:val="20"/>
        </w:rPr>
        <w:t xml:space="preserve">Fair Value </w:t>
      </w:r>
      <w:r>
        <w:rPr>
          <w:rFonts w:ascii="Times New Roman" w:hAnsi="Times New Roman"/>
          <w:b w:val="false"/>
          <w:color w:val="000000"/>
          <w:sz w:val="20"/>
        </w:rPr>
        <w:t>for further discussion related to estimated fair value measurements.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 Issued Accounting Standards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Recently adopted accounting standards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June 2016, the FASB issued ASU No. 2016-13,</w:t>
      </w:r>
      <w:r>
        <w:rPr>
          <w:rFonts w:ascii="Times New Roman" w:hAnsi="Times New Roman"/>
          <w:color w:val="000000"/>
          <w:sz w:val="20"/>
        </w:rPr>
        <w:t xml:space="preserve"> </w:t>
      </w:r>
      <w:r>
        <w:rPr>
          <w:rFonts w:ascii="Times New Roman" w:hAnsi="Times New Roman"/>
          <w:b w:val="false"/>
          <w:i/>
          <w:color w:val="000000"/>
          <w:sz w:val="20"/>
        </w:rPr>
        <w:t xml:space="preserve">Financial Instruments-Credit Losses: Measurement of Credit Losses on Financial Instruments </w:t>
      </w:r>
      <w:r>
        <w:rPr>
          <w:rFonts w:ascii="Times New Roman" w:hAnsi="Times New Roman"/>
          <w:b w:val="false"/>
          <w:color w:val="000000"/>
          <w:sz w:val="20"/>
        </w:rPr>
        <w:t>(ASC Topic 326). This ASU requires measurement and recognition of expected credit losses for financial assets. This guidance became effective for the Company beginning January 1, 2023. The Company evaluated the guidance and determined the overall impact of the adoption had an immaterial impact on</w:t>
      </w:r>
      <w:r>
        <w:rPr>
          <w:rFonts w:ascii="Times New Roman" w:hAnsi="Times New Roman"/>
          <w:color w:val="000000"/>
          <w:sz w:val="20"/>
        </w:rPr>
        <w:t xml:space="preserve"> </w:t>
      </w:r>
      <w:r>
        <w:rPr>
          <w:rFonts w:ascii="Times New Roman" w:hAnsi="Times New Roman"/>
          <w:b w:val="false"/>
          <w:color w:val="000000"/>
          <w:sz w:val="20"/>
        </w:rPr>
        <w:t>our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Recurring Fair Value Measurements</w:t>
      </w:r>
    </w:p>
    <w:p>
      <w:pPr>
        <w:pStyle w:val="TextBody"/>
        <w:bidi w:val="0"/>
        <w:spacing w:before="120" w:after="200"/>
        <w:jc w:val="both"/>
        <w:rPr>
          <w:rFonts w:ascii="Times New Roman" w:hAnsi="Times New Roman"/>
          <w:sz w:val="20"/>
        </w:rPr>
      </w:pPr>
      <w:r>
        <w:rPr>
          <w:rFonts w:ascii="Times New Roman" w:hAnsi="Times New Roman"/>
          <w:b w:val="false"/>
          <w:color w:val="000000"/>
          <w:sz w:val="20"/>
        </w:rPr>
        <w:t xml:space="preserve">Our borrowing instruments are recorded at their carrying values in the condensed balance sheets, which may differ from their respective fair values. The fair value of borrowings as of September 30, 2023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difference between the carrying value and fair value of outstanding borrowings as of September 30, 2023 is due to the issuance of the First Amendment Warrants (see Note 6 - </w:t>
      </w:r>
      <w:r>
        <w:rPr>
          <w:rFonts w:ascii="Times New Roman" w:hAnsi="Times New Roman"/>
          <w:b w:val="false"/>
          <w:i/>
          <w:color w:val="000000"/>
          <w:sz w:val="20"/>
        </w:rPr>
        <w:t xml:space="preserve">Debt </w:t>
      </w:r>
      <w:r>
        <w:rPr>
          <w:rFonts w:ascii="Times New Roman" w:hAnsi="Times New Roman"/>
          <w:b w:val="false"/>
          <w:color w:val="000000"/>
          <w:sz w:val="20"/>
        </w:rPr>
        <w:t xml:space="preserve">and as defined in Note 8 </w:t>
      </w:r>
      <w:r>
        <w:rPr>
          <w:rFonts w:ascii="Times New Roman" w:hAnsi="Times New Roman"/>
          <w:b w:val="false"/>
          <w:i/>
          <w:color w:val="000000"/>
          <w:sz w:val="20"/>
        </w:rPr>
        <w:t>- Equity</w:t>
      </w:r>
      <w:r>
        <w:rPr>
          <w:rFonts w:ascii="Times New Roman" w:hAnsi="Times New Roman"/>
          <w:color w:val="000000"/>
          <w:sz w:val="20"/>
        </w:rPr>
        <w:t xml:space="preserve"> </w:t>
      </w:r>
      <w:r>
        <w:rPr>
          <w:rFonts w:ascii="Times New Roman" w:hAnsi="Times New Roman"/>
          <w:b w:val="false"/>
          <w:color w:val="000000"/>
          <w:sz w:val="20"/>
        </w:rPr>
        <w:t>below</w:t>
      </w:r>
      <w:r>
        <w:rPr>
          <w:rFonts w:ascii="Times New Roman" w:hAnsi="Times New Roman"/>
          <w:b w:val="false"/>
          <w:i/>
          <w:color w:val="000000"/>
          <w:sz w:val="20"/>
        </w:rPr>
        <w:t xml:space="preserve">) </w:t>
      </w:r>
      <w:r>
        <w:rPr>
          <w:rFonts w:ascii="Times New Roman" w:hAnsi="Times New Roman"/>
          <w:b w:val="false"/>
          <w:color w:val="000000"/>
          <w:sz w:val="20"/>
        </w:rPr>
        <w:t>netted against the Perceptive Term Loan Facility as well as an increase in the fair value of the debt as a result of improved credit markets. The difference between the carrying value and fair value of outstanding borrowings as of December 31, 2022</w:t>
      </w:r>
      <w:r>
        <w:rPr>
          <w:rFonts w:ascii="Times New Roman" w:hAnsi="Times New Roman"/>
          <w:color w:val="000000"/>
          <w:sz w:val="20"/>
        </w:rPr>
        <w:t xml:space="preserve"> </w:t>
      </w:r>
      <w:r>
        <w:rPr>
          <w:rFonts w:ascii="Times New Roman" w:hAnsi="Times New Roman"/>
          <w:b w:val="false"/>
          <w:color w:val="000000"/>
          <w:sz w:val="20"/>
        </w:rPr>
        <w:t>is due to the debt issuance costs and the fair value of the Perceptive Warrant netted against the Perceptive Term Loan Facility.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Borrowings</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26,501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42"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26,785</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6 - </w:t>
      </w:r>
      <w:r>
        <w:rPr>
          <w:rFonts w:ascii="Times New Roman" w:hAnsi="Times New Roman"/>
          <w:b w:val="false"/>
          <w:i/>
          <w:color w:val="000000"/>
          <w:sz w:val="20"/>
        </w:rPr>
        <w:t>Debt</w:t>
      </w:r>
      <w:r>
        <w:rPr>
          <w:rFonts w:ascii="Times New Roman" w:hAnsi="Times New Roman"/>
          <w:b w:val="false"/>
          <w:color w:val="000000"/>
          <w:sz w:val="20"/>
        </w:rPr>
        <w:t>), which were accounted for as liabilities and remeasured through our condensed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00"/>
        <w:jc w:val="both"/>
        <w:rPr>
          <w:rFonts w:ascii="Times New Roman" w:hAnsi="Times New Roman"/>
          <w:b w:val="false"/>
          <w:color w:val="000000"/>
          <w:sz w:val="20"/>
        </w:rPr>
      </w:pPr>
      <w:r>
        <w:rPr>
          <w:rFonts w:ascii="Times New Roman" w:hAnsi="Times New Roman"/>
          <w:b w:val="false"/>
          <w:color w:val="000000"/>
          <w:sz w:val="20"/>
        </w:rPr>
        <w:t>The table below presents the reported fair values of contingent consideration and warrant liabilities, which are classified as Level 3 in the fair value hierarchy, as of the dates indicated (in thousands):</w:t>
      </w:r>
    </w:p>
    <w:tbl>
      <w:tblPr>
        <w:tblW w:w="8000" w:type="dxa"/>
        <w:jc w:val="left"/>
        <w:tblInd w:w="0" w:type="dxa"/>
        <w:tblLayout w:type="fixed"/>
        <w:tblCellMar>
          <w:top w:w="28" w:type="dxa"/>
          <w:left w:w="28" w:type="dxa"/>
          <w:bottom w:w="28" w:type="dxa"/>
          <w:right w:w="28" w:type="dxa"/>
        </w:tblCellMar>
      </w:tblPr>
      <w:tblGrid>
        <w:gridCol w:w="3676"/>
        <w:gridCol w:w="146"/>
        <w:gridCol w:w="420"/>
        <w:gridCol w:w="1350"/>
        <w:gridCol w:w="146"/>
        <w:gridCol w:w="146"/>
        <w:gridCol w:w="409"/>
        <w:gridCol w:w="1316"/>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87" w:type="dxa"/>
            <w:gridSpan w:val="6"/>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contingent consideration</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40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10,341</w:t>
            </w:r>
          </w:p>
        </w:tc>
        <w:tc>
          <w:tcPr>
            <w:tcW w:w="391" w:type="dxa"/>
            <w:tcBorders/>
            <w:shd w:fill="CCEEFF"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contingent consideration</w:t>
            </w:r>
          </w:p>
        </w:tc>
        <w:tc>
          <w:tcPr>
            <w:tcW w:w="146" w:type="dxa"/>
            <w:tcBorders/>
            <w:shd w:fill="CCEEFF" w:val="clear"/>
            <w:vAlign w:val="center"/>
          </w:tcPr>
          <w:p>
            <w:pPr>
              <w:pStyle w:val="TableContents"/>
              <w:bidi w:val="0"/>
              <w:spacing w:before="0" w:after="283"/>
              <w:jc w:val="left"/>
              <w:rPr/>
            </w:pPr>
            <w:r>
              <w:rPr/>
              <w:t> </w:t>
            </w:r>
          </w:p>
        </w:tc>
        <w:tc>
          <w:tcPr>
            <w:tcW w:w="4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28,986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6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liabilities</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40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391" w:type="dxa"/>
            <w:tcBorders/>
            <w:shd w:fill="CCEE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table presents the changes in contingent consideration and warrant liabilities for the dates indicated (in thousands):</w:t>
      </w:r>
    </w:p>
    <w:tbl>
      <w:tblPr>
        <w:tblW w:w="7993" w:type="dxa"/>
        <w:jc w:val="left"/>
        <w:tblInd w:w="0" w:type="dxa"/>
        <w:tblLayout w:type="fixed"/>
        <w:tblCellMar>
          <w:top w:w="28" w:type="dxa"/>
          <w:left w:w="28" w:type="dxa"/>
          <w:bottom w:w="28" w:type="dxa"/>
          <w:right w:w="28" w:type="dxa"/>
        </w:tblCellMar>
      </w:tblPr>
      <w:tblGrid>
        <w:gridCol w:w="3241"/>
        <w:gridCol w:w="146"/>
        <w:gridCol w:w="541"/>
        <w:gridCol w:w="1739"/>
        <w:gridCol w:w="194"/>
        <w:gridCol w:w="171"/>
        <w:gridCol w:w="477"/>
        <w:gridCol w:w="1293"/>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b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balances - January 1, 2023</w:t>
            </w:r>
          </w:p>
        </w:tc>
        <w:tc>
          <w:tcPr>
            <w:tcW w:w="146"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28,986</w:t>
            </w:r>
          </w:p>
        </w:tc>
        <w:tc>
          <w:tcPr>
            <w:tcW w:w="19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91" w:type="dxa"/>
            <w:tcBorders/>
            <w:shd w:fill="CCEE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net</w:t>
            </w:r>
          </w:p>
        </w:tc>
        <w:tc>
          <w:tcPr>
            <w:tcW w:w="146" w:type="dxa"/>
            <w:tcBorders/>
            <w:shd w:fill="FFFFFF" w:val="clear"/>
            <w:vAlign w:val="center"/>
          </w:tcPr>
          <w:p>
            <w:pPr>
              <w:pStyle w:val="TableContents"/>
              <w:bidi w:val="0"/>
              <w:spacing w:before="0" w:after="283"/>
              <w:jc w:val="right"/>
              <w:rPr/>
            </w:pPr>
            <w:r>
              <w:rPr/>
              <w:t> </w:t>
            </w:r>
          </w:p>
        </w:tc>
        <w:tc>
          <w:tcPr>
            <w:tcW w:w="541"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3,094</w:t>
            </w:r>
          </w:p>
        </w:tc>
        <w:tc>
          <w:tcPr>
            <w:tcW w:w="19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balances - September 30, 2023</w:t>
            </w:r>
          </w:p>
        </w:tc>
        <w:tc>
          <w:tcPr>
            <w:tcW w:w="146" w:type="dxa"/>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24,489</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4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the changes in contingent consideration as of the date indicated (in thousands):</w:t>
      </w:r>
    </w:p>
    <w:p>
      <w:pPr>
        <w:pStyle w:val="TextBody"/>
        <w:bidi w:val="0"/>
        <w:jc w:val="both"/>
        <w:rPr/>
      </w:pPr>
      <w:r>
        <w:rPr/>
        <w:t> </w:t>
      </w:r>
    </w:p>
    <w:tbl>
      <w:tblPr>
        <w:tblW w:w="7633" w:type="dxa"/>
        <w:jc w:val="left"/>
        <w:tblInd w:w="0" w:type="dxa"/>
        <w:tblLayout w:type="fixed"/>
        <w:tblCellMar>
          <w:top w:w="28" w:type="dxa"/>
          <w:left w:w="28" w:type="dxa"/>
          <w:bottom w:w="28" w:type="dxa"/>
          <w:right w:w="28" w:type="dxa"/>
        </w:tblCellMar>
      </w:tblPr>
      <w:tblGrid>
        <w:gridCol w:w="3241"/>
        <w:gridCol w:w="146"/>
        <w:gridCol w:w="958"/>
        <w:gridCol w:w="3077"/>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balances - January 1, 2022</w:t>
            </w:r>
          </w:p>
        </w:tc>
        <w:tc>
          <w:tcPr>
            <w:tcW w:w="1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07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33,792</w:t>
            </w:r>
          </w:p>
        </w:tc>
        <w:tc>
          <w:tcPr>
            <w:tcW w:w="211" w:type="dxa"/>
            <w:tcBorders/>
            <w:shd w:fill="CCEE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30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2,142</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extinguishment of liabilities</w:t>
            </w:r>
          </w:p>
        </w:tc>
        <w:tc>
          <w:tcPr>
            <w:tcW w:w="1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307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2,934</w:t>
            </w:r>
          </w:p>
        </w:tc>
        <w:tc>
          <w:tcPr>
            <w:tcW w:w="211" w:type="dxa"/>
            <w:tcBorders/>
            <w:shd w:fill="CCEE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of contingent consideration</w:t>
            </w:r>
          </w:p>
        </w:tc>
        <w:tc>
          <w:tcPr>
            <w:tcW w:w="146" w:type="dxa"/>
            <w:tcBorders/>
            <w:shd w:fill="FFFFFF" w:val="cle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balances - September 30, 2022</w:t>
            </w:r>
          </w:p>
        </w:tc>
        <w:tc>
          <w:tcPr>
            <w:tcW w:w="146" w:type="dxa"/>
            <w:tcBorders/>
            <w:shd w:fill="CCEEFF" w:val="clear"/>
            <w:vAlign w:val="center"/>
          </w:tcPr>
          <w:p>
            <w:pPr>
              <w:pStyle w:val="TableContents"/>
              <w:bidi w:val="0"/>
              <w:spacing w:before="0" w:after="283"/>
              <w:jc w:val="left"/>
              <w:rPr/>
            </w:pPr>
            <w:r>
              <w:rPr/>
              <w:t> </w:t>
            </w:r>
          </w:p>
        </w:tc>
        <w:tc>
          <w:tcPr>
            <w:tcW w:w="9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0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30,177</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Contingent Consideration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w:t>
      </w:r>
      <w:r>
        <w:rPr>
          <w:rFonts w:ascii="Times New Roman" w:hAnsi="Times New Roman"/>
          <w:color w:val="000000"/>
          <w:sz w:val="20"/>
        </w:rPr>
        <w:t xml:space="preserve"> </w:t>
      </w:r>
      <w:r>
        <w:rPr>
          <w:rFonts w:ascii="Times New Roman" w:hAnsi="Times New Roman"/>
          <w:b w:val="false"/>
          <w:color w:val="000000"/>
          <w:sz w:val="20"/>
        </w:rPr>
        <w:t>gross margin target of $2.0</w:t>
      </w:r>
      <w:r>
        <w:rPr>
          <w:rFonts w:ascii="Times New Roman" w:hAnsi="Times New Roman"/>
          <w:color w:val="000000"/>
          <w:sz w:val="20"/>
        </w:rPr>
        <w:t xml:space="preserve"> </w:t>
      </w:r>
      <w:r>
        <w:rPr>
          <w:rFonts w:ascii="Times New Roman" w:hAnsi="Times New Roman"/>
          <w:b w:val="false"/>
          <w:color w:val="000000"/>
          <w:sz w:val="20"/>
        </w:rPr>
        <w:t>million within the seven-year</w:t>
      </w:r>
      <w:r>
        <w:rPr>
          <w:rFonts w:ascii="Times New Roman" w:hAnsi="Times New Roman"/>
          <w:color w:val="000000"/>
          <w:sz w:val="20"/>
        </w:rPr>
        <w:t xml:space="preserve"> </w:t>
      </w:r>
      <w:r>
        <w:rPr>
          <w:rFonts w:ascii="Times New Roman" w:hAnsi="Times New Roman"/>
          <w:b w:val="false"/>
          <w:color w:val="000000"/>
          <w:sz w:val="20"/>
        </w:rPr>
        <w:t>period after the acquisition date, which was achieved during the three months ended June 30, 2021. Under the terms of the original agreement, when the gross margin target was achieved the Company was required to issue 2,520,108</w:t>
      </w:r>
      <w:r>
        <w:rPr>
          <w:rFonts w:ascii="Times New Roman" w:hAnsi="Times New Roman"/>
          <w:color w:val="000000"/>
          <w:sz w:val="20"/>
        </w:rPr>
        <w:t xml:space="preserve"> </w:t>
      </w:r>
      <w:r>
        <w:rPr>
          <w:rFonts w:ascii="Times New Roman" w:hAnsi="Times New Roman"/>
          <w:b w:val="false"/>
          <w:color w:val="000000"/>
          <w:sz w:val="20"/>
        </w:rPr>
        <w:t>shares of common stock. For the six months following the achievement of the gross margin target, Indi had the option to require the Company to redeem these common shares for $37.0</w:t>
      </w:r>
      <w:r>
        <w:rPr>
          <w:rFonts w:ascii="Times New Roman" w:hAnsi="Times New Roman"/>
          <w:color w:val="000000"/>
          <w:sz w:val="20"/>
        </w:rPr>
        <w:t xml:space="preserve"> </w:t>
      </w:r>
      <w:r>
        <w:rPr>
          <w:rFonts w:ascii="Times New Roman" w:hAnsi="Times New Roman"/>
          <w:b w:val="false"/>
          <w:color w:val="000000"/>
          <w:sz w:val="20"/>
        </w:rPr>
        <w:t>million in cash over eight</w:t>
      </w:r>
      <w:r>
        <w:rPr>
          <w:rFonts w:ascii="Times New Roman" w:hAnsi="Times New Roman"/>
          <w:color w:val="000000"/>
          <w:sz w:val="20"/>
        </w:rPr>
        <w:t xml:space="preserve"> </w:t>
      </w:r>
      <w:r>
        <w:rPr>
          <w:rFonts w:ascii="Times New Roman" w:hAnsi="Times New Roman"/>
          <w:b w:val="false"/>
          <w:color w:val="000000"/>
          <w:sz w:val="20"/>
        </w:rPr>
        <w:t>equal quarterly installments. If Indi elected to not exercise its option, the Company had 12 months to repurchase the common stock in two equal and consecutive quarterly cash installments totaling $37.0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August 2021, the Company entered into an amendment to the original agreement in which all parties agreed to forgo the issuance of common stock and agreed that the Company would, in lieu thereof, make six quarterly installments of approximately $4.6</w:t>
      </w:r>
      <w:r>
        <w:rPr>
          <w:rFonts w:ascii="Times New Roman" w:hAnsi="Times New Roman"/>
          <w:color w:val="000000"/>
          <w:sz w:val="20"/>
        </w:rPr>
        <w:t xml:space="preserve"> </w:t>
      </w:r>
      <w:r>
        <w:rPr>
          <w:rFonts w:ascii="Times New Roman" w:hAnsi="Times New Roman"/>
          <w:b w:val="false"/>
          <w:color w:val="000000"/>
          <w:sz w:val="20"/>
        </w:rPr>
        <w:t>million each beginning in January 2022 and a final payment of approximately $9.3</w:t>
      </w:r>
      <w:r>
        <w:rPr>
          <w:rFonts w:ascii="Times New Roman" w:hAnsi="Times New Roman"/>
          <w:color w:val="000000"/>
          <w:sz w:val="20"/>
        </w:rPr>
        <w:t xml:space="preserve"> </w:t>
      </w:r>
      <w:r>
        <w:rPr>
          <w:rFonts w:ascii="Times New Roman" w:hAnsi="Times New Roman"/>
          <w:b w:val="false"/>
          <w:color w:val="000000"/>
          <w:sz w:val="20"/>
        </w:rPr>
        <w:t>million in July 2023 for a total of $37.0</w:t>
      </w:r>
      <w:r>
        <w:rPr>
          <w:rFonts w:ascii="Times New Roman" w:hAnsi="Times New Roman"/>
          <w:color w:val="000000"/>
          <w:sz w:val="20"/>
        </w:rPr>
        <w:t xml:space="preserve"> </w:t>
      </w:r>
      <w:r>
        <w:rPr>
          <w:rFonts w:ascii="Times New Roman" w:hAnsi="Times New Roman"/>
          <w:b w:val="false"/>
          <w:color w:val="000000"/>
          <w:sz w:val="20"/>
        </w:rPr>
        <w:t>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April 7, 2022, the Company entered into Amendment No. 3 to the Indi APA in which the parties agreed to restructure the Milestone Payments whereby the Company will make five</w:t>
      </w:r>
      <w:r>
        <w:rPr>
          <w:rFonts w:ascii="Times New Roman" w:hAnsi="Times New Roman"/>
          <w:color w:val="000000"/>
          <w:sz w:val="20"/>
        </w:rPr>
        <w:t xml:space="preserve"> </w:t>
      </w:r>
      <w:r>
        <w:rPr>
          <w:rFonts w:ascii="Times New Roman" w:hAnsi="Times New Roman"/>
          <w:b w:val="false"/>
          <w:color w:val="000000"/>
          <w:sz w:val="20"/>
        </w:rPr>
        <w:t>quarterly installments of $2.0</w:t>
      </w:r>
      <w:r>
        <w:rPr>
          <w:rFonts w:ascii="Times New Roman" w:hAnsi="Times New Roman"/>
          <w:color w:val="000000"/>
          <w:sz w:val="20"/>
        </w:rPr>
        <w:t xml:space="preserve"> </w:t>
      </w:r>
      <w:r>
        <w:rPr>
          <w:rFonts w:ascii="Times New Roman" w:hAnsi="Times New Roman"/>
          <w:b w:val="false"/>
          <w:color w:val="000000"/>
          <w:sz w:val="20"/>
        </w:rPr>
        <w:t>million each beginning in April 2022, three</w:t>
      </w:r>
      <w:r>
        <w:rPr>
          <w:rFonts w:ascii="Times New Roman" w:hAnsi="Times New Roman"/>
          <w:color w:val="000000"/>
          <w:sz w:val="20"/>
        </w:rPr>
        <w:t xml:space="preserve"> </w:t>
      </w:r>
      <w:r>
        <w:rPr>
          <w:rFonts w:ascii="Times New Roman" w:hAnsi="Times New Roman"/>
          <w:b w:val="false"/>
          <w:color w:val="000000"/>
          <w:sz w:val="20"/>
        </w:rPr>
        <w:t>quarterly installments of $3.0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beginning in July 2023, one</w:t>
      </w:r>
      <w:r>
        <w:rPr>
          <w:rFonts w:ascii="Times New Roman" w:hAnsi="Times New Roman"/>
          <w:color w:val="000000"/>
          <w:sz w:val="20"/>
        </w:rPr>
        <w:t xml:space="preserve"> </w:t>
      </w:r>
      <w:r>
        <w:rPr>
          <w:rFonts w:ascii="Times New Roman" w:hAnsi="Times New Roman"/>
          <w:b w:val="false"/>
          <w:color w:val="000000"/>
          <w:sz w:val="20"/>
        </w:rPr>
        <w:t>installment of $5.0</w:t>
      </w:r>
      <w:r>
        <w:rPr>
          <w:rFonts w:ascii="Times New Roman" w:hAnsi="Times New Roman"/>
          <w:color w:val="000000"/>
          <w:sz w:val="20"/>
        </w:rPr>
        <w:t xml:space="preserve"> </w:t>
      </w:r>
      <w:r>
        <w:rPr>
          <w:rFonts w:ascii="Times New Roman" w:hAnsi="Times New Roman"/>
          <w:b w:val="false"/>
          <w:color w:val="000000"/>
          <w:sz w:val="20"/>
        </w:rPr>
        <w:t>million in April 2024, and one installment of approximately $8.4</w:t>
      </w:r>
      <w:r>
        <w:rPr>
          <w:rFonts w:ascii="Times New Roman" w:hAnsi="Times New Roman"/>
          <w:color w:val="000000"/>
          <w:sz w:val="20"/>
        </w:rPr>
        <w:t xml:space="preserve"> </w:t>
      </w:r>
      <w:r>
        <w:rPr>
          <w:rFonts w:ascii="Times New Roman" w:hAnsi="Times New Roman"/>
          <w:b w:val="false"/>
          <w:color w:val="000000"/>
          <w:sz w:val="20"/>
        </w:rPr>
        <w:t>million in July 2024. In addition, the Company agreed to an exit fee of approximately $6.1</w:t>
      </w:r>
      <w:r>
        <w:rPr>
          <w:rFonts w:ascii="Times New Roman" w:hAnsi="Times New Roman"/>
          <w:color w:val="000000"/>
          <w:sz w:val="20"/>
        </w:rPr>
        <w:t xml:space="preserve"> </w:t>
      </w:r>
      <w:r>
        <w:rPr>
          <w:rFonts w:ascii="Times New Roman" w:hAnsi="Times New Roman"/>
          <w:b w:val="false"/>
          <w:color w:val="000000"/>
          <w:sz w:val="20"/>
        </w:rPr>
        <w:t>million in October 2024. Interest shall accrue on the difference between the payment schedule as agreed in the August 2021 amendment and the April 2022 amended payment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schedule, at an aggregate per annum rate equal to 10%, with such interest to be payable quarterly on the following installment payment date. Our ability to make these payments is subject to ongoing compliance under the Perceptive Term Loan Facility and commencing January 1, 2024, consent from Perceptive (see Note </w:t>
      </w:r>
      <w:r>
        <w:rPr>
          <w:rFonts w:ascii="Times New Roman" w:hAnsi="Times New Roman"/>
          <w:b w:val="false"/>
          <w:i/>
          <w:color w:val="000000"/>
          <w:sz w:val="20"/>
        </w:rPr>
        <w:t xml:space="preserve">6 </w:t>
      </w:r>
      <w:r>
        <w:rPr>
          <w:rFonts w:ascii="Times New Roman" w:hAnsi="Times New Roman"/>
          <w:b w:val="false"/>
          <w:color w:val="000000"/>
          <w:sz w:val="20"/>
        </w:rPr>
        <w:t xml:space="preserve">- </w:t>
      </w:r>
      <w:r>
        <w:rPr>
          <w:rFonts w:ascii="Times New Roman" w:hAnsi="Times New Roman"/>
          <w:b w:val="false"/>
          <w:i/>
          <w:color w:val="000000"/>
          <w:sz w:val="20"/>
        </w:rPr>
        <w:t>Debt</w:t>
      </w:r>
      <w:r>
        <w:rPr>
          <w:rFonts w:ascii="Times New Roman" w:hAnsi="Times New Roman"/>
          <w:b w:val="false"/>
          <w:color w:val="000000"/>
          <w:sz w:val="2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could result in a significantly higher or lower fair value measurement.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three and nine months ended September 30, 2023, the Company recorded $1.0</w:t>
      </w:r>
      <w:r>
        <w:rPr>
          <w:rFonts w:ascii="Times New Roman" w:hAnsi="Times New Roman"/>
          <w:color w:val="000000"/>
          <w:sz w:val="20"/>
        </w:rPr>
        <w:t xml:space="preserve"> </w:t>
      </w:r>
      <w:r>
        <w:rPr>
          <w:rFonts w:ascii="Times New Roman" w:hAnsi="Times New Roman"/>
          <w:b w:val="false"/>
          <w:color w:val="000000"/>
          <w:sz w:val="20"/>
        </w:rPr>
        <w:t>million and $3.1</w:t>
      </w:r>
      <w:r>
        <w:rPr>
          <w:rFonts w:ascii="Times New Roman" w:hAnsi="Times New Roman"/>
          <w:color w:val="000000"/>
          <w:sz w:val="20"/>
        </w:rPr>
        <w:t xml:space="preserve"> </w:t>
      </w:r>
      <w:r>
        <w:rPr>
          <w:rFonts w:ascii="Times New Roman" w:hAnsi="Times New Roman"/>
          <w:b w:val="false"/>
          <w:color w:val="000000"/>
          <w:sz w:val="20"/>
        </w:rPr>
        <w:t>million, respectively, and $1.2</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during the three and nine months ended September 30, 2022, respectively, in interest expense due to the passage of time and fixed payment schedule.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Contingent consideration expected to be paid in the next twelve months is recorded in the condensed balance sheets as ‘Current portion of contingent consideration’ while the remaining amount to be paid is recorded as ‘Contingent consideration’ within non-current liabilities. The net change to contingent consideration through the date the gross margin target was achieved is recorded as operating expenses in the condensed statements of operations. Subsequent changes to the contingent consideration following the achievement of the gross margin target are recorded as ‘Interest expense’ in the condensed statements of operations resulting from the passage of time and fixed payment schedule.</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On November 21, 2022, as consideration for the Perceptive Term Loan Facility (see Note 6 - </w:t>
      </w:r>
      <w:r>
        <w:rPr>
          <w:rFonts w:ascii="Times New Roman" w:hAnsi="Times New Roman"/>
          <w:b w:val="false"/>
          <w:i/>
          <w:color w:val="000000"/>
          <w:sz w:val="20"/>
        </w:rPr>
        <w:t>Debt</w:t>
      </w:r>
      <w:r>
        <w:rPr>
          <w:rFonts w:ascii="Times New Roman" w:hAnsi="Times New Roman"/>
          <w:b w:val="false"/>
          <w:color w:val="000000"/>
          <w:sz w:val="20"/>
        </w:rPr>
        <w:t>), the Company issued Perceptive a warrant to purchase up to 5,000,000</w:t>
      </w:r>
      <w:r>
        <w:rPr>
          <w:rFonts w:ascii="Times New Roman" w:hAnsi="Times New Roman"/>
          <w:color w:val="000000"/>
          <w:sz w:val="20"/>
        </w:rPr>
        <w:t xml:space="preserve"> </w:t>
      </w:r>
      <w:r>
        <w:rPr>
          <w:rFonts w:ascii="Times New Roman" w:hAnsi="Times New Roman"/>
          <w:b w:val="false"/>
          <w:color w:val="000000"/>
          <w:sz w:val="20"/>
        </w:rPr>
        <w:t xml:space="preserve">shares of the Company's common stock (the Perceptive Warrant), including Initial Warrants and Additional Warrants (as defined in Note 8 - </w:t>
      </w:r>
      <w:r>
        <w:rPr>
          <w:rFonts w:ascii="Times New Roman" w:hAnsi="Times New Roman"/>
          <w:b w:val="false"/>
          <w:i/>
          <w:color w:val="000000"/>
          <w:sz w:val="20"/>
        </w:rPr>
        <w:t xml:space="preserve">Equity </w:t>
      </w:r>
      <w:r>
        <w:rPr>
          <w:rFonts w:ascii="Times New Roman" w:hAnsi="Times New Roman"/>
          <w:b w:val="false"/>
          <w:color w:val="000000"/>
          <w:sz w:val="20"/>
        </w:rPr>
        <w:t xml:space="preserve">below). The Initial Warrants and First Amendment Warrants are equity classified (see Note 8 - </w:t>
      </w:r>
      <w:r>
        <w:rPr>
          <w:rFonts w:ascii="Times New Roman" w:hAnsi="Times New Roman"/>
          <w:b w:val="false"/>
          <w:i/>
          <w:color w:val="000000"/>
          <w:sz w:val="20"/>
        </w:rPr>
        <w:t>Equity</w:t>
      </w:r>
      <w:r>
        <w:rPr>
          <w:rFonts w:ascii="Times New Roman" w:hAnsi="Times New Roman"/>
          <w:b w:val="false"/>
          <w:color w:val="000000"/>
          <w:sz w:val="20"/>
        </w:rPr>
        <w:t>) while the Additional Warrants are classified as liabilities within 'Other long-term liabilities' and recognized at fair value. The fair value of the Additional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three and nine months ended September 30, 2023, the Company recorded a $1.4</w:t>
      </w:r>
      <w:r>
        <w:rPr>
          <w:rFonts w:ascii="Times New Roman" w:hAnsi="Times New Roman"/>
          <w:color w:val="000000"/>
          <w:sz w:val="20"/>
        </w:rPr>
        <w:t xml:space="preserve"> </w:t>
      </w:r>
      <w:r>
        <w:rPr>
          <w:rFonts w:ascii="Times New Roman" w:hAnsi="Times New Roman"/>
          <w:b w:val="false"/>
          <w:color w:val="000000"/>
          <w:sz w:val="20"/>
        </w:rPr>
        <w:t>million and $1.3</w:t>
      </w:r>
      <w:r>
        <w:rPr>
          <w:rFonts w:ascii="Times New Roman" w:hAnsi="Times New Roman"/>
          <w:color w:val="000000"/>
          <w:sz w:val="20"/>
        </w:rPr>
        <w:t xml:space="preserve"> </w:t>
      </w:r>
      <w:r>
        <w:rPr>
          <w:rFonts w:ascii="Times New Roman" w:hAnsi="Times New Roman"/>
          <w:b w:val="false"/>
          <w:color w:val="000000"/>
          <w:sz w:val="20"/>
        </w:rPr>
        <w:t>million loss, respectively, as a change in fair value through the condensed statement of operations due to changes in unobservable inputs. This is a result of changes in the probability of our ability to draw on Tranche B and C loans. The $1.4</w:t>
      </w:r>
      <w:r>
        <w:rPr>
          <w:rFonts w:ascii="Times New Roman" w:hAnsi="Times New Roman"/>
          <w:color w:val="000000"/>
          <w:sz w:val="20"/>
        </w:rPr>
        <w:t xml:space="preserve"> </w:t>
      </w:r>
      <w:r>
        <w:rPr>
          <w:rFonts w:ascii="Times New Roman" w:hAnsi="Times New Roman"/>
          <w:b w:val="false"/>
          <w:color w:val="000000"/>
          <w:sz w:val="20"/>
        </w:rPr>
        <w:t>million warrant liability is reported within 'Other current liabilities' in the condensed balance sheets.</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Property and equipment consist of the following (in thousands):</w:t>
      </w:r>
    </w:p>
    <w:tbl>
      <w:tblPr>
        <w:tblW w:w="7240" w:type="dxa"/>
        <w:jc w:val="left"/>
        <w:tblInd w:w="0" w:type="dxa"/>
        <w:tblLayout w:type="fixed"/>
        <w:tblCellMar>
          <w:top w:w="28" w:type="dxa"/>
          <w:left w:w="28" w:type="dxa"/>
          <w:bottom w:w="28" w:type="dxa"/>
          <w:right w:w="28" w:type="dxa"/>
        </w:tblCellMar>
      </w:tblPr>
      <w:tblGrid>
        <w:gridCol w:w="3076"/>
        <w:gridCol w:w="146"/>
        <w:gridCol w:w="420"/>
        <w:gridCol w:w="1350"/>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7" w:type="dxa"/>
            <w:gridSpan w:val="6"/>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 equipment</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6,035</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process</w:t>
            </w:r>
          </w:p>
        </w:tc>
        <w:tc>
          <w:tcPr>
            <w:tcW w:w="146" w:type="dxa"/>
            <w:tcBorders/>
            <w:shd w:fill="CCEEFF" w:val="cle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12,866</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CEEFF" w:val="cle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(7,018</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Depreciation expense for the three and nine months ended September 30, 2023 was $0.3</w:t>
      </w:r>
      <w:r>
        <w:rPr>
          <w:rFonts w:ascii="Times New Roman" w:hAnsi="Times New Roman"/>
          <w:color w:val="000000"/>
          <w:sz w:val="20"/>
        </w:rPr>
        <w:t xml:space="preserve"> </w:t>
      </w:r>
      <w:r>
        <w:rPr>
          <w:rFonts w:ascii="Times New Roman" w:hAnsi="Times New Roman"/>
          <w:b w:val="false"/>
          <w:color w:val="000000"/>
          <w:sz w:val="20"/>
        </w:rPr>
        <w:t>million and $0.9</w:t>
      </w:r>
      <w:r>
        <w:rPr>
          <w:rFonts w:ascii="Times New Roman" w:hAnsi="Times New Roman"/>
          <w:color w:val="000000"/>
          <w:sz w:val="20"/>
        </w:rPr>
        <w:t xml:space="preserve"> </w:t>
      </w:r>
      <w:r>
        <w:rPr>
          <w:rFonts w:ascii="Times New Roman" w:hAnsi="Times New Roman"/>
          <w:b w:val="false"/>
          <w:color w:val="000000"/>
          <w:sz w:val="20"/>
        </w:rPr>
        <w:t>million, respectively, compared to $0.4</w:t>
      </w:r>
      <w:r>
        <w:rPr>
          <w:rFonts w:ascii="Times New Roman" w:hAnsi="Times New Roman"/>
          <w:color w:val="000000"/>
          <w:sz w:val="20"/>
        </w:rPr>
        <w:t xml:space="preserve"> </w:t>
      </w:r>
      <w:r>
        <w:rPr>
          <w:rFonts w:ascii="Times New Roman" w:hAnsi="Times New Roman"/>
          <w:b w:val="false"/>
          <w:color w:val="000000"/>
          <w:sz w:val="20"/>
        </w:rPr>
        <w:t>million and $1.2</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312"/>
        <w:gridCol w:w="934"/>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subject to amortization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17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7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8,450</w:t>
            </w:r>
          </w:p>
        </w:tc>
        <w:tc>
          <w:tcPr>
            <w:tcW w:w="394" w:type="dxa"/>
            <w:tcBorders/>
            <w:shd w:fill="CFF0FC" w:val="cle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not subject to</w:t>
              <w:br/>
              <w:t>    amortization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7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Amortization expense related to definite-lived intangible assets was $0.5</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for both the three and nine months ended September 30, 2023 and 2022, respectively.</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Future estimated amortization expense of intangible assets is (in thousands):</w:t>
      </w:r>
    </w:p>
    <w:tbl>
      <w:tblPr>
        <w:tblW w:w="4003" w:type="dxa"/>
        <w:jc w:val="left"/>
        <w:tblInd w:w="0" w:type="dxa"/>
        <w:tblLayout w:type="fixed"/>
        <w:tblCellMar>
          <w:top w:w="28" w:type="dxa"/>
          <w:left w:w="28" w:type="dxa"/>
          <w:bottom w:w="28" w:type="dxa"/>
          <w:right w:w="28" w:type="dxa"/>
        </w:tblCellMar>
      </w:tblPr>
      <w:tblGrid>
        <w:gridCol w:w="1696"/>
        <w:gridCol w:w="146"/>
        <w:gridCol w:w="477"/>
        <w:gridCol w:w="1293"/>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w:t>
            </w:r>
          </w:p>
        </w:tc>
        <w:tc>
          <w:tcPr>
            <w:tcW w:w="391" w:type="dxa"/>
            <w:tcBorders/>
            <w:shd w:fill="FFFFFF" w:val="clear"/>
            <w:vAlign w:val="center"/>
          </w:tcPr>
          <w:p>
            <w:pPr>
              <w:pStyle w:val="TableContents"/>
              <w:bidi w:val="0"/>
              <w:spacing w:before="0" w:after="283"/>
              <w:jc w:val="left"/>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1,972</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w:t>
            </w:r>
          </w:p>
        </w:tc>
        <w:tc>
          <w:tcPr>
            <w:tcW w:w="391" w:type="dxa"/>
            <w:tcBorders/>
            <w:shd w:fill="FFFFFF" w:val="clear"/>
            <w:vAlign w:val="center"/>
          </w:tcPr>
          <w:p>
            <w:pPr>
              <w:pStyle w:val="TableContents"/>
              <w:bidi w:val="0"/>
              <w:spacing w:before="0" w:after="283"/>
              <w:jc w:val="left"/>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and thereafter</w:t>
            </w:r>
          </w:p>
        </w:tc>
        <w:tc>
          <w:tcPr>
            <w:tcW w:w="146" w:type="dxa"/>
            <w:tcBorders/>
            <w:shd w:fill="FFFFFF" w:val="cle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4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8,302</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Accrued liabilities consist of the following (in thousands):</w:t>
      </w:r>
    </w:p>
    <w:tbl>
      <w:tblPr>
        <w:tblW w:w="6735" w:type="dxa"/>
        <w:jc w:val="left"/>
        <w:tblInd w:w="0" w:type="dxa"/>
        <w:tblLayout w:type="fixed"/>
        <w:tblCellMar>
          <w:top w:w="28" w:type="dxa"/>
          <w:left w:w="28" w:type="dxa"/>
          <w:bottom w:w="28" w:type="dxa"/>
          <w:right w:w="28" w:type="dxa"/>
        </w:tblCellMar>
      </w:tblPr>
      <w:tblGrid>
        <w:gridCol w:w="2611"/>
        <w:gridCol w:w="146"/>
        <w:gridCol w:w="477"/>
        <w:gridCol w:w="1293"/>
        <w:gridCol w:w="146"/>
        <w:gridCol w:w="146"/>
        <w:gridCol w:w="465"/>
        <w:gridCol w:w="1260"/>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7"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related accruals</w:t>
            </w:r>
          </w:p>
        </w:tc>
        <w:tc>
          <w:tcPr>
            <w:tcW w:w="146"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4,671</w:t>
            </w:r>
          </w:p>
        </w:tc>
        <w:tc>
          <w:tcPr>
            <w:tcW w:w="191" w:type="dxa"/>
            <w:tcBorders/>
            <w:shd w:fill="CCEE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trial expense</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expenses</w:t>
            </w:r>
          </w:p>
        </w:tc>
        <w:tc>
          <w:tcPr>
            <w:tcW w:w="146" w:type="dxa"/>
            <w:tcBorders/>
            <w:shd w:fill="CCEEFF" w:val="clear"/>
            <w:vAlign w:val="center"/>
          </w:tcPr>
          <w:p>
            <w:pPr>
              <w:pStyle w:val="TableContents"/>
              <w:bidi w:val="0"/>
              <w:spacing w:before="0" w:after="283"/>
              <w:jc w:val="left"/>
              <w:rPr/>
            </w:pPr>
            <w:r>
              <w:rPr/>
              <w:t> </w:t>
            </w:r>
          </w:p>
        </w:tc>
        <w:tc>
          <w:tcPr>
            <w:tcW w:w="4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Our long-term debt primarily consists of notes payable associated with our Perceptive Term Loan Facility which is described in further detail below. Long-term notes payable were as follows (in thousands):</w:t>
      </w:r>
    </w:p>
    <w:tbl>
      <w:tblPr>
        <w:tblW w:w="8425" w:type="dxa"/>
        <w:jc w:val="left"/>
        <w:tblInd w:w="0" w:type="dxa"/>
        <w:tblLayout w:type="fixed"/>
        <w:tblCellMar>
          <w:top w:w="28" w:type="dxa"/>
          <w:left w:w="28" w:type="dxa"/>
          <w:bottom w:w="28" w:type="dxa"/>
          <w:right w:w="28" w:type="dxa"/>
        </w:tblCellMar>
      </w:tblPr>
      <w:tblGrid>
        <w:gridCol w:w="4261"/>
        <w:gridCol w:w="146"/>
        <w:gridCol w:w="420"/>
        <w:gridCol w:w="1350"/>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7" w:type="dxa"/>
            <w:gridSpan w:val="6"/>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Perceptive Term Loan Facility</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211" w:type="dxa"/>
            <w:tcBorders/>
            <w:shd w:fill="CCEE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discount and debt issuance costs</w:t>
            </w:r>
          </w:p>
        </w:tc>
        <w:tc>
          <w:tcPr>
            <w:tcW w:w="146" w:type="dxa"/>
            <w:tcBorders/>
            <w:shd w:fill="CCEEFF" w:val="cle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25,053</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maturities</w:t>
            </w:r>
          </w:p>
        </w:tc>
        <w:tc>
          <w:tcPr>
            <w:tcW w:w="146" w:type="dxa"/>
            <w:tcBorders/>
            <w:shd w:fill="CCEEFF" w:val="cle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notes payable</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delayed draw term loan facility with Perceptive Advisors LLC (Perceptive), in an aggregate principal amount of up to $50.0</w:t>
      </w:r>
      <w:r>
        <w:rPr>
          <w:rFonts w:ascii="Times New Roman" w:hAnsi="Times New Roman"/>
          <w:color w:val="000000"/>
          <w:sz w:val="20"/>
        </w:rPr>
        <w:t xml:space="preserve"> </w:t>
      </w:r>
      <w:r>
        <w:rPr>
          <w:rFonts w:ascii="Times New Roman" w:hAnsi="Times New Roman"/>
          <w:b w:val="false"/>
          <w:color w:val="000000"/>
          <w:sz w:val="20"/>
        </w:rPr>
        <w:t>million (the Perceptive Term Loan Facility). The initial funding of the Perceptive Term Loan Facility was subject to a capital raise of at least $30.0</w:t>
      </w:r>
      <w:r>
        <w:rPr>
          <w:rFonts w:ascii="Times New Roman" w:hAnsi="Times New Roman"/>
          <w:color w:val="000000"/>
          <w:sz w:val="20"/>
        </w:rPr>
        <w:t xml:space="preserve"> </w:t>
      </w:r>
      <w:r>
        <w:rPr>
          <w:rFonts w:ascii="Times New Roman" w:hAnsi="Times New Roman"/>
          <w:b w:val="false"/>
          <w:color w:val="000000"/>
          <w:sz w:val="20"/>
        </w:rPr>
        <w:t>million in gross proceeds from an equity offering of the Company's common stock. On November 21, 2022 (the Funding Date), the Company raised approximately $40.6</w:t>
      </w:r>
      <w:r>
        <w:rPr>
          <w:rFonts w:ascii="Times New Roman" w:hAnsi="Times New Roman"/>
          <w:color w:val="000000"/>
          <w:sz w:val="20"/>
        </w:rPr>
        <w:t xml:space="preserve"> </w:t>
      </w:r>
      <w:r>
        <w:rPr>
          <w:rFonts w:ascii="Times New Roman" w:hAnsi="Times New Roman"/>
          <w:b w:val="false"/>
          <w:color w:val="000000"/>
          <w:sz w:val="20"/>
        </w:rPr>
        <w:t>million in gross proceeds from the sale of common stock. The Tranche A Loan, in an aggregate amount of up to $30.0</w:t>
      </w:r>
      <w:r>
        <w:rPr>
          <w:rFonts w:ascii="Times New Roman" w:hAnsi="Times New Roman"/>
          <w:color w:val="000000"/>
          <w:sz w:val="20"/>
        </w:rPr>
        <w:t xml:space="preserve"> </w:t>
      </w:r>
      <w:r>
        <w:rPr>
          <w:rFonts w:ascii="Times New Roman" w:hAnsi="Times New Roman"/>
          <w:b w:val="false"/>
          <w:color w:val="000000"/>
          <w:sz w:val="20"/>
        </w:rPr>
        <w:t>million (the Tranche A Loan), was funded under the Perceptive Term Loan Facility substantially and concurrently with the closing of the sale of common stock on the Funding Date. In addition to the Tranche A Loan, the Perceptive Term Loan Facility includes an additional Tranche B Loan, in an aggregate amount of up to $10.0</w:t>
      </w:r>
      <w:r>
        <w:rPr>
          <w:rFonts w:ascii="Times New Roman" w:hAnsi="Times New Roman"/>
          <w:color w:val="000000"/>
          <w:sz w:val="20"/>
        </w:rPr>
        <w:t xml:space="preserve"> </w:t>
      </w:r>
      <w:r>
        <w:rPr>
          <w:rFonts w:ascii="Times New Roman" w:hAnsi="Times New Roman"/>
          <w:b w:val="false"/>
          <w:color w:val="000000"/>
          <w:sz w:val="20"/>
        </w:rPr>
        <w:t>million, and an additional Tranche C Loan, in an aggregate amount of up to $10.0</w:t>
      </w:r>
      <w:r>
        <w:rPr>
          <w:rFonts w:ascii="Times New Roman" w:hAnsi="Times New Roman"/>
          <w:color w:val="000000"/>
          <w:sz w:val="20"/>
        </w:rPr>
        <w:t xml:space="preserve"> </w:t>
      </w:r>
      <w:r>
        <w:rPr>
          <w:rFonts w:ascii="Times New Roman" w:hAnsi="Times New Roman"/>
          <w:b w:val="false"/>
          <w:color w:val="000000"/>
          <w:sz w:val="20"/>
        </w:rPr>
        <w:t>million, which will be accessible by the Company so long as the Company satisfies certain customary conditions precedent, including revenue milestones. The Tranche B and C loans have loan commitments dates through December 31, 2023 and September 30, 2024, respectively. The Perceptive Term Loan Facility has a maturity date of November 21, 2027</w:t>
      </w:r>
      <w:r>
        <w:rPr>
          <w:rFonts w:ascii="Times New Roman" w:hAnsi="Times New Roman"/>
          <w:color w:val="000000"/>
          <w:sz w:val="20"/>
        </w:rPr>
        <w:t xml:space="preserve"> </w:t>
      </w:r>
      <w:r>
        <w:rPr>
          <w:rFonts w:ascii="Times New Roman" w:hAnsi="Times New Roman"/>
          <w:b w:val="false"/>
          <w:color w:val="000000"/>
          <w:sz w:val="20"/>
        </w:rPr>
        <w:t>(the Maturity Date) and provides for an interest-only period during the term of the loan with principal due at the Maturity Date. The Company's net proceeds from the Tranche A Loan were approximately $27.9</w:t>
      </w:r>
      <w:r>
        <w:rPr>
          <w:rFonts w:ascii="Times New Roman" w:hAnsi="Times New Roman"/>
          <w:color w:val="000000"/>
          <w:sz w:val="20"/>
        </w:rPr>
        <w:t xml:space="preserve"> </w:t>
      </w:r>
      <w:r>
        <w:rPr>
          <w:rFonts w:ascii="Times New Roman" w:hAnsi="Times New Roman"/>
          <w:b w:val="false"/>
          <w:color w:val="000000"/>
          <w:sz w:val="20"/>
        </w:rPr>
        <w:t>million, after deducting debt issuance costs and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Interest Rate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Perceptive Term Loan Facility will accrue interest at an annual rate equal to the greater of (a) forward-looking one-month term SOFR as posted by CME Group Inc. and (b) 3.0% per annum, plus an applicable margin of 9.0%. As of September 30, 2023, the stated interest rate was approximately 14.3%.</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Amortization and Prepayment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Security Instruments and Warrants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consideration for the Credit Agreement, the Company has issued, on the Funding Date, the Perceptive Warrant of up to 5,000,000</w:t>
      </w:r>
      <w:r>
        <w:rPr>
          <w:rFonts w:ascii="Times New Roman" w:hAnsi="Times New Roman"/>
          <w:color w:val="000000"/>
          <w:sz w:val="20"/>
        </w:rPr>
        <w:t xml:space="preserve"> </w:t>
      </w:r>
      <w:r>
        <w:rPr>
          <w:rFonts w:ascii="Times New Roman" w:hAnsi="Times New Roman"/>
          <w:b w:val="false"/>
          <w:color w:val="000000"/>
          <w:sz w:val="20"/>
        </w:rPr>
        <w:t>shares of the Company's common stock, including the Initial Warrants which are equity classified at a per share exercise price equal to $1.0648</w:t>
      </w:r>
      <w:r>
        <w:rPr>
          <w:rFonts w:ascii="Times New Roman" w:hAnsi="Times New Roman"/>
          <w:color w:val="000000"/>
          <w:sz w:val="20"/>
        </w:rPr>
        <w:t xml:space="preserve"> </w:t>
      </w:r>
      <w:r>
        <w:rPr>
          <w:rFonts w:ascii="Times New Roman" w:hAnsi="Times New Roman"/>
          <w:b w:val="false"/>
          <w:color w:val="000000"/>
          <w:sz w:val="20"/>
        </w:rPr>
        <w:t>which is equal to the lower of (A) the 10-day volume weighted average price (VWAP) of the Company’s common stock, on the business day immediately prior to the Closing Date of the Tranche A Loan or (B) the public offering price per share of Common Stock of $1.15</w:t>
      </w:r>
      <w:r>
        <w:rPr>
          <w:rFonts w:ascii="Times New Roman" w:hAnsi="Times New Roman"/>
          <w:color w:val="000000"/>
          <w:sz w:val="20"/>
        </w:rPr>
        <w:t xml:space="preserve"> </w:t>
      </w:r>
      <w:r>
        <w:rPr>
          <w:rFonts w:ascii="Times New Roman" w:hAnsi="Times New Roman"/>
          <w:b w:val="false"/>
          <w:color w:val="000000"/>
          <w:sz w:val="20"/>
        </w:rPr>
        <w:t xml:space="preserve">(see Note 8 - </w:t>
      </w:r>
      <w:r>
        <w:rPr>
          <w:rFonts w:ascii="Times New Roman" w:hAnsi="Times New Roman"/>
          <w:b w:val="false"/>
          <w:i/>
          <w:color w:val="000000"/>
          <w:sz w:val="20"/>
        </w:rPr>
        <w:t>Equity</w:t>
      </w:r>
      <w:r>
        <w:rPr>
          <w:rFonts w:ascii="Times New Roman" w:hAnsi="Times New Roman"/>
          <w:b w:val="false"/>
          <w:color w:val="000000"/>
          <w:sz w:val="20"/>
        </w:rPr>
        <w:t>). In addition to the Initial Warrants, the Additional Warrants will each become exercisable into 1,000,000</w:t>
      </w:r>
      <w:r>
        <w:rPr>
          <w:rFonts w:ascii="Times New Roman" w:hAnsi="Times New Roman"/>
          <w:color w:val="000000"/>
          <w:sz w:val="20"/>
        </w:rPr>
        <w:t xml:space="preserve"> </w:t>
      </w:r>
      <w:r>
        <w:rPr>
          <w:rFonts w:ascii="Times New Roman" w:hAnsi="Times New Roman"/>
          <w:b w:val="false"/>
          <w:color w:val="000000"/>
          <w:sz w:val="20"/>
        </w:rPr>
        <w:t xml:space="preserve">shares of common stock concurrently with the borrowing date of the Tranche B and C Loans, respectively. The per share exercise price for the Additional Warrants will be equal to the lower of (A) the Initial Warrant exercise price or (B) the 10-day VWAP ending on the business day immediately preceding the funding date of the Tranche B Loan or the Tranche C loan, respectively. Each warrant will be exercisable, in whole or in part, until the 10th anniversary of the applicable date of issuance. If the Tranche B or C loans are not drawn by the respective loan commitment dates, the associated Additional Warrants expire and will not become exercisable. The Company accounts for the Additional Warrants as liabilities as the Additional Warrants do not meet the criteria for equity treatment (see Note 4 - </w:t>
      </w:r>
      <w:r>
        <w:rPr>
          <w:rFonts w:ascii="Times New Roman" w:hAnsi="Times New Roman"/>
          <w:b w:val="false"/>
          <w:i/>
          <w:color w:val="000000"/>
          <w:sz w:val="20"/>
        </w:rPr>
        <w:t>Fair Value</w:t>
      </w:r>
      <w:r>
        <w:rPr>
          <w:rFonts w:ascii="Times New Roman" w:hAnsi="Times New Roman"/>
          <w:b w:val="false"/>
          <w:color w:val="000000"/>
          <w:sz w:val="20"/>
        </w:rPr>
        <w:t>).</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Representations, Warranties, Covenants, and Events of Default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million; and (ii) as of the last day of each fiscal quarter commencing on the fiscal quarter ending March 31, 2023, recognize revenue in amounts agreed to between the Company and Perceptive.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w:t>
      </w:r>
      <w:r>
        <w:rPr>
          <w:rFonts w:ascii="Times New Roman" w:hAnsi="Times New Roman"/>
          <w:color w:val="000000"/>
          <w:sz w:val="20"/>
        </w:rPr>
        <w:t xml:space="preserve"> </w:t>
      </w:r>
      <w:r>
        <w:rPr>
          <w:rFonts w:ascii="Times New Roman" w:hAnsi="Times New Roman"/>
          <w:b w:val="false"/>
          <w:color w:val="000000"/>
          <w:sz w:val="20"/>
        </w:rPr>
        <w:t>shares of the Company’s common stock (the First Amendment Warrants) which are equity classified at a per share exercise price equal to $1.6254</w:t>
      </w:r>
      <w:r>
        <w:rPr>
          <w:rFonts w:ascii="Times New Roman" w:hAnsi="Times New Roman"/>
          <w:color w:val="000000"/>
          <w:sz w:val="20"/>
        </w:rPr>
        <w:t xml:space="preserve"> </w:t>
      </w:r>
      <w:r>
        <w:rPr>
          <w:rFonts w:ascii="Times New Roman" w:hAnsi="Times New Roman"/>
          <w:b w:val="false"/>
          <w:color w:val="000000"/>
          <w:sz w:val="20"/>
        </w:rPr>
        <w:t xml:space="preserve">(see Note 8 - </w:t>
      </w:r>
      <w:r>
        <w:rPr>
          <w:rFonts w:ascii="Times New Roman" w:hAnsi="Times New Roman"/>
          <w:b w:val="false"/>
          <w:i/>
          <w:color w:val="000000"/>
          <w:sz w:val="20"/>
        </w:rPr>
        <w:t>Equity</w:t>
      </w:r>
      <w:r>
        <w:rPr>
          <w:rFonts w:ascii="Times New Roman" w:hAnsi="Times New Roman"/>
          <w:b w:val="false"/>
          <w:color w:val="000000"/>
          <w:sz w:val="2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Under the terms of the Second Amendment, the conditions precedent for drawing on the Tranche B Loan were amended to (i) reduce the trailing-twelve month revenue milestone and (ii) add the receipt of aggregate cash proceeds of at least $27.5</w:t>
      </w:r>
      <w:r>
        <w:rPr>
          <w:rFonts w:ascii="Times New Roman" w:hAnsi="Times New Roman"/>
          <w:color w:val="000000"/>
          <w:sz w:val="20"/>
        </w:rPr>
        <w:t xml:space="preserve"> </w:t>
      </w:r>
      <w:r>
        <w:rPr>
          <w:rFonts w:ascii="Times New Roman" w:hAnsi="Times New Roman"/>
          <w:b w:val="false"/>
          <w:color w:val="000000"/>
          <w:sz w:val="20"/>
        </w:rPr>
        <w:t xml:space="preserve">million from an equity offering of the Company's common stock (see Note 8 - </w:t>
      </w:r>
      <w:r>
        <w:rPr>
          <w:rFonts w:ascii="Times New Roman" w:hAnsi="Times New Roman"/>
          <w:b w:val="false"/>
          <w:i/>
          <w:color w:val="000000"/>
          <w:sz w:val="20"/>
        </w:rPr>
        <w:t>Equity</w:t>
      </w:r>
      <w:r>
        <w:rPr>
          <w:rFonts w:ascii="Times New Roman" w:hAnsi="Times New Roman"/>
          <w:b w:val="false"/>
          <w:color w:val="000000"/>
          <w:sz w:val="20"/>
        </w:rPr>
        <w:t>). During the three months ended September 30, 2023, the Company met the amended trailing-twelve month revenue milestone associated with the Tranche B Loan.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September 30, 2023,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the Closing Date, the Initial Warrants and Additional Warrants were valued at $2.9</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respectively, using the Black-Scholes option-pricing model, estimated settlement probabilities and estimated exercise prices. As a result of the fees paid to Perceptive and the value of the Perceptive Warrant, the Company recognized a discount on the Perceptive Term Loan Facility in the amount of $5.2</w:t>
      </w:r>
      <w:r>
        <w:rPr>
          <w:rFonts w:ascii="Times New Roman" w:hAnsi="Times New Roman"/>
          <w:color w:val="000000"/>
          <w:sz w:val="20"/>
        </w:rPr>
        <w:t xml:space="preserve"> </w:t>
      </w:r>
      <w:r>
        <w:rPr>
          <w:rFonts w:ascii="Times New Roman" w:hAnsi="Times New Roman"/>
          <w:b w:val="false"/>
          <w:color w:val="000000"/>
          <w:sz w:val="20"/>
        </w:rPr>
        <w:t>million. The First Amendment Warrants were valued at</w:t>
      </w:r>
      <w:r>
        <w:rPr>
          <w:rFonts w:ascii="Times New Roman" w:hAnsi="Times New Roman"/>
          <w:color w:val="000000"/>
          <w:sz w:val="20"/>
        </w:rPr>
        <w:t xml:space="preserve"> </w:t>
      </w:r>
      <w:r>
        <w:rPr>
          <w:rFonts w:ascii="Times New Roman" w:hAnsi="Times New Roman"/>
          <w:b w:val="false"/>
          <w:color w:val="000000"/>
          <w:sz w:val="20"/>
        </w:rPr>
        <w:t>$0.7</w:t>
      </w:r>
      <w:r>
        <w:rPr>
          <w:rFonts w:ascii="Times New Roman" w:hAnsi="Times New Roman"/>
          <w:color w:val="000000"/>
          <w:sz w:val="20"/>
        </w:rPr>
        <w:t xml:space="preserve"> </w:t>
      </w:r>
      <w:r>
        <w:rPr>
          <w:rFonts w:ascii="Times New Roman" w:hAnsi="Times New Roman"/>
          <w:b w:val="false"/>
          <w:color w:val="000000"/>
          <w:sz w:val="20"/>
        </w:rPr>
        <w:t>million using the Black-Scholes option-pricing model which the recognized as a discount on the Perceptive Term Loan Facility. The Company recorded the discount as a reduction to the principal amount of the debt and is amortized as interest expense over the life of the debt.</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Scheduled principal repayments (maturities) of long-term obligations were as follows (in thousands):</w:t>
      </w:r>
      <w:r>
        <w:rPr>
          <w:rFonts w:ascii="Times New Roman" w:hAnsi="Times New Roman"/>
          <w:color w:val="000000"/>
          <w:sz w:val="20"/>
        </w:rPr>
        <w:t xml:space="preserve"> </w:t>
      </w:r>
    </w:p>
    <w:tbl>
      <w:tblPr>
        <w:tblW w:w="3988" w:type="dxa"/>
        <w:jc w:val="left"/>
        <w:tblInd w:w="0" w:type="dxa"/>
        <w:tblLayout w:type="fixed"/>
        <w:tblCellMar>
          <w:top w:w="28" w:type="dxa"/>
          <w:left w:w="28" w:type="dxa"/>
          <w:bottom w:w="28" w:type="dxa"/>
          <w:right w:w="28" w:type="dxa"/>
        </w:tblCellMar>
      </w:tblPr>
      <w:tblGrid>
        <w:gridCol w:w="1681"/>
        <w:gridCol w:w="146"/>
        <w:gridCol w:w="420"/>
        <w:gridCol w:w="1350"/>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91" w:type="dxa"/>
            <w:tcBorders/>
            <w:shd w:fill="CCEE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91" w:type="dxa"/>
            <w:tcBorders/>
            <w:shd w:fill="CCEE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30,090</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Operating Leases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acts as a lessee under all its lease agreements. The Company leases its headquarters and laboratory facilities in Boulder, Colorado, under a non-cancelable lease agreement for approximately 29,722</w:t>
      </w:r>
      <w:r>
        <w:rPr>
          <w:rFonts w:ascii="Times New Roman" w:hAnsi="Times New Roman"/>
          <w:color w:val="000000"/>
          <w:sz w:val="20"/>
        </w:rPr>
        <w:t xml:space="preserve"> </w:t>
      </w:r>
      <w:r>
        <w:rPr>
          <w:rFonts w:ascii="Times New Roman" w:hAnsi="Times New Roman"/>
          <w:b w:val="false"/>
          <w:color w:val="000000"/>
          <w:sz w:val="20"/>
        </w:rPr>
        <w:t>square feet that is set to expire in January 2024. The Company also leases laboratory and office space in De Soto, Kansas, under a non-cancelable lease agreement for approximately 9,066</w:t>
      </w:r>
      <w:r>
        <w:rPr>
          <w:rFonts w:ascii="Times New Roman" w:hAnsi="Times New Roman"/>
          <w:color w:val="000000"/>
          <w:sz w:val="20"/>
        </w:rPr>
        <w:t xml:space="preserve"> </w:t>
      </w:r>
      <w:r>
        <w:rPr>
          <w:rFonts w:ascii="Times New Roman" w:hAnsi="Times New Roman"/>
          <w:b w:val="false"/>
          <w:color w:val="000000"/>
          <w:sz w:val="20"/>
        </w:rPr>
        <w:t>square feet that was set to expire in October 2023. In April 2023, the Company amended the agreement to extend the lease agreement through October 2026. The Company also holds various copier leases under non-cancelable lease agreements that expire in the next one</w:t>
      </w:r>
      <w:r>
        <w:rPr>
          <w:rFonts w:ascii="Times New Roman" w:hAnsi="Times New Roman"/>
          <w:color w:val="000000"/>
          <w:sz w:val="20"/>
        </w:rPr>
        <w:t xml:space="preserve"> </w:t>
      </w:r>
      <w:r>
        <w:rPr>
          <w:rFonts w:ascii="Times New Roman" w:hAnsi="Times New Roman"/>
          <w:b w:val="false"/>
          <w:color w:val="000000"/>
          <w:sz w:val="20"/>
        </w:rPr>
        <w:t>to three years.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Centennial Valley Properties I, LLC Lease Agreement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March 11, 2022, the Company entered into a Lease Agreement (the Lease) with Centennial Valley Properties I, LLC, a Colorado limited liability company (the Landlord) for office and laboratory space in Louisville, Colorado (the Leased Premises). The purpose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Lease is to replace the Company’s current leased premises in Boulder, Colorado. The Company intends to move its corporate headquarters to the Leased Premises by the end of 2023.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initial term of the Lease is twelve years</w:t>
      </w:r>
      <w:r>
        <w:rPr>
          <w:rFonts w:ascii="Times New Roman" w:hAnsi="Times New Roman"/>
          <w:color w:val="000000"/>
          <w:sz w:val="20"/>
        </w:rPr>
        <w:t xml:space="preserve"> </w:t>
      </w:r>
      <w:r>
        <w:rPr>
          <w:rFonts w:ascii="Times New Roman" w:hAnsi="Times New Roman"/>
          <w:b w:val="false"/>
          <w:color w:val="000000"/>
          <w:sz w:val="20"/>
        </w:rPr>
        <w:t>(the Initial Term) from the commencement date, which is the earlier of: (i) the Company conducting revenue generating business (as defined in the Lease), or (ii) April 1, 2023. The Company has two</w:t>
      </w:r>
      <w:r>
        <w:rPr>
          <w:rFonts w:ascii="Times New Roman" w:hAnsi="Times New Roman"/>
          <w:color w:val="000000"/>
          <w:sz w:val="20"/>
        </w:rPr>
        <w:t xml:space="preserve"> </w:t>
      </w:r>
      <w:r>
        <w:rPr>
          <w:rFonts w:ascii="Times New Roman" w:hAnsi="Times New Roman"/>
          <w:b w:val="false"/>
          <w:color w:val="000000"/>
          <w:sz w:val="20"/>
        </w:rPr>
        <w:t>renewal options to extend</w:t>
      </w:r>
      <w:r>
        <w:rPr>
          <w:rFonts w:ascii="Times New Roman" w:hAnsi="Times New Roman"/>
          <w:color w:val="000000"/>
          <w:sz w:val="20"/>
        </w:rPr>
        <w:t xml:space="preserve"> </w:t>
      </w:r>
      <w:r>
        <w:rPr>
          <w:rFonts w:ascii="Times New Roman" w:hAnsi="Times New Roman"/>
          <w:b w:val="false"/>
          <w:color w:val="000000"/>
          <w:sz w:val="20"/>
        </w:rPr>
        <w:t>the term of the Lease for an additional seven-</w:t>
      </w:r>
      <w:r>
        <w:rPr>
          <w:rFonts w:ascii="Times New Roman" w:hAnsi="Times New Roman"/>
          <w:color w:val="000000"/>
          <w:sz w:val="20"/>
        </w:rPr>
        <w:t xml:space="preserve"> </w:t>
      </w:r>
      <w:r>
        <w:rPr>
          <w:rFonts w:ascii="Times New Roman" w:hAnsi="Times New Roman"/>
          <w:b w:val="false"/>
          <w:color w:val="000000"/>
          <w:sz w:val="20"/>
        </w:rPr>
        <w:t>or ten-year</w:t>
      </w:r>
      <w:r>
        <w:rPr>
          <w:rFonts w:ascii="Times New Roman" w:hAnsi="Times New Roman"/>
          <w:color w:val="000000"/>
          <w:sz w:val="20"/>
        </w:rPr>
        <w:t xml:space="preserve"> </w:t>
      </w:r>
      <w:r>
        <w:rPr>
          <w:rFonts w:ascii="Times New Roman" w:hAnsi="Times New Roman"/>
          <w:b w:val="false"/>
          <w:color w:val="000000"/>
          <w:sz w:val="20"/>
        </w:rPr>
        <w:t>terms for each renewal. During the three months ended June 30, 2022, the lease commenced for accounting purposes resulting in $2.0</w:t>
      </w:r>
      <w:r>
        <w:rPr>
          <w:rFonts w:ascii="Times New Roman" w:hAnsi="Times New Roman"/>
          <w:color w:val="000000"/>
          <w:sz w:val="20"/>
        </w:rPr>
        <w:t xml:space="preserve"> </w:t>
      </w:r>
      <w:r>
        <w:rPr>
          <w:rFonts w:ascii="Times New Roman" w:hAnsi="Times New Roman"/>
          <w:b w:val="false"/>
          <w:color w:val="000000"/>
          <w:sz w:val="20"/>
        </w:rPr>
        <w:t>million in ROU assets and lease liabilities being recorded, however, the Lease commenced for legal purposes on April 1, 2023</w:t>
      </w:r>
      <w:r>
        <w:rPr>
          <w:rFonts w:ascii="Times New Roman" w:hAnsi="Times New Roman"/>
          <w:color w:val="000000"/>
          <w:sz w:val="20"/>
        </w:rPr>
        <w:t xml:space="preserve"> </w:t>
      </w:r>
      <w:r>
        <w:rPr>
          <w:rFonts w:ascii="Times New Roman" w:hAnsi="Times New Roman"/>
          <w:b w:val="false"/>
          <w:color w:val="000000"/>
          <w:sz w:val="20"/>
        </w:rPr>
        <w:t>(the Commencement Date).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Under the Lease, the Company will lease approximately 79,980</w:t>
      </w:r>
      <w:r>
        <w:rPr>
          <w:rFonts w:ascii="Times New Roman" w:hAnsi="Times New Roman"/>
          <w:color w:val="000000"/>
          <w:sz w:val="20"/>
        </w:rPr>
        <w:t xml:space="preserve"> </w:t>
      </w:r>
      <w:r>
        <w:rPr>
          <w:rFonts w:ascii="Times New Roman" w:hAnsi="Times New Roman"/>
          <w:b w:val="false"/>
          <w:color w:val="000000"/>
          <w:sz w:val="20"/>
        </w:rPr>
        <w:t>square feet at the Leased Premises. The Company will pay base rent over the life of the Lease beginning at approximately $227,000</w:t>
      </w:r>
      <w:r>
        <w:rPr>
          <w:rFonts w:ascii="Times New Roman" w:hAnsi="Times New Roman"/>
          <w:color w:val="000000"/>
          <w:sz w:val="20"/>
        </w:rPr>
        <w:t xml:space="preserve"> </w:t>
      </w:r>
      <w:r>
        <w:rPr>
          <w:rFonts w:ascii="Times New Roman" w:hAnsi="Times New Roman"/>
          <w:b w:val="false"/>
          <w:color w:val="000000"/>
          <w:sz w:val="20"/>
        </w:rPr>
        <w:t>per month and escalating, based on fixed escalation provisions, to approximately $326,000</w:t>
      </w:r>
      <w:r>
        <w:rPr>
          <w:rFonts w:ascii="Times New Roman" w:hAnsi="Times New Roman"/>
          <w:color w:val="000000"/>
          <w:sz w:val="20"/>
        </w:rPr>
        <w:t xml:space="preserve"> </w:t>
      </w:r>
      <w:r>
        <w:rPr>
          <w:rFonts w:ascii="Times New Roman" w:hAnsi="Times New Roman"/>
          <w:b w:val="false"/>
          <w:color w:val="000000"/>
          <w:sz w:val="20"/>
        </w:rPr>
        <w:t>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w:t>
      </w:r>
      <w:r>
        <w:rPr>
          <w:rFonts w:ascii="Times New Roman" w:hAnsi="Times New Roman"/>
          <w:color w:val="000000"/>
          <w:sz w:val="20"/>
        </w:rPr>
        <w:t xml:space="preserve"> </w:t>
      </w:r>
      <w:r>
        <w:rPr>
          <w:rFonts w:ascii="Times New Roman" w:hAnsi="Times New Roman"/>
          <w:b w:val="false"/>
          <w:color w:val="000000"/>
          <w:sz w:val="20"/>
        </w:rPr>
        <w:t>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w:t>
      </w:r>
      <w:r>
        <w:rPr>
          <w:rFonts w:ascii="Times New Roman" w:hAnsi="Times New Roman"/>
          <w:color w:val="000000"/>
          <w:sz w:val="20"/>
        </w:rPr>
        <w:t xml:space="preserve"> </w:t>
      </w:r>
      <w:r>
        <w:rPr>
          <w:rFonts w:ascii="Times New Roman" w:hAnsi="Times New Roman"/>
          <w:b w:val="false"/>
          <w:color w:val="000000"/>
          <w:sz w:val="20"/>
        </w:rPr>
        <w:t>million toward the cost of construction and improvements for the Leased Premises and the Company exercised its option for an additional tenant improvement allowance of $2.0</w:t>
      </w:r>
      <w:r>
        <w:rPr>
          <w:rFonts w:ascii="Times New Roman" w:hAnsi="Times New Roman"/>
          <w:color w:val="000000"/>
          <w:sz w:val="20"/>
        </w:rPr>
        <w:t xml:space="preserve"> </w:t>
      </w:r>
      <w:r>
        <w:rPr>
          <w:rFonts w:ascii="Times New Roman" w:hAnsi="Times New Roman"/>
          <w:b w:val="false"/>
          <w:color w:val="000000"/>
          <w:sz w:val="20"/>
        </w:rPr>
        <w:t>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w:t>
      </w:r>
      <w:r>
        <w:rPr>
          <w:rFonts w:ascii="Times New Roman" w:hAnsi="Times New Roman"/>
          <w:color w:val="000000"/>
          <w:sz w:val="20"/>
        </w:rPr>
        <w:t xml:space="preserve"> </w:t>
      </w:r>
      <w:r>
        <w:rPr>
          <w:rFonts w:ascii="Times New Roman" w:hAnsi="Times New Roman"/>
          <w:b w:val="false"/>
          <w:color w:val="000000"/>
          <w:sz w:val="20"/>
        </w:rPr>
        <w:t>million by November 2024 after receiving $20.8</w:t>
      </w:r>
      <w:r>
        <w:rPr>
          <w:rFonts w:ascii="Times New Roman" w:hAnsi="Times New Roman"/>
          <w:color w:val="000000"/>
          <w:sz w:val="20"/>
        </w:rPr>
        <w:t xml:space="preserve"> </w:t>
      </w:r>
      <w:r>
        <w:rPr>
          <w:rFonts w:ascii="Times New Roman" w:hAnsi="Times New Roman"/>
          <w:b w:val="false"/>
          <w:color w:val="000000"/>
          <w:sz w:val="20"/>
        </w:rPr>
        <w:t>million in lessor reimbursements. As of September 30, 2023, the Company has utilized the total $20.8</w:t>
      </w:r>
      <w:r>
        <w:rPr>
          <w:rFonts w:ascii="Times New Roman" w:hAnsi="Times New Roman"/>
          <w:color w:val="000000"/>
          <w:sz w:val="20"/>
        </w:rPr>
        <w:t xml:space="preserve"> </w:t>
      </w:r>
      <w:r>
        <w:rPr>
          <w:rFonts w:ascii="Times New Roman" w:hAnsi="Times New Roman"/>
          <w:b w:val="false"/>
          <w:color w:val="000000"/>
          <w:sz w:val="20"/>
        </w:rPr>
        <w:t>million ($5.5</w:t>
      </w:r>
      <w:r>
        <w:rPr>
          <w:rFonts w:ascii="Times New Roman" w:hAnsi="Times New Roman"/>
          <w:color w:val="000000"/>
          <w:sz w:val="20"/>
        </w:rPr>
        <w:t xml:space="preserve"> </w:t>
      </w:r>
      <w:r>
        <w:rPr>
          <w:rFonts w:ascii="Times New Roman" w:hAnsi="Times New Roman"/>
          <w:b w:val="false"/>
          <w:color w:val="000000"/>
          <w:sz w:val="20"/>
        </w:rPr>
        <w:t>million and $18.3</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respectively) in tenant improvement allowances for capital expenditures for leasehold improvements related to the Leased Premises and have been reimbursed from the Landlord.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Lease includes various covenants, indemnities, defaults, termination rights, and other provisions customary for lease transactions of this nature. During the three months ended September 30, 2022, a $5.0</w:t>
      </w:r>
      <w:r>
        <w:rPr>
          <w:rFonts w:ascii="Times New Roman" w:hAnsi="Times New Roman"/>
          <w:color w:val="000000"/>
          <w:sz w:val="20"/>
        </w:rPr>
        <w:t xml:space="preserve"> </w:t>
      </w:r>
      <w:r>
        <w:rPr>
          <w:rFonts w:ascii="Times New Roman" w:hAnsi="Times New Roman"/>
          <w:b w:val="false"/>
          <w:color w:val="000000"/>
          <w:sz w:val="20"/>
        </w:rPr>
        <w:t>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w:t>
      </w:r>
      <w:r>
        <w:rPr>
          <w:rFonts w:ascii="Times New Roman" w:hAnsi="Times New Roman"/>
          <w:color w:val="000000"/>
          <w:sz w:val="20"/>
        </w:rPr>
        <w:t xml:space="preserve"> </w:t>
      </w:r>
      <w:r>
        <w:rPr>
          <w:rFonts w:ascii="Times New Roman" w:hAnsi="Times New Roman"/>
          <w:b w:val="false"/>
          <w:color w:val="000000"/>
          <w:sz w:val="20"/>
        </w:rPr>
        <w:t>million refundable deposit is included within 'Other long-term assets' in the condensed balance sheet as of September 30, 2023.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Operating lease expense for all operating leases was $1.1</w:t>
      </w:r>
      <w:r>
        <w:rPr>
          <w:rFonts w:ascii="Times New Roman" w:hAnsi="Times New Roman"/>
          <w:color w:val="000000"/>
          <w:sz w:val="20"/>
        </w:rPr>
        <w:t xml:space="preserve"> </w:t>
      </w:r>
      <w:r>
        <w:rPr>
          <w:rFonts w:ascii="Times New Roman" w:hAnsi="Times New Roman"/>
          <w:b w:val="false"/>
          <w:color w:val="000000"/>
          <w:sz w:val="20"/>
        </w:rPr>
        <w:t>million and $3.3</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compared to $0.9</w:t>
      </w:r>
      <w:r>
        <w:rPr>
          <w:rFonts w:ascii="Times New Roman" w:hAnsi="Times New Roman"/>
          <w:color w:val="000000"/>
          <w:sz w:val="20"/>
        </w:rPr>
        <w:t xml:space="preserve"> </w:t>
      </w:r>
      <w:r>
        <w:rPr>
          <w:rFonts w:ascii="Times New Roman" w:hAnsi="Times New Roman"/>
          <w:b w:val="false"/>
          <w:color w:val="000000"/>
          <w:sz w:val="20"/>
        </w:rPr>
        <w:t>million and $1.7</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As of September 30, 2023, the weighted-average remaining lease term and discount rate associated with our operating leases were 10.7</w:t>
      </w:r>
      <w:r>
        <w:rPr>
          <w:rFonts w:ascii="Times New Roman" w:hAnsi="Times New Roman"/>
          <w:color w:val="000000"/>
          <w:sz w:val="20"/>
        </w:rPr>
        <w:t xml:space="preserve"> </w:t>
      </w:r>
      <w:r>
        <w:rPr>
          <w:rFonts w:ascii="Times New Roman" w:hAnsi="Times New Roman"/>
          <w:b w:val="false"/>
          <w:color w:val="000000"/>
          <w:sz w:val="20"/>
        </w:rPr>
        <w:t>years and 11.4%, respectively.</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Future minimum lease payments associated with our operating leases were as follows (in thousands):</w:t>
      </w:r>
    </w:p>
    <w:tbl>
      <w:tblPr>
        <w:tblW w:w="5708" w:type="dxa"/>
        <w:jc w:val="left"/>
        <w:tblInd w:w="0" w:type="dxa"/>
        <w:tblLayout w:type="fixed"/>
        <w:tblCellMar>
          <w:top w:w="28" w:type="dxa"/>
          <w:left w:w="28" w:type="dxa"/>
          <w:bottom w:w="28" w:type="dxa"/>
          <w:right w:w="28" w:type="dxa"/>
        </w:tblCellMar>
      </w:tblPr>
      <w:tblGrid>
        <w:gridCol w:w="3381"/>
        <w:gridCol w:w="146"/>
        <w:gridCol w:w="394"/>
        <w:gridCol w:w="1376"/>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2,406</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4,032</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4,063</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and thereafter</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future minimum lease payments</w:t>
            </w:r>
          </w:p>
        </w:tc>
        <w:tc>
          <w:tcPr>
            <w:tcW w:w="146"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47,981</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81"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CEEFF" w:val="clear"/>
            <w:vAlign w:val="center"/>
          </w:tcPr>
          <w:p>
            <w:pPr>
              <w:pStyle w:val="TableContents"/>
              <w:bidi w:val="0"/>
              <w:spacing w:before="0" w:after="283"/>
              <w:jc w:val="left"/>
              <w:rPr/>
            </w:pPr>
            <w:r>
              <w:rPr/>
              <w:t> </w:t>
            </w:r>
          </w:p>
        </w:tc>
        <w:tc>
          <w:tcPr>
            <w:tcW w:w="3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25,749</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Equity Financing Programs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maintains two</w:t>
      </w:r>
      <w:r>
        <w:rPr>
          <w:rFonts w:ascii="Times New Roman" w:hAnsi="Times New Roman"/>
          <w:color w:val="000000"/>
          <w:sz w:val="20"/>
        </w:rPr>
        <w:t xml:space="preserve"> </w:t>
      </w:r>
      <w:r>
        <w:rPr>
          <w:rFonts w:ascii="Times New Roman" w:hAnsi="Times New Roman"/>
          <w:b w:val="false"/>
          <w:color w:val="000000"/>
          <w:sz w:val="20"/>
        </w:rPr>
        <w:t>facilities that enable equity financing on an ongoing basis at the Company’s sole discretion, our at-the-market (ATM) offering and our common stock purchase agreement with Lincoln Park Capital Fund, LLC (Lincoln Park). In November 2021, the Company entered into a sales agreement with a financial institution, pursuant to which the Company may issue and sell, from time to time, shares of its common stock having an aggregate offering price of up to $50.0</w:t>
      </w:r>
      <w:r>
        <w:rPr>
          <w:rFonts w:ascii="Times New Roman" w:hAnsi="Times New Roman"/>
          <w:color w:val="000000"/>
          <w:sz w:val="20"/>
        </w:rPr>
        <w:t xml:space="preserve"> </w:t>
      </w:r>
      <w:r>
        <w:rPr>
          <w:rFonts w:ascii="Times New Roman" w:hAnsi="Times New Roman"/>
          <w:b w:val="false"/>
          <w:color w:val="000000"/>
          <w:sz w:val="20"/>
        </w:rPr>
        <w:t>million (the ATM Shares), subject to terms and conditions. The ATM Shares will be offered and sold by the Company pursuant to its previously filed and currently effective registration statement on Form S-3, and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March 7, 2022 (the LPC Effective Date), the Company entered into a purchase agreement with Lincoln Park Capital Fund, LLC (the Purchase Agreement), pursuant to which Lincoln Park has committed to purchase up to $50.0</w:t>
      </w:r>
      <w:r>
        <w:rPr>
          <w:rFonts w:ascii="Times New Roman" w:hAnsi="Times New Roman"/>
          <w:color w:val="000000"/>
          <w:sz w:val="20"/>
        </w:rPr>
        <w:t xml:space="preserve"> </w:t>
      </w:r>
      <w:r>
        <w:rPr>
          <w:rFonts w:ascii="Times New Roman" w:hAnsi="Times New Roman"/>
          <w:b w:val="false"/>
          <w:color w:val="000000"/>
          <w:sz w:val="20"/>
        </w:rPr>
        <w:t>million of the Company's common stock (the LPC Facility). Under the terms and subject to the conditions of the Purchase Agreement, the Company has the right, but not the obligation, to sell to Lincoln Park, and Lincoln Park is obligated to purchase up to $50.0</w:t>
      </w:r>
      <w:r>
        <w:rPr>
          <w:rFonts w:ascii="Times New Roman" w:hAnsi="Times New Roman"/>
          <w:color w:val="000000"/>
          <w:sz w:val="20"/>
        </w:rPr>
        <w:t xml:space="preserve"> </w:t>
      </w:r>
      <w:r>
        <w:rPr>
          <w:rFonts w:ascii="Times New Roman" w:hAnsi="Times New Roman"/>
          <w:b w:val="false"/>
          <w:color w:val="000000"/>
          <w:sz w:val="20"/>
        </w:rPr>
        <w:t>million of the Company’s common stock. Such sales of common stock by the Company, if any, will be subject to certain limitations, and may occur from time to time, at the Company’s sole discretion, over the 36-month</w:t>
      </w:r>
      <w:r>
        <w:rPr>
          <w:rFonts w:ascii="Times New Roman" w:hAnsi="Times New Roman"/>
          <w:color w:val="000000"/>
          <w:sz w:val="20"/>
        </w:rPr>
        <w:t xml:space="preserve"> </w:t>
      </w:r>
      <w:r>
        <w:rPr>
          <w:rFonts w:ascii="Times New Roman" w:hAnsi="Times New Roman"/>
          <w:b w:val="false"/>
          <w:color w:val="000000"/>
          <w:sz w:val="20"/>
        </w:rPr>
        <w:t>period commencing on the LPC Effective Date. The number of shares the Company may sell to Lincoln Park on any single business day in a regular purchase is 50,000</w:t>
      </w:r>
      <w:r>
        <w:rPr>
          <w:rFonts w:ascii="Times New Roman" w:hAnsi="Times New Roman"/>
          <w:color w:val="000000"/>
          <w:sz w:val="20"/>
        </w:rPr>
        <w:t xml:space="preserve"> </w:t>
      </w:r>
      <w:r>
        <w:rPr>
          <w:rFonts w:ascii="Times New Roman" w:hAnsi="Times New Roman"/>
          <w:b w:val="false"/>
          <w:color w:val="000000"/>
          <w:sz w:val="20"/>
        </w:rPr>
        <w:t>shares, but that amount may be increased up to 100,000</w:t>
      </w:r>
      <w:r>
        <w:rPr>
          <w:rFonts w:ascii="Times New Roman" w:hAnsi="Times New Roman"/>
          <w:color w:val="000000"/>
          <w:sz w:val="20"/>
        </w:rPr>
        <w:t xml:space="preserve"> </w:t>
      </w:r>
      <w:r>
        <w:rPr>
          <w:rFonts w:ascii="Times New Roman" w:hAnsi="Times New Roman"/>
          <w:b w:val="false"/>
          <w:color w:val="000000"/>
          <w:sz w:val="20"/>
        </w:rPr>
        <w:t>shares, depending upon the market price of the Company’s common stock at the time of sale and subject to a maximum limit of $1.5</w:t>
      </w:r>
      <w:r>
        <w:rPr>
          <w:rFonts w:ascii="Times New Roman" w:hAnsi="Times New Roman"/>
          <w:color w:val="000000"/>
          <w:sz w:val="20"/>
        </w:rPr>
        <w:t xml:space="preserve"> </w:t>
      </w:r>
      <w:r>
        <w:rPr>
          <w:rFonts w:ascii="Times New Roman" w:hAnsi="Times New Roman"/>
          <w:b w:val="false"/>
          <w:color w:val="000000"/>
          <w:sz w:val="20"/>
        </w:rPr>
        <w:t>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 applicable rules of the NASDAQ Global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LPC Effective Date, the Company issued 184,275</w:t>
      </w:r>
      <w:r>
        <w:rPr>
          <w:rFonts w:ascii="Times New Roman" w:hAnsi="Times New Roman"/>
          <w:color w:val="000000"/>
          <w:sz w:val="20"/>
        </w:rPr>
        <w:t xml:space="preserve"> </w:t>
      </w:r>
      <w:r>
        <w:rPr>
          <w:rFonts w:ascii="Times New Roman" w:hAnsi="Times New Roman"/>
          <w:b w:val="false"/>
          <w:color w:val="000000"/>
          <w:sz w:val="20"/>
        </w:rPr>
        <w:t>shares of common stock to Lincoln Park as a commitment fee (the Initial Commitment Shares) for which the Company did not receive consideration and, upon the available amount being reduced to an amount equal to or less than $20.0</w:t>
      </w:r>
      <w:r>
        <w:rPr>
          <w:rFonts w:ascii="Times New Roman" w:hAnsi="Times New Roman"/>
          <w:color w:val="000000"/>
          <w:sz w:val="20"/>
        </w:rPr>
        <w:t xml:space="preserve"> </w:t>
      </w:r>
      <w:r>
        <w:rPr>
          <w:rFonts w:ascii="Times New Roman" w:hAnsi="Times New Roman"/>
          <w:b w:val="false"/>
          <w:color w:val="000000"/>
          <w:sz w:val="20"/>
        </w:rPr>
        <w:t>million, the Company will be required to issue 61,425</w:t>
      </w:r>
      <w:r>
        <w:rPr>
          <w:rFonts w:ascii="Times New Roman" w:hAnsi="Times New Roman"/>
          <w:color w:val="000000"/>
          <w:sz w:val="20"/>
        </w:rPr>
        <w:t xml:space="preserve"> </w:t>
      </w:r>
      <w:r>
        <w:rPr>
          <w:rFonts w:ascii="Times New Roman" w:hAnsi="Times New Roman"/>
          <w:b w:val="false"/>
          <w:color w:val="000000"/>
          <w:sz w:val="20"/>
        </w:rPr>
        <w:t>shares (the Additional Commitment Shares and together with the Initial Commitment Shares, collectively, the Commitment Shares). The Initial Commitment Shares issued were valued at $600,000</w:t>
      </w:r>
      <w:r>
        <w:rPr>
          <w:rFonts w:ascii="Times New Roman" w:hAnsi="Times New Roman"/>
          <w:color w:val="000000"/>
          <w:sz w:val="20"/>
        </w:rPr>
        <w:t xml:space="preserve"> </w:t>
      </w:r>
      <w:r>
        <w:rPr>
          <w:rFonts w:ascii="Times New Roman" w:hAnsi="Times New Roman"/>
          <w:b w:val="false"/>
          <w:color w:val="000000"/>
          <w:sz w:val="20"/>
        </w:rPr>
        <w:t>and, together with due diligence expenses and legal fees of $129,000, reflect deferred offering costs of $729,000, which are included on the condensed balance sheet in 'Other long-term assets'. The deferred offering costs will be charged against 'Additional paid-in capital' upon future proceeds from the sale of common stock under the Purchase Agreement. During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deferred offering costs</w:t>
      </w:r>
      <w:r>
        <w:rPr>
          <w:rFonts w:ascii="Times New Roman" w:hAnsi="Times New Roman"/>
          <w:color w:val="000000"/>
          <w:sz w:val="20"/>
        </w:rPr>
        <w:t xml:space="preserve"> </w:t>
      </w:r>
      <w:r>
        <w:rPr>
          <w:rFonts w:ascii="Times New Roman" w:hAnsi="Times New Roman"/>
          <w:b w:val="false"/>
          <w:color w:val="000000"/>
          <w:sz w:val="20"/>
        </w:rPr>
        <w:t>charged against 'Additional paid-in capital'. During the three and nine months ended September 30, 2022, $33,000</w:t>
      </w:r>
      <w:r>
        <w:rPr>
          <w:rFonts w:ascii="Times New Roman" w:hAnsi="Times New Roman"/>
          <w:color w:val="000000"/>
          <w:sz w:val="20"/>
        </w:rPr>
        <w:t xml:space="preserve"> </w:t>
      </w:r>
      <w:r>
        <w:rPr>
          <w:rFonts w:ascii="Times New Roman" w:hAnsi="Times New Roman"/>
          <w:b w:val="false"/>
          <w:color w:val="000000"/>
          <w:sz w:val="20"/>
        </w:rPr>
        <w:t>and $51,000</w:t>
      </w:r>
      <w:r>
        <w:rPr>
          <w:rFonts w:ascii="Times New Roman" w:hAnsi="Times New Roman"/>
          <w:color w:val="000000"/>
          <w:sz w:val="20"/>
        </w:rPr>
        <w:t xml:space="preserve"> </w:t>
      </w:r>
      <w:r>
        <w:rPr>
          <w:rFonts w:ascii="Times New Roman" w:hAnsi="Times New Roman"/>
          <w:b w:val="false"/>
          <w:color w:val="000000"/>
          <w:sz w:val="20"/>
        </w:rPr>
        <w:t>of deferred offering costs were charged against 'Additional paid-in capital', respectively. As of September 30, 2023, $654,000</w:t>
      </w:r>
      <w:r>
        <w:rPr>
          <w:rFonts w:ascii="Times New Roman" w:hAnsi="Times New Roman"/>
          <w:color w:val="000000"/>
          <w:sz w:val="20"/>
        </w:rPr>
        <w:t xml:space="preserve"> </w:t>
      </w:r>
      <w:r>
        <w:rPr>
          <w:rFonts w:ascii="Times New Roman" w:hAnsi="Times New Roman"/>
          <w:b w:val="false"/>
          <w:color w:val="000000"/>
          <w:sz w:val="20"/>
        </w:rPr>
        <w:t>of deferred offering costs</w:t>
      </w:r>
      <w:r>
        <w:rPr>
          <w:rFonts w:ascii="Times New Roman" w:hAnsi="Times New Roman"/>
          <w:color w:val="000000"/>
          <w:sz w:val="20"/>
        </w:rPr>
        <w:t xml:space="preserve"> </w:t>
      </w:r>
      <w:r>
        <w:rPr>
          <w:rFonts w:ascii="Times New Roman" w:hAnsi="Times New Roman"/>
          <w:b w:val="false"/>
          <w:color w:val="000000"/>
          <w:sz w:val="20"/>
        </w:rPr>
        <w:t>remain.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pay any additional amounts to reimburse or otherwise compensate Lincoln Park in connection with the transaction, other than the issuance of the Commitment Shares.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the Company had remaining available capacity for share issuances of approximately $29.5</w:t>
      </w:r>
      <w:r>
        <w:rPr>
          <w:rFonts w:ascii="Times New Roman" w:hAnsi="Times New Roman"/>
          <w:color w:val="000000"/>
          <w:sz w:val="20"/>
        </w:rPr>
        <w:t xml:space="preserve"> </w:t>
      </w:r>
      <w:r>
        <w:rPr>
          <w:rFonts w:ascii="Times New Roman" w:hAnsi="Times New Roman"/>
          <w:b w:val="false"/>
          <w:color w:val="000000"/>
          <w:sz w:val="20"/>
        </w:rPr>
        <w:t>million under the ATM facility and up to $46.9</w:t>
      </w:r>
      <w:r>
        <w:rPr>
          <w:rFonts w:ascii="Times New Roman" w:hAnsi="Times New Roman"/>
          <w:color w:val="000000"/>
          <w:sz w:val="20"/>
        </w:rPr>
        <w:t xml:space="preserve"> </w:t>
      </w:r>
      <w:r>
        <w:rPr>
          <w:rFonts w:ascii="Times New Roman" w:hAnsi="Times New Roman"/>
          <w:b w:val="false"/>
          <w:color w:val="000000"/>
          <w:sz w:val="20"/>
        </w:rPr>
        <w:t>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Subscription Agreements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3, 2023, the Company entered into subscription agreements (the Subscription Agreements) with all the members of our Board of Directors, all Section 16</w:t>
      </w:r>
      <w:r>
        <w:rPr>
          <w:rFonts w:ascii="Times New Roman" w:hAnsi="Times New Roman"/>
          <w:color w:val="000000"/>
          <w:sz w:val="20"/>
        </w:rPr>
        <w:t xml:space="preserve"> </w:t>
      </w:r>
      <w:r>
        <w:rPr>
          <w:rFonts w:ascii="Times New Roman" w:hAnsi="Times New Roman"/>
          <w:b w:val="false"/>
          <w:color w:val="000000"/>
          <w:sz w:val="20"/>
        </w:rPr>
        <w:t>officers, and additional members of the Biodesix leadership team (together, the Investors) for the issuance and sale by the Company of an aggregate of 16,975,298</w:t>
      </w:r>
      <w:r>
        <w:rPr>
          <w:rFonts w:ascii="Times New Roman" w:hAnsi="Times New Roman"/>
          <w:color w:val="000000"/>
          <w:sz w:val="20"/>
        </w:rPr>
        <w:t xml:space="preserve"> </w:t>
      </w:r>
      <w:r>
        <w:rPr>
          <w:rFonts w:ascii="Times New Roman" w:hAnsi="Times New Roman"/>
          <w:b w:val="false"/>
          <w:color w:val="000000"/>
          <w:sz w:val="20"/>
        </w:rPr>
        <w:t>of the Company’s common stock (the Shares) in a private equity offering (the Private Placement). The Subscription Agreements</w:t>
      </w:r>
      <w:r>
        <w:rPr>
          <w:rFonts w:ascii="Times New Roman" w:hAnsi="Times New Roman"/>
          <w:color w:val="000000"/>
          <w:sz w:val="20"/>
        </w:rPr>
        <w:t xml:space="preserve"> </w:t>
      </w:r>
      <w:r>
        <w:rPr>
          <w:rFonts w:ascii="Times New Roman" w:hAnsi="Times New Roman"/>
          <w:b w:val="false"/>
          <w:color w:val="000000"/>
          <w:sz w:val="20"/>
        </w:rPr>
        <w:t>did not include any registration rights.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Pursuant to the Subscription Agreements, the Investors purchased shares at a purchase price (determined in accordance with Nasdaq rules relating to the “Minimum Value” of the Company’s common stock) of</w:t>
      </w:r>
      <w:r>
        <w:rPr>
          <w:rFonts w:ascii="Times New Roman" w:hAnsi="Times New Roman"/>
          <w:color w:val="000000"/>
          <w:sz w:val="20"/>
        </w:rPr>
        <w:t xml:space="preserve"> </w:t>
      </w:r>
      <w:r>
        <w:rPr>
          <w:rFonts w:ascii="Times New Roman" w:hAnsi="Times New Roman"/>
          <w:b w:val="false"/>
          <w:color w:val="000000"/>
          <w:sz w:val="20"/>
        </w:rPr>
        <w:t>$1.62</w:t>
      </w:r>
      <w:r>
        <w:rPr>
          <w:rFonts w:ascii="Times New Roman" w:hAnsi="Times New Roman"/>
          <w:color w:val="000000"/>
          <w:sz w:val="20"/>
        </w:rPr>
        <w:t xml:space="preserve"> </w:t>
      </w:r>
      <w:r>
        <w:rPr>
          <w:rFonts w:ascii="Times New Roman" w:hAnsi="Times New Roman"/>
          <w:b w:val="false"/>
          <w:color w:val="000000"/>
          <w:sz w:val="20"/>
        </w:rPr>
        <w:t>per share, which is equal to the closing price of the Company's common stock</w:t>
      </w:r>
      <w:r>
        <w:rPr>
          <w:rFonts w:ascii="Times New Roman" w:hAnsi="Times New Roman"/>
          <w:color w:val="000000"/>
          <w:sz w:val="20"/>
        </w:rPr>
        <w:t xml:space="preserve"> </w:t>
      </w:r>
      <w:r>
        <w:rPr>
          <w:rFonts w:ascii="Times New Roman" w:hAnsi="Times New Roman"/>
          <w:b w:val="false"/>
          <w:color w:val="000000"/>
          <w:sz w:val="20"/>
        </w:rPr>
        <w:t>on August 3, 2023, for an aggregate purchase price of approximately $27.5</w:t>
      </w:r>
      <w:r>
        <w:rPr>
          <w:rFonts w:ascii="Times New Roman" w:hAnsi="Times New Roman"/>
          <w:color w:val="000000"/>
          <w:sz w:val="20"/>
        </w:rPr>
        <w:t xml:space="preserve"> </w:t>
      </w:r>
      <w:r>
        <w:rPr>
          <w:rFonts w:ascii="Times New Roman" w:hAnsi="Times New Roman"/>
          <w:b w:val="false"/>
          <w:color w:val="000000"/>
          <w:sz w:val="20"/>
        </w:rPr>
        <w:t>million. The Subscription Agreements include customary representations, warranties and covenants by the parties to the agreement. During the three months ended September 30, 2023, the Company received $15.3</w:t>
      </w:r>
      <w:r>
        <w:rPr>
          <w:rFonts w:ascii="Times New Roman" w:hAnsi="Times New Roman"/>
          <w:color w:val="000000"/>
          <w:sz w:val="20"/>
        </w:rPr>
        <w:t xml:space="preserve"> </w:t>
      </w:r>
      <w:r>
        <w:rPr>
          <w:rFonts w:ascii="Times New Roman" w:hAnsi="Times New Roman"/>
          <w:b w:val="false"/>
          <w:color w:val="000000"/>
          <w:sz w:val="20"/>
        </w:rPr>
        <w:t>million in proceeds and issued 9,454,927</w:t>
      </w:r>
      <w:r>
        <w:rPr>
          <w:rFonts w:ascii="Times New Roman" w:hAnsi="Times New Roman"/>
          <w:color w:val="000000"/>
          <w:sz w:val="20"/>
        </w:rPr>
        <w:t xml:space="preserve"> </w:t>
      </w:r>
      <w:r>
        <w:rPr>
          <w:rFonts w:ascii="Times New Roman" w:hAnsi="Times New Roman"/>
          <w:b w:val="false"/>
          <w:color w:val="000000"/>
          <w:sz w:val="20"/>
        </w:rPr>
        <w:t>shares of common stock pursuant to the Subscription Agreements. On September 27, 2023, the Company entered into an amendment to delay final closing on one</w:t>
      </w:r>
      <w:r>
        <w:rPr>
          <w:rFonts w:ascii="Times New Roman" w:hAnsi="Times New Roman"/>
          <w:color w:val="000000"/>
          <w:sz w:val="20"/>
        </w:rPr>
        <w:t xml:space="preserve"> </w:t>
      </w:r>
      <w:r>
        <w:rPr>
          <w:rFonts w:ascii="Times New Roman" w:hAnsi="Times New Roman"/>
          <w:b w:val="false"/>
          <w:color w:val="000000"/>
          <w:sz w:val="20"/>
        </w:rPr>
        <w:t>subscription agreement. The remaining $12.2</w:t>
      </w:r>
      <w:r>
        <w:rPr>
          <w:rFonts w:ascii="Times New Roman" w:hAnsi="Times New Roman"/>
          <w:color w:val="000000"/>
          <w:sz w:val="20"/>
        </w:rPr>
        <w:t xml:space="preserve"> </w:t>
      </w:r>
      <w:r>
        <w:rPr>
          <w:rFonts w:ascii="Times New Roman" w:hAnsi="Times New Roman"/>
          <w:b w:val="false"/>
          <w:color w:val="000000"/>
          <w:sz w:val="20"/>
        </w:rPr>
        <w:t>million in proceeds will be received and 7,520,371</w:t>
      </w:r>
      <w:r>
        <w:rPr>
          <w:rFonts w:ascii="Times New Roman" w:hAnsi="Times New Roman"/>
          <w:color w:val="000000"/>
          <w:sz w:val="20"/>
        </w:rPr>
        <w:t xml:space="preserve"> </w:t>
      </w:r>
      <w:r>
        <w:rPr>
          <w:rFonts w:ascii="Times New Roman" w:hAnsi="Times New Roman"/>
          <w:b w:val="false"/>
          <w:color w:val="000000"/>
          <w:sz w:val="20"/>
        </w:rPr>
        <w:t>shares of common stock will be issued during the three months ended December 31, 2023.</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2018, the Company issued warrants to purchase shares of convertible preferred stock in conjunction with the sale of certain convertible preferred shares and issuance of debt. The Company issued to the lender a warrant to purchase 613,333</w:t>
      </w:r>
      <w:r>
        <w:rPr>
          <w:rFonts w:ascii="Times New Roman" w:hAnsi="Times New Roman"/>
          <w:color w:val="000000"/>
          <w:sz w:val="20"/>
        </w:rPr>
        <w:t xml:space="preserve"> </w:t>
      </w:r>
      <w:r>
        <w:rPr>
          <w:rFonts w:ascii="Times New Roman" w:hAnsi="Times New Roman"/>
          <w:b w:val="false"/>
          <w:color w:val="000000"/>
          <w:sz w:val="20"/>
        </w:rPr>
        <w:t>shares of Series G convertible preferred stock, at an exercise price of $0.75</w:t>
      </w:r>
      <w:r>
        <w:rPr>
          <w:rFonts w:ascii="Times New Roman" w:hAnsi="Times New Roman"/>
          <w:color w:val="000000"/>
          <w:sz w:val="20"/>
        </w:rPr>
        <w:t xml:space="preserve"> </w:t>
      </w:r>
      <w:r>
        <w:rPr>
          <w:rFonts w:ascii="Times New Roman" w:hAnsi="Times New Roman"/>
          <w:b w:val="false"/>
          <w:color w:val="000000"/>
          <w:sz w:val="20"/>
        </w:rPr>
        <w:t>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w:t>
      </w:r>
      <w:r>
        <w:rPr>
          <w:rFonts w:ascii="Times New Roman" w:hAnsi="Times New Roman"/>
          <w:color w:val="000000"/>
          <w:sz w:val="20"/>
        </w:rPr>
        <w:t xml:space="preserve"> </w:t>
      </w:r>
      <w:r>
        <w:rPr>
          <w:rFonts w:ascii="Times New Roman" w:hAnsi="Times New Roman"/>
          <w:b w:val="false"/>
          <w:color w:val="000000"/>
          <w:sz w:val="20"/>
        </w:rPr>
        <w:t>shares of common stock with a weighted average exercise price of $4.46</w:t>
      </w:r>
      <w:r>
        <w:rPr>
          <w:rFonts w:ascii="Times New Roman" w:hAnsi="Times New Roman"/>
          <w:color w:val="000000"/>
          <w:sz w:val="20"/>
        </w:rPr>
        <w:t xml:space="preserve"> </w:t>
      </w:r>
      <w:r>
        <w:rPr>
          <w:rFonts w:ascii="Times New Roman" w:hAnsi="Times New Roman"/>
          <w:b w:val="false"/>
          <w:color w:val="000000"/>
          <w:sz w:val="20"/>
        </w:rPr>
        <w:t>and were also transferred to additional paid-in capital. All common stock warrants remain outstanding as of September 30,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On November 21, 2022, as consideration for the Perceptive Term Loan Facility (see Note 6 - </w:t>
      </w:r>
      <w:r>
        <w:rPr>
          <w:rFonts w:ascii="Times New Roman" w:hAnsi="Times New Roman"/>
          <w:b w:val="false"/>
          <w:i/>
          <w:color w:val="000000"/>
          <w:sz w:val="20"/>
        </w:rPr>
        <w:t>Debt</w:t>
      </w:r>
      <w:r>
        <w:rPr>
          <w:rFonts w:ascii="Times New Roman" w:hAnsi="Times New Roman"/>
          <w:b w:val="false"/>
          <w:color w:val="000000"/>
          <w:sz w:val="20"/>
        </w:rPr>
        <w:t>), the Company issued the Perceptive Warrant to purchase up to 5,000,000</w:t>
      </w:r>
      <w:r>
        <w:rPr>
          <w:rFonts w:ascii="Times New Roman" w:hAnsi="Times New Roman"/>
          <w:color w:val="000000"/>
          <w:sz w:val="20"/>
        </w:rPr>
        <w:t xml:space="preserve"> </w:t>
      </w:r>
      <w:r>
        <w:rPr>
          <w:rFonts w:ascii="Times New Roman" w:hAnsi="Times New Roman"/>
          <w:b w:val="false"/>
          <w:color w:val="000000"/>
          <w:sz w:val="20"/>
        </w:rPr>
        <w:t>shares of the Company's common stock, including the Initial Warrants. In addition to the Initial Warrants, the Additional Warrants will each become exercisable into 1,000,000</w:t>
      </w:r>
      <w:r>
        <w:rPr>
          <w:rFonts w:ascii="Times New Roman" w:hAnsi="Times New Roman"/>
          <w:color w:val="000000"/>
          <w:sz w:val="20"/>
        </w:rPr>
        <w:t xml:space="preserve"> </w:t>
      </w:r>
      <w:r>
        <w:rPr>
          <w:rFonts w:ascii="Times New Roman" w:hAnsi="Times New Roman"/>
          <w:b w:val="false"/>
          <w:color w:val="000000"/>
          <w:sz w:val="20"/>
        </w:rPr>
        <w:t xml:space="preserve">shares of common stock concurrently with the borrowing date of the Tranche B and C Loans, respectively. The Company accounts for the Additional Warrants as liabilities as the Additional Warrants do not meet the criteria for equity treatment (see Note 4 - </w:t>
      </w:r>
      <w:r>
        <w:rPr>
          <w:rFonts w:ascii="Times New Roman" w:hAnsi="Times New Roman"/>
          <w:b w:val="false"/>
          <w:i/>
          <w:color w:val="000000"/>
          <w:sz w:val="20"/>
        </w:rPr>
        <w:t>Fair Value</w:t>
      </w:r>
      <w:r>
        <w:rPr>
          <w:rFonts w:ascii="Times New Roman" w:hAnsi="Times New Roman"/>
          <w:b w:val="false"/>
          <w:color w:val="000000"/>
          <w:sz w:val="20"/>
        </w:rPr>
        <w:t>).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w:t>
      </w:r>
      <w:r>
        <w:rPr>
          <w:rFonts w:ascii="Times New Roman" w:hAnsi="Times New Roman"/>
          <w:color w:val="000000"/>
          <w:sz w:val="20"/>
        </w:rPr>
        <w:t xml:space="preserve"> </w:t>
      </w:r>
      <w:r>
        <w:rPr>
          <w:rFonts w:ascii="Times New Roman" w:hAnsi="Times New Roman"/>
          <w:b w:val="false"/>
          <w:color w:val="000000"/>
          <w:sz w:val="20"/>
        </w:rPr>
        <w:t>million using the Black-Scholes option-pricing model assuming an expected term of 10 years, a volatility of 81.3%, a dividend yield of 0% and a risk-free interest rate of 3.67%. All Initial Warrants remain outstanding as</w:t>
      </w:r>
      <w:r>
        <w:rPr>
          <w:rFonts w:ascii="Times New Roman" w:hAnsi="Times New Roman"/>
          <w:color w:val="000000"/>
          <w:sz w:val="20"/>
        </w:rPr>
        <w:t xml:space="preserve"> </w:t>
      </w:r>
      <w:r>
        <w:rPr>
          <w:rFonts w:ascii="Times New Roman" w:hAnsi="Times New Roman"/>
          <w:b w:val="false"/>
          <w:color w:val="000000"/>
          <w:sz w:val="20"/>
        </w:rPr>
        <w:t>of September 30,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On May 10, 2023, as consideration for the First Amendment (see Note 6 - </w:t>
      </w:r>
      <w:r>
        <w:rPr>
          <w:rFonts w:ascii="Times New Roman" w:hAnsi="Times New Roman"/>
          <w:b w:val="false"/>
          <w:i/>
          <w:color w:val="000000"/>
          <w:sz w:val="20"/>
        </w:rPr>
        <w:t>Debt</w:t>
      </w:r>
      <w:r>
        <w:rPr>
          <w:rFonts w:ascii="Times New Roman" w:hAnsi="Times New Roman"/>
          <w:b w:val="false"/>
          <w:color w:val="000000"/>
          <w:sz w:val="20"/>
        </w:rPr>
        <w:t>), the Company agreed to issue to Perceptive a warrant to purchase up to 500,000</w:t>
      </w:r>
      <w:r>
        <w:rPr>
          <w:rFonts w:ascii="Times New Roman" w:hAnsi="Times New Roman"/>
          <w:color w:val="000000"/>
          <w:sz w:val="20"/>
        </w:rPr>
        <w:t xml:space="preserve"> </w:t>
      </w:r>
      <w:r>
        <w:rPr>
          <w:rFonts w:ascii="Times New Roman" w:hAnsi="Times New Roman"/>
          <w:b w:val="false"/>
          <w:color w:val="000000"/>
          <w:sz w:val="20"/>
        </w:rPr>
        <w:t>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w:t>
      </w:r>
      <w:r>
        <w:rPr>
          <w:rFonts w:ascii="Times New Roman" w:hAnsi="Times New Roman"/>
          <w:color w:val="000000"/>
          <w:sz w:val="20"/>
        </w:rPr>
        <w:t xml:space="preserve"> </w:t>
      </w:r>
      <w:r>
        <w:rPr>
          <w:rFonts w:ascii="Times New Roman" w:hAnsi="Times New Roman"/>
          <w:b w:val="false"/>
          <w:color w:val="000000"/>
          <w:sz w:val="20"/>
        </w:rPr>
        <w:t>million using the Black-Scholes option-pricing model assuming an expected term of 10</w:t>
      </w:r>
      <w:r>
        <w:rPr>
          <w:rFonts w:ascii="Times New Roman" w:hAnsi="Times New Roman"/>
          <w:color w:val="000000"/>
          <w:sz w:val="20"/>
        </w:rPr>
        <w:t xml:space="preserve"> </w:t>
      </w:r>
      <w:r>
        <w:rPr>
          <w:rFonts w:ascii="Times New Roman" w:hAnsi="Times New Roman"/>
          <w:b w:val="false"/>
          <w:color w:val="000000"/>
          <w:sz w:val="20"/>
        </w:rPr>
        <w:t>years, a volatility of 78.7%, a dividend yield of 0% and a risk-free interest rate of 3.49%. All First Amendment Warrants remain outstanding as of September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provided outside the clinical setting and governed by individual contracts with third parties as well as development and commercialization of companion diagnostics.</w:t>
      </w:r>
      <w:r>
        <w:rPr>
          <w:rFonts w:ascii="Times New Roman" w:hAnsi="Times New Roman"/>
          <w:color w:val="000000"/>
          <w:sz w:val="20"/>
        </w:rPr>
        <w:t xml:space="preserve"> </w:t>
      </w:r>
      <w:r>
        <w:rPr>
          <w:rFonts w:ascii="Times New Roman" w:hAnsi="Times New Roman"/>
          <w:b w:val="false"/>
          <w:color w:val="000000"/>
          <w:sz w:val="20"/>
        </w:rPr>
        <w:t>We also recognize revenue from other services, including amounts derived from licensing our technologies (Services and other).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Diagnostic test revenues consist of blood-based lung tests and, prior to May 11, 2023,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 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Revenues consisted of the following (in thousands):</w:t>
      </w:r>
    </w:p>
    <w:tbl>
      <w:tblPr>
        <w:tblW w:w="8551" w:type="dxa"/>
        <w:jc w:val="left"/>
        <w:tblInd w:w="0" w:type="dxa"/>
        <w:tblLayout w:type="fixed"/>
        <w:tblCellMar>
          <w:top w:w="28" w:type="dxa"/>
          <w:left w:w="28" w:type="dxa"/>
          <w:bottom w:w="28" w:type="dxa"/>
          <w:right w:w="28" w:type="dxa"/>
        </w:tblCellMar>
      </w:tblPr>
      <w:tblGrid>
        <w:gridCol w:w="1606"/>
        <w:gridCol w:w="146"/>
        <w:gridCol w:w="318"/>
        <w:gridCol w:w="1021"/>
        <w:gridCol w:w="220"/>
        <w:gridCol w:w="220"/>
        <w:gridCol w:w="318"/>
        <w:gridCol w:w="1021"/>
        <w:gridCol w:w="146"/>
        <w:gridCol w:w="146"/>
        <w:gridCol w:w="306"/>
        <w:gridCol w:w="981"/>
        <w:gridCol w:w="212"/>
        <w:gridCol w:w="212"/>
        <w:gridCol w:w="306"/>
        <w:gridCol w:w="981"/>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Diagnostic tests</w:t>
            </w:r>
          </w:p>
        </w:tc>
        <w:tc>
          <w:tcPr>
            <w:tcW w:w="14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12,301</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32,395</w:t>
            </w:r>
          </w:p>
        </w:tc>
        <w:tc>
          <w:tcPr>
            <w:tcW w:w="2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26,282</w:t>
            </w:r>
          </w:p>
        </w:tc>
        <w:tc>
          <w:tcPr>
            <w:tcW w:w="391" w:type="dxa"/>
            <w:tcBorders/>
            <w:shd w:fill="CCEEFF"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Services and other</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13,491</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34,419</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28,605</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Deferred revenue consists of cash payments from customers received in advance of delivery. As test results are delivered, the Company recognizes the deferred revenue in ‘Revenues’ in the condensed statements of operations. Of the</w:t>
      </w:r>
      <w:r>
        <w:rPr>
          <w:rFonts w:ascii="Times New Roman" w:hAnsi="Times New Roman"/>
          <w:color w:val="000000"/>
          <w:sz w:val="20"/>
        </w:rPr>
        <w:t xml:space="preserve"> </w:t>
      </w:r>
      <w:r>
        <w:rPr>
          <w:rFonts w:ascii="Times New Roman" w:hAnsi="Times New Roman"/>
          <w:b w:val="false"/>
          <w:color w:val="000000"/>
          <w:sz w:val="20"/>
        </w:rPr>
        <w:t>$1.0</w:t>
      </w:r>
      <w:r>
        <w:rPr>
          <w:rFonts w:ascii="Times New Roman" w:hAnsi="Times New Roman"/>
          <w:color w:val="000000"/>
          <w:sz w:val="20"/>
        </w:rPr>
        <w:t xml:space="preserve"> </w:t>
      </w:r>
      <w:r>
        <w:rPr>
          <w:rFonts w:ascii="Times New Roman" w:hAnsi="Times New Roman"/>
          <w:b w:val="false"/>
          <w:color w:val="000000"/>
          <w:sz w:val="20"/>
        </w:rPr>
        <w:t>million in</w:t>
      </w:r>
      <w:r>
        <w:rPr>
          <w:rFonts w:ascii="Times New Roman" w:hAnsi="Times New Roman"/>
          <w:color w:val="000000"/>
          <w:sz w:val="20"/>
        </w:rPr>
        <w:t xml:space="preserve"> ‘</w:t>
      </w:r>
      <w:r>
        <w:rPr>
          <w:rFonts w:ascii="Times New Roman" w:hAnsi="Times New Roman"/>
          <w:b w:val="false"/>
          <w:color w:val="000000"/>
          <w:sz w:val="20"/>
        </w:rPr>
        <w:t>Deferred revenue’ recorded in the condensed balance sheet as of December 31, 2022, $0.9</w:t>
      </w:r>
      <w:r>
        <w:rPr>
          <w:rFonts w:ascii="Times New Roman" w:hAnsi="Times New Roman"/>
          <w:color w:val="000000"/>
          <w:sz w:val="20"/>
        </w:rPr>
        <w:t xml:space="preserve"> </w:t>
      </w:r>
      <w:r>
        <w:rPr>
          <w:rFonts w:ascii="Times New Roman" w:hAnsi="Times New Roman"/>
          <w:b w:val="false"/>
          <w:color w:val="000000"/>
          <w:sz w:val="20"/>
        </w:rPr>
        <w:t>million was recognized in revenues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and $0.6</w:t>
      </w:r>
      <w:r>
        <w:rPr>
          <w:rFonts w:ascii="Times New Roman" w:hAnsi="Times New Roman"/>
          <w:color w:val="000000"/>
          <w:sz w:val="20"/>
        </w:rPr>
        <w:t xml:space="preserve"> </w:t>
      </w:r>
      <w:r>
        <w:rPr>
          <w:rFonts w:ascii="Times New Roman" w:hAnsi="Times New Roman"/>
          <w:b w:val="false"/>
          <w:color w:val="000000"/>
          <w:sz w:val="20"/>
        </w:rPr>
        <w:t>million was added to ‘Deferred revenue’ for up-front cash payments received for which the revenue recognition criteria have not been met. The ‘Deferred revenue’ of $0.7</w:t>
      </w:r>
      <w:r>
        <w:rPr>
          <w:rFonts w:ascii="Times New Roman" w:hAnsi="Times New Roman"/>
          <w:color w:val="000000"/>
          <w:sz w:val="20"/>
        </w:rPr>
        <w:t xml:space="preserve"> </w:t>
      </w:r>
      <w:r>
        <w:rPr>
          <w:rFonts w:ascii="Times New Roman" w:hAnsi="Times New Roman"/>
          <w:b w:val="false"/>
          <w:color w:val="000000"/>
          <w:sz w:val="20"/>
        </w:rPr>
        <w:t>million recorded in the condensed balance sheet as of September 30, 2023 is expected to be recognized in revenues over the next twelve months as test results are delivered and services are performed. As of September 30, 2023 and December 31, 2022, the Company had $0.4</w:t>
      </w:r>
      <w:r>
        <w:rPr>
          <w:rFonts w:ascii="Times New Roman" w:hAnsi="Times New Roman"/>
          <w:color w:val="000000"/>
          <w:sz w:val="20"/>
        </w:rPr>
        <w:t xml:space="preserve"> </w:t>
      </w:r>
      <w:r>
        <w:rPr>
          <w:rFonts w:ascii="Times New Roman" w:hAnsi="Times New Roman"/>
          <w:b w:val="false"/>
          <w:color w:val="000000"/>
          <w:sz w:val="20"/>
        </w:rPr>
        <w:t>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Company’s customers in excess of 10% of total revenue and their related revenue as a percentage of total revenue were as follows:</w:t>
      </w:r>
    </w:p>
    <w:tbl>
      <w:tblPr>
        <w:tblW w:w="8901" w:type="dxa"/>
        <w:jc w:val="left"/>
        <w:tblInd w:w="0" w:type="dxa"/>
        <w:tblLayout w:type="fixed"/>
        <w:tblCellMar>
          <w:top w:w="28" w:type="dxa"/>
          <w:left w:w="28" w:type="dxa"/>
          <w:bottom w:w="28" w:type="dxa"/>
          <w:right w:w="28" w:type="dxa"/>
        </w:tblCellMar>
      </w:tblPr>
      <w:tblGrid>
        <w:gridCol w:w="1906"/>
        <w:gridCol w:w="146"/>
        <w:gridCol w:w="325"/>
        <w:gridCol w:w="770"/>
        <w:gridCol w:w="603"/>
        <w:gridCol w:w="325"/>
        <w:gridCol w:w="325"/>
        <w:gridCol w:w="770"/>
        <w:gridCol w:w="271"/>
        <w:gridCol w:w="146"/>
        <w:gridCol w:w="312"/>
        <w:gridCol w:w="741"/>
        <w:gridCol w:w="580"/>
        <w:gridCol w:w="312"/>
        <w:gridCol w:w="312"/>
        <w:gridCol w:w="741"/>
        <w:gridCol w:w="31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Healthcare</w:t>
            </w:r>
          </w:p>
        </w:tc>
        <w:tc>
          <w:tcPr>
            <w:tcW w:w="14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60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2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color w:val="000000"/>
              </w:rPr>
            </w:pPr>
            <w:r>
              <w:rPr>
                <w:color w:val="000000"/>
              </w:rPr>
              <w:t>—</w:t>
            </w:r>
          </w:p>
        </w:tc>
        <w:tc>
          <w:tcPr>
            <w:tcW w:w="271"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58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2"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color w:val="000000"/>
              </w:rPr>
            </w:pPr>
            <w:r>
              <w:rPr>
                <w:color w:val="000000"/>
              </w:rPr>
              <w:t>—</w:t>
            </w:r>
          </w:p>
        </w:tc>
        <w:tc>
          <w:tcPr>
            <w:tcW w:w="316" w:type="dxa"/>
            <w:tcBorders/>
            <w:shd w:fill="CCEEFF"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State of Colorado</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603"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color w:val="000000"/>
              </w:rPr>
            </w:pPr>
            <w:r>
              <w:rPr>
                <w:color w:val="000000"/>
              </w:rPr>
              <w:t>—</w:t>
            </w:r>
          </w:p>
        </w:tc>
        <w:tc>
          <w:tcPr>
            <w:tcW w:w="58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In addition to the above table, we collect reimbursement on behalf of customers covered by Medicare, which accounted for 41% and 45% of the Company’s total revenue for the three and nine months ended September 30, 2023, respectively, compared to 37% and 35% for the three and nine months ended September 30,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815" w:type="dxa"/>
        <w:jc w:val="left"/>
        <w:tblInd w:w="0" w:type="dxa"/>
        <w:tblLayout w:type="fixed"/>
        <w:tblCellMar>
          <w:top w:w="28" w:type="dxa"/>
          <w:left w:w="28" w:type="dxa"/>
          <w:bottom w:w="28" w:type="dxa"/>
          <w:right w:w="28" w:type="dxa"/>
        </w:tblCellMar>
      </w:tblPr>
      <w:tblGrid>
        <w:gridCol w:w="1441"/>
        <w:gridCol w:w="146"/>
        <w:gridCol w:w="524"/>
        <w:gridCol w:w="1246"/>
        <w:gridCol w:w="271"/>
        <w:gridCol w:w="146"/>
        <w:gridCol w:w="544"/>
        <w:gridCol w:w="1181"/>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Medicare</w:t>
            </w:r>
          </w:p>
        </w:tc>
        <w:tc>
          <w:tcPr>
            <w:tcW w:w="14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1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AstraZeneca UK</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September 30, 2023, 772,663</w:t>
      </w:r>
      <w:r>
        <w:rPr>
          <w:rFonts w:ascii="Times New Roman" w:hAnsi="Times New Roman"/>
          <w:color w:val="000000"/>
          <w:sz w:val="20"/>
        </w:rPr>
        <w:t xml:space="preserve"> </w:t>
      </w:r>
      <w:r>
        <w:rPr>
          <w:rFonts w:ascii="Times New Roman" w:hAnsi="Times New Roman"/>
          <w:b w:val="false"/>
          <w:color w:val="000000"/>
          <w:sz w:val="20"/>
        </w:rPr>
        <w:t>shares of common stock remained available for future issuance under the 2020 Plan.</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Stock Option Exchange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June 23, 2023, the Company commenced a voluntary offer to exchange certain eligible options held by eligible employees of the Company for new options (the Exchange Offer). The Exchange Offer expired on July 24, 2023. Pursuant to the Exchange Offer, 83</w:t>
      </w:r>
      <w:r>
        <w:rPr>
          <w:rFonts w:ascii="Times New Roman" w:hAnsi="Times New Roman"/>
          <w:color w:val="000000"/>
          <w:sz w:val="20"/>
        </w:rPr>
        <w:t xml:space="preserve"> </w:t>
      </w:r>
      <w:r>
        <w:rPr>
          <w:rFonts w:ascii="Times New Roman" w:hAnsi="Times New Roman"/>
          <w:b w:val="false"/>
          <w:color w:val="000000"/>
          <w:sz w:val="20"/>
        </w:rPr>
        <w:t>eligible holders elected to exchange, and the Company accepted for cancellation, eligible options to purchase an aggregate of 757,595</w:t>
      </w:r>
      <w:r>
        <w:rPr>
          <w:rFonts w:ascii="Times New Roman" w:hAnsi="Times New Roman"/>
          <w:color w:val="000000"/>
          <w:sz w:val="20"/>
        </w:rPr>
        <w:t xml:space="preserve"> </w:t>
      </w:r>
      <w:r>
        <w:rPr>
          <w:rFonts w:ascii="Times New Roman" w:hAnsi="Times New Roman"/>
          <w:b w:val="false"/>
          <w:color w:val="000000"/>
          <w:sz w:val="20"/>
        </w:rPr>
        <w:t>shares of the Company’s common stock, representing approximately 99% of the total shares of common stock underlying the eligible options. On July 24, 2023, immediately following the expiration of the Exchange Offer, the Company granted new options to purchase 156,868</w:t>
      </w:r>
      <w:r>
        <w:rPr>
          <w:rFonts w:ascii="Times New Roman" w:hAnsi="Times New Roman"/>
          <w:color w:val="000000"/>
          <w:sz w:val="20"/>
        </w:rPr>
        <w:t xml:space="preserve"> </w:t>
      </w:r>
      <w:r>
        <w:rPr>
          <w:rFonts w:ascii="Times New Roman" w:hAnsi="Times New Roman"/>
          <w:b w:val="false"/>
          <w:color w:val="000000"/>
          <w:sz w:val="20"/>
        </w:rPr>
        <w:t>shares of common stock, pursuant to the terms of the Exchange Offer and the Company’s 2020 Equity Incentive Plan. The exercise price of the new options granted pursuant to the Exchange Offer was $1.20</w:t>
      </w:r>
      <w:r>
        <w:rPr>
          <w:rFonts w:ascii="Times New Roman" w:hAnsi="Times New Roman"/>
          <w:color w:val="000000"/>
          <w:sz w:val="20"/>
        </w:rPr>
        <w:t xml:space="preserve"> </w:t>
      </w:r>
      <w:r>
        <w:rPr>
          <w:rFonts w:ascii="Times New Roman" w:hAnsi="Times New Roman"/>
          <w:b w:val="false"/>
          <w:color w:val="000000"/>
          <w:sz w:val="20"/>
        </w:rPr>
        <w:t>per share, which was the closing price of the common stock on the Nasdaq Global Market on the grant date of the new options. Each new option granted in exchange for the vested shares underlying an eligible option will fully vest on the first day of the month following the first anniversary of the month in which the Exchange Offer is completed. Each new option granted in exchange for the unvested shares underlying an eligible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Each new option has a maximum term of ten years.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exchange of stock options was treated as a modification for accounting purposes. The incremental expense was immaterial for the new options and was calculated using the Black-Scholes option pricing model. The incremental expense and the unamortized expense remaining on the exchanged options as of the modification date will be recognized over the new vesting schedule.</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Share-Based Compensation Expense</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Share-based compensation expense reported in the Company’s condensed statements of operations was (in thousands):</w:t>
      </w:r>
    </w:p>
    <w:tbl>
      <w:tblPr>
        <w:tblW w:w="10205" w:type="dxa"/>
        <w:jc w:val="left"/>
        <w:tblInd w:w="0" w:type="dxa"/>
        <w:tblLayout w:type="fixed"/>
        <w:tblCellMar>
          <w:top w:w="28" w:type="dxa"/>
          <w:left w:w="28" w:type="dxa"/>
          <w:bottom w:w="28" w:type="dxa"/>
          <w:right w:w="28" w:type="dxa"/>
        </w:tblCellMar>
      </w:tblPr>
      <w:tblGrid>
        <w:gridCol w:w="3487"/>
        <w:gridCol w:w="146"/>
        <w:gridCol w:w="370"/>
        <w:gridCol w:w="738"/>
        <w:gridCol w:w="256"/>
        <w:gridCol w:w="256"/>
        <w:gridCol w:w="370"/>
        <w:gridCol w:w="1001"/>
        <w:gridCol w:w="146"/>
        <w:gridCol w:w="146"/>
        <w:gridCol w:w="329"/>
        <w:gridCol w:w="891"/>
        <w:gridCol w:w="227"/>
        <w:gridCol w:w="227"/>
        <w:gridCol w:w="329"/>
        <w:gridCol w:w="891"/>
        <w:gridCol w:w="395"/>
      </w:tblGrid>
      <w:tr>
        <w:trPr/>
        <w:tc>
          <w:tcPr>
            <w:tcW w:w="3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 costs and expenses</w:t>
            </w:r>
          </w:p>
        </w:tc>
        <w:tc>
          <w:tcPr>
            <w:tcW w:w="146"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5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2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95" w:type="dxa"/>
            <w:tcBorders/>
            <w:shd w:fill="CCEEFF"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22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395" w:type="dxa"/>
            <w:tcBorders/>
            <w:shd w:fill="FFFFFF" w:val="clear"/>
            <w:vAlign w:val="center"/>
          </w:tcPr>
          <w:p>
            <w:pPr>
              <w:pStyle w:val="TableContents"/>
              <w:bidi w:val="0"/>
              <w:spacing w:before="0" w:after="283"/>
              <w:jc w:val="left"/>
              <w:rPr/>
            </w:pPr>
            <w:r>
              <w:rPr/>
              <w:t> </w:t>
            </w:r>
          </w:p>
        </w:tc>
      </w:tr>
      <w:tr>
        <w:trPr/>
        <w:tc>
          <w:tcPr>
            <w:tcW w:w="348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marketing, general and administrative</w:t>
            </w:r>
          </w:p>
        </w:tc>
        <w:tc>
          <w:tcPr>
            <w:tcW w:w="146" w:type="dxa"/>
            <w:tcBorders/>
            <w:shd w:fill="CCEEFF" w:val="clear"/>
            <w:vAlign w:val="center"/>
          </w:tcPr>
          <w:p>
            <w:pPr>
              <w:pStyle w:val="TableContents"/>
              <w:bidi w:val="0"/>
              <w:spacing w:before="0" w:after="283"/>
              <w:jc w:val="left"/>
              <w:rPr/>
            </w:pPr>
            <w:r>
              <w:rPr/>
              <w:t> </w:t>
            </w:r>
          </w:p>
        </w:tc>
        <w:tc>
          <w:tcPr>
            <w:tcW w:w="3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w:t>
            </w:r>
          </w:p>
        </w:tc>
        <w:tc>
          <w:tcPr>
            <w:tcW w:w="39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The unrecognized remaining share-based compensation expense for options and RSUs was approximately $6.6</w:t>
      </w:r>
      <w:r>
        <w:rPr>
          <w:rFonts w:ascii="Times New Roman" w:hAnsi="Times New Roman"/>
          <w:color w:val="000000"/>
          <w:sz w:val="20"/>
        </w:rPr>
        <w:t xml:space="preserve"> </w:t>
      </w:r>
      <w:r>
        <w:rPr>
          <w:rFonts w:ascii="Times New Roman" w:hAnsi="Times New Roman"/>
          <w:b w:val="false"/>
          <w:color w:val="000000"/>
          <w:sz w:val="20"/>
        </w:rPr>
        <w:t>million as of September 30, 2023</w:t>
      </w:r>
      <w:r>
        <w:rPr>
          <w:rFonts w:ascii="Times New Roman" w:hAnsi="Times New Roman"/>
          <w:color w:val="000000"/>
          <w:sz w:val="20"/>
        </w:rPr>
        <w:t xml:space="preserve"> </w:t>
      </w:r>
      <w:r>
        <w:rPr>
          <w:rFonts w:ascii="Times New Roman" w:hAnsi="Times New Roman"/>
          <w:b w:val="false"/>
          <w:color w:val="000000"/>
          <w:sz w:val="20"/>
        </w:rPr>
        <w:t>and is expected to be amortized to expense over the next 2.7</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Stock Options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Stock option activity during the nine months ended September 30, 2023, excluding the Bonus Option Program described below, was (in thousands, except weighted average exercise price and weighted average contractual life):</w:t>
      </w:r>
    </w:p>
    <w:tbl>
      <w:tblPr>
        <w:tblW w:w="10205" w:type="dxa"/>
        <w:jc w:val="left"/>
        <w:tblInd w:w="0" w:type="dxa"/>
        <w:tblLayout w:type="fixed"/>
        <w:tblCellMar>
          <w:top w:w="28" w:type="dxa"/>
          <w:left w:w="28" w:type="dxa"/>
          <w:bottom w:w="28" w:type="dxa"/>
          <w:right w:w="28" w:type="dxa"/>
        </w:tblCellMar>
      </w:tblPr>
      <w:tblGrid>
        <w:gridCol w:w="3420"/>
        <w:gridCol w:w="146"/>
        <w:gridCol w:w="203"/>
        <w:gridCol w:w="800"/>
        <w:gridCol w:w="166"/>
        <w:gridCol w:w="146"/>
        <w:gridCol w:w="452"/>
        <w:gridCol w:w="1225"/>
        <w:gridCol w:w="146"/>
        <w:gridCol w:w="146"/>
        <w:gridCol w:w="482"/>
        <w:gridCol w:w="1195"/>
        <w:gridCol w:w="146"/>
        <w:gridCol w:w="146"/>
        <w:gridCol w:w="267"/>
        <w:gridCol w:w="724"/>
        <w:gridCol w:w="395"/>
      </w:tblGrid>
      <w:tr>
        <w:trPr/>
        <w:tc>
          <w:tcPr>
            <w:tcW w:w="3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 January 1, 2023</w:t>
            </w:r>
          </w:p>
        </w:tc>
        <w:tc>
          <w:tcPr>
            <w:tcW w:w="14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w:t>
            </w:r>
          </w:p>
        </w:tc>
        <w:tc>
          <w:tcPr>
            <w:tcW w:w="395" w:type="dxa"/>
            <w:tcBorders/>
            <w:shd w:fill="CCEEFF"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342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Forfeited/canceled</w:t>
            </w:r>
          </w:p>
        </w:tc>
        <w:tc>
          <w:tcPr>
            <w:tcW w:w="14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color w:val="000000"/>
              </w:rPr>
            </w:pPr>
            <w:r>
              <w:rPr>
                <w:color w:val="000000"/>
              </w:rPr>
              <w:t>—</w:t>
            </w:r>
          </w:p>
        </w:tc>
        <w:tc>
          <w:tcPr>
            <w:tcW w:w="395" w:type="dxa"/>
            <w:tcBorders/>
            <w:shd w:fill="CCEEFF"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342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Cancelled under the Option Exchange</w:t>
            </w:r>
          </w:p>
        </w:tc>
        <w:tc>
          <w:tcPr>
            <w:tcW w:w="14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color w:val="000000"/>
              </w:rPr>
            </w:pPr>
            <w:r>
              <w:rPr>
                <w:color w:val="000000"/>
              </w:rPr>
              <w:t>—</w:t>
            </w:r>
          </w:p>
        </w:tc>
        <w:tc>
          <w:tcPr>
            <w:tcW w:w="395" w:type="dxa"/>
            <w:tcBorders/>
            <w:shd w:fill="CCEEFF"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 under the Option Exchange</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jc w:val="left"/>
              <w:rPr/>
            </w:pPr>
            <w:r>
              <w:rPr/>
              <w:t> </w:t>
            </w:r>
          </w:p>
        </w:tc>
      </w:tr>
      <w:tr>
        <w:trPr/>
        <w:tc>
          <w:tcPr>
            <w:tcW w:w="3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Outstanding </w:t>
              <w:noBreakHyphen/>
              <w:t xml:space="preserve"> September 30, 2023</w:t>
            </w:r>
          </w:p>
        </w:tc>
        <w:tc>
          <w:tcPr>
            <w:tcW w:w="146"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w:t>
            </w:r>
          </w:p>
        </w:tc>
        <w:tc>
          <w:tcPr>
            <w:tcW w:w="3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Exercisable </w:t>
              <w:noBreakHyphen/>
              <w:t xml:space="preserve"> September 30, 2023</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Restricted Stock Unit Activity</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Restricted stock unit activity during the nine months ended September 30, 2023 was (in thousands, except weighted average grant date fair value per share):</w:t>
      </w:r>
    </w:p>
    <w:tbl>
      <w:tblPr>
        <w:tblW w:w="8260" w:type="dxa"/>
        <w:jc w:val="left"/>
        <w:tblInd w:w="0" w:type="dxa"/>
        <w:tblLayout w:type="fixed"/>
        <w:tblCellMar>
          <w:top w:w="28" w:type="dxa"/>
          <w:left w:w="28" w:type="dxa"/>
          <w:bottom w:w="28" w:type="dxa"/>
          <w:right w:w="28" w:type="dxa"/>
        </w:tblCellMar>
      </w:tblPr>
      <w:tblGrid>
        <w:gridCol w:w="2896"/>
        <w:gridCol w:w="146"/>
        <w:gridCol w:w="329"/>
        <w:gridCol w:w="1291"/>
        <w:gridCol w:w="166"/>
        <w:gridCol w:w="146"/>
        <w:gridCol w:w="901"/>
        <w:gridCol w:w="1994"/>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Outstanding </w:t>
              <w:noBreakHyphen/>
              <w:t xml:space="preserve"> January 1, 2023</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94"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Forfeited/canceled</w:t>
            </w:r>
          </w:p>
        </w:tc>
        <w:tc>
          <w:tcPr>
            <w:tcW w:w="146" w:type="dxa"/>
            <w:tcBorders/>
            <w:shd w:fill="CCEEFF"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12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Released</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Outstanding </w:t>
              <w:noBreakHyphen/>
              <w:t xml:space="preserve"> September 30, 2023</w:t>
            </w:r>
          </w:p>
        </w:tc>
        <w:tc>
          <w:tcPr>
            <w:tcW w:w="146"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Bonus-to-Options Program</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As part of the Bonus-to-Options Program (Bonus Option Program), the Company recorded the following activity during the nine months ended September 30, 2023 (in thousands, excepted weighted average exercise price and weighted average contractual life):</w:t>
      </w:r>
    </w:p>
    <w:tbl>
      <w:tblPr>
        <w:tblW w:w="10205" w:type="dxa"/>
        <w:jc w:val="left"/>
        <w:tblInd w:w="0" w:type="dxa"/>
        <w:tblLayout w:type="fixed"/>
        <w:tblCellMar>
          <w:top w:w="28" w:type="dxa"/>
          <w:left w:w="28" w:type="dxa"/>
          <w:bottom w:w="28" w:type="dxa"/>
          <w:right w:w="28" w:type="dxa"/>
        </w:tblCellMar>
      </w:tblPr>
      <w:tblGrid>
        <w:gridCol w:w="3420"/>
        <w:gridCol w:w="146"/>
        <w:gridCol w:w="203"/>
        <w:gridCol w:w="800"/>
        <w:gridCol w:w="166"/>
        <w:gridCol w:w="146"/>
        <w:gridCol w:w="452"/>
        <w:gridCol w:w="1225"/>
        <w:gridCol w:w="146"/>
        <w:gridCol w:w="146"/>
        <w:gridCol w:w="482"/>
        <w:gridCol w:w="1195"/>
        <w:gridCol w:w="146"/>
        <w:gridCol w:w="146"/>
        <w:gridCol w:w="375"/>
        <w:gridCol w:w="616"/>
        <w:gridCol w:w="395"/>
      </w:tblGrid>
      <w:tr>
        <w:trPr/>
        <w:tc>
          <w:tcPr>
            <w:tcW w:w="3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Outstanding </w:t>
              <w:noBreakHyphen/>
              <w:t xml:space="preserve"> January 1, 2023</w:t>
            </w:r>
          </w:p>
        </w:tc>
        <w:tc>
          <w:tcPr>
            <w:tcW w:w="146" w:type="dxa"/>
            <w:tcBorders/>
            <w:shd w:fill="CFF0FC"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34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Forfeited/canceled</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2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3420"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Cancelled under the Option Exchange</w:t>
            </w:r>
          </w:p>
        </w:tc>
        <w:tc>
          <w:tcPr>
            <w:tcW w:w="14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color w:val="000000"/>
              </w:rPr>
            </w:pPr>
            <w:r>
              <w:rPr>
                <w:color w:val="000000"/>
              </w:rPr>
              <w:t>—</w:t>
            </w:r>
          </w:p>
        </w:tc>
        <w:tc>
          <w:tcPr>
            <w:tcW w:w="395" w:type="dxa"/>
            <w:tcBorders/>
            <w:shd w:fill="CCEEFF" w:val="clear"/>
            <w:vAlign w:val="center"/>
          </w:tcPr>
          <w:p>
            <w:pPr>
              <w:pStyle w:val="TableContents"/>
              <w:bidi w:val="0"/>
              <w:spacing w:before="0" w:after="283"/>
              <w:ind w:left="0" w:right="0" w:firstLine="200"/>
              <w:jc w:val="left"/>
              <w:rPr/>
            </w:pPr>
            <w:r>
              <w:rPr/>
              <w:t> </w:t>
            </w:r>
          </w:p>
        </w:tc>
      </w:tr>
      <w:tr>
        <w:trPr/>
        <w:tc>
          <w:tcPr>
            <w:tcW w:w="34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 under the Option Exchange</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jc w:val="left"/>
              <w:rPr/>
            </w:pPr>
            <w:r>
              <w:rPr/>
              <w:t> </w:t>
            </w:r>
          </w:p>
        </w:tc>
      </w:tr>
      <w:tr>
        <w:trPr/>
        <w:tc>
          <w:tcPr>
            <w:tcW w:w="342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Outstanding </w:t>
              <w:noBreakHyphen/>
              <w:t xml:space="preserve"> September 30, 2023</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Exercisable </w:t>
              <w:noBreakHyphen/>
              <w:t xml:space="preserve"> September 30, 2023</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recorded</w:t>
      </w:r>
      <w:r>
        <w:rPr>
          <w:rFonts w:ascii="Times New Roman" w:hAnsi="Times New Roman"/>
          <w:color w:val="000000"/>
          <w:sz w:val="20"/>
        </w:rPr>
        <w:t xml:space="preserve"> </w:t>
      </w:r>
      <w:r>
        <w:rPr>
          <w:rFonts w:ascii="Times New Roman" w:hAnsi="Times New Roman"/>
          <w:b w:val="false"/>
          <w:color w:val="000000"/>
          <w:sz w:val="20"/>
        </w:rPr>
        <w:t>an insignificant amount and $0.2</w:t>
      </w:r>
      <w:r>
        <w:rPr>
          <w:rFonts w:ascii="Times New Roman" w:hAnsi="Times New Roman"/>
          <w:color w:val="000000"/>
          <w:sz w:val="20"/>
        </w:rPr>
        <w:t xml:space="preserve"> </w:t>
      </w:r>
      <w:r>
        <w:rPr>
          <w:rFonts w:ascii="Times New Roman" w:hAnsi="Times New Roman"/>
          <w:b w:val="false"/>
          <w:color w:val="000000"/>
          <w:sz w:val="20"/>
        </w:rPr>
        <w:t>million for</w:t>
      </w:r>
      <w:r>
        <w:rPr>
          <w:rFonts w:ascii="Times New Roman" w:hAnsi="Times New Roman"/>
          <w:color w:val="000000"/>
          <w:sz w:val="20"/>
        </w:rPr>
        <w:t xml:space="preserve"> </w:t>
      </w:r>
      <w:r>
        <w:rPr>
          <w:rFonts w:ascii="Times New Roman" w:hAnsi="Times New Roman"/>
          <w:b w:val="false"/>
          <w:color w:val="000000"/>
          <w:sz w:val="20"/>
        </w:rPr>
        <w:t>the three and nine months ended September 30, 2023, respectively, compared to an insignificant amount and $0.7</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related to the estimate of the Bonus Option Program. Options granted, if any, pertaining to the performance of the Bonus Option Program are typically approved and granted in first quarter of the year following completion of the fiscal year.</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Employee Stock Purchase Plan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ESPP provides for successive six-month offering periods beginning on September 1st and March 1st of each year.</w:t>
      </w:r>
      <w:r>
        <w:rPr>
          <w:rFonts w:ascii="Times New Roman" w:hAnsi="Times New Roman"/>
          <w:color w:val="000000"/>
          <w:sz w:val="20"/>
        </w:rPr>
        <w:t xml:space="preserve"> </w:t>
      </w:r>
      <w:r>
        <w:rPr>
          <w:rFonts w:ascii="Times New Roman" w:hAnsi="Times New Roman"/>
          <w:b w:val="false"/>
          <w:color w:val="000000"/>
          <w:sz w:val="20"/>
        </w:rPr>
        <w:t>During the nine months ended September 30, 2023, 437,135</w:t>
      </w:r>
      <w:r>
        <w:rPr>
          <w:rFonts w:ascii="Times New Roman" w:hAnsi="Times New Roman"/>
          <w:color w:val="000000"/>
          <w:sz w:val="20"/>
        </w:rPr>
        <w:t xml:space="preserve"> </w:t>
      </w:r>
      <w:r>
        <w:rPr>
          <w:rFonts w:ascii="Times New Roman" w:hAnsi="Times New Roman"/>
          <w:b w:val="false"/>
          <w:color w:val="000000"/>
          <w:sz w:val="20"/>
        </w:rPr>
        <w:t>shares were issued under the ESPP leaving 309,012</w:t>
      </w:r>
      <w:r>
        <w:rPr>
          <w:rFonts w:ascii="Times New Roman" w:hAnsi="Times New Roman"/>
          <w:color w:val="000000"/>
          <w:sz w:val="20"/>
        </w:rPr>
        <w:t xml:space="preserve"> </w:t>
      </w:r>
      <w:r>
        <w:rPr>
          <w:rFonts w:ascii="Times New Roman" w:hAnsi="Times New Roman"/>
          <w:b w:val="false"/>
          <w:color w:val="000000"/>
          <w:sz w:val="20"/>
        </w:rPr>
        <w:t>shares reserved for</w:t>
      </w:r>
      <w:r>
        <w:rPr>
          <w:rFonts w:ascii="Times New Roman" w:hAnsi="Times New Roman"/>
          <w:color w:val="000000"/>
          <w:sz w:val="20"/>
        </w:rPr>
        <w:t xml:space="preserve"> </w:t>
      </w:r>
      <w:r>
        <w:rPr>
          <w:rFonts w:ascii="Times New Roman" w:hAnsi="Times New Roman"/>
          <w:b w:val="false"/>
          <w:color w:val="000000"/>
          <w:sz w:val="20"/>
        </w:rPr>
        <w:t>future issuance.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Basic and diluted loss per share for the three and nine months ended September 30, 2023 and 2022 were (in thousands, except per share amounts):</w:t>
      </w:r>
    </w:p>
    <w:tbl>
      <w:tblPr>
        <w:tblW w:w="10205" w:type="dxa"/>
        <w:jc w:val="left"/>
        <w:tblInd w:w="0" w:type="dxa"/>
        <w:tblLayout w:type="fixed"/>
        <w:tblCellMar>
          <w:top w:w="28" w:type="dxa"/>
          <w:left w:w="28" w:type="dxa"/>
          <w:bottom w:w="28" w:type="dxa"/>
          <w:right w:w="28" w:type="dxa"/>
        </w:tblCellMar>
      </w:tblPr>
      <w:tblGrid>
        <w:gridCol w:w="3716"/>
        <w:gridCol w:w="146"/>
        <w:gridCol w:w="273"/>
        <w:gridCol w:w="955"/>
        <w:gridCol w:w="214"/>
        <w:gridCol w:w="189"/>
        <w:gridCol w:w="273"/>
        <w:gridCol w:w="955"/>
        <w:gridCol w:w="166"/>
        <w:gridCol w:w="146"/>
        <w:gridCol w:w="265"/>
        <w:gridCol w:w="926"/>
        <w:gridCol w:w="208"/>
        <w:gridCol w:w="183"/>
        <w:gridCol w:w="265"/>
        <w:gridCol w:w="926"/>
        <w:gridCol w:w="399"/>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CEEFF" w:val="clear"/>
            <w:vAlign w:val="center"/>
          </w:tcPr>
          <w:p>
            <w:pPr>
              <w:pStyle w:val="TableContents"/>
              <w:bidi w:val="0"/>
              <w:spacing w:before="0" w:after="283"/>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91" w:type="dxa"/>
            <w:gridSpan w:val="2"/>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ind w:left="0" w:right="0" w:firstLine="200"/>
              <w:jc w:val="left"/>
              <w:rPr/>
            </w:pPr>
            <w:r>
              <w:rPr/>
              <w:t> </w:t>
            </w:r>
          </w:p>
        </w:tc>
      </w:tr>
      <w:tr>
        <w:trPr/>
        <w:tc>
          <w:tcPr>
            <w:tcW w:w="37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(10,949</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(43,007</w:t>
            </w:r>
          </w:p>
        </w:tc>
        <w:tc>
          <w:tcPr>
            <w:tcW w:w="20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3"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(45,109</w:t>
            </w:r>
          </w:p>
        </w:tc>
        <w:tc>
          <w:tcPr>
            <w:tcW w:w="3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1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91" w:type="dxa"/>
            <w:gridSpan w:val="2"/>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371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shares outstanding used</w:t>
              <w:br/>
              <w:t>   in computing net loss per share, basic and diluted</w:t>
            </w:r>
          </w:p>
        </w:tc>
        <w:tc>
          <w:tcPr>
            <w:tcW w:w="146" w:type="dxa"/>
            <w:tcBorders/>
            <w:shd w:fill="CCEEFF" w:val="clear"/>
            <w:vAlign w:val="center"/>
          </w:tcPr>
          <w:p>
            <w:pPr>
              <w:pStyle w:val="TableContents"/>
              <w:bidi w:val="0"/>
              <w:spacing w:before="0" w:after="283"/>
              <w:jc w:val="left"/>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79,709</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40,448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78,672</w:t>
            </w:r>
          </w:p>
        </w:tc>
        <w:tc>
          <w:tcPr>
            <w:tcW w:w="2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36,953</w:t>
            </w:r>
          </w:p>
        </w:tc>
        <w:tc>
          <w:tcPr>
            <w:tcW w:w="3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FFFFFF" w:val="cle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(0.55</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3"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The following outstanding common stock equivalents were excluded from diluted net loss attributable to common stockholders for the periods presented because inclusion would be anti-dilutive (in thousands):</w:t>
      </w:r>
    </w:p>
    <w:tbl>
      <w:tblPr>
        <w:tblW w:w="9915" w:type="dxa"/>
        <w:jc w:val="left"/>
        <w:tblInd w:w="0" w:type="dxa"/>
        <w:tblLayout w:type="fixed"/>
        <w:tblCellMar>
          <w:top w:w="28" w:type="dxa"/>
          <w:left w:w="28" w:type="dxa"/>
          <w:bottom w:w="28" w:type="dxa"/>
          <w:right w:w="28" w:type="dxa"/>
        </w:tblCellMar>
      </w:tblPr>
      <w:tblGrid>
        <w:gridCol w:w="2971"/>
        <w:gridCol w:w="146"/>
        <w:gridCol w:w="248"/>
        <w:gridCol w:w="1152"/>
        <w:gridCol w:w="248"/>
        <w:gridCol w:w="248"/>
        <w:gridCol w:w="248"/>
        <w:gridCol w:w="973"/>
        <w:gridCol w:w="146"/>
        <w:gridCol w:w="146"/>
        <w:gridCol w:w="239"/>
        <w:gridCol w:w="1107"/>
        <w:gridCol w:w="239"/>
        <w:gridCol w:w="239"/>
        <w:gridCol w:w="239"/>
        <w:gridCol w:w="935"/>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3,262</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3,262</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3,280</w:t>
            </w:r>
          </w:p>
        </w:tc>
        <w:tc>
          <w:tcPr>
            <w:tcW w:w="391" w:type="dxa"/>
            <w:tcBorders/>
            <w:shd w:fill="CCEE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committed under ESPP</w:t>
            </w:r>
          </w:p>
        </w:tc>
        <w:tc>
          <w:tcPr>
            <w:tcW w:w="146"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39"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w:t>
            </w:r>
          </w:p>
        </w:tc>
        <w:tc>
          <w:tcPr>
            <w:tcW w:w="146"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5,603</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46"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5,603</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391" w:type="dxa"/>
            <w:tcBorders/>
            <w:shd w:fill="CCEE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CEEFF" w:val="clear"/>
            <w:vAlign w:val="center"/>
          </w:tcPr>
          <w:p>
            <w:pPr>
              <w:pStyle w:val="TableContents"/>
              <w:bidi w:val="0"/>
              <w:spacing w:before="0" w:after="283"/>
              <w:jc w:val="right"/>
              <w:rPr/>
            </w:pPr>
            <w:r>
              <w:rPr/>
              <w:t> </w:t>
            </w:r>
          </w:p>
        </w:tc>
        <w:tc>
          <w:tcPr>
            <w:tcW w:w="2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11,651</w:t>
            </w:r>
          </w:p>
        </w:tc>
        <w:tc>
          <w:tcPr>
            <w:tcW w:w="2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11,651</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4,751</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Since inception, the Company has incurred net taxable losses, and accordingly, no</w:t>
      </w:r>
      <w:r>
        <w:rPr>
          <w:rFonts w:ascii="Times New Roman" w:hAnsi="Times New Roman"/>
          <w:color w:val="000000"/>
          <w:sz w:val="20"/>
        </w:rPr>
        <w:t xml:space="preserve"> </w:t>
      </w:r>
      <w:r>
        <w:rPr>
          <w:rFonts w:ascii="Times New Roman" w:hAnsi="Times New Roman"/>
          <w:b w:val="false"/>
          <w:color w:val="000000"/>
          <w:sz w:val="20"/>
        </w:rPr>
        <w:t>provision for income taxes has been recorded. There was no</w:t>
      </w:r>
      <w:r>
        <w:rPr>
          <w:rFonts w:ascii="Times New Roman" w:hAnsi="Times New Roman"/>
          <w:color w:val="000000"/>
          <w:sz w:val="20"/>
        </w:rPr>
        <w:t xml:space="preserve"> </w:t>
      </w:r>
      <w:r>
        <w:rPr>
          <w:rFonts w:ascii="Times New Roman" w:hAnsi="Times New Roman"/>
          <w:b w:val="false"/>
          <w:color w:val="000000"/>
          <w:sz w:val="20"/>
        </w:rPr>
        <w:t>cash paid for income taxes during the three and nine months ended September 30, 2023 and 2022.</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13 – Commitments and Contingencies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Co-Development Agreement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w:t>
      </w:r>
      <w:r>
        <w:rPr>
          <w:rFonts w:ascii="Times New Roman" w:hAnsi="Times New Roman"/>
          <w:color w:val="000000"/>
          <w:sz w:val="20"/>
        </w:rPr>
        <w:t xml:space="preserve"> </w:t>
      </w:r>
      <w:r>
        <w:rPr>
          <w:rFonts w:ascii="Times New Roman" w:hAnsi="Times New Roman"/>
          <w:b w:val="false"/>
          <w:color w:val="000000"/>
          <w:sz w:val="20"/>
        </w:rPr>
        <w:t>million in remaining obligations related to the AVEO agreement as of September 30, 2023. Following the AVEO Effective Date, the Company is entitled to a 10% royalty of net sales of ficlatuzumab and 25% of license income generated from the licensing of ficlatuzumab from AVEO. There were no</w:t>
      </w:r>
      <w:r>
        <w:rPr>
          <w:rFonts w:ascii="Times New Roman" w:hAnsi="Times New Roman"/>
          <w:color w:val="000000"/>
          <w:sz w:val="20"/>
        </w:rPr>
        <w:t xml:space="preserve"> </w:t>
      </w:r>
      <w:r>
        <w:rPr>
          <w:rFonts w:ascii="Times New Roman" w:hAnsi="Times New Roman"/>
          <w:b w:val="false"/>
          <w:color w:val="000000"/>
          <w:sz w:val="20"/>
        </w:rPr>
        <w:t>royalties received or expenses related to this agreement for the three and nine months ended September 30, 2023 and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License Agreement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no longer paid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w:t>
      </w:r>
      <w:r>
        <w:rPr>
          <w:rFonts w:ascii="Times New Roman" w:hAnsi="Times New Roman"/>
          <w:color w:val="000000"/>
          <w:sz w:val="20"/>
        </w:rPr>
        <w:t xml:space="preserve"> </w:t>
      </w:r>
      <w:r>
        <w:rPr>
          <w:rFonts w:ascii="Times New Roman" w:hAnsi="Times New Roman"/>
          <w:b w:val="false"/>
          <w:color w:val="000000"/>
          <w:sz w:val="20"/>
        </w:rPr>
        <w:t>expenses related to this agreement for the three and 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w:t>
      </w:r>
      <w:r>
        <w:rPr>
          <w:rFonts w:ascii="Times New Roman" w:hAnsi="Times New Roman"/>
          <w:color w:val="000000"/>
          <w:sz w:val="20"/>
        </w:rPr>
        <w:t xml:space="preserve"> </w:t>
      </w:r>
      <w:r>
        <w:rPr>
          <w:rFonts w:ascii="Times New Roman" w:hAnsi="Times New Roman"/>
          <w:b w:val="false"/>
          <w:color w:val="000000"/>
          <w:sz w:val="20"/>
        </w:rPr>
        <w:t>as an upfront make-good payment covering past royalties due and a royalty rate of 0.675% on future Nodify XL2 test net sales worldwide for 15</w:t>
      </w:r>
      <w:r>
        <w:rPr>
          <w:rFonts w:ascii="Times New Roman" w:hAnsi="Times New Roman"/>
          <w:color w:val="000000"/>
          <w:sz w:val="20"/>
        </w:rPr>
        <w:t xml:space="preserve"> </w:t>
      </w:r>
      <w:r>
        <w:rPr>
          <w:rFonts w:ascii="Times New Roman" w:hAnsi="Times New Roman"/>
          <w:b w:val="false"/>
          <w:color w:val="000000"/>
          <w:sz w:val="20"/>
        </w:rPr>
        <w:t>years from the first commercial sale, ending in 2034. Royalty expense under the CellCarta License was</w:t>
      </w:r>
      <w:r>
        <w:rPr>
          <w:rFonts w:ascii="Times New Roman" w:hAnsi="Times New Roman"/>
          <w:color w:val="000000"/>
          <w:sz w:val="20"/>
        </w:rPr>
        <w:t xml:space="preserve"> </w:t>
      </w:r>
      <w:r>
        <w:rPr>
          <w:rFonts w:ascii="Times New Roman" w:hAnsi="Times New Roman"/>
          <w:b w:val="false"/>
          <w:color w:val="000000"/>
          <w:sz w:val="20"/>
        </w:rPr>
        <w:t>$0.1</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compared to an insignificant amount 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w:t>
      </w:r>
      <w:r>
        <w:rPr>
          <w:rFonts w:ascii="Times New Roman" w:hAnsi="Times New Roman"/>
          <w:color w:val="000000"/>
          <w:sz w:val="20"/>
        </w:rPr>
        <w:t xml:space="preserve"> </w:t>
      </w:r>
      <w:r>
        <w:rPr>
          <w:rFonts w:ascii="Times New Roman" w:hAnsi="Times New Roman"/>
          <w:b w:val="false"/>
          <w:color w:val="000000"/>
          <w:sz w:val="20"/>
        </w:rPr>
        <w:t>$0.2</w:t>
      </w:r>
      <w:r>
        <w:rPr>
          <w:rFonts w:ascii="Times New Roman" w:hAnsi="Times New Roman"/>
          <w:color w:val="000000"/>
          <w:sz w:val="20"/>
        </w:rPr>
        <w:t xml:space="preserve"> </w:t>
      </w:r>
      <w:r>
        <w:rPr>
          <w:rFonts w:ascii="Times New Roman" w:hAnsi="Times New Roman"/>
          <w:b w:val="false"/>
          <w:color w:val="000000"/>
          <w:sz w:val="20"/>
        </w:rPr>
        <w:t>million and $0.6</w:t>
      </w:r>
      <w:r>
        <w:rPr>
          <w:rFonts w:ascii="Times New Roman" w:hAnsi="Times New Roman"/>
          <w:color w:val="000000"/>
          <w:sz w:val="20"/>
        </w:rPr>
        <w:t xml:space="preserve"> </w:t>
      </w:r>
      <w:r>
        <w:rPr>
          <w:rFonts w:ascii="Times New Roman" w:hAnsi="Times New Roman"/>
          <w:b w:val="false"/>
          <w:color w:val="000000"/>
          <w:sz w:val="20"/>
        </w:rPr>
        <w:t>million for both the three and nine months ended September 30, 2023 and 2022, respectively.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Litigation, Claims and Assessments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Biodesix, Inc. is referred to throughout this Quarterly Report on Form 10-Q for the period ended September 30, 2023 (Form 10-Q) as “we”, “us”, “our” or the “Company”.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Management’s Discussion and Analysis of Financial Condition and Results of Operations (MD&amp;A) should be read in conjunction with our Annual Report on Form 10-K for the year ended December 31, 2022 (Form 10-K) and the Condensed Financial Statements as of September 30, 2023 and for the three and nine months ended September 30, 2023 and 2022,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MD&amp;A discussion is provided to supplement the Condensed Financial Statements as of September 30, 2023 and 2022 and for the three and nine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Data for the three and nine months ended September 30, 2023 and 2022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 leading diagnostic solutions company leveraging state of the art technologies with our proprietary AI platform to discover, develop, and commercialize solutions for clinical unmet needs, with a primary focus in lung disease. By combining a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have commercialized five diagnostic tests for our lung diagnostic business, each of which have Medicare coverage, which are currently available for use by physicians. Our Nodify XL2 and Nodify CDT tests, marketed as part of the Nodify Lung Nodule Risk Assessment testing strategy, assess the risk of lung cancer to help identify the most appropriate treatment pathway. The Nodify Lung Risk Assessment testing strategy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turnaround time of two business days, down from the previous three business day turnaround time, providing physicians with timely results to facilitate treatment decisions. The GeneStrat NGS test is our blood-based NGS test with results in three business days, which was launched in November 2021 to a select group of physicians, with national launch in January 2022. The 52-gene panel includes guideline recommended mutations to help physicians treating advanced-stage lung cancer patients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identify all four major mutation classes and genes, such as EGFR, ALK, KRAS, MET, NTRK, ERBB2, and others, and delivers them in an expedited timeframe so patient treatment can begin sooner.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to the five diagnostic tests currently on the market, we perform over 30 assays for research use as part of our laboratory services that have been used by over 65 biopharmaceutical companies and academic partners. All of our diagnostic and services testing is performed at one of our two accredited, high-complexity clinical laboratories in Boulder, Colorado and De Soto, Kansas.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response to the COVID-19 pandemic, through our partnership with Bio-Rad, we commercialized the Biodesix WorkSafe testing program, which included three commercialized tests.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RBD in the spike protein of SARS-CoV-2 that are produced in response to a previous SARS-CoV-2 infection.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expiration of the Public Health Emergency declaration under Section 319, the Company no longer provides commercial COVID-19 diagnostic testing services.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funded our operations to date principally from net proceeds from the issuances of our common stock, the sale of convertible preferred stock, revenue from diagnostic testing and services, and the incurrence of indebtedness. We had cash and cash equivalents of $19.8 million and $43.1 million as of September 30, 2023 and December 31, 2022,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b w:val="false"/>
          <w:color w:val="000000"/>
          <w:sz w:val="20"/>
        </w:rPr>
        <w:t xml:space="preserve">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b w:val="false"/>
          <w:color w:val="000000"/>
          <w:sz w:val="20"/>
        </w:rPr>
        <w:t>Our revenue depends on achieving broad coverage and reimbursement for our tests from 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 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b w:val="false"/>
          <w:color w:val="000000"/>
          <w:sz w:val="20"/>
        </w:rPr>
        <w:t>A significant aspect of our business is our investment in 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enrollment of 5,000 patients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clinical research has resulted in approximately 90 peer-reviewed publications for our tests. In addition to clinical studies, we are collaborating with investigators from multiple academic cancer centers. On June 3, 2022, we announced the intent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Ability to attract new biopharmaceutical customers and maintain and expand relationships with existing customers</w:t>
      </w:r>
      <w:r>
        <w:rPr>
          <w:rFonts w:ascii="Times New Roman" w:hAnsi="Times New Roman"/>
          <w:b w:val="false"/>
          <w:color w:val="000000"/>
          <w:sz w:val="20"/>
        </w:rPr>
        <w:t>. 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Motivating and expanding our field sales force and customer support team</w:t>
      </w:r>
      <w:r>
        <w:rPr>
          <w:rFonts w:ascii="Times New Roman" w:hAnsi="Times New Roman"/>
          <w:b w:val="false"/>
          <w:color w:val="000000"/>
          <w:sz w:val="20"/>
        </w:rPr>
        <w:t>. 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2022 for more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COVID-19 Pandemic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COVID-19 pandemic and the surge associated with multiple variants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 Item 1A “Risk Factors” of Part II in this Quarterly Report on Form 10-Q and those discussed in our other filings with the SEC, including the risks described in Item 1A “Risk Factors” of Part I of our Annual Report on Form 10-K for the year ended December 31, 2022, which was filed on March 6, 2023, for a description of how the COVID-19 pandemic may adversely affect our business, financial condition and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Third Quarter 2023 Financial and Operational Highlights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were significant developments affecting our business, capital structure and liquidity during the three months ended September 30, 2023 as compared to the same period in 2022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revenue of $13.5 million, an increase of 21% including COVID testing revenue in third quarter 2022, driven primarily by strong year-over-year growth in lung diagnostics, and a 37% year-over-year increase excluding COVID testing revenues from the prior year comparison;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Lung diagnostic revenue of $12.3 million reflected a year-over-year increase of 34% driven primarily by the continued adoption of Nodify Lung nodule risk assessment tests, and approximately 60% when excluding one-time cash revenue from tests performed in prior periods primarily from Medicare coverage of the Nodify CDT test;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Services and other revenue of $1.2 million increased 79% year-over-year, a result of the ongoing recovery in testing volumes from clinical studies, services and new agreements;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COVID-19 testing revenue decreased by 100% year-over-year, as the Company no longer provides COVID-19 diagnostic testing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Third quarter 2023 gross profit of $10.3 million, or 76% gross margin compared to 67% gross margin in the comparable prior year period, primarily driven by growth in Lung diagnostic testing and optimization of testing workflows that resulted in improvements in costs per test, the ongoing recovery of our Services business, and the commercial discontinuation of our lower-margin COVID-19 diagnostic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Operating expenses (excluding direct costs and expenses) of $17.4 million, a decrease of approximately $0.7 million, or 4% as compared to the third quarter 2022 (includes non-cash stock compensation expense of $1.0 million as compared to $1.2 million). This decrease is primarily attributable to a decrease in research and development costs, partially offset by increased sales and marketing costs to support lung diagnostic sales growth to enhance product awareness and drive adoption;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loss of $10.9 million, a decrease of approximately $2.8 million, or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Cash and cash equivalents of $19.8 million as of September 30, 2023, an increase of $2.4 million from June 30, 2023;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The Company plans to draw down an additional $10 million from the second tranche of its $50 million term loan facility with Perceptive Advisors in the fourth quarter of 2023;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Cash balance includes $15.3 million of the $27.5 million private placement announced in August. The remaining $12.2 million will be received in the fourth quarter of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(Services and other).</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Diagnostic Tests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diagnostics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Services and other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Direct costs and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Research and development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Sales, marketing, general and administrative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Interest Expense and Interest Income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the three and nine months ended September 30,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three and nine months ended September 30, 2022, interest expense primarily consists of cash and non-cash interest from Promissory Note One and the 2021 Term Loan (both as defined below) as well as changes in the value of our contingent consideration associated with the passage of time subsequent to the achievement of the contingency in the second quarter 2021. Interest income, which is included in ‘Other income, net’ in the condensed statements of operations consists of income earned on our cash and cash equivalents.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sets forth the significant components of our results of operations for the periods presented (in thousands, except percentages):</w:t>
      </w:r>
    </w:p>
    <w:tbl>
      <w:tblPr>
        <w:tblW w:w="11273" w:type="dxa"/>
        <w:jc w:val="left"/>
        <w:tblInd w:w="0" w:type="dxa"/>
        <w:tblLayout w:type="fixed"/>
        <w:tblCellMar>
          <w:top w:w="28" w:type="dxa"/>
          <w:left w:w="28" w:type="dxa"/>
          <w:bottom w:w="28" w:type="dxa"/>
          <w:right w:w="28" w:type="dxa"/>
        </w:tblCellMar>
      </w:tblPr>
      <w:tblGrid>
        <w:gridCol w:w="1596"/>
        <w:gridCol w:w="146"/>
        <w:gridCol w:w="211"/>
        <w:gridCol w:w="736"/>
        <w:gridCol w:w="166"/>
        <w:gridCol w:w="146"/>
        <w:gridCol w:w="211"/>
        <w:gridCol w:w="736"/>
        <w:gridCol w:w="166"/>
        <w:gridCol w:w="146"/>
        <w:gridCol w:w="211"/>
        <w:gridCol w:w="631"/>
        <w:gridCol w:w="166"/>
        <w:gridCol w:w="146"/>
        <w:gridCol w:w="146"/>
        <w:gridCol w:w="481"/>
        <w:gridCol w:w="271"/>
        <w:gridCol w:w="146"/>
        <w:gridCol w:w="211"/>
        <w:gridCol w:w="736"/>
        <w:gridCol w:w="166"/>
        <w:gridCol w:w="146"/>
        <w:gridCol w:w="211"/>
        <w:gridCol w:w="736"/>
        <w:gridCol w:w="166"/>
        <w:gridCol w:w="146"/>
        <w:gridCol w:w="211"/>
        <w:gridCol w:w="631"/>
        <w:gridCol w:w="166"/>
        <w:gridCol w:w="146"/>
        <w:gridCol w:w="146"/>
        <w:gridCol w:w="481"/>
        <w:gridCol w:w="5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51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15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Direct costs and expenses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516"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marketing, general and administrative</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51,136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44,836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516"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loss on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68,891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146" w:type="dxa"/>
            <w:tcBorders/>
            <w:shd w:fill="CCEEFF" w:val="clear"/>
            <w:vAlign w:val="center"/>
          </w:tcPr>
          <w:p>
            <w:pPr>
              <w:pStyle w:val="TableContents"/>
              <w:bidi w:val="0"/>
              <w:spacing w:before="0" w:after="283"/>
              <w:jc w:val="left"/>
              <w:rPr/>
            </w:pPr>
            <w:r>
              <w:rPr/>
              <w:t> </w:t>
            </w:r>
          </w:p>
        </w:tc>
        <w:tc>
          <w:tcPr>
            <w:tcW w:w="94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4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627" w:type="dxa"/>
            <w:gridSpan w:val="2"/>
            <w:tcBorders/>
            <w:shd w:fill="CCEEFF" w:val="clear"/>
            <w:vAlign w:val="center"/>
          </w:tcPr>
          <w:p>
            <w:pPr>
              <w:pStyle w:val="TableContents"/>
              <w:bidi w:val="0"/>
              <w:spacing w:before="0" w:after="283"/>
              <w:jc w:val="right"/>
              <w:rPr/>
            </w:pPr>
            <w:r>
              <w:rPr/>
              <w:t> </w:t>
            </w:r>
          </w:p>
        </w:tc>
        <w:tc>
          <w:tcPr>
            <w:tcW w:w="27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4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4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627" w:type="dxa"/>
            <w:gridSpan w:val="2"/>
            <w:tcBorders/>
            <w:shd w:fill="CCEEFF" w:val="clear"/>
            <w:vAlign w:val="center"/>
          </w:tcPr>
          <w:p>
            <w:pPr>
              <w:pStyle w:val="TableContents"/>
              <w:bidi w:val="0"/>
              <w:spacing w:before="0" w:after="283"/>
              <w:jc w:val="right"/>
              <w:rPr/>
            </w:pPr>
            <w:r>
              <w:rPr/>
              <w:t> </w:t>
            </w:r>
          </w:p>
        </w:tc>
        <w:tc>
          <w:tcPr>
            <w:tcW w:w="516" w:type="dxa"/>
            <w:tcBorders/>
            <w:shd w:fill="CCEEFF" w:val="clear"/>
            <w:vAlign w:val="center"/>
          </w:tcPr>
          <w:p>
            <w:pPr>
              <w:pStyle w:val="TableContents"/>
              <w:bidi w:val="0"/>
              <w:spacing w:before="0" w:after="283"/>
              <w:ind w:left="0" w:right="0" w:firstLine="200"/>
              <w:jc w:val="righ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liabilities, net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(3,004</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16"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(43,007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5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15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Share-based compensation </w:t>
            </w:r>
            <w:r>
              <w:rPr>
                <w:rFonts w:ascii="Times New Roman" w:hAnsi="Times New Roman"/>
                <w:b w:val="false"/>
                <w:color w:val="000000"/>
                <w:sz w:val="13"/>
              </w:rPr>
              <w:t>(1)</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51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6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60" w:after="283"/>
        <w:jc w:val="both"/>
        <w:rPr>
          <w:rFonts w:ascii="Times New Roman" w:hAnsi="Times New Roman"/>
          <w:b w:val="false"/>
          <w:color w:val="000000"/>
          <w:sz w:val="20"/>
        </w:rPr>
      </w:pPr>
      <w:r>
        <w:rPr>
          <w:rFonts w:ascii="Times New Roman" w:hAnsi="Times New Roman"/>
          <w:b w:val="false"/>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We generate revenue by providing laboratory testing of our diagnostic tests and services. Our revenues for the periods indicated were as follows (in thousands, except percentages):</w:t>
      </w:r>
    </w:p>
    <w:tbl>
      <w:tblPr>
        <w:tblW w:w="10608" w:type="dxa"/>
        <w:jc w:val="left"/>
        <w:tblInd w:w="0" w:type="dxa"/>
        <w:tblLayout w:type="fixed"/>
        <w:tblCellMar>
          <w:top w:w="28" w:type="dxa"/>
          <w:left w:w="28" w:type="dxa"/>
          <w:bottom w:w="28" w:type="dxa"/>
          <w:right w:w="28" w:type="dxa"/>
        </w:tblCellMar>
      </w:tblPr>
      <w:tblGrid>
        <w:gridCol w:w="1206"/>
        <w:gridCol w:w="146"/>
        <w:gridCol w:w="211"/>
        <w:gridCol w:w="676"/>
        <w:gridCol w:w="146"/>
        <w:gridCol w:w="146"/>
        <w:gridCol w:w="211"/>
        <w:gridCol w:w="676"/>
        <w:gridCol w:w="146"/>
        <w:gridCol w:w="146"/>
        <w:gridCol w:w="211"/>
        <w:gridCol w:w="631"/>
        <w:gridCol w:w="166"/>
        <w:gridCol w:w="146"/>
        <w:gridCol w:w="146"/>
        <w:gridCol w:w="481"/>
        <w:gridCol w:w="271"/>
        <w:gridCol w:w="146"/>
        <w:gridCol w:w="211"/>
        <w:gridCol w:w="676"/>
        <w:gridCol w:w="146"/>
        <w:gridCol w:w="146"/>
        <w:gridCol w:w="211"/>
        <w:gridCol w:w="676"/>
        <w:gridCol w:w="146"/>
        <w:gridCol w:w="146"/>
        <w:gridCol w:w="211"/>
        <w:gridCol w:w="676"/>
        <w:gridCol w:w="166"/>
        <w:gridCol w:w="146"/>
        <w:gridCol w:w="146"/>
        <w:gridCol w:w="481"/>
        <w:gridCol w:w="516"/>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12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Lung Diagnostic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COVID-19</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Diagnostic testing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0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Services and other revenue</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revenue increased $2.4 or 21%, and increased $5.8 million or 20% for the three and nine months ended September 30, 2023, respectively, compared to the same periods in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Diagnostic test revenue increased $1.9 million or 18%, and increased $6.1 million or 23% for the three and nine months ended September 30, 2023, respectively, compared to the same periods in 2022 due to an increase in our lung diagnostic testing revenue of $3.1 million and $11.3 million, respectively, driven by an increase in our Nodify XL2 and CDT diagnostic tests delivered. The Company’s lung diagnostic sales efforts continued to gain momentum during the three and nine months ended September 30, 2023 as the number of tests delivered reached the highest in Company history for three consecutive quarters. Partially offsetting this increase was a $1.3 million and $5.2 million reduction in COVID-19 testing revenue for the three and nine months ended September 30, 2023, respectively,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Services and other revenue increased $0.5 million or 79%, and decreased $0.3 million or 13% for the three and nine months ended September 30, 2023, respectively, compared to the same periods in 2022. The increase in revenue for the three months ended September 30, 2023 was primarily due to recovery in testing volumes from clinical studies and services. The decrease in revenue for the nine months ended September 30, 2023 was due to lower testing volumes driven by delayed enrollment in clinical trials and the completion of a material contract in 2022. In addition, service revenue can fluctuate due to several factors including contract timing, which can be long under normal circumstances, and currently reflects the slower pace of overall prospective clinical trial enrollment recovering from disruptions put forth by COVID-19.</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Direct costs and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Direct costs and expenses related to revenue decreased $0.4 million or 11%, and decreased $1.2 million or 11% for the three and nine months ended September 30, 2023, respectively, compared to the same periods in 2022. The decrease in costs for the three and nine months ended September 30, 2023 was driven primarily by the overall decline in COVID-19 testing revenue, partially offset by an increase in direct costs and expenses associated with increased lung diagnostic and services testing volume.</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Research and development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expenses decreased $1.0 million or 35%, and decreased $1.4 million or 15% for the three and nine months ended September 30, 2023, respectively, compared to the same periods in 2022. The decrease in costs for both the three and nine months ended September 30, 2023 was due primarily to a decrease in internal expenses associated with compensation and benefit costs and other external costs associated with contracted services and laboratory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summarizes our external and internal costs for the three and nine months ended September 30, 2023 and 2022 (in thousands, except percentages):</w:t>
      </w:r>
    </w:p>
    <w:tbl>
      <w:tblPr>
        <w:tblW w:w="10205" w:type="dxa"/>
        <w:jc w:val="left"/>
        <w:tblInd w:w="0" w:type="dxa"/>
        <w:tblLayout w:type="fixed"/>
        <w:tblCellMar>
          <w:top w:w="28" w:type="dxa"/>
          <w:left w:w="28" w:type="dxa"/>
          <w:bottom w:w="28" w:type="dxa"/>
          <w:right w:w="28" w:type="dxa"/>
        </w:tblCellMar>
      </w:tblPr>
      <w:tblGrid>
        <w:gridCol w:w="1229"/>
        <w:gridCol w:w="146"/>
        <w:gridCol w:w="213"/>
        <w:gridCol w:w="578"/>
        <w:gridCol w:w="147"/>
        <w:gridCol w:w="147"/>
        <w:gridCol w:w="213"/>
        <w:gridCol w:w="578"/>
        <w:gridCol w:w="146"/>
        <w:gridCol w:w="146"/>
        <w:gridCol w:w="211"/>
        <w:gridCol w:w="631"/>
        <w:gridCol w:w="166"/>
        <w:gridCol w:w="146"/>
        <w:gridCol w:w="146"/>
        <w:gridCol w:w="376"/>
        <w:gridCol w:w="272"/>
        <w:gridCol w:w="146"/>
        <w:gridCol w:w="213"/>
        <w:gridCol w:w="577"/>
        <w:gridCol w:w="147"/>
        <w:gridCol w:w="147"/>
        <w:gridCol w:w="213"/>
        <w:gridCol w:w="577"/>
        <w:gridCol w:w="146"/>
        <w:gridCol w:w="146"/>
        <w:gridCol w:w="211"/>
        <w:gridCol w:w="631"/>
        <w:gridCol w:w="166"/>
        <w:gridCol w:w="146"/>
        <w:gridCol w:w="146"/>
        <w:gridCol w:w="376"/>
        <w:gridCol w:w="726"/>
      </w:tblGrid>
      <w:tr>
        <w:trPr/>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2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expenses:</w:t>
            </w:r>
          </w:p>
        </w:tc>
        <w:tc>
          <w:tcPr>
            <w:tcW w:w="146" w:type="dxa"/>
            <w:tcBorders/>
            <w:shd w:fill="CCEEFF" w:val="clear"/>
            <w:vAlign w:val="center"/>
          </w:tcPr>
          <w:p>
            <w:pPr>
              <w:pStyle w:val="TableContents"/>
              <w:bidi w:val="0"/>
              <w:spacing w:before="0" w:after="283"/>
              <w:jc w:val="left"/>
              <w:rPr/>
            </w:pPr>
            <w:r>
              <w:rPr/>
              <w:t> </w:t>
            </w:r>
          </w:p>
        </w:tc>
        <w:tc>
          <w:tcPr>
            <w:tcW w:w="791" w:type="dxa"/>
            <w:gridSpan w:val="2"/>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791"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522" w:type="dxa"/>
            <w:gridSpan w:val="2"/>
            <w:tcBorders/>
            <w:shd w:fill="CCEEFF" w:val="clear"/>
            <w:vAlign w:val="center"/>
          </w:tcPr>
          <w:p>
            <w:pPr>
              <w:pStyle w:val="TableContents"/>
              <w:bidi w:val="0"/>
              <w:spacing w:before="0" w:after="283"/>
              <w:jc w:val="right"/>
              <w:rPr/>
            </w:pPr>
            <w:r>
              <w:rPr/>
              <w:t> </w:t>
            </w:r>
          </w:p>
        </w:tc>
        <w:tc>
          <w:tcPr>
            <w:tcW w:w="27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gridSpan w:val="2"/>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790"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522" w:type="dxa"/>
            <w:gridSpan w:val="2"/>
            <w:tcBorders/>
            <w:shd w:fill="CCEEFF" w:val="clear"/>
            <w:vAlign w:val="center"/>
          </w:tcPr>
          <w:p>
            <w:pPr>
              <w:pStyle w:val="TableContents"/>
              <w:bidi w:val="0"/>
              <w:spacing w:before="0" w:after="283"/>
              <w:jc w:val="right"/>
              <w:rPr/>
            </w:pPr>
            <w:r>
              <w:rPr/>
              <w:t> </w:t>
            </w:r>
          </w:p>
        </w:tc>
        <w:tc>
          <w:tcPr>
            <w:tcW w:w="726" w:type="dxa"/>
            <w:tcBorders/>
            <w:shd w:fill="CCEEFF" w:val="clear"/>
            <w:vAlign w:val="center"/>
          </w:tcPr>
          <w:p>
            <w:pPr>
              <w:pStyle w:val="TableContents"/>
              <w:bidi w:val="0"/>
              <w:spacing w:before="0" w:after="283"/>
              <w:ind w:left="0" w:right="0" w:firstLine="200"/>
              <w:jc w:val="right"/>
              <w:rPr/>
            </w:pPr>
            <w:r>
              <w:rPr/>
              <w:t> </w:t>
            </w:r>
          </w:p>
        </w:tc>
      </w:tr>
      <w:tr>
        <w:trPr/>
        <w:tc>
          <w:tcPr>
            <w:tcW w:w="122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Clinical trials and associated costs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1,609</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72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9"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external costs</w:t>
            </w:r>
          </w:p>
        </w:tc>
        <w:tc>
          <w:tcPr>
            <w:tcW w:w="146"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2,230</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72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external costs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3,839</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2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expenses</w:t>
            </w:r>
          </w:p>
        </w:tc>
        <w:tc>
          <w:tcPr>
            <w:tcW w:w="146"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4,260</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7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1,938</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8,099</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Sales, marketing, general and administrative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Sales, marketing, general and administrative expenses increased $0.4 million or 3%, and increased $6.3 million or 14% for the three and nine months ended September 30, 2023, respectively, compared to the same periods in 2022. The increase for the three and nine months ended September 30, 2023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nine months ended September 30, 2022 the Company’s sales efforts continued to be impacted by the COVID-19 pandemic due to surges associated with multiple variants, restricting and delaying the Company's ability to execute our lung diagnostic sales strategy, resulting in lower sales and marketing costs in the first half of 2022.</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Interest expense decreased $0.7 million or 21%, and increased $1.7 million or 31% for the three and nine months ended September 30, 2023, respectively, compared to the same periods in 2022. The interest expense for the three months ended September 30, 2023 is primarily related to the Perceptive Term Loan Facility of $1.4 million and interest associated with the contingent consideration of $1.0 million. The interest expense for the three months ended September 30, 2022, is associated with the contingent consideration of $1.3 million as well as the 2021 Term Loan with Silicon Valley Bank of $0.9 million and securities purchase agreement with Streeterville Capital, LLC of $0.8 million, both of which were refinanced by the Perceptive Term Loan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interest expense for the nine months ended September 30, 2023 is primarily related to interest associated with the Perceptive Term Loan Facility of $3.9 million and interest associated with the contingent consideration of $3.1 million. The interest expense for the nine months ended September 30, 2022 is primarily related to interest associated with is associated with the contingent consideration of $2.3 million as well as the 2021 Term Loan with Silicon Valley Bank of $1.8 million and securities purchase agreement with Streeterville Capital, LLC of $1.4 million in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Loss on extinguishment of liabilities, net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nine months ended September 30, 2022, we recorded a loss on the extinguishment of $3.0 million.</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Change in fair value of warrant liability, net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and additional warrants will become exercisable into 1,000,000 shares of common stock concurrently with the borrowing of the Tranche C Loan (together, the Additional Warrants). The Company accounts for the Additional Warrants as liabilities as the Additional Warrants do not meet the criteria for equity classification. During the three and nine months ended September 30, 2023, the Company recorded a $1.4 million and $1.3 million net loss, respectively, as a change in fair value through the condensed statement of operations due to changes in unobservable inputs. This is a result of changes in the probability of our ability to draw on Tranche B and C loans.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and have continued to grow thereafter. The Company’s sales efforts were impacted by the COVID-19 pandemic due to surges associated with variants, which negatively affected the growth rate of our core lung diagnostic testing-related revenue and our clinical studies. While we have seen recovery in delivered tests in lung diagnostic testing as health care practitioners, including pulmonologists, increasingly returned to pre-pandemic related care, we experienced more variability as compared to pre-pandemic levels as physician practices are adjusting to post-pandemic levels of care. As a result, the items identified above have had an adverse effect on our revenue, results of operations and cash flows.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March 7, 2022 (the LPC Effective Date), we entered into a purchase agreement with Lincoln Park (the Purchase Agreement), pursuant to which Lincoln Park has committed to purchase up to $50.0 million of our common stock (the LPC Facility).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April 7, 2022, we entered into subscription agreements with a consortium of investors</w:t>
      </w:r>
      <w:r>
        <w:rPr>
          <w:rFonts w:ascii="Times New Roman" w:hAnsi="Times New Roman"/>
          <w:b w:val="false"/>
          <w:color w:val="000000"/>
          <w:sz w:val="20"/>
          <w:u w:val="single"/>
        </w:rPr>
        <w:t>,</w:t>
      </w:r>
      <w:r>
        <w:rPr>
          <w:rFonts w:ascii="Times New Roman" w:hAnsi="Times New Roman"/>
          <w:color w:val="000000"/>
          <w:sz w:val="20"/>
        </w:rPr>
        <w:t xml:space="preserve"> </w:t>
      </w:r>
      <w:r>
        <w:rPr>
          <w:rFonts w:ascii="Times New Roman" w:hAnsi="Times New Roman"/>
          <w:b w:val="false"/>
          <w:color w:val="000000"/>
          <w:sz w:val="20"/>
        </w:rPr>
        <w:t>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ability to make these payments is subject to ongoing compliance under the Perceptive Term Loan and commencing January 1, 2024, consent from Perceptive.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May 9, 2022, the Company entered into a securities purchase agreement with Streeterville, pursuant to which, among other things, Streeterville: (i) purchased Promissory Note One in the aggregate principal amount totaling $16.0 million in exchange for $15.0 million less certain expenses. Promissory Notes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November 21, 2022, the Company funded and/or closed various financing transactions, including: (i)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(ii) a follow-on equity offering of common stock and (iii) a subscription agreement for the issuance of common stock to certain members of the Company’s management team. Collectively, the Company raised gross proceeds of approximately $70.7 million ($65.7 million after deducting commissions, fees and expenses payable). Approximately $23.9 million of the net proceeds were used to retire outstanding debt of the Company and the remaining proceeds of approximately $42.0 million will be used for commercial expansion of sales, supporting the Company’s product pipeline, research and development and for general corporate purposes.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August 3, 2023, the Company entered into subscription agreements (the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will be received and 7,520,371 shares of common stock will be issued during the three months ended December 31,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Pursuant to the original terms of the Credit Agreement and Guaranty entered into on November 21, 2022, the Perceptive Term Loan Facility includes an additional Tranche B Loan, in an aggregate amount of up to $10.0 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September 30, 2023, the Company met the amended trailing-twelve month revenue milestone associated with the Tranche B Loan.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the Company had remaining available capacity for share issuances of approximately $29.5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As of September 30, 2023, we maintained cash and cash equivalents of $19.8 million and we have $30.0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hAnsi="Times New Roman"/>
          <w:b w:val="false"/>
          <w:i/>
          <w:color w:val="000000"/>
          <w:sz w:val="20"/>
        </w:rPr>
        <w:t>Presentation of Financial Statements - Going Concern: Disclosure of Uncertainties about an Entity’s Ability to Continue as a Going Concern</w:t>
      </w:r>
      <w:r>
        <w:rPr>
          <w:rFonts w:ascii="Times New Roman" w:hAnsi="Times New Roman"/>
          <w:b w:val="false"/>
          <w:color w:val="000000"/>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flows, current financial condition, sources of liquidity and debt obligations for at least one year from the date of issuance of this Form 10-Q in considering whether it has the ability to meet its obligations.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meet our obligations as they come due may be impacted by our ability to remain compliant with financial covenants in our loan agreement or to obtain waivers or amendments that impact the related covenants. As of September 30, 2023, the Company was in compliance with all restrictive and financial covenants associated with its borrowings.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Based on our current operating plan, unless we continue to raise additional capital (debt or equity) and meet certain agreed upon revenue covenants, or obtain waivers from complying with such financial covenants, we expect that we will be unable to maintain our financial covenants under our existing loan agreement during the next twelve months, which could result in an Event of Default, as defined in the Perceptive Term Loan Facility, causing an acceleration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September 30, 2023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summarizes our cash flows for the periods indicated (in thousands):</w:t>
      </w:r>
    </w:p>
    <w:tbl>
      <w:tblPr>
        <w:tblW w:w="8597" w:type="dxa"/>
        <w:jc w:val="left"/>
        <w:tblInd w:w="0" w:type="dxa"/>
        <w:tblLayout w:type="fixed"/>
        <w:tblCellMar>
          <w:top w:w="28" w:type="dxa"/>
          <w:left w:w="28" w:type="dxa"/>
          <w:bottom w:w="28" w:type="dxa"/>
          <w:right w:w="28" w:type="dxa"/>
        </w:tblCellMar>
      </w:tblPr>
      <w:tblGrid>
        <w:gridCol w:w="5041"/>
        <w:gridCol w:w="146"/>
        <w:gridCol w:w="287"/>
        <w:gridCol w:w="1001"/>
        <w:gridCol w:w="225"/>
        <w:gridCol w:w="198"/>
        <w:gridCol w:w="287"/>
        <w:gridCol w:w="1001"/>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flows (used in) provided by:</w:t>
            </w:r>
          </w:p>
        </w:tc>
        <w:tc>
          <w:tcPr>
            <w:tcW w:w="146" w:type="dxa"/>
            <w:tcBorders/>
            <w:shd w:fill="CCEEFF" w:val="clear"/>
            <w:vAlign w:val="center"/>
          </w:tcPr>
          <w:p>
            <w:pPr>
              <w:pStyle w:val="TableContents"/>
              <w:bidi w:val="0"/>
              <w:spacing w:before="0" w:after="283"/>
              <w:jc w:val="right"/>
              <w:rPr/>
            </w:pPr>
            <w:r>
              <w:rPr/>
              <w:t> </w:t>
            </w:r>
          </w:p>
        </w:tc>
        <w:tc>
          <w:tcPr>
            <w:tcW w:w="1288" w:type="dxa"/>
            <w:gridSpan w:val="2"/>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right"/>
              <w:rPr/>
            </w:pPr>
            <w:r>
              <w:rPr/>
              <w:t> </w:t>
            </w:r>
          </w:p>
        </w:tc>
        <w:tc>
          <w:tcPr>
            <w:tcW w:w="1288" w:type="dxa"/>
            <w:gridSpan w:val="2"/>
            <w:tcBorders/>
            <w:shd w:fill="CCEEFF" w:val="clear"/>
            <w:vAlign w:val="center"/>
          </w:tcPr>
          <w:p>
            <w:pPr>
              <w:pStyle w:val="TableContents"/>
              <w:bidi w:val="0"/>
              <w:spacing w:before="0" w:after="283"/>
              <w:jc w:val="right"/>
              <w:rPr/>
            </w:pPr>
            <w:r>
              <w:rPr/>
              <w:t> </w:t>
            </w:r>
          </w:p>
        </w:tc>
        <w:tc>
          <w:tcPr>
            <w:tcW w:w="411" w:type="dxa"/>
            <w:tcBorders/>
            <w:shd w:fill="CCEEFF" w:val="clear"/>
            <w:vAlign w:val="center"/>
          </w:tcPr>
          <w:p>
            <w:pPr>
              <w:pStyle w:val="TableContents"/>
              <w:bidi w:val="0"/>
              <w:spacing w:before="0" w:after="283"/>
              <w:ind w:left="0" w:right="0" w:firstLine="200"/>
              <w:jc w:val="right"/>
              <w:rPr/>
            </w:pPr>
            <w:r>
              <w:rPr/>
              <w:t> </w:t>
            </w:r>
          </w:p>
        </w:tc>
      </w:tr>
      <w:tr>
        <w:trPr/>
        <w:tc>
          <w:tcPr>
            <w:tcW w:w="5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(10,587</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041" w:type="dxa"/>
            <w:tcBorders/>
            <w:shd w:fill="CCEE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CEEFF" w:val="clear"/>
            <w:vAlign w:val="center"/>
          </w:tcPr>
          <w:p>
            <w:pPr>
              <w:pStyle w:val="TableContents"/>
              <w:bidi w:val="0"/>
              <w:spacing w:before="0" w:after="283"/>
              <w:jc w:val="right"/>
              <w:rPr/>
            </w:pPr>
            <w:r>
              <w:rPr/>
              <w:t> </w:t>
            </w:r>
          </w:p>
        </w:tc>
        <w:tc>
          <w:tcPr>
            <w:tcW w:w="28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(20,061</w:t>
            </w:r>
          </w:p>
        </w:tc>
        <w:tc>
          <w:tcPr>
            <w:tcW w:w="22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CEEFF" w:val="clear"/>
            <w:vAlign w:val="center"/>
          </w:tcPr>
          <w:p>
            <w:pPr>
              <w:pStyle w:val="TableContents"/>
              <w:bidi w:val="0"/>
              <w:spacing w:before="0" w:after="283"/>
              <w:jc w:val="right"/>
              <w:rPr/>
            </w:pPr>
            <w:r>
              <w:rPr/>
              <w:t> </w:t>
            </w:r>
          </w:p>
        </w:tc>
        <w:tc>
          <w:tcPr>
            <w:tcW w:w="28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w:t>
            </w:r>
          </w:p>
        </w:tc>
        <w:tc>
          <w:tcPr>
            <w:tcW w:w="411" w:type="dxa"/>
            <w:tcBorders/>
            <w:shd w:fill="CCEE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and cash equivalents and restricted cash</w:t>
            </w:r>
          </w:p>
        </w:tc>
        <w:tc>
          <w:tcPr>
            <w:tcW w:w="146" w:type="dxa"/>
            <w:tcBorders/>
            <w:shd w:fill="CCEEFF" w:val="clear"/>
            <w:vAlign w:val="center"/>
          </w:tcPr>
          <w:p>
            <w:pPr>
              <w:pStyle w:val="TableContents"/>
              <w:bidi w:val="0"/>
              <w:spacing w:before="0" w:after="283"/>
              <w:jc w:val="right"/>
              <w:rPr/>
            </w:pPr>
            <w:r>
              <w:rPr/>
              <w:t> </w:t>
            </w:r>
          </w:p>
        </w:tc>
        <w:tc>
          <w:tcPr>
            <w:tcW w:w="2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(23,247</w:t>
            </w:r>
          </w:p>
        </w:tc>
        <w:tc>
          <w:tcPr>
            <w:tcW w:w="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CEEFF" w:val="clear"/>
            <w:vAlign w:val="center"/>
          </w:tcPr>
          <w:p>
            <w:pPr>
              <w:pStyle w:val="TableContents"/>
              <w:bidi w:val="0"/>
              <w:spacing w:before="0" w:after="283"/>
              <w:jc w:val="right"/>
              <w:rPr/>
            </w:pPr>
            <w:r>
              <w:rPr/>
              <w:t> </w:t>
            </w:r>
          </w:p>
        </w:tc>
        <w:tc>
          <w:tcPr>
            <w:tcW w:w="2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(17,537</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cash flows resulted in a net decrease in cash and cash equivalents and restricted cash of $23.2 million during the nine months ended September 30, 2023 as compared to the net decrease in cash of $17.5 million for the nine months ended September 30, 2022. For the nine months ended September 30, 2023, net cash used in operating activities totaled $10.6 million, a decrease of approximately $22.4 million compared to the same period in 2022 primarily due to the $18.3 million in tenant improvement allowances received for capital expenditures and leasehold improvements related to the CVP Lease which have been reimbursed from the CVP landlord (see cash used in investing activities below). Subsequent to the use of the tenant improvement allowance, the CVP Lease will result in a negative cash flow within operations due to normal rental payments. Additionally, the Company had favorable changes in working capital that contributed to the improvement in net cash used in operating activities compared to the same period in 2022. During the nine months ended September 30, 2022, our $5.0 million cash collateralized letter of credit under the operating lease agreement with CVP was released and the funds were subsequently transferred to the landlord as a refundable deposit to secure the performance of the Company’s obligations.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used in investing activities during the nine months ended September 30, 2023 totaled $20.1 million, an increase of $18.5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provided by financing activities during the nine months ended September 30, 2023 totaled $7.4 million, a decrease of $9.6 million compared to the same period in 2022. The net cash provided by financing activities for the nine months ended September 30, 2023 primarily resulted from $15.3 million net proceeds from the issuance of common stock from the Subscription Agreements, partially offset by milestone payments to Indi of $7.6 million and payments of debt issuance costs of $0.8 million. The net cash provided by financing activities for the nine months ended September 30, 2022 primarily resulted from $18.0 million net proceeds from the issuance of common stock from the November 2022 follow-on equity offering and subscription agreements, $12.8 million net proceeds from the issuance of Promissory Note One, partially offset by the milestone payments to Indi of $8.7 million and partial repayment of the 2021 Term Loan of $5.0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table summarizes our non-cancelable contractual obligations and commitments, including finance lease obligations entered into during the nine months ended September 30, 2023 (in thousands):</w:t>
      </w:r>
    </w:p>
    <w:tbl>
      <w:tblPr>
        <w:tblW w:w="8617"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676"/>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Borrowings and interest </w:t>
            </w:r>
            <w:r>
              <w:rPr>
                <w:rFonts w:ascii="Times New Roman" w:hAnsi="Times New Roman"/>
                <w:b w:val="false"/>
                <w:color w:val="000000"/>
                <w:sz w:val="13"/>
              </w:rPr>
              <w:t>(2)</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35,084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291" w:type="dxa"/>
            <w:tcBorders/>
            <w:shd w:fill="CCEEFF"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235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obligations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29,156</w:t>
            </w:r>
          </w:p>
        </w:tc>
        <w:tc>
          <w:tcPr>
            <w:tcW w:w="291" w:type="dxa"/>
            <w:tcBorders/>
            <w:shd w:fill="CCEEFF"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29,156</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Includes the Perceptive Term Loan payments of principal and interest. Interest amounts associated with the Perceptive Term Loan are variable and estimated based on the interest rate in effect on September 30, 2023.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have been no other significant changes to our future contractual obligations as disclosed in our Annual Report on Form 10-K for the year ended December 31, 2022.</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2022, which was filed on March 6, 2023.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(Services and other 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and Grant Date Fair Value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 June 2016, the FASB issued ASU No. 2016-13, </w:t>
      </w:r>
      <w:r>
        <w:rPr>
          <w:rFonts w:ascii="Times New Roman" w:hAnsi="Times New Roman"/>
          <w:b w:val="false"/>
          <w:i/>
          <w:color w:val="000000"/>
          <w:sz w:val="20"/>
        </w:rPr>
        <w:t>Financial Instruments-Credit Losses: Measurement of Credit Losses on Financial Instruments</w:t>
      </w:r>
      <w:r>
        <w:rPr>
          <w:rFonts w:ascii="Times New Roman" w:hAnsi="Times New Roman"/>
          <w:color w:val="000000"/>
          <w:sz w:val="20"/>
        </w:rPr>
        <w:t xml:space="preserve"> </w:t>
      </w:r>
      <w:r>
        <w:rPr>
          <w:rFonts w:ascii="Times New Roman" w:hAnsi="Times New Roman"/>
          <w:b w:val="false"/>
          <w:color w:val="000000"/>
          <w:sz w:val="20"/>
        </w:rPr>
        <w:t>(ASC Topic 326). This ASU requires measurement and recognition of expected credit losses for financial assets. This ASU requires measurement and recognition of expected credit losses for financial assets. This guidance became effective for the Company beginning January 1, 2023. The Company evaluated the guidance and determined the overall impact of the adoption had an immaterial impact on our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an Emerging Growth Company and Smaller Reporting Company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exposed to market risk for changes in interest rates related primarily to our cash and cash equivalents, marketable securities and our indebtedness, including our outstanding Perceptive Term Loan. As of September 30, 2023, we had $30.0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a hypothetical 100 basis point increase in interest rates would have an estimated $0.3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were no changes to our internal control over financial reporting during the three months ended September 30, 2023 that have materially affected, or are reasonable likely to materially effect, our internal controls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color w:val="000000"/>
        </w:rPr>
      </w:pPr>
      <w:r>
        <w:rPr>
          <w:color w:val="000000"/>
        </w:rPr>
        <w:t>“</w:t>
      </w:r>
      <w:r>
        <w:rPr>
          <w:rFonts w:ascii="Times New Roman" w:hAnsi="Times New Roman"/>
          <w:b w:val="false"/>
          <w:color w:val="000000"/>
          <w:sz w:val="20"/>
        </w:rPr>
        <w:t>Item 1A. Risk Factors” of our Annual Report on Form 10-K as of and for the year ended December 31, 2022, filed March 6, 2023,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risks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FDA may end its general policy of enforcement discretion and regulate laboratory developed tests as medical devices.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September 29, 2023, the Food and Drug Administration (FDA) announced a proposed rule to amend its regulations to explicitly regulate laboratory developed tests (LDTs) as in vitro diagnostic (IVD) tests in accordance with the agency’s regulatory authority over medical devices.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For more information regarding these risks, see Item 1A “Risk Factors” of Part I of our Annual Report on Form 10-K for the year ended December 31, 2022, which was filed on March 6, 2023, under the heading “—Risks Related to our Governmental Regulation—</w:t>
      </w:r>
      <w:r>
        <w:rPr>
          <w:rFonts w:ascii="Times New Roman" w:hAnsi="Times New Roman"/>
          <w:b w:val="false"/>
          <w:i/>
          <w:color w:val="000000"/>
          <w:sz w:val="20"/>
        </w:rPr>
        <w:t>Our current line of diagnostic tests is covered under CLIA and CMS, however, changes in the way that the FDA regulates tests performed by laboratories like ours could result in delay or additional expense in offering our tests and tests that we may develop in the future. In addition, our COVID testing program and select partnerships we may enter into may cause us to be subject to additional FDA requirements.</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3, 2023, the Company entered into subscription agreements (the Subscription Agreements) with all of the members of our Board of Directors, all Section 16 officers, and additional members of the Biodesix leadership team (together, the Investors) for the issuance and sale by the Company of an aggregate of 16,975,298 of the Company’s common stock (the Shares) in a private equity offering (the Private Placement). The Subscription Agreements did not include any registration rights.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Pursuant to the Subscription Agreements, the Investors purchased shares at a purchase price (determined in accordance with Nasdaq rules relating to the “Minimum Value” of the Company’s common stock) of $1.62 per share, which is equal to the closing price of the Company's common stock on August 3, 2023, for an aggregate purchase price of approximately $27.5 million. The Subscription Agreements include customary representations, warranties and covenants by the parties to the agreements.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will be received and 7,520,371 shares of common stock will be issued during the three months ended December 31, 2023. The Company intends to use the proceeds for the commercial expansion of sales, research and development, and for general corporate purposes.</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 of our directors or officers adopted, modified, or terminated a Rule 10b5-1 trading arrangement during the quarter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077"/>
        <w:gridCol w:w="192"/>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c>
          <w:tcPr>
            <w:tcW w:w="192" w:type="dxa"/>
            <w:vMerge w:val="continue"/>
            <w:tcBorders/>
            <w:shd w:fill="FFFFFF" w:val="cle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Furnished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79" w:type="dxa"/>
        <w:jc w:val="left"/>
        <w:tblInd w:w="0" w:type="dxa"/>
        <w:tblLayout w:type="fixed"/>
        <w:tblCellMar>
          <w:top w:w="28" w:type="dxa"/>
          <w:left w:w="28" w:type="dxa"/>
          <w:bottom w:w="28" w:type="dxa"/>
          <w:right w:w="28" w:type="dxa"/>
        </w:tblCellMar>
      </w:tblPr>
      <w:tblGrid>
        <w:gridCol w:w="2146"/>
        <w:gridCol w:w="146"/>
        <w:gridCol w:w="406"/>
        <w:gridCol w:w="28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Biodesix, Inc.</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Date: November 7, 2023</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CHRISTOPHER C. VAZQUEZ</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Christopher C. Vazquez</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Chief Accounting Officer</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Accounting Officer)</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1" w:name="bdsx-ex31_1.htm"/>
      <w:bookmarkStart w:id="22" w:name="ksbds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I, Scott Hutton, certify that: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Biodesix, Inc.;</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78" w:type="dxa"/>
        <w:jc w:val="left"/>
        <w:tblInd w:w="0" w:type="dxa"/>
        <w:tblLayout w:type="fixed"/>
        <w:tblCellMar>
          <w:top w:w="28" w:type="dxa"/>
          <w:left w:w="28" w:type="dxa"/>
          <w:bottom w:w="28" w:type="dxa"/>
          <w:right w:w="28" w:type="dxa"/>
        </w:tblCellMar>
      </w:tblPr>
      <w:tblGrid>
        <w:gridCol w:w="2101"/>
        <w:gridCol w:w="40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31_2.htm"/>
      <w:bookmarkStart w:id="24" w:name="ksbdsx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I, Robin Harper Cowie, certify that: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Biodesix, Inc.;</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3" w:type="dxa"/>
        <w:jc w:val="left"/>
        <w:tblInd w:w="0" w:type="dxa"/>
        <w:tblLayout w:type="fixed"/>
        <w:tblCellMar>
          <w:top w:w="28" w:type="dxa"/>
          <w:left w:w="28" w:type="dxa"/>
          <w:bottom w:w="28" w:type="dxa"/>
          <w:right w:w="28" w:type="dxa"/>
        </w:tblCellMar>
      </w:tblPr>
      <w:tblGrid>
        <w:gridCol w:w="2101"/>
        <w:gridCol w:w="406"/>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2_1.htm"/>
      <w:bookmarkStart w:id="26" w:name="ksbdsxex32_1"/>
      <w:bookmarkEnd w:id="25"/>
      <w:bookmarkEnd w:id="26"/>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 connection with the Quarterly Report of Biodesix, Inc. (the “Company”) on Form 10-Q for the period ending September 30,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724" w:type="dxa"/>
        <w:jc w:val="left"/>
        <w:tblInd w:w="0" w:type="dxa"/>
        <w:tblLayout w:type="fixed"/>
        <w:tblCellMar>
          <w:top w:w="28" w:type="dxa"/>
          <w:left w:w="28" w:type="dxa"/>
          <w:bottom w:w="28" w:type="dxa"/>
          <w:right w:w="28" w:type="dxa"/>
        </w:tblCellMar>
      </w:tblPr>
      <w:tblGrid>
        <w:gridCol w:w="2101"/>
        <w:gridCol w:w="146"/>
        <w:gridCol w:w="40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07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Scott Hutton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Scott Hutton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2_2.htm"/>
      <w:bookmarkStart w:id="28" w:name="ksbdsxex32_2"/>
      <w:bookmarkEnd w:id="27"/>
      <w:bookmarkEnd w:id="28"/>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 connection with the Quarterly Report of Biodesix, Inc. (the “Company”) on Form 10-Q for the period ending September 30,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709" w:type="dxa"/>
        <w:jc w:val="left"/>
        <w:tblInd w:w="0" w:type="dxa"/>
        <w:tblLayout w:type="fixed"/>
        <w:tblCellMar>
          <w:top w:w="28" w:type="dxa"/>
          <w:left w:w="28" w:type="dxa"/>
          <w:bottom w:w="28" w:type="dxa"/>
          <w:right w:w="28" w:type="dxa"/>
        </w:tblCellMar>
      </w:tblPr>
      <w:tblGrid>
        <w:gridCol w:w="2101"/>
        <w:gridCol w:w="146"/>
        <w:gridCol w:w="406"/>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By:</w:t>
            </w:r>
          </w:p>
        </w:tc>
        <w:tc>
          <w:tcPr>
            <w:tcW w:w="20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Robin Harper Cowie</w:t>
            </w:r>
          </w:p>
        </w:tc>
      </w:tr>
      <w:tr>
        <w:trPr/>
        <w:tc>
          <w:tcPr>
            <w:tcW w:w="210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Robin Harper Cowie</w:t>
            </w:r>
          </w:p>
        </w:tc>
      </w:tr>
      <w:tr>
        <w:trPr/>
        <w:tc>
          <w:tcPr>
            <w:tcW w:w="210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0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30783</Words>
  <Characters>169008</Characters>
  <CharactersWithSpaces>200735</CharactersWithSpaces>
  <Paragraphs>5790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